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193040</wp:posOffset>
            </wp:positionV>
            <wp:extent cx="330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147955</wp:posOffset>
            </wp:positionV>
            <wp:extent cx="330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720" w:right="40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720"/>
        <w:spacing w:after="0"/>
        <w:tabs>
          <w:tab w:leader="none" w:pos="384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360" w:hanging="672"/>
        <w:spacing w:after="0" w:line="260"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720"/>
        <w:spacing w:after="0"/>
        <w:tabs>
          <w:tab w:leader="none" w:pos="3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217170</wp:posOffset>
            </wp:positionV>
            <wp:extent cx="3308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124460</wp:posOffset>
            </wp:positionV>
            <wp:extent cx="3308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Pr>
          <w:p>
            <w:pPr>
              <w:jc w:val="center"/>
              <w:ind w:right="135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78"/>
        </w:trPr>
        <w:tc>
          <w:tcPr>
            <w:tcW w:w="40" w:type="dxa"/>
            <w:vAlign w:val="bottom"/>
          </w:tcPr>
          <w:p>
            <w:pPr>
              <w:spacing w:after="0"/>
              <w:rPr>
                <w:sz w:val="15"/>
                <w:szCs w:val="15"/>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80" w:type="dxa"/>
            <w:vAlign w:val="bottom"/>
          </w:tcPr>
          <w:p>
            <w:pPr>
              <w:jc w:val="center"/>
              <w:ind w:right="1377"/>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80" w:type="dxa"/>
            <w:vAlign w:val="bottom"/>
          </w:tcPr>
          <w:p>
            <w:pPr>
              <w:jc w:val="center"/>
              <w:ind w:right="135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80" w:type="dxa"/>
            <w:vAlign w:val="bottom"/>
          </w:tcPr>
          <w:p>
            <w:pPr>
              <w:spacing w:after="0"/>
              <w:rPr>
                <w:sz w:val="24"/>
                <w:szCs w:val="24"/>
                <w:color w:val="auto"/>
              </w:rPr>
            </w:pPr>
          </w:p>
        </w:tc>
      </w:tr>
      <w:tr>
        <w:trPr>
          <w:trHeight w:val="214"/>
        </w:trPr>
        <w:tc>
          <w:tcPr>
            <w:tcW w:w="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8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80" w:type="dxa"/>
            <w:vAlign w:val="bottom"/>
            <w:gridSpan w:val="3"/>
          </w:tcPr>
          <w:p>
            <w:pPr>
              <w:jc w:val="center"/>
              <w:ind w:right="36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50"/>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jc w:val="center"/>
              <w:ind w:left="73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0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80" w:type="dxa"/>
            <w:vAlign w:val="bottom"/>
          </w:tcPr>
          <w:p>
            <w:pPr>
              <w:spacing w:after="0"/>
              <w:rPr>
                <w:sz w:val="16"/>
                <w:szCs w:val="16"/>
                <w:color w:val="auto"/>
              </w:rPr>
            </w:pPr>
          </w:p>
        </w:tc>
      </w:tr>
      <w:tr>
        <w:trPr>
          <w:trHeight w:val="375"/>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98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 representing limited</w:t>
            </w:r>
          </w:p>
        </w:tc>
        <w:tc>
          <w:tcPr>
            <w:tcW w:w="460" w:type="dxa"/>
            <w:vAlign w:val="bottom"/>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Times New Roman" w:cs="Times New Roman" w:eastAsia="Times New Roman" w:hAnsi="Times New Roman"/>
                <w:sz w:val="18"/>
                <w:szCs w:val="18"/>
                <w:color w:val="auto"/>
              </w:rPr>
              <w:t>WLKP</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3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pacing w:after="0" w:line="360"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4" w:lineRule="exact"/>
        <w:rPr>
          <w:sz w:val="24"/>
          <w:szCs w:val="24"/>
          <w:color w:val="auto"/>
        </w:rPr>
      </w:pPr>
    </w:p>
    <w:p>
      <w:pPr>
        <w:ind w:right="3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5"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w:t>
            </w:r>
          </w:p>
        </w:tc>
      </w:tr>
      <w:tr>
        <w:trPr>
          <w:trHeight w:val="40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Times New Roman" w:cs="Times New Roman" w:eastAsia="Times New Roman" w:hAnsi="Times New Roman"/>
          <w:sz w:val="18"/>
          <w:szCs w:val="18"/>
          <w:color w:val="auto"/>
        </w:rPr>
        <w:t>x</w:t>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35,194,545 common units outstanding as of October 28, 2020.</w:t>
      </w:r>
    </w:p>
    <w:p>
      <w:pPr>
        <w:sectPr>
          <w:pgSz w:w="11900" w:h="16838" w:orient="portrait"/>
          <w:cols w:equalWidth="0" w:num="1">
            <w:col w:w="11240"/>
          </w:cols>
          <w:pgMar w:left="320" w:top="268" w:right="339" w:bottom="1068"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990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420" w:type="dxa"/>
            <w:vAlign w:val="bottom"/>
            <w:gridSpan w:val="3"/>
            <w:vMerge w:val="restart"/>
          </w:tcPr>
          <w:p>
            <w:pPr>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420" w:type="dxa"/>
            <w:vAlign w:val="bottom"/>
            <w:gridSpan w:val="3"/>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2)</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Management's Discussion and Analysis of Financial Condition and Results of Operations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Quantitative and Qualitative Disclosures about Market Risk</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4)</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Controls and Procedures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594"/>
        </w:trPr>
        <w:tc>
          <w:tcPr>
            <w:tcW w:w="10420" w:type="dxa"/>
            <w:vAlign w:val="bottom"/>
            <w:gridSpan w:val="3"/>
          </w:tcPr>
          <w:p>
            <w:pPr>
              <w:spacing w:after="0"/>
              <w:rPr>
                <w:rFonts w:ascii="Times New Roman" w:cs="Times New Roman" w:eastAsia="Times New Roman" w:hAnsi="Times New Roman"/>
                <w:sz w:val="18"/>
                <w:szCs w:val="18"/>
                <w:b w:val="1"/>
                <w:bCs w:val="1"/>
                <w:color w:val="auto"/>
              </w:rPr>
            </w:pPr>
            <w:hyperlink w:anchor="page31">
              <w:r>
                <w:rPr>
                  <w:rFonts w:ascii="Times New Roman" w:cs="Times New Roman" w:eastAsia="Times New Roman" w:hAnsi="Times New Roman"/>
                  <w:sz w:val="18"/>
                  <w:szCs w:val="18"/>
                  <w:b w:val="1"/>
                  <w:bCs w:val="1"/>
                  <w:color w:val="auto"/>
                </w:rPr>
                <w:t>PART II.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1)</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Legal Proceedings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140" w:type="dxa"/>
            <w:vAlign w:val="bottom"/>
            <w:gridSpan w:val="2"/>
          </w:tcPr>
          <w:p>
            <w:pPr>
              <w:ind w:left="6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1A) Risk Factors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6)</w:t>
              </w:r>
            </w:hyperlink>
          </w:p>
        </w:tc>
        <w:tc>
          <w:tcPr>
            <w:tcW w:w="9900" w:type="dxa"/>
            <w:vAlign w:val="bottom"/>
          </w:tcPr>
          <w:p>
            <w:pPr>
              <w:ind w:left="2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Exhibits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3"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385"/>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19,923</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Chemical Corporation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162,773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42,847</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238,411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1,060,840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1,102,995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1,382,282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payable—Westlake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443,450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441,321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unitholders—publicly and privately held (21,072,315 and 21,072,315 units issued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outstanding at September 30, 2020 and December 31, 2019, respectively)</w:t>
            </w:r>
          </w:p>
        </w:tc>
        <w:tc>
          <w:tcPr>
            <w:tcW w:w="1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472,556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471,736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 at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48,900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48,350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partner—Westlake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659,948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674,621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952,135</w:t>
            </w:r>
          </w:p>
        </w:tc>
        <w:tc>
          <w:tcPr>
            <w:tcW w:w="0" w:type="dxa"/>
            <w:vAlign w:val="bottom"/>
          </w:tcPr>
          <w:p>
            <w:pPr>
              <w:spacing w:after="0"/>
              <w:rPr>
                <w:sz w:val="1"/>
                <w:szCs w:val="1"/>
                <w:color w:val="auto"/>
              </w:rPr>
            </w:pPr>
          </w:p>
        </w:tc>
      </w:tr>
      <w:tr>
        <w:trPr>
          <w:trHeight w:val="257"/>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1,382,282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385"/>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80" w:type="dxa"/>
            <w:vAlign w:val="bottom"/>
            <w:gridSpan w:val="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sales—Westlake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217,763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216,678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660,022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703,765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115,308</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231,969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249,925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721,018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819,073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131,578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156,706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427,049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543,242</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100,391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93,219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293,969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275,831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21,434</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86,397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275,379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254,397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82,551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266,403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241,494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265,995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240,985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73,313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214,853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197,375</w:t>
            </w:r>
          </w:p>
        </w:tc>
        <w:tc>
          <w:tcPr>
            <w:tcW w:w="0" w:type="dxa"/>
            <w:vAlign w:val="bottom"/>
          </w:tcPr>
          <w:p>
            <w:pPr>
              <w:spacing w:after="0"/>
              <w:rPr>
                <w:sz w:val="1"/>
                <w:szCs w:val="1"/>
                <w:color w:val="auto"/>
              </w:rPr>
            </w:pPr>
          </w:p>
        </w:tc>
      </w:tr>
      <w:tr>
        <w:trPr>
          <w:trHeight w:val="201"/>
        </w:trPr>
        <w:tc>
          <w:tcPr>
            <w:tcW w:w="50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18,535</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14,922</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51,142</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43,610</w:t>
            </w:r>
          </w:p>
        </w:tc>
        <w:tc>
          <w:tcPr>
            <w:tcW w:w="0" w:type="dxa"/>
            <w:vAlign w:val="bottom"/>
          </w:tcPr>
          <w:p>
            <w:pPr>
              <w:spacing w:after="0"/>
              <w:rPr>
                <w:sz w:val="1"/>
                <w:szCs w:val="1"/>
                <w:color w:val="auto"/>
              </w:rPr>
            </w:pPr>
          </w:p>
        </w:tc>
      </w:tr>
      <w:tr>
        <w:trPr>
          <w:trHeight w:val="285"/>
        </w:trPr>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2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b w:val="1"/>
                <w:bCs w:val="1"/>
                <w:color w:val="auto"/>
              </w:rPr>
              <w:t>Net income per limited partner unit attributable to Westlake</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Chemical Partners LP per limited partner unit (basic and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limited partner units outstanding (basic and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21,072,315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21,065,959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21,072,315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20,128,775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units—Westlake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1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471,736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48,350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674,621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952,135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Quarterly distribution to noncontrolling interest retained in OpCo by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Westlake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472,428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48,814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671,421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950,091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471,392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658,913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935,853</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Quarterly distribution to noncontrolling interest retained in OpCo by</w:t>
            </w:r>
          </w:p>
        </w:tc>
        <w:tc>
          <w:tcPr>
            <w:tcW w:w="16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Westlake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472,556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48,900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659,948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938,832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1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409,608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718,271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934,081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78,396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private placement of common units</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Quarterly distribution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473,119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700,205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979,947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80,110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related to private placement of common units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Quarterly distributions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Balance at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471,944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694,323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972,114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related to private placement of common units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Quarterly distributions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Balance at September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470,977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686,386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962,731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8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85"/>
        </w:trPr>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55"/>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265,995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240,985</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80,382</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gains,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2,647</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8,217</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4,869</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340,876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335,154</w:t>
            </w:r>
          </w:p>
        </w:tc>
      </w:tr>
      <w:tr>
        <w:trPr>
          <w:trHeight w:val="237"/>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(30,028)</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405,445</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(421,445)</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(45,982)</w:t>
            </w:r>
          </w:p>
        </w:tc>
      </w:tr>
      <w:tr>
        <w:trPr>
          <w:trHeight w:val="237"/>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private placement of common units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62,661</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123,511</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(201,445)</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(229,260)</w:t>
            </w: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(45,736)</w:t>
            </w:r>
          </w:p>
        </w:tc>
      </w:tr>
      <w:tr>
        <w:trPr>
          <w:trHeight w:val="237"/>
        </w:trPr>
        <w:tc>
          <w:tcPr>
            <w:tcW w:w="8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(290,269)</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19,744</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18,647</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280" w:firstLine="8"/>
        <w:spacing w:after="0" w:line="34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20" w:firstLine="391"/>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2019 (the "2019 Form 10-K"), filed with the SEC on February 28, 2020. These financial statements have been prepared in conformity with the accounting principles and practices as disclosed in the notes to the consolidated financial statements of the Partnership for the fiscal year ended December 31, 2019 with the exceptions of those accounting standards adopted in 2020 as discussed in Note 1.</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Chemical Corporation and its subsidiaries, other than the Partnership, OpCo and OpCo GP.</w:t>
      </w:r>
    </w:p>
    <w:p>
      <w:pPr>
        <w:spacing w:after="0" w:line="171" w:lineRule="exact"/>
        <w:rPr>
          <w:sz w:val="20"/>
          <w:szCs w:val="20"/>
          <w:color w:val="auto"/>
        </w:rPr>
      </w:pPr>
    </w:p>
    <w:p>
      <w:pPr>
        <w:ind w:firstLine="391"/>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2020, its results of operations for the three and nine months ended September 30, 2020 and 2019 and the changes in its cash position for the nine months ended September 30, 2020 and 2019.</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2020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7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212529"/>
        </w:rPr>
        <w:t xml:space="preserve">On March 11, 2020, the World Health Organization declared the ongoing coronavirus (COVID-19) outbreak a pandemic and recommended containment and mitigation measures worldwide. The pandemic has resulted in widespread adverse impacts on the global economy and on our employees, customers and suppliers. </w:t>
      </w:r>
      <w:r>
        <w:rPr>
          <w:rFonts w:ascii="Times New Roman" w:cs="Times New Roman" w:eastAsia="Times New Roman" w:hAnsi="Times New Roman"/>
          <w:sz w:val="18"/>
          <w:szCs w:val="18"/>
          <w:color w:val="000000"/>
        </w:rPr>
        <w:t>The Partnership did not experience significant disruptions to its business operations in the nine months ended September 30, 2020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and does not expect significant disruptions to its business operations resulting from COVID-19. However, the impact that COVID-19 will have on the Partnership's financial condition, results of operations and cash flows cannot be estimated with certainty at this time as it will depend on future developments, including, among others, the ultimate duration, geographic spread and severity of the virus, the actions to contain the virus, the consequences of governmental and other measures designed to prevent the spread of the virus, the development of effective treatments, the impact on the operation of OpCo facilities, Westlake, customers, suppliers and other third parties and the timing and extent to which normal economic and operating conditions resume.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 (ASU No. 2020-04)</w:t>
      </w:r>
    </w:p>
    <w:p>
      <w:pPr>
        <w:spacing w:after="0" w:line="9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Partnership is in the process of evaluating the impact that the new accounting guidance will have on the Partnership's consolidated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No. 2016-13)</w:t>
      </w:r>
    </w:p>
    <w:p>
      <w:pPr>
        <w:spacing w:after="0" w:line="9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trade receivables and certain types of financial instruments. The standard also modifies the impairment model for available-for-sale debt securities and provides for a simplified accounting model for purchased financial assets with credit deterioration since their origination. The accounting standard became effective for reporting periods beginning after December 15, 2019 and did not have a material impact on the Partnership's consolidated financial position, results of operations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(ASU No. 2018-13)</w:t>
      </w:r>
    </w:p>
    <w:p>
      <w:pPr>
        <w:spacing w:after="0" w:line="9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In August 2018, the FASB issued an accounting standards update to modify the disclosure requirements on fair value measurements. The amendments became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adopted this accounting standard effective January 1, 2020 and the adoption did not have a material impact on the Partnership's consolidated financial position,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22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customers</w:t>
            </w:r>
          </w:p>
        </w:tc>
        <w:tc>
          <w:tcPr>
            <w:tcW w:w="4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9,730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4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2,154</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2,484</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94" w:lineRule="exact"/>
        <w:rPr>
          <w:sz w:val="20"/>
          <w:szCs w:val="20"/>
          <w:color w:val="auto"/>
        </w:rPr>
      </w:pPr>
    </w:p>
    <w:p>
      <w:pPr>
        <w:ind w:right="160" w:firstLine="432"/>
        <w:spacing w:after="0" w:line="289" w:lineRule="auto"/>
        <w:rPr>
          <w:sz w:val="20"/>
          <w:szCs w:val="20"/>
          <w:color w:val="auto"/>
        </w:rPr>
      </w:pPr>
      <w:r>
        <w:rPr>
          <w:rFonts w:ascii="Times New Roman" w:cs="Times New Roman" w:eastAsia="Times New Roman" w:hAnsi="Times New Roman"/>
          <w:sz w:val="17"/>
          <w:szCs w:val="17"/>
          <w:color w:val="auto"/>
        </w:rPr>
        <w:t>Depreciation expense on property, plant and equipment of $22,913 and $22,313 is included in cost of sales in the consolidated statements of operations for the three months ended September 30, 2020 and 2019, respectively. Depreciation expense on property, plant and equipment of $68,380 and $66,754 is included in cost of sales in the consolidated statements of operations for the nine months ended September 30, 2020 and 2019,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Amortization expense on other assets of $3,010 and $4,368 is included in costs of sales in the consolidated statements of operations for the three months ended September 30, 2020 and 2019, respectively. Amortization expense on other assets of $9,387 and $13,628 is included in costs of sales in the consolidated statements of operations for the nine months ended September 30, 2020 and 2019,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jc w:val="both"/>
        <w:ind w:right="240" w:firstLine="391"/>
        <w:spacing w:after="0" w:line="266" w:lineRule="auto"/>
        <w:rPr>
          <w:sz w:val="20"/>
          <w:szCs w:val="20"/>
          <w:color w:val="auto"/>
        </w:rPr>
      </w:pPr>
      <w:r>
        <w:rPr>
          <w:rFonts w:ascii="Times New Roman" w:cs="Times New Roman" w:eastAsia="Times New Roman" w:hAnsi="Times New Roman"/>
          <w:sz w:val="18"/>
          <w:szCs w:val="18"/>
          <w:color w:val="auto"/>
        </w:rPr>
        <w:t>On October 30, 2020, the board of directors of Westlake Chemical Partners GP LLC ("Westlake GP"), the Partnership's general partner, declared a quarterly cash distribution for the three months ended September 30, 2020 of $0.4714 per unit. This distribution is payable on November 24, 2020 to the unitholders of record as of November 9, 2020.</w:t>
      </w:r>
    </w:p>
    <w:p>
      <w:pPr>
        <w:spacing w:after="0" w:line="122" w:lineRule="exact"/>
        <w:rPr>
          <w:sz w:val="20"/>
          <w:szCs w:val="20"/>
          <w:color w:val="auto"/>
        </w:rPr>
      </w:pPr>
    </w:p>
    <w:p>
      <w:pPr>
        <w:ind w:right="20" w:firstLine="391"/>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43,610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16,348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48,127</w:t>
            </w:r>
          </w:p>
        </w:tc>
        <w:tc>
          <w:tcPr>
            <w:tcW w:w="0" w:type="dxa"/>
            <w:vAlign w:val="bottom"/>
          </w:tcPr>
          <w:p>
            <w:pPr>
              <w:spacing w:after="0"/>
              <w:rPr>
                <w:sz w:val="1"/>
                <w:szCs w:val="1"/>
                <w:color w:val="auto"/>
              </w:rPr>
            </w:pPr>
          </w:p>
        </w:tc>
      </w:tr>
      <w:tr>
        <w:trPr>
          <w:trHeight w:val="205"/>
        </w:trPr>
        <w:tc>
          <w:tcPr>
            <w:tcW w:w="50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in excess of distribution (distribution in excess of net</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4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2"/>
                <w:szCs w:val="12"/>
                <w:color w:val="auto"/>
              </w:rPr>
            </w:pPr>
          </w:p>
        </w:tc>
        <w:tc>
          <w:tcPr>
            <w:tcW w:w="9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16,591</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16,591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18,535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35,194,545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35,194,545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2"/>
                <w:szCs w:val="12"/>
                <w:color w:val="auto"/>
              </w:rPr>
            </w:pPr>
          </w:p>
        </w:tc>
        <w:tc>
          <w:tcPr>
            <w:tcW w:w="9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16,348</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16,348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14,922</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35,188,189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35,188,189</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2"/>
                <w:szCs w:val="12"/>
                <w:color w:val="auto"/>
              </w:rPr>
            </w:pPr>
          </w:p>
        </w:tc>
        <w:tc>
          <w:tcPr>
            <w:tcW w:w="9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49,772</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49,772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51,142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51,142</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3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35,194,545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35,194,545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3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20" w:type="dxa"/>
            <w:vAlign w:val="bottom"/>
          </w:tcPr>
          <w:p>
            <w:pPr>
              <w:spacing w:after="0"/>
              <w:rPr>
                <w:sz w:val="13"/>
                <w:szCs w:val="13"/>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48,127</w:t>
            </w: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48,127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43,610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43,610</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34,251,005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34,251,005</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r>
      <w:tr>
        <w:trPr>
          <w:trHeight w:val="263"/>
        </w:trPr>
        <w:tc>
          <w:tcPr>
            <w:tcW w:w="7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IDR Holders</w:t>
            </w:r>
          </w:p>
        </w:tc>
      </w:tr>
      <w:tr>
        <w:trPr>
          <w:trHeight w:val="249"/>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 $1.2938 up to $1.4063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8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 $1.6875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7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September 30, 2020 did not exceed the $1.2938 per unit threshold, and, as a result, no distribution was made with respect to the Partnership's incentive distribution rights to Westlake, as the holder of the Partnership's incentive distribution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nine months ended September 30, 2020 and 2019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0.4579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1.3359</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94"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On October 4, 2018, the Partnership and Westlake GP,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September 30, 2020.</w:t>
      </w:r>
    </w:p>
    <w:p>
      <w:pPr>
        <w:spacing w:after="0" w:line="1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Net proceeds to the Partnership from the sale of the units were approximately $62,934. TTWF LP, Westlake's principal stockholder and a related party, acquired 1,401,869 common units out of 2,940,818 common units issued in the private placement.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217,763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216,678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660,022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703,765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the Lake Charles Petro 1 and Petro 2 facilities were impacted by Hurricane Laura, which resulted in a force majeure event under the Ethylene Sales Agreement. As a result of the force majeure event, the Partnership recognized a buyer deficiency fee of $41,329 as a component of net sales in the quarter ended September 30, 2020, representing fixed margin and unavoided operating and maintenance capital expenditures and maintenance expenses per pound of volume committed by Westlake during the force majeure event. Payment for the buyer deficiency fee is scheduled to be received by the Partnership after the conclusion of the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189,608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285,567</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81,026</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99,803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260,772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366,593</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35"/>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received from Westlake and included in selling, general</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6,808</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administrative 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$69 and $601 was included in the receivable under the Investment Management Agreement balance at September 30, 2020 and December 31, 2019, respectively. Total interest earned related to the Investment Management Agreement was $69 and $716 for the three months ended September 30, 2020 and 2019, respectively, and $876 and $2,688 for the nine months ended September 30, 2020 and 2019, respectively.</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2"/>
        </w:trPr>
        <w:tc>
          <w:tcPr>
            <w:tcW w:w="4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191,241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162,773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recognized under the Ethylene Sales Agreement, as discussed above under "Sales to Related Parties."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56,237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42,847</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related party accounts payable balances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15,201</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 Operating lease rentals paid to Westlake for such leases were $407 and $597 for the three months ended September 30, 2020 and 2019, respectively, and $1,803 and $1,673 for the nine months ended September 30, 2020 and 2019, respectively, and reflected in other charges from Westlake that are included in cost of sales.</w:t>
      </w:r>
    </w:p>
    <w:p>
      <w:pPr>
        <w:spacing w:after="0" w:line="4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9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for the three months ended September 30, 2020 and 2019 was $2,320 and $4,411, respectively. Interest on related party debt payable balances for the nine months ended September 30, 2020 and 2019 was $9,701 and $15,436, respectively. Interest on related party debt payable is presented as interest expense—Westlake in the consolidated statements of operations. At September 30, 2020 and December 31, 2019, accrued interest on related party debt was $2,320 and $4,187, respectively, and is reflected as a component of accrued liabilities in the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2"/>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and 2019, Westlake accounted for approximately 93.9% and 86.7%, respectively, of the Partnership's net sales. During the nine months ended September 30, 2020 and 2019, Westlake accounted for approximately 91.5% and 85.9%, respectively, of the Partnership's net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7 above for an additional related party transaction.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OpCo Revolver (variable interest rate of London Interbank Offered Rate ("LIBOR") plus 2.0%, scheduled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1"/>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maturity of September 25,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22,619</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MLP Revolver (variable interest rate of LIBOR plus 2.0%, scheduled maturity of March 19, 2023)</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377,055</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30, 2019, the Partnership repaid $201,445 of borrowings under the OpCo Revolver.</w:t>
      </w:r>
    </w:p>
    <w:p>
      <w:pPr>
        <w:spacing w:after="0" w:line="171" w:lineRule="exact"/>
        <w:rPr>
          <w:sz w:val="20"/>
          <w:szCs w:val="20"/>
          <w:color w:val="auto"/>
        </w:rPr>
      </w:pPr>
    </w:p>
    <w:p>
      <w:pPr>
        <w:ind w:right="120" w:firstLine="391"/>
        <w:spacing w:after="0" w:line="261" w:lineRule="auto"/>
        <w:rPr>
          <w:sz w:val="20"/>
          <w:szCs w:val="20"/>
          <w:color w:val="auto"/>
        </w:rPr>
      </w:pPr>
      <w:r>
        <w:rPr>
          <w:rFonts w:ascii="Times New Roman" w:cs="Times New Roman" w:eastAsia="Times New Roman" w:hAnsi="Times New Roman"/>
          <w:sz w:val="18"/>
          <w:szCs w:val="18"/>
          <w:color w:val="auto"/>
        </w:rPr>
        <w:t>On March 29, 2019, the Partnership borrowed $123,511 under the MLP Revolver to partially fund the purchase of the additional 4.5% interest in OpCo.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2.3% and 4.1%, respectively, at September 30, 2020 and December 31, 2019.</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2020,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Commodity Instruments</w:t>
      </w:r>
    </w:p>
    <w:p>
      <w:pPr>
        <w:spacing w:after="0" w:line="94"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Partnership had no derivatives that were designated as fair value hedges during the nine months ended September 30, 2020 and 2019.</w:t>
      </w:r>
    </w:p>
    <w:p>
      <w:pPr>
        <w:spacing w:after="0" w:line="90"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Gains and losses from changes in the fair value of derivative instruments that are not designated as hedging instruments were included in net sales and cost of sales in the consolidated statements of operations for the nine months ended September 30, 2020 and 2019.</w:t>
      </w:r>
    </w:p>
    <w:p>
      <w:pPr>
        <w:spacing w:after="0" w:line="27"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The Partnership had non-hedge designated derivatives covering approximately 7.6 million gallons and 18.0 million pounds of commodities as of September 30, 2020 and 39.1 million gallons and 93.0 million pounds of commodities as of December 31, 2019.</w:t>
      </w:r>
    </w:p>
    <w:p>
      <w:pPr>
        <w:spacing w:after="0" w:line="54"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At September 30, 2020, the fair value of these derivative instruments recorded as accrued liabilities was $1,147. At December 31, 2019, the fair values of these derivative instruments recorded as accrued liabilities and accounts receivable, net were $1,959 and $597, respectively. The losses recognized in net sales and gains recognized in cost of sales related to derivatives were $2,539 and $306, respectively, for the three months ended September 30, 2020 and losses recognized in net sales and cost of sales were $6,801 and $1,294, respectively, for the three months ended September 30, 2019</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The losses recognized in net sales and gains recognized in cost of sales related to derivatives were $384 and $150, respectively, for the nine months ended September 30, 2020 and losses recognized in net sales and cost of sales related to derivatives were $4,375 and $2,678, respectively, for the nine months ended September 30, 2019</w:t>
      </w:r>
      <w:r>
        <w:rPr>
          <w:rFonts w:ascii="Times New Roman" w:cs="Times New Roman" w:eastAsia="Times New Roman" w:hAnsi="Times New Roman"/>
          <w:sz w:val="18"/>
          <w:szCs w:val="18"/>
          <w:color w:val="212529"/>
        </w:rPr>
        <w:t>.</w:t>
      </w:r>
    </w:p>
    <w:p>
      <w:pPr>
        <w:spacing w:after="0" w:line="5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9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2020 and December 31, 2019 are summarized in the table below. The Partnership's long-term debt includes the OpCo Revolver and the MLP Revolver at September 30, 2020.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49"/>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2"/>
                <w:szCs w:val="12"/>
                <w:color w:val="auto"/>
              </w:rPr>
            </w:pPr>
          </w:p>
        </w:tc>
        <w:tc>
          <w:tcPr>
            <w:tcW w:w="920" w:type="dxa"/>
            <w:vAlign w:val="bottom"/>
          </w:tcPr>
          <w:p>
            <w:pPr>
              <w:jc w:val="right"/>
              <w:ind w:right="519"/>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8"/>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23,364</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MLP Revolver</w:t>
            </w:r>
          </w:p>
        </w:tc>
        <w:tc>
          <w:tcPr>
            <w:tcW w:w="2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378,797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379,452</w:t>
            </w:r>
          </w:p>
        </w:tc>
      </w:tr>
    </w:tbl>
    <w:p>
      <w:pPr>
        <w:spacing w:after="0" w:line="200" w:lineRule="exact"/>
        <w:rPr>
          <w:sz w:val="20"/>
          <w:szCs w:val="20"/>
          <w:color w:val="auto"/>
        </w:rPr>
      </w:pPr>
    </w:p>
    <w:p>
      <w:pPr>
        <w:spacing w:after="0" w:line="264" w:lineRule="exact"/>
        <w:rPr>
          <w:sz w:val="20"/>
          <w:szCs w:val="20"/>
          <w:color w:val="auto"/>
        </w:rPr>
      </w:pPr>
    </w:p>
    <w:p>
      <w:pPr>
        <w:ind w:right="8920" w:firstLine="8"/>
        <w:spacing w:after="0" w:line="346" w:lineRule="auto"/>
        <w:tabs>
          <w:tab w:leader="none" w:pos="27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Liabilities</w:t>
      </w:r>
    </w:p>
    <w:p>
      <w:pPr>
        <w:spacing w:after="0" w:line="1"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Accrued liabilities were $16,955 and $17,507 at September 30, 2020 and December 31, 2019, respectively. Accrued taxes, accrued maintenance expense and accrued interest, which are components of accrued liabilities, were $5,550, $4,054 and $2,320, respectively, at September 30, 2020 and $2,611, $3,225 and $4,187, respectively, at December 31, 2019. No other component of accrued liabilities was more than five percent of total current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non-cash investing activities related to accruals for capital expenditures were $1,945 and $1,213 for the nine months ended September 30, 2020 and 2019,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94"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2019 (the "2019 Form 10-K"), as filed with the SEC on February 28, 2020.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generally not reduced for the first 45 days of a force majeure event, but is reduced for the portion of a force majeure event extending beyond the 45th day. In the event of a force majeure event, we recognize buyer deficiency fees representing fixed margin and unavoided operating and maintenance capital expenditures and maintenance expenses per pound of volume committed by Westlake during the force majeure event. Payment for the buyer deficiency fee is scheduled to be received by the Partnership after the conclusion of the year.</w:t>
      </w:r>
    </w:p>
    <w:p>
      <w:pPr>
        <w:spacing w:after="0" w:line="138"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40" w:firstLine="432"/>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w:t>
      </w:r>
    </w:p>
    <w:p>
      <w:pPr>
        <w:spacing w:after="0" w:line="14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and Other Recent Developments Affecting Industry Conditions and Our Business</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March 11, 2020, the World Health Organization declared the ongoing coronavirus (COVID-19) outbreak a pandemic and recommended containment and mitigation measures worldwide. </w:t>
      </w:r>
      <w:r>
        <w:rPr>
          <w:rFonts w:ascii="Times New Roman" w:cs="Times New Roman" w:eastAsia="Times New Roman" w:hAnsi="Times New Roman"/>
          <w:sz w:val="18"/>
          <w:szCs w:val="18"/>
          <w:color w:val="212529"/>
        </w:rPr>
        <w:t>The pandemic</w:t>
      </w:r>
      <w:r>
        <w:rPr>
          <w:rFonts w:ascii="Times New Roman" w:cs="Times New Roman" w:eastAsia="Times New Roman" w:hAnsi="Times New Roman"/>
          <w:sz w:val="18"/>
          <w:szCs w:val="18"/>
          <w:color w:val="auto"/>
        </w:rPr>
        <w:t xml:space="preserve"> has resulted in widespread adverse impacts on the global economy and on our employees, customers and suppliers. We did not experience significant disruptions to our business operations in the nine months ended September 30, 2020 and do not expect to experience </w:t>
      </w:r>
      <w:r>
        <w:rPr>
          <w:rFonts w:ascii="Times New Roman" w:cs="Times New Roman" w:eastAsia="Times New Roman" w:hAnsi="Times New Roman"/>
          <w:sz w:val="18"/>
          <w:szCs w:val="18"/>
          <w:color w:val="212529"/>
        </w:rPr>
        <w:t>significant disruptions to our business operations resulting from COVID-19, primarily due to the fact that 95% of our production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sold to Westlake on a take-or-pay contract.</w:t>
      </w:r>
    </w:p>
    <w:p>
      <w:pPr>
        <w:spacing w:after="0" w:line="1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first priority in our response to this crisis has been the health and safety of our operators, who are loaned to us by Westlake, and those of our customers and vendors. Westlake has implemented preventative measures and developed corporate and regional response plans to minimize unnecessary risk of exposure. We and Westlake have modified certain business practices (including those related to employee travel, employee work locations and employee work practices) to conform to government restrictions and best practices encouraged by the Center for Disease Control and Prevention, the World Health Organization and other governmental and health authorities. We and Westlake have implemented strategies to reduce costs, increase operational efficiencies and lower capital spending. We have also deferred the planned turnaround at OpCo's Petro 2 ethylene unit and associated maintenance cost into the second half of 2021. The turnaround is expected to last approximately 60 days.</w:t>
      </w:r>
    </w:p>
    <w:p>
      <w:pPr>
        <w:spacing w:after="0" w:line="13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212529"/>
        </w:rPr>
        <w:t>Though the price of crude oil has partially recovered from its sudden collapse in early March 2020, due to the continuing impact of low crude-oil prices and the addition of ethylene production capacity in recent months, prices for ethylene and co-products have remained weak and have also negatively impacted our plants' operating rates. We may idle production and reduce operating rates if it is not economical for us to produce ethylene to sell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Hurricanes Laura and Delta</w:t>
      </w:r>
    </w:p>
    <w:p>
      <w:pPr>
        <w:spacing w:after="0" w:line="17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August 27, 2020, Hurricane Laura made landfall in Louisiana as a Category 4 storm, which resulted in wide-spread damage to property and infrastructure in the greater Lake Charles area, including the electricity transmission system. On October 9, 2020, Hurricane Delta made landfall as a Category 2 storm in the same general vicinity of Louisiana. As a precautionary measure, OpCo idled its units in the Lake Charles area, Petro 1 and Petro 2, in advance of each storm. As a result of the storms and certain pre-existing issues discovered during start-up following Hurricanes Laura and Delta, Petro 1 and Petro 2 remained shut down in the month of September. Petro 1 and Petro 2 have resumed production. In connection with these outages and pursuant to the Ethylene Sales Agreement, OpCo provided notices of force majeure events to Westlake. Under the Ethylene Sales Agreement, Westlake's obligation to pay for the annual minimum commitment (95% of OpCo's budgeted ethylene production) will generally not be reduced for the first 45 days of a force majeure event. As a result of the force majeure event due to Hurricane Laura, we recognized a buyer deficiency fee of $41.3 million as a component of net sales in the quarter ended September 30, 2020, representing fixed margin and unavoided operating and maintenance capital expenditures and maintenance expenses per pound of volume committed by Westlake during the force majeure event. Payment for the buyer deficiency fee is scheduled to be received by the Partnership after the conclusion of the year.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8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sales—Westlake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217,763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216,678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660,022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703,765</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115,308</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231,969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249,925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721,018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819,073</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131,578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156,706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543,242</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100,391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93,219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275,831</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21,434</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94,136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86,397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275,379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254,397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91,833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266,403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241,494</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91,848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82,479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240,985</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5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214,853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197,375</w:t>
            </w:r>
          </w:p>
        </w:tc>
      </w:tr>
      <w:tr>
        <w:trPr>
          <w:trHeight w:val="29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51,142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43,610</w:t>
            </w:r>
          </w:p>
        </w:tc>
      </w:tr>
      <w:tr>
        <w:trPr>
          <w:trHeight w:val="257"/>
        </w:trPr>
        <w:tc>
          <w:tcPr>
            <w:tcW w:w="506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21,188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54,429</w:t>
            </w:r>
          </w:p>
        </w:tc>
      </w:tr>
      <w:tr>
        <w:trPr>
          <w:trHeight w:val="279"/>
        </w:trPr>
        <w:tc>
          <w:tcPr>
            <w:tcW w:w="5060" w:type="dxa"/>
            <w:vAlign w:val="bottom"/>
          </w:tcPr>
          <w:p>
            <w:pPr>
              <w:ind w:left="20"/>
              <w:spacing w:after="0" w:line="278"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120,076</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113,643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353,871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337,312</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387" w:lineRule="exact"/>
        <w:rPr>
          <w:sz w:val="20"/>
          <w:szCs w:val="20"/>
          <w:color w:val="auto"/>
        </w:rPr>
      </w:pPr>
    </w:p>
    <w:p>
      <w:pPr>
        <w:ind w:left="300" w:hanging="25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117" w:lineRule="exact"/>
        <w:rPr>
          <w:rFonts w:ascii="Times New Roman" w:cs="Times New Roman" w:eastAsia="Times New Roman" w:hAnsi="Times New Roman"/>
          <w:sz w:val="18"/>
          <w:szCs w:val="18"/>
          <w:color w:val="auto"/>
        </w:rPr>
      </w:pPr>
    </w:p>
    <w:p>
      <w:pPr>
        <w:ind w:left="300" w:hanging="25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 prices and volume percentage change from prior-</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year period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562"/>
        </w:trPr>
        <w:tc>
          <w:tcPr>
            <w:tcW w:w="4800" w:type="dxa"/>
            <w:vAlign w:val="bottom"/>
          </w:tcPr>
          <w:p>
            <w:pPr>
              <w:spacing w:after="0"/>
              <w:rPr>
                <w:sz w:val="24"/>
                <w:szCs w:val="24"/>
                <w:color w:val="auto"/>
              </w:rPr>
            </w:pPr>
          </w:p>
        </w:tc>
        <w:tc>
          <w:tcPr>
            <w:tcW w:w="3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9"/>
        </w:trPr>
        <w:tc>
          <w:tcPr>
            <w:tcW w:w="48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Average industry prices </w:t>
            </w:r>
            <w:r>
              <w:rPr>
                <w:rFonts w:ascii="Times New Roman" w:cs="Times New Roman" w:eastAsia="Times New Roman" w:hAnsi="Times New Roman"/>
                <w:sz w:val="25"/>
                <w:szCs w:val="25"/>
                <w:b w:val="1"/>
                <w:bCs w:val="1"/>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Ethane (cents/lb)</w:t>
            </w:r>
          </w:p>
        </w:tc>
        <w:tc>
          <w:tcPr>
            <w:tcW w:w="15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Propane (cents/lb)</w:t>
            </w:r>
          </w:p>
        </w:tc>
        <w:tc>
          <w:tcPr>
            <w:tcW w:w="15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2"/>
        </w:trPr>
        <w:tc>
          <w:tcPr>
            <w:tcW w:w="480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 xml:space="preserve">Ethylene (cents/lb) </w:t>
            </w:r>
            <w:r>
              <w:rPr>
                <w:rFonts w:ascii="Times New Roman" w:cs="Times New Roman" w:eastAsia="Times New Roman" w:hAnsi="Times New Roman"/>
                <w:sz w:val="25"/>
                <w:szCs w:val="25"/>
                <w:color w:val="auto"/>
                <w:vertAlign w:val="superscript"/>
              </w:rPr>
              <w:t>(2)</w:t>
            </w:r>
          </w:p>
        </w:tc>
        <w:tc>
          <w:tcPr>
            <w:tcW w:w="15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pricing data was obtained through IHS Markit ("IHS"). We have not independently verified the data.</w:t>
      </w:r>
    </w:p>
    <w:p>
      <w:pPr>
        <w:spacing w:after="0" w:line="6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average North American spot prices of ethylene over the period as reported by IHS.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8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117,157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340,876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335,154</w:t>
            </w: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(93,711)</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82,479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265,995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240,985</w:t>
            </w: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5"/>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equipment</w:t>
            </w:r>
          </w:p>
        </w:tc>
        <w:tc>
          <w:tcPr>
            <w:tcW w:w="2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80,787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Mark-to-market adjustment loss (gain) on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6,996</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(28,613)</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5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5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 OpCo</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(234,057)</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21,188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20,452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56,380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54,429</w:t>
            </w: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3"/>
        </w:trPr>
        <w:tc>
          <w:tcPr>
            <w:tcW w:w="5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8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117,157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340,876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335,154</w:t>
            </w: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(93,711)</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91,848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82,479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265,995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240,985</w:t>
            </w: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2,533</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86,397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275,379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254,397</w:t>
            </w:r>
          </w:p>
        </w:tc>
      </w:tr>
      <w:tr>
        <w:trPr>
          <w:trHeight w:val="23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80,382</w:t>
            </w:r>
          </w:p>
        </w:tc>
      </w:tr>
      <w:tr>
        <w:trPr>
          <w:trHeight w:val="243"/>
        </w:trPr>
        <w:tc>
          <w:tcPr>
            <w:tcW w:w="5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2,533</w:t>
            </w: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120,076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113,643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353,871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337,312</w:t>
            </w: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9"/>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For the quarter ended September 30, 2020, net income was $91.8 million on net sales of $232.0 million. This represents an increase in net income of $9.3 million as compared to net income of $82.5 million on net sales of $249.9 million for the quarter ended September 30, 2019. Net income attributable to Westlake Chemical Partners LP for the third quarter of 2020 was $18.5 million as compared to $14.9 million for the third quarter of 2019, an increase of $3.6 million. Net income and net income attributable to Westlake Chemical Partners LP for the third quarter of 2020 as compared to the third quarter of 2019 were higher primarily due to the higher sales price for ethylene sold to Westlake per the terms of the Ethylene Sales Agreement, the buyer deficiency fee of $41.3 million recognized in third quarter of 2020 as a result of the force majeure event at the Petro 1 and Petro 2 units, as discussed above under "Recent Developments—Impact of Hurricanes Laura and Delta," and lower interest expense, partially offset by lower sales to third parties and increased maintenance expense. Net sales for the third quarter of 2020 decreased by $17.9 million as compared to net sales for the third quarter of 2019, mainly due to lower sales to third parties, partially offset by higher sales prices to Westlake per the terms of the Ethylene Sales Agreement and the buyer deficiency fee recognized during the period. Income from operations was $94.1 million for the third quarter of 2020 as compared to $86.4 million for the third quarter of 2019. Income from operations for the third quarter of 2020 increased mainly as a result of the higher sales price for ethylene sold to Westlake, the buyer deficiency fee recognized during the period, partially offset by increased maintenance expense and lower sales volumes to third parties, as compared to the third quarter of 2019.</w:t>
      </w:r>
    </w:p>
    <w:p>
      <w:pPr>
        <w:spacing w:after="0" w:line="52"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2020, net income was $266.0 million on net sales of $721.0 million. This represents an increase in net income of $25.0 million as compared to the nine months ended September 30, 2019 net income of $241.0 million on net sales of $819.1 million. Net income attributable to Westlake Chemical Partners LP for the nine months ended September 30, 2020 was $51.1 million as compared to $43.6 million for the nine months ended September 30, 2019, an increase of $7.5 million. The increase in net income and net income attributable to Westlake Chemical Partners LP in the nine months ended September 30, 2020 was primarily due to the buyer deficiency fee of $41.3 million recognized during the current-year period as a result of the force majeure event at the Petro 1 and Petro 2 units and lower selling, general and administrative expenses and interest expense, partially offset by lower sales to third parties, as compared to the nine months ended September 30, 2019. Net sales for the nine months ended September 30, 2020 decreased by $98.1 million as compared to net sales for the nine months ended September 30, 2019, mainly due to lower production and lower sales to third parties, partially offset by higher sales prices to Westlake per the terms of the Ethylene Sales Agreement and the buyer deficiency fee recognized for the period. Income from operations was $275.4 million for the nine months ended September 30, 2020 as compared to $254.4 million for the nine months ended September 30, 2019. Income from operations for the nine months ended September 30, 2020 increased mainly as a result of the buyer deficiency fee recognized during the period and lower selling, general and administrative expenses, partially offset by lower sales to third parties, as compared to the nine months ended September 30,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2020 Compared with Third Quarter 2019</w:t>
      </w:r>
    </w:p>
    <w:p>
      <w:pPr>
        <w:spacing w:after="0" w:line="9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$17.9 million, or 7.2%, to $232.0 million in the third quarter of 2020 from $249.9 million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2019. The decrease in net sales in the third quarter of 2020 was primarily due to lower production during the quarter, partially offset by the buyer deficiency fee of $41.3 million recognized for the period and higher sales prices to Westlake per the terms of the Ethylene Sales Agreement in the third quarter of 2020. The lower sales volume in the third quarter of 2020 contributed to a decrease in net sales of 34.5% in the third quarter of 2020 compared to the third quarter of 2019. The decrease in sales volume for the third quarter of 2020 was primarily due to the force majeure event at our Lake Charles Petro 1 and Petro 2 units. The average sales price in the third quarter of 2020 contributed to a 10.8% increase in net sales, primarily due to higher ethylene sales prices to Westlake per the terms of the Ethylene Sales Agreement.</w:t>
      </w:r>
    </w:p>
    <w:p>
      <w:pPr>
        <w:spacing w:after="0" w:line="1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$100.4 million for the third quarter of 2020 from $93.2 million for the third quarter of 2019. The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third quarter of 2020 was 43.3%, as compared to 37.3% for the third quarter of 2019. The third quarter of 2020 gross profit margin was higher mainly due to higher earnings on ethylene sold to Westlake as a result of the buyer deficiency fee of $41.3 million recognized during the third quarter of 2020, partially offset by lower sales to third parties and increased maintenance expense at the Lake Charles Petro I and Petro 2 units compared to the third quarter of 2019.</w:t>
      </w:r>
    </w:p>
    <w:p>
      <w:pPr>
        <w:spacing w:after="0" w:line="129"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$0.5 million, or 7.4%, to $6.3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2020 as compared to $6.8 million in the third quarter of 2019. The decrease in the third quarter of 2020 was mainly attributable to lower general and administrative expense allocations as compared to the third quarter of 2019.</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$2.1 million to $2.3 million in the third quarter of 2020 from $4.4 million in the third quarter of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largely due to a lower interest rate on debt as a result of a decrease in the London Interbank Offered Rate ("LIBOR").</w:t>
      </w:r>
    </w:p>
    <w:p>
      <w:pPr>
        <w:spacing w:after="0" w:line="104" w:lineRule="exact"/>
        <w:rPr>
          <w:sz w:val="20"/>
          <w:szCs w:val="20"/>
          <w:color w:val="auto"/>
        </w:rPr>
      </w:pPr>
    </w:p>
    <w:p>
      <w:pPr>
        <w:ind w:right="3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 the third quarter of 2020 decreased by $0.6 million, primarily due to a decrease in interest income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Investment Management Agreement as a result of lower average interest rates.</w:t>
      </w:r>
    </w:p>
    <w:p>
      <w:pPr>
        <w:spacing w:after="0" w:line="10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$0.7 million to $21.2 million in the third quarter of 2020 from $20.5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2019. The increased MLP distributable cash flow in the third quarter of 2020, as compared to the prior-year period, was primarily due to the buyer deficiency fee of $41.3 million recognized in the third quarter of 2020 and lower interest expense, partially offset by increased turnaround reserves.</w:t>
      </w:r>
    </w:p>
    <w:p>
      <w:pPr>
        <w:spacing w:after="0" w:line="126" w:lineRule="exact"/>
        <w:rPr>
          <w:sz w:val="20"/>
          <w:szCs w:val="20"/>
          <w:color w:val="auto"/>
        </w:rPr>
      </w:pPr>
    </w:p>
    <w:p>
      <w:pPr>
        <w:ind w:right="1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$6.5 million to $120.1 million in the third quarter of 2020 from $113.6 million in the third quarter of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EBITDA, as compared to the prior-year period, was primarily due to the buyer deficiency fee of $41.3 million recognized in the third quarter of 2020, partially offset by lower sales volumes as a result of lower production.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with Nine Months Ended September 30, 2019</w:t>
      </w:r>
    </w:p>
    <w:p>
      <w:pPr>
        <w:spacing w:after="0" w:line="9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$98.1 million, or 12.0%, to $721.0 million in the nine months ended September 30, 2020 from $819.1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nine months ended September 30, 2019. The decrease in net sales in the nine months ended September 30, 2020 was primarily due to lower production during the nine months ended September 30, 2020 and lower sales prices to third parties, partially offset by the buyer deficiency fee of $41.3 million recognized in the current-year period and higher sales price to Westlake per the terms of the Ethylene Sales Agreement in the current-year period. The lower sales volume contributed to a decrease in net sales of 15.2% in the nine months ended September 30, 2020 compared to the nine months ended September 30, 2019. The decrease in sales volumes for the nine months ended September 30, 2020 was primarily due to the force majeure event at our Lake Charles Petro 1 and Petro 2 units resulting from Hurricane Laura. The average sales price for the nine months ended September 30, 2020 contributed to a 1.8% decrease in net sales, primarily due to lower sales prices to third parties.</w:t>
      </w:r>
    </w:p>
    <w:p>
      <w:pPr>
        <w:spacing w:after="0" w:line="131"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$294.0 million for the nine months ended September 30, 2020 from $275.8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The gross profit margin in the nine months ended September 30, 2020 was 40.8%, as compared to 33.7% for the nine months ended September 30, 2019. The nine months ended September 30, 2020 gross profit margin was higher mainly due to higher earnings on ethylene sold to Westlake and the buyer deficiency fee of $41.3 million recognized for the nine months ended September 30, 2020, partially offset by lower sales volumes resulting from the lower production at the Lake Charles Petro I and Petro 2 units compared to the nine months ended September 30, 2019.</w:t>
      </w:r>
    </w:p>
    <w:p>
      <w:pPr>
        <w:spacing w:after="0" w:line="129"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$2.8 million, or 13.1%, to $18.6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2020, as compared to $21.4 million in the nine months ended September 30, 2019. The decrease was mainly attributable to lower general and administrative expense allocations in the nine months ended September 30, 2020, as compared to the prior-year period.</w:t>
      </w:r>
    </w:p>
    <w:p>
      <w:pPr>
        <w:spacing w:after="0" w:line="119" w:lineRule="exact"/>
        <w:rPr>
          <w:sz w:val="20"/>
          <w:szCs w:val="20"/>
          <w:color w:val="auto"/>
        </w:rPr>
      </w:pPr>
    </w:p>
    <w:p>
      <w:pPr>
        <w:ind w:right="14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$5.7 million to $9.7 million in the nine months ended September 30, 2020 from $15.4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2019 due to a lower interest rate on debt.</w:t>
      </w:r>
    </w:p>
    <w:p>
      <w:pPr>
        <w:spacing w:after="0" w:line="104"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$1.8 million to $0.7 million in the nine months ended September 30, 2020 as compared to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nine months ended September 30, 2019, primarily due to a decrease in interest income earned under the Investment Management Agreement as a result of lower average interest rates.</w:t>
      </w:r>
    </w:p>
    <w:p>
      <w:pPr>
        <w:spacing w:after="0" w:line="119"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was $0.4 million for the nine months ended September 30, 2020, as compared to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$0.5 million for the nine months ended September 30, 2019. The decrease was mainly attributable to a tax benefit due to a revaluation of the state deferred income tax liability arising from a decrease in state tax apportionment.</w:t>
      </w:r>
    </w:p>
    <w:p>
      <w:pPr>
        <w:spacing w:after="0" w:line="11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$2.0 million to $56.4 million in the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$54.4 million in the nine months ended September 30, 2019. The increased MLP distributable cash flow in the nine months ended September 30, 2020, as compared to the prior-year period, was primarily due to the buyer deficiency fee of $41.3 million recognized during the nine months ended September 30, 2020 and lower interest expense, partially offset by increased turnaround reserves.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$16.6 million to $353.9 million in the nine months ended September 30, 2020 from $337.3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The increased EBITDA, as compared to the prior-year period, was primarily due to the buyer deficiency fee of $41.3 million during the nine months ended September 30, 2020, partially offset by lower sales volumes to Westlake and third parties as a result of the lower production.</w:t>
      </w:r>
    </w:p>
    <w:p>
      <w:pPr>
        <w:spacing w:after="0" w:line="205" w:lineRule="exact"/>
        <w:rPr>
          <w:sz w:val="20"/>
          <w:szCs w:val="20"/>
          <w:color w:val="auto"/>
        </w:rPr>
      </w:pPr>
    </w:p>
    <w:p>
      <w:pPr>
        <w:ind w:right="34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NINE MONTHS ENDED SEPTEMBER 30, 2020 AND 2019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$340.9 million in the first nine months of 2020 compared to cash provided by operating activities of $335.2 million in the first nine months of 2019. The $5.7 million increase in cash flows from operating activities was mainly due to an increase in income from operations, partially offset by an increase in cash used for working capital during the nine months ended September 30, 2020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$2.1 million in the first nine months of 2020 as compared to $14.7 million of cash provided in the first nine months of 2019, resulting in an overall unfavorable change of $16.8 million. The unfavorable change in working capital was mainly attributable to an unfavorable change in Westlake, net accounts receivable due to the buyer deficiency fee recognized in the third quarter of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during the first nine months of 2020 was $58.2 million as compared to net cash used for investing activities of $46.0 million in the first nine months of 2019, mainly due to increased net cash used under the Investment Management Agreement in the first nine months of 2020, as compared to the prior-year period. Capital expenditures during the first nine months of 2020 and 2019 were primarily related to projects to improve production capacity or reduce costs, maintenance and safety and environmental projects at our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during the first nine months of 2020 was $279.3 million as compared to net cash used by financing activities of $290.3 million in the first nine months of 2019. The outflows during the first nine months of 2020 were related to the distribution of $229.5 million to Westlake and of $49.8 million to other unitholders by the Partnership. The cash inflows during the first nine months of 2019 were a result of borrowings under the MLP Revolver of $123.5 million and net proceeds from the private placement of common units of approximately $62.7 million. The cash outflows during the first nine months of 2019 were related to the distribution of $229.3 million to Westlake and of $45.7 million to other unitholders by the Partnership as well as a partial repayment of borrowings under the OpCo revolver of $201.4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an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September 30, 2020.</w:t>
      </w:r>
    </w:p>
    <w:p>
      <w:pPr>
        <w:spacing w:after="0" w:line="129"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2" w:lineRule="exact"/>
        <w:rPr>
          <w:sz w:val="20"/>
          <w:szCs w:val="20"/>
          <w:color w:val="auto"/>
        </w:rPr>
      </w:pPr>
    </w:p>
    <w:p>
      <w:pPr>
        <w:ind w:right="280" w:firstLine="432"/>
        <w:spacing w:after="0" w:line="256"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18" w:right="3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October 30, 2020, the board of directors of Westlake Chemical Partners GP LLC, our general partner, approved a quarterly distribution of $0.4714 per unit payable on November 24, 2020 to unitholders of record as of November 9, 2020, which equates to a total amount of approximately $16.6 million per quarter, or approximately $66.4 million per year in aggregate, based on the number of common units outstanding on September 30, 2020. We do not have a legal or contractual obligation to pay distributions on a quarterly basis or any other basis at our minimum quarterly distribution rate or any other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Total capital expenditures for the nine months ended September 30, 2020 and 2019 were $29.2 million and $30.0 million, respectively. No funding was required by OpCo to fund capital expenditures during the nine months ended September 30, 2020 and 2019. We expect that Westlake will loan additional cash to OpCo to fund its expansion capital expenditures in the future, but Westlake is under no obligation to do so.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2020, our cash and cash equivalents totaled $23.3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$191.2 million of cash invested under the Investment Management Agreement at September 30,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92" w:lineRule="exact"/>
        <w:rPr>
          <w:sz w:val="20"/>
          <w:szCs w:val="20"/>
          <w:color w:val="auto"/>
        </w:rPr>
      </w:pPr>
    </w:p>
    <w:p>
      <w:pPr>
        <w:ind w:right="20" w:firstLine="391"/>
        <w:spacing w:after="0" w:line="258"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Westlake (the "OpCo Revolver") that may be used to fund growth projects and working capital needs. On April 30, 2019, the Partnership repaid $201.4 million of borrowings under the OpCo Revolver. As of September 30, 2020, outstanding borrowings under the OpCo Revolver totaled $22.6 million and bore interest at the LIBOR rate plus 2.0%, which is accrued in arrears quarterly. In September 2018, the OpCo Revolver was amended to extend the scheduled maturity date from August 4, 2019 to September 25, 2023 and revise the applicable margin from 3.0% to 2.0%.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17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(the "MLP Revolver"). The MLP Revolver has a borrowing capacity of $600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September 30, 2020,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140" w:firstLine="324"/>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 including the COVID-19 pandemic;</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Westlake's plans to respond to the challenges presented by the COVID-19 epidemic, including planned reductions of costs, increases of operational efficiencies and lowering of capital spending, as well as the timing and deferral of the planned turnaround at OpCo's Petro 2 ethylene unit;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minimum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2019 Form 10-K and the following:</w:t>
      </w:r>
    </w:p>
    <w:p>
      <w:pPr>
        <w:spacing w:after="0" w:line="4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and elsewhere;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 particularly COVID-19;</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derivative instruments to reduce price volatility risk on feedstocks and ethylene associated with the production and sales to third parties. Based on our open derivative positions as of September 30, 2020, a hypothetical $0.10 increase in the price of a gallon of ethane would have increased our income before taxes by $0.8 million and a hypothetical $0.10 decrease in the price of a pound of ethylene would have increased our income before taxes by $1.8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September 30, 2020,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September 30, 2020 was 2.3%.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September 30, 2020 debt balance.</w:t>
      </w:r>
    </w:p>
    <w:p>
      <w:pPr>
        <w:spacing w:after="0" w:line="5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LIBOR is used as a reference rate for all of our outstanding variable rate debt as of September 30, 2020. LIBOR is set to be phased out at the end of 2021 and to be replaced by an alternate benchmark rate. We do not expect the impact of the LIBOR phase out to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2019 Form 10-K, filed on February 28, 2020, contained a description of various legal proceedings in which we are involved, including environmental proceedings. See below and Note 13 to the unaudited consolidated financial statements within this Quarterly Report on Form 10-Q for a discussion on legal proceedings, which information is incorporated by reference herein.</w:t>
      </w:r>
    </w:p>
    <w:p>
      <w:pPr>
        <w:spacing w:after="0" w:line="12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Potential Flare Modifications</w:t>
      </w:r>
      <w:r>
        <w:rPr>
          <w:rFonts w:ascii="Times New Roman" w:cs="Times New Roman" w:eastAsia="Times New Roman" w:hAnsi="Times New Roman"/>
          <w:sz w:val="18"/>
          <w:szCs w:val="18"/>
          <w:color w:val="auto"/>
        </w:rPr>
        <w:t>. For several years, the Environmental Protection Agency ("EPA") has been conducting an enforcement initiative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30"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2019 Form 10-K. The information below includes additional risks relating to the COVID-19 pandemic. The risks described below and in other documents that we file from time to time with the Securities and Exchange Commission could materially and adversely affect our business, results of operations, cash flow, liquidity or financial condition.</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 The ongoing coronavirus (COVID-19) pandemic could materially adversely affect Westlake's business, financial condition and results of operations.</w:t>
      </w:r>
    </w:p>
    <w:p>
      <w:pPr>
        <w:spacing w:after="0" w:line="121" w:lineRule="exact"/>
        <w:rPr>
          <w:sz w:val="20"/>
          <w:szCs w:val="20"/>
          <w:color w:val="auto"/>
        </w:rPr>
      </w:pPr>
    </w:p>
    <w:p>
      <w:pPr>
        <w:ind w:right="60" w:firstLine="391"/>
        <w:spacing w:after="0" w:line="266" w:lineRule="auto"/>
        <w:rPr>
          <w:sz w:val="20"/>
          <w:szCs w:val="20"/>
          <w:color w:val="auto"/>
        </w:rPr>
      </w:pPr>
      <w:r>
        <w:rPr>
          <w:rFonts w:ascii="Times New Roman" w:cs="Times New Roman" w:eastAsia="Times New Roman" w:hAnsi="Times New Roman"/>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could be reduced or eliminated. Westlake has not pledged any assets to us as security for the performance of its obligations.</w:t>
      </w:r>
    </w:p>
    <w:p>
      <w:pPr>
        <w:spacing w:after="0" w:line="122" w:lineRule="exact"/>
        <w:rPr>
          <w:sz w:val="20"/>
          <w:szCs w:val="20"/>
          <w:color w:val="auto"/>
        </w:rPr>
      </w:pPr>
    </w:p>
    <w:p>
      <w:pPr>
        <w:ind w:right="220" w:firstLine="391"/>
        <w:spacing w:after="0" w:line="282" w:lineRule="auto"/>
        <w:rPr>
          <w:sz w:val="20"/>
          <w:szCs w:val="20"/>
          <w:color w:val="auto"/>
        </w:rPr>
      </w:pPr>
      <w:r>
        <w:rPr>
          <w:rFonts w:ascii="Times New Roman" w:cs="Times New Roman" w:eastAsia="Times New Roman" w:hAnsi="Times New Roman"/>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08" w:lineRule="exact"/>
        <w:rPr>
          <w:sz w:val="20"/>
          <w:szCs w:val="20"/>
          <w:color w:val="auto"/>
        </w:rPr>
      </w:pPr>
    </w:p>
    <w:p>
      <w:pPr>
        <w:jc w:val="both"/>
        <w:ind w:firstLine="391"/>
        <w:spacing w:after="0" w:line="261" w:lineRule="auto"/>
        <w:rPr>
          <w:sz w:val="20"/>
          <w:szCs w:val="20"/>
          <w:color w:val="auto"/>
        </w:rPr>
      </w:pPr>
      <w:r>
        <w:rPr>
          <w:rFonts w:ascii="Times New Roman" w:cs="Times New Roman" w:eastAsia="Times New Roman" w:hAnsi="Times New Roman"/>
          <w:sz w:val="18"/>
          <w:szCs w:val="18"/>
          <w:color w:val="auto"/>
        </w:rPr>
        <w:t>The ongoing coronavirus (COVID-19) outbreak, which the World Health Organization declared as a pandemic on March 11, 2020, has continued to persist. It has resulted in authorities implementing numerous measures to try to contain the disease, such as travel bans and restrictions, quarantines, shelter-in-place orders and shutdowns, among others. Westlake could experience significant disruptions to its business operations, if the pandemic and its impacts on the global economy continue.</w:t>
      </w:r>
    </w:p>
    <w:p>
      <w:pPr>
        <w:spacing w:after="0" w:line="126" w:lineRule="exact"/>
        <w:rPr>
          <w:sz w:val="20"/>
          <w:szCs w:val="20"/>
          <w:color w:val="auto"/>
        </w:rPr>
      </w:pPr>
    </w:p>
    <w:p>
      <w:pPr>
        <w:jc w:val="both"/>
        <w:ind w:firstLine="391"/>
        <w:spacing w:after="0" w:line="256" w:lineRule="auto"/>
        <w:rPr>
          <w:sz w:val="20"/>
          <w:szCs w:val="20"/>
          <w:color w:val="auto"/>
        </w:rPr>
      </w:pPr>
      <w:r>
        <w:rPr>
          <w:rFonts w:ascii="Times New Roman" w:cs="Times New Roman" w:eastAsia="Times New Roman" w:hAnsi="Times New Roman"/>
          <w:sz w:val="18"/>
          <w:szCs w:val="18"/>
          <w:color w:val="auto"/>
        </w:rPr>
        <w:t>Westlake, which loans us our operators, has modified certain business practices (including those related to employee travel, employee work locations and employee work practices to conform to government restrictions and best practices encouraged by governmental and health authorities. However, the quarantine of personnel or the inability to access our or Westlake's facilities could adversely affect our and Westlake's operations. We or Westlake may take further actions as required by government authorities from time to time or that we or Westlake determine are in the best interests of our employees, customers, Westlake's partners and suppliers. There is no certainty that such measures will be sufficient to mitigate the risks posed by the disease, and our ability to perform certain functions could be harmed.</w:t>
      </w:r>
    </w:p>
    <w:p>
      <w:pPr>
        <w:spacing w:after="0" w:line="133" w:lineRule="exact"/>
        <w:rPr>
          <w:sz w:val="20"/>
          <w:szCs w:val="20"/>
          <w:color w:val="auto"/>
        </w:rPr>
      </w:pPr>
    </w:p>
    <w:p>
      <w:pPr>
        <w:jc w:val="both"/>
        <w:ind w:firstLine="391"/>
        <w:spacing w:after="0" w:line="261" w:lineRule="auto"/>
        <w:rPr>
          <w:sz w:val="20"/>
          <w:szCs w:val="20"/>
          <w:color w:val="auto"/>
        </w:rPr>
      </w:pPr>
      <w:r>
        <w:rPr>
          <w:rFonts w:ascii="Times New Roman" w:cs="Times New Roman" w:eastAsia="Times New Roman" w:hAnsi="Times New Roman"/>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may reduce our or Westlake's ability to access capital or our customers' ability to pay us for past or future purchases, which could negatively affect our liquidity. The COVID-19 pandemic could also reduce the demand for our products or Westlake's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3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Rule 13a – 14(a) / 15d – 14(a) Certification (Principal Executive Officer)</w:t>
              </w:r>
            </w:hyperlink>
          </w:p>
        </w:tc>
      </w:tr>
      <w:tr>
        <w:trPr>
          <w:trHeight w:val="39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760" w:type="dxa"/>
            <w:vAlign w:val="bottom"/>
            <w:gridSpan w:val="3"/>
          </w:tcPr>
          <w:p>
            <w:pPr>
              <w:ind w:left="28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Rule 13a – 14(a) / 15d – 14(a) Certification (Principal Financial Officer)</w:t>
              </w:r>
            </w:hyperlink>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Section 1350 Certification (Principal Executive Officer and Principal Financial Officer)</w:t>
              </w:r>
            </w:hyperlink>
          </w:p>
        </w:tc>
      </w:tr>
      <w:tr>
        <w:trPr>
          <w:trHeight w:val="373"/>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XBRL Instance Document–The instance document does not appear in the interactive data file because its XBRL tags are embedded</w:t>
            </w:r>
          </w:p>
        </w:tc>
      </w:tr>
      <w:tr>
        <w:trPr>
          <w:trHeight w:val="234"/>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1"/>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57" w:lineRule="exact"/>
        <w:rPr>
          <w:sz w:val="20"/>
          <w:szCs w:val="20"/>
          <w:color w:val="auto"/>
        </w:rPr>
      </w:pPr>
    </w:p>
    <w:p>
      <w:pPr>
        <w:ind w:left="1380" w:hanging="1345"/>
        <w:spacing w:after="0" w:line="266"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118" w:right="6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37" w:lineRule="exact"/>
        <w:rPr>
          <w:sz w:val="20"/>
          <w:szCs w:val="20"/>
          <w:color w:val="auto"/>
        </w:rPr>
      </w:pPr>
    </w:p>
    <w:p>
      <w:pPr>
        <w:ind w:left="40"/>
        <w:spacing w:after="0"/>
        <w:tabs>
          <w:tab w:leader="none" w:pos="580" w:val="left"/>
          <w:tab w:leader="none" w:pos="6440" w:val="left"/>
          <w:tab w:leader="none" w:pos="8360" w:val="left"/>
          <w:tab w:leader="none" w:pos="870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34290</wp:posOffset>
            </wp:positionV>
            <wp:extent cx="270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1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718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54" w:lineRule="exact"/>
        <w:rPr>
          <w:sz w:val="20"/>
          <w:szCs w:val="20"/>
          <w:color w:val="auto"/>
        </w:rPr>
      </w:pPr>
    </w:p>
    <w:p>
      <w:pPr>
        <w:ind w:left="40"/>
        <w:spacing w:after="0"/>
        <w:tabs>
          <w:tab w:leader="none" w:pos="580" w:val="left"/>
          <w:tab w:leader="none" w:pos="6440" w:val="left"/>
          <w:tab w:leader="none" w:pos="8140" w:val="left"/>
          <w:tab w:leader="none" w:pos="850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34290</wp:posOffset>
            </wp:positionV>
            <wp:extent cx="2700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18"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w:t>
      </w:r>
    </w:p>
    <w:p>
      <w:pPr>
        <w:jc w:val="center"/>
        <w:ind w:left="718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60"/>
          </w:cols>
          <w:pgMar w:left="320" w:top="118" w:right="8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w:t>
      </w:r>
    </w:p>
    <w:p>
      <w:pPr>
        <w:spacing w:after="0" w:line="198" w:lineRule="exact"/>
        <w:rPr>
          <w:rFonts w:ascii="Times New Roman" w:cs="Times New Roman" w:eastAsia="Times New Roman" w:hAnsi="Times New Roman"/>
          <w:sz w:val="18"/>
          <w:szCs w:val="18"/>
          <w:color w:val="auto"/>
        </w:rPr>
      </w:pPr>
    </w:p>
    <w:p>
      <w:pPr>
        <w:jc w:val="both"/>
        <w:ind w:left="720" w:right="60" w:hanging="685"/>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20" w:right="20" w:hanging="685"/>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60" w:hanging="685"/>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80" w:right="40" w:hanging="670"/>
        <w:spacing w:after="0" w:line="266"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380" w:right="80" w:hanging="670"/>
        <w:spacing w:after="0" w:line="266"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80" w:right="140" w:hanging="670"/>
        <w:spacing w:after="0" w:line="312" w:lineRule="auto"/>
        <w:tabs>
          <w:tab w:leader="none" w:pos="13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80" w:right="200" w:hanging="670"/>
        <w:spacing w:after="0" w:line="266"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720" w:right="240" w:hanging="685"/>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80" w:right="420" w:hanging="670"/>
        <w:spacing w:after="0" w:line="282"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80" w:right="120" w:hanging="670"/>
        <w:spacing w:after="0" w:line="282" w:lineRule="auto"/>
        <w:tabs>
          <w:tab w:leader="none" w:pos="13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80" w:val="left"/>
          <w:tab w:leader="none" w:pos="824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 Director of</w:t>
      </w:r>
    </w:p>
    <w:p>
      <w:pPr>
        <w:jc w:val="center"/>
        <w:ind w:left="696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54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September 30, 2020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580" w:val="left"/>
          <w:tab w:leader="none" w:pos="8240" w:val="left"/>
          <w:tab w:leader="none" w:pos="860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6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81" w:lineRule="exact"/>
        <w:rPr>
          <w:sz w:val="20"/>
          <w:szCs w:val="20"/>
          <w:color w:val="auto"/>
        </w:rPr>
      </w:pPr>
    </w:p>
    <w:p>
      <w:pPr>
        <w:ind w:left="40"/>
        <w:spacing w:after="0"/>
        <w:tabs>
          <w:tab w:leader="none" w:pos="580" w:val="left"/>
          <w:tab w:leader="none" w:pos="8040" w:val="left"/>
          <w:tab w:leader="none" w:pos="840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and</w:t>
      </w:r>
    </w:p>
    <w:p>
      <w:pPr>
        <w:jc w:val="center"/>
        <w:ind w:left="696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54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w:t>
      </w:r>
    </w:p>
    <w:p>
      <w:pPr>
        <w:spacing w:after="0" w:line="198" w:lineRule="exact"/>
        <w:rPr>
          <w:rFonts w:ascii="Times New Roman" w:cs="Times New Roman" w:eastAsia="Times New Roman" w:hAnsi="Times New Roman"/>
          <w:sz w:val="18"/>
          <w:szCs w:val="18"/>
          <w:color w:val="auto"/>
        </w:rPr>
      </w:pPr>
    </w:p>
    <w:p>
      <w:pPr>
        <w:jc w:val="both"/>
        <w:ind w:left="720" w:right="60" w:hanging="685"/>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20" w:right="20" w:hanging="685"/>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60" w:hanging="685"/>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80" w:right="40" w:hanging="670"/>
        <w:spacing w:after="0" w:line="266" w:lineRule="auto"/>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380" w:right="80" w:hanging="670"/>
        <w:spacing w:after="0" w:line="266" w:lineRule="auto"/>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80" w:right="140" w:hanging="670"/>
        <w:spacing w:after="0" w:line="312" w:lineRule="auto"/>
        <w:tabs>
          <w:tab w:leader="none" w:pos="13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80" w:right="200" w:hanging="670"/>
        <w:spacing w:after="0" w:line="266" w:lineRule="auto"/>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720" w:right="240" w:hanging="685"/>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80" w:right="420" w:hanging="670"/>
        <w:spacing w:after="0" w:line="282" w:lineRule="auto"/>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80" w:right="120" w:hanging="670"/>
        <w:spacing w:after="0" w:line="282" w:lineRule="auto"/>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700" w:val="left"/>
          <w:tab w:leader="none" w:pos="8300" w:val="left"/>
          <w:tab w:leader="none" w:pos="8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34290</wp:posOffset>
            </wp:positionV>
            <wp:extent cx="2768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708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2020-11-04T14:16:25Z</dcterms:created>
  <dcterms:modified xsi:type="dcterms:W3CDTF">2020-11-04T14:16:25Z</dcterms:modified>
</cp:coreProperties>
</file>