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8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June 30, 2024</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32-0436529</w:t>
            </w:r>
          </w:p>
        </w:tc>
      </w:tr>
      <w:tr>
        <w:trPr>
          <w:trHeight w:val="149"/>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4000" w:type="dxa"/>
            <w:vAlign w:val="bottom"/>
          </w:tcPr>
          <w:p>
            <w:pPr>
              <w:spacing w:after="0"/>
              <w:rPr>
                <w:sz w:val="24"/>
                <w:szCs w:val="24"/>
                <w:color w:val="auto"/>
              </w:rPr>
            </w:pPr>
          </w:p>
        </w:tc>
      </w:tr>
      <w:tr>
        <w:trPr>
          <w:trHeight w:val="214"/>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4000" w:type="dxa"/>
            <w:vAlign w:val="bottom"/>
          </w:tcPr>
          <w:p>
            <w:pPr>
              <w:spacing w:after="0"/>
              <w:rPr>
                <w:sz w:val="18"/>
                <w:szCs w:val="18"/>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9"/>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8"/>
        </w:trPr>
        <w:tc>
          <w:tcPr>
            <w:tcW w:w="60" w:type="dxa"/>
            <w:vAlign w:val="bottom"/>
            <w:tcBorders>
              <w:right w:val="single" w:sz="8" w:color="auto"/>
            </w:tcBorders>
          </w:tcPr>
          <w:p>
            <w:pPr>
              <w:spacing w:after="0"/>
              <w:rPr>
                <w:sz w:val="15"/>
                <w:szCs w:val="15"/>
                <w:color w:val="auto"/>
              </w:rPr>
            </w:pPr>
          </w:p>
        </w:tc>
        <w:tc>
          <w:tcPr>
            <w:tcW w:w="32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Common units representing limited</w:t>
            </w:r>
          </w:p>
        </w:tc>
        <w:tc>
          <w:tcPr>
            <w:tcW w:w="50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000" w:type="dxa"/>
            <w:vAlign w:val="bottom"/>
            <w:tcBorders>
              <w:right w:val="single" w:sz="8" w:color="auto"/>
            </w:tcBorders>
          </w:tcPr>
          <w:p>
            <w:pPr>
              <w:spacing w:after="0"/>
              <w:rPr>
                <w:sz w:val="15"/>
                <w:szCs w:val="15"/>
                <w:color w:val="auto"/>
              </w:rPr>
            </w:pPr>
          </w:p>
        </w:tc>
      </w:tr>
      <w:tr>
        <w:trPr>
          <w:trHeight w:val="234"/>
        </w:trPr>
        <w:tc>
          <w:tcPr>
            <w:tcW w:w="60" w:type="dxa"/>
            <w:vAlign w:val="bottom"/>
            <w:tcBorders>
              <w:right w:val="single" w:sz="8" w:color="auto"/>
            </w:tcBorders>
          </w:tcPr>
          <w:p>
            <w:pPr>
              <w:spacing w:after="0"/>
              <w:rPr>
                <w:sz w:val="20"/>
                <w:szCs w:val="20"/>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partnership interests</w:t>
            </w:r>
          </w:p>
        </w:tc>
        <w:tc>
          <w:tcPr>
            <w:tcW w:w="50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Times New Roman" w:cs="Times New Roman" w:eastAsia="Times New Roman" w:hAnsi="Times New Roman"/>
                <w:sz w:val="18"/>
                <w:szCs w:val="18"/>
                <w:color w:val="auto"/>
              </w:rPr>
              <w:t>WLKP</w:t>
            </w:r>
          </w:p>
        </w:tc>
        <w:tc>
          <w:tcPr>
            <w:tcW w:w="620" w:type="dxa"/>
            <w:vAlign w:val="bottom"/>
            <w:tcBorders>
              <w:bottom w:val="single" w:sz="8" w:color="auto"/>
            </w:tcBorders>
          </w:tcPr>
          <w:p>
            <w:pPr>
              <w:spacing w:after="0"/>
              <w:rPr>
                <w:sz w:val="20"/>
                <w:szCs w:val="20"/>
                <w:color w:val="auto"/>
              </w:rPr>
            </w:pPr>
          </w:p>
        </w:tc>
        <w:tc>
          <w:tcPr>
            <w:tcW w:w="4000" w:type="dxa"/>
            <w:vAlign w:val="bottom"/>
            <w:tcBorders>
              <w:bottom w:val="single" w:sz="8" w:color="auto"/>
              <w:right w:val="single" w:sz="8" w:color="auto"/>
            </w:tcBorders>
          </w:tcPr>
          <w:p>
            <w:pPr>
              <w:jc w:val="center"/>
              <w:ind w:right="557"/>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95"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3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Wingdings" w:cs="Wingdings" w:eastAsia="Wingdings" w:hAnsi="Wingdings"/>
          <w:sz w:val="18"/>
          <w:szCs w:val="18"/>
          <w:b w:val="1"/>
          <w:bCs w:val="1"/>
          <w:color w:val="auto"/>
        </w:rPr>
        <w:t>x</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35,230,576 common units outstanding as of August 2, 2024.</w:t>
      </w:r>
    </w:p>
    <w:p>
      <w:pPr>
        <w:sectPr>
          <w:pgSz w:w="11900" w:h="16838" w:orient="portrait"/>
          <w:cols w:equalWidth="0" w:num="1">
            <w:col w:w="11240"/>
          </w:cols>
          <w:pgMar w:left="320" w:top="1037" w:right="339" w:bottom="231"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40" w:type="dxa"/>
            <w:vAlign w:val="bottom"/>
            <w:vMerge w:val="restart"/>
          </w:tcPr>
          <w:p>
            <w:pPr>
              <w:spacing w:after="0"/>
              <w:rPr>
                <w:sz w:val="2"/>
                <w:szCs w:val="2"/>
                <w:color w:val="auto"/>
              </w:rPr>
            </w:pPr>
          </w:p>
        </w:tc>
        <w:tc>
          <w:tcPr>
            <w:tcW w:w="9800" w:type="dxa"/>
            <w:vAlign w:val="bottom"/>
            <w:vMerge w:val="restart"/>
          </w:tcPr>
          <w:p>
            <w:pPr>
              <w:ind w:left="32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1A)</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under the Investment Management Agreement—Westlake Corporation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226,203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943,843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payable—Westlake</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460,592</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unitholders—publicly and privately held (21,108,346 and 21,105,904 units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 respectively)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unitholder—Westlake (14,122,230 and 14,122,230 units issued and outstanding</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June 30, 2024 and December 31, 2023, respectively)</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partner—Westlake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1,316,842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7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482,046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571,854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378,059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139,938</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 and</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14,427</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29,260</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26,778</w:t>
            </w:r>
          </w:p>
        </w:tc>
        <w:tc>
          <w:tcPr>
            <w:tcW w:w="0" w:type="dxa"/>
            <w:vAlign w:val="bottom"/>
          </w:tcPr>
          <w:p>
            <w:pPr>
              <w:spacing w:after="0"/>
              <w:rPr>
                <w:sz w:val="1"/>
                <w:szCs w:val="1"/>
                <w:color w:val="auto"/>
              </w:rPr>
            </w:pPr>
          </w:p>
        </w:tc>
      </w:tr>
      <w:tr>
        <w:trPr>
          <w:trHeight w:val="22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limited partners' interest in net income</w:t>
            </w: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per limited partner unit attributable to Westlake Chemical</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 LP (basic and 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limited partner units outstanding (basic and</w:t>
            </w: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units—publicly and privately held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21,107,299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21,106,602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21,099,638</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units—Westlake</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14,122,230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856,250</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(81,044)</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570,085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848,245</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issued for vested phantom units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(16,607)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(84,872)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471,199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834,847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40" w:type="dxa"/>
            <w:vAlign w:val="bottom"/>
          </w:tcPr>
          <w:p>
            <w:pPr>
              <w:spacing w:after="0"/>
              <w:rPr>
                <w:sz w:val="11"/>
                <w:szCs w:val="11"/>
                <w:color w:val="auto"/>
              </w:rPr>
            </w:pPr>
          </w:p>
        </w:tc>
        <w:tc>
          <w:tcPr>
            <w:tcW w:w="10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Publicly and</w:t>
            </w:r>
          </w:p>
        </w:tc>
        <w:tc>
          <w:tcPr>
            <w:tcW w:w="10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Unitholder—</w:t>
            </w:r>
          </w:p>
        </w:tc>
        <w:tc>
          <w:tcPr>
            <w:tcW w:w="140" w:type="dxa"/>
            <w:vAlign w:val="bottom"/>
          </w:tcPr>
          <w:p>
            <w:pPr>
              <w:spacing w:after="0"/>
              <w:rPr>
                <w:sz w:val="11"/>
                <w:szCs w:val="11"/>
                <w:color w:val="auto"/>
              </w:rPr>
            </w:pPr>
          </w:p>
        </w:tc>
        <w:tc>
          <w:tcPr>
            <w:tcW w:w="92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1"/>
                <w:szCs w:val="11"/>
                <w:color w:val="auto"/>
              </w:rPr>
            </w:pPr>
          </w:p>
        </w:tc>
        <w:tc>
          <w:tcPr>
            <w:tcW w:w="76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Privately Held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889,878</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unitholders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 retained in OpCo by Westlake</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867,958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243,403</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with Westlake under the Investment Management Agreement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(164,116)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investments with Westlake under the Investment Management Agreement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(46,285)</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 retained in OpCo by Westlake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(33,207)</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(202,466)</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728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2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 common carrier ethylene pipeline (collectively, the "Contributed Assets").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2023 (the "2023 Form 10-K"), filed with the SEC on February 28, 2024. These financial statements have been prepared in conformity with the accounting principles and practices as disclosed in the notes to the consolidated financial statements of the Partnership for the fiscal year ended December 31, 2023.</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References to "Westlake" refer collectively to Westlake Corporation and its subsidiaries, other than the Partnership, OpCo and OpCo GP.</w:t>
      </w:r>
    </w:p>
    <w:p>
      <w:pPr>
        <w:spacing w:after="0" w:line="17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spacing w:after="0" w:line="134"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2024, its results of operations for the three and six months ended June 30, 2024 and 2023 and the changes in its cash position for the six months ended June 30, 2024 and 2023.</w:t>
      </w:r>
    </w:p>
    <w:p>
      <w:pPr>
        <w:spacing w:after="0" w:line="12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2024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(ASU No. 2023-09)</w:t>
      </w:r>
    </w:p>
    <w:p>
      <w:pPr>
        <w:spacing w:after="0" w:line="10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accounting standards update requiring additional tax disclosures under Topic 740 primarily related to the rate reconciliation and income taxes paid disclosures. The amendments in this update will be effective for fiscal years beginning after December 15, 2024 and are to be applied on a prospective basis. Retrospective application is also permitted. The update is not expected to have a material impact on the Partnership's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(ASU No. 2023-07)</w:t>
      </w:r>
    </w:p>
    <w:p>
      <w:pPr>
        <w:spacing w:after="0" w:line="106"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an accounting standards update requiring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update also requires that a public entity that has a single reportable segment provide all disclosures required by the update as well as all existing segment disclosures in Topic 280. The amendments in this update will be effective for fiscal years beginning after December 15, 2023, and interim periods within fiscal years beginning after December 15, 2024 and are to be applied retrospectively to all prior periods presented in the financial statements. Early adoption is permitted. The Partnership adopted this accounting standard effective January 1, 2024, and the adoption will result in additional segment disclosures in the Partnership's annual financial statements for the year ending December 31, 2024 and the interim periods thereafter.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Receivable—Third Parties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Depreciation expense on property, plant and equipment of $21,830 and $20,928 is included in cost of sales in the consolidated statements of operations for the three months ended June 30, 2024 and 2023, respectively. Depreciation expense on property, plant and equipment of $43,367 and $41,885 is included in cost of sales in the consolidated statements of operations for the six months ended June 30,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Charges and Other Assets</w:t>
      </w:r>
    </w:p>
    <w:p>
      <w:pPr>
        <w:spacing w:after="0" w:line="94"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deferred charges and other assets of $6,485 and $6,112 is included in cost of sales in the consolidated statements of operations for the three months ended June 30, 2024 and 2023, respectively. Amortization expense on deferred charges and other assets of $12,942 and $11,791 is included in cost of sales in the consolidated statements of operations for the six months ended June 30, 2024 and 2023,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Distributions and Net Income Per Limited Partner Unit</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On July 30, 2024, the board of directors of Westlake Chemical Partners GP LLC ("Westlake GP"), the Partnership's general partner, declared a quarterly cash distribution for the three months ended June 30, 2024 of $0.4714 per unit. This distribution is payable on August 27, 2024 to unitholders of record as of August 12, 2024.</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26,778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16,608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33,215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33,207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(2,181)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(6,429)</w:t>
            </w:r>
          </w:p>
        </w:tc>
      </w:tr>
      <w:tr>
        <w:trPr>
          <w:trHeight w:val="21"/>
        </w:trPr>
        <w:tc>
          <w:tcPr>
            <w:tcW w:w="5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35,229,529</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6"/>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2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35,228,832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35,228,832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420" w:type="dxa"/>
            <w:vAlign w:val="bottom"/>
          </w:tcPr>
          <w:p>
            <w:pPr>
              <w:spacing w:after="0"/>
              <w:rPr>
                <w:sz w:val="11"/>
                <w:szCs w:val="11"/>
                <w:color w:val="auto"/>
              </w:rPr>
            </w:pPr>
          </w:p>
        </w:tc>
        <w:tc>
          <w:tcPr>
            <w:tcW w:w="102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33,207</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in excess of net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23"/>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35,221,868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limited partner unit:</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amended Partnership Agreement provides that the Partnership will distribute cash that is deemed to be an appropriate portion of the Partnership's total operating surplus.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0" w:type="dxa"/>
            <w:vAlign w:val="bottom"/>
          </w:tcPr>
          <w:p>
            <w:pPr>
              <w:spacing w:after="0"/>
              <w:rPr>
                <w:sz w:val="1"/>
                <w:szCs w:val="1"/>
                <w:color w:val="auto"/>
              </w:rPr>
            </w:pPr>
          </w:p>
        </w:tc>
      </w:tr>
      <w:tr>
        <w:trPr>
          <w:trHeight w:val="23"/>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Quarterly Distribution Per Unit</w:t>
            </w: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5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IDR Holders</w:t>
            </w: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$1.2938 up to $1.4063</w:t>
            </w:r>
          </w:p>
        </w:tc>
        <w:tc>
          <w:tcPr>
            <w:tcW w:w="3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 $1.4063 up to $1.6875</w:t>
            </w:r>
          </w:p>
        </w:tc>
        <w:tc>
          <w:tcPr>
            <w:tcW w:w="5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Above $1.6875</w:t>
            </w:r>
          </w:p>
        </w:tc>
        <w:tc>
          <w:tcPr>
            <w:tcW w:w="5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891"/>
        </w:trPr>
        <w:tc>
          <w:tcPr>
            <w:tcW w:w="3960" w:type="dxa"/>
            <w:vAlign w:val="bottom"/>
          </w:tcPr>
          <w:p>
            <w:pPr>
              <w:spacing w:after="0"/>
              <w:rPr>
                <w:sz w:val="24"/>
                <w:szCs w:val="24"/>
                <w:color w:val="auto"/>
              </w:rPr>
            </w:pPr>
          </w:p>
        </w:tc>
        <w:tc>
          <w:tcPr>
            <w:tcW w:w="39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The Partnership's distribution for the three months ended June 30, 2024 did not exceed the $1.2938 per unit threshold, and, as a result, no distribution was made with respect to the Partnership's incentive distribution rights to Westlake, as the holder of the Partnership's incentive distribution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Per Common Unit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Distributions per common unit for the three and six months ended June 30,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common unit</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0.4714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0.9428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0.9428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Partners' Equity</w:t>
      </w:r>
    </w:p>
    <w:p>
      <w:pPr>
        <w:spacing w:after="0" w:line="10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No common units were issued under this program as of June 30, 2024.</w:t>
      </w:r>
    </w:p>
    <w:p>
      <w:pPr>
        <w:spacing w:after="0" w:line="133"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2023 consolidated financial statements included in the 2023 Form 10-K filed on February 28, 2024,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OpCo sells a significant portion of its ethylene production to Westlake. Sales to related parties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239,527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474,736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108"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 significant portion of the Partnership's inputs included in cost of sales are supplied by Westlake. Charges from related parties for significant inputs included in cost of sales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purchased from Westlake and included in cost of sales</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77,007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183,769</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charges from Westlake and included in cost of sales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29,598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Services received from Westlake and included in selling, general and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purchased from Westlake and capitalized as assets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under the Investment Management Agreement</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$1,306 and $1,272 was included in the receivable under the Investment Management Agreement balance at June 30, 2024 and December 31, 2023, respectively. Total interest earned related to the Investment Management Agreement was $1,306 and $1,058 for the three months ended June 30, 2024 and 2023, respectively, and $2,611 and $1,965 for the six months ended June 30, 2024 and 2023, respectively.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receivable under the Investment Management Agreement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88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under the Investment Management Agreement</w:t>
            </w:r>
          </w:p>
        </w:tc>
        <w:tc>
          <w:tcPr>
            <w:tcW w:w="3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94,444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Related Parties</w:t>
      </w:r>
    </w:p>
    <w:p>
      <w:pPr>
        <w:spacing w:after="0" w:line="94"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and the buyer deficiency fee and shortfall fee recognized under the Ethylene Sales Agreement.</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a result of force majeure events in 2021, the Partnership recognized a shortfall fee of $58,906 during 2021, of which $189 remained to be collected by the Partnership as of December 31, 2023 and was received in the six months ended June 30, 2024.</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receivable from Westlake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49,565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108"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Partnership's accounts payable to Westlake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15,166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0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OpCo is obligated to Westlake under various long-term and short-term noncancelable operating leases, primarily related to rail cars and land. Operating lease rentals paid to Westlake for such leases were $430 and $310 for the three months ended June 30, 2024 and 2023, respectively, and $855 and $1,047 for the six months ended June 30, 2024 and 2023, respectively, and are reflected in other charges from Westlake that are included in cost of sales.</w:t>
      </w:r>
    </w:p>
    <w:p>
      <w:pPr>
        <w:spacing w:after="0" w:line="12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OpCo has two site lease agreements with Westlake, each of which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for a description of related party debt payable balances.</w:t>
      </w:r>
    </w:p>
    <w:p>
      <w:pPr>
        <w:spacing w:after="0" w:line="17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Interest on related party debt payable balances, net of capitalized interest, for the three months ended June 30, 2024 and 2023 was $6,651 and $6,117, respectively. Interest on related party debt payable balances, net of capitalized interest, for the six months ended June 30, 2024 and 2023 was $13,232 and $13,432, respectively. Interest on related party debt payable is presented as interest expense—Westlake in the consolidated statements of operations. At June 30, 2024 and December 31, 2023, accrued interest on related party debt was $6,679 and $6,675, respectively, and is reflected as a component of accrued and other liabilities in the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 and Concentration of Credit Risk</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Westlake accounted for approximately 84.3% and 85.0%, respectively, of the Partnership's net sales. During the six months ended June 30, 2024 and 2023, Westlake accounted for approximately 83.5% and 84.3%, respectively, of the Partnership's net sales.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Revolver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MLP Revolver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June 30, 2024,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The OpCo Revolver and the MLP Revolver are scheduled to mature on July 12, 2027.</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was 7.2% and 7.2% at June 30, 2024 and December 31, 2023, respectively.</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2024,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0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June 30, 2024 and December 31, 2023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8"/>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38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Pr>
          <w:p>
            <w:pPr>
              <w:spacing w:after="0"/>
              <w:rPr>
                <w:sz w:val="17"/>
                <w:szCs w:val="17"/>
                <w:color w:val="auto"/>
              </w:rPr>
            </w:pPr>
          </w:p>
        </w:tc>
        <w:tc>
          <w:tcPr>
            <w:tcW w:w="10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7"/>
                <w:szCs w:val="17"/>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408,110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4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84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Accrued and Other Liabilities</w:t>
      </w:r>
    </w:p>
    <w:p>
      <w:pPr>
        <w:spacing w:after="0" w:line="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$21,840 and $24,980 at June 30, 2024 and December 31, 2023, respectively. Accrued maintenance expense, accrued interest on related party debt and accrued taxes, which are components of accrued and other liabilities, were $4,096, $6,679 and $4,807, respectively, at June 30, 2024 and $5,170, $6,675 and $3,033, respectively, at December 31, 2023. No other component of accrued and other liabilities was more than five percent of total current liabilities.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payable—third parties and accrued and other liabilities, were $4,640 and $4,368 at June 30,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paid by the Partnership, net of interest capitalized, was $13,228 and $11,987 for the six months ended June 30, 2024 and 2023,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operating lease obligations were $616 and $0 for the six months ended June 30,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0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liabilities that occurred or existed prior to August 4, 2014.</w:t>
      </w:r>
    </w:p>
    <w:p>
      <w:pPr>
        <w:spacing w:after="0" w:line="13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2021, shortly after the turnaround on OpCo's Petro 2 facility commenced, there was a flash fire at the quench tower of the Petro 2 facility. Contractors and employees working on and near the quench tower were injured and multiple lawsuits were filed against Westlake and OpCo. Final settlements were reached with all of the plaintiffs to fully resolve the lawsuits by Westlake, and payment by Westlake and the insurance carriers is complete. Westlake and its subsidiaries are responsible for indemnifying the Partnership in connection with any losses incurred by OpCo as a result of the fire.</w:t>
      </w:r>
    </w:p>
    <w:p>
      <w:pPr>
        <w:spacing w:after="0" w:line="12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2023 (the "2023 Form 10-K"), as filed with the SEC on February 28, 2024.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108"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3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3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 We plan to commence the next planned maintenance turnaround at Petro 1 in the first quarter of 2025.</w:t>
      </w:r>
    </w:p>
    <w:p>
      <w:pPr>
        <w:spacing w:after="0" w:line="134" w:lineRule="exact"/>
        <w:rPr>
          <w:sz w:val="20"/>
          <w:szCs w:val="20"/>
          <w:color w:val="auto"/>
        </w:rPr>
      </w:pPr>
    </w:p>
    <w:p>
      <w:pPr>
        <w:ind w:right="180" w:firstLine="405"/>
        <w:spacing w:after="0" w:line="271" w:lineRule="auto"/>
        <w:rPr>
          <w:sz w:val="20"/>
          <w:szCs w:val="20"/>
          <w:color w:val="auto"/>
        </w:rPr>
      </w:pPr>
      <w:r>
        <w:rPr>
          <w:rFonts w:ascii="Times New Roman" w:cs="Times New Roman" w:eastAsia="Times New Roman" w:hAnsi="Times New Roman"/>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4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sales—Westlake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co-products,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571,854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378,059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139,938</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Chemical Partners LP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29,260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123,199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108,594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247,630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234,209</w:t>
            </w:r>
          </w:p>
        </w:tc>
        <w:tc>
          <w:tcPr>
            <w:tcW w:w="0" w:type="dxa"/>
            <w:vAlign w:val="bottom"/>
          </w:tcPr>
          <w:p>
            <w:pPr>
              <w:spacing w:after="0"/>
              <w:rPr>
                <w:sz w:val="1"/>
                <w:szCs w:val="1"/>
                <w:color w:val="auto"/>
              </w:rPr>
            </w:pPr>
          </w:p>
        </w:tc>
      </w:tr>
      <w:tr>
        <w:trPr>
          <w:trHeight w:val="2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MLP Distributable Cash Flow to Net Income and Net Cash Provided by Operating Activities" below.</w:t>
      </w:r>
    </w:p>
    <w:p>
      <w:pPr>
        <w:spacing w:after="0" w:line="76" w:lineRule="exact"/>
        <w:rPr>
          <w:rFonts w:ascii="Times New Roman" w:cs="Times New Roman" w:eastAsia="Times New Roman" w:hAnsi="Times New Roman"/>
          <w:sz w:val="18"/>
          <w:szCs w:val="18"/>
          <w:color w:val="auto"/>
        </w:rPr>
      </w:pPr>
    </w:p>
    <w:p>
      <w:pPr>
        <w:ind w:left="300" w:hanging="261"/>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EBITDA to Net Income, Income from Operations and Net Cash Provided by Operating Activities"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24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140" w:type="dxa"/>
            <w:vAlign w:val="bottom"/>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6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5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180" w:type="dxa"/>
            <w:vAlign w:val="bottom"/>
            <w:gridSpan w:val="3"/>
            <w:vMerge w:val="continue"/>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Net sales percentage change from prior-year period due to</w:t>
            </w: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sales price and volume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515"/>
        </w:trPr>
        <w:tc>
          <w:tcPr>
            <w:tcW w:w="4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215"/>
        </w:trPr>
        <w:tc>
          <w:tcPr>
            <w:tcW w:w="69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4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864"/>
        </w:trPr>
        <w:tc>
          <w:tcPr>
            <w:tcW w:w="48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243,403</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(76,265)</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166,716</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amortization and disposition of property, plant and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54,098</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r>
      <w:tr>
        <w:trPr>
          <w:trHeight w:val="175"/>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 in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OpCo</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(159,460)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MLP distributable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243,403</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of 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(76,265)</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166,716</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expense—Westlake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178,652</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53,676</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For the quarter ended June 30, 2024, net income was $88.0 million on net sales of $284.2 million. This represents an increase in net income of $12.7 million as compared to net income of $75.3 million on net sales of $264.2 million for the quarter ended June 30, 2023. Net income attributable to the Partnership for the second quarter of 2024 was $14.4 million as compared to $11.9 million for the second quarter of 2023, an increase of $2.5 million. Income from operations was $93.6 million for the second quarter of 2024 as compared to $80.5 million for the second quarter of 2023. Income from operations, net income and net income attributable to the Partnership for the second quarter of 2024 as compared to the second quarter of 2023 were higher primarily due to higher ethylene sales volumes to Westlake and lower ethane feedstock costs in the second quarter of 2024 compared to the second quarter of 2023, partially offset by lower ethylene sales prices to Westlake. Net sales for the second quarter of 2024 increased by $20.0 million as compared to net sales for the second quarter of 2023, mainly due to higher ethylene sales volumes to Westlake and higher ethylene and co-products sales prices to third parties in the second quarter of 2024 compared to the second quarter of 2023, partially offset by lower ethylene sales prices to Westlake.</w:t>
      </w:r>
    </w:p>
    <w:p>
      <w:pPr>
        <w:spacing w:after="0" w:line="134"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2024, net income was $177.7 million on net sales of $568.8 million. This represents an increase in net income of $11.0 million as compared to net income of $166.7 million on net sales of $571.9 million for the six months ended June 30, 2023. Net income attributable to the Partnership for the six months ended June 30, 2024 was $29.3 million as compared to $26.8 million for the six months ended June 30, 2023, an increase of $2.5 million. Income from operations was $188.7 million for the six months ended June 30, 2024 as compared to $178.7 million for the six months ended June 30, 2023. Income from operations, net income and net income attributable to the Partnership for the six months ended June 30, 2024 as compared to the six months ended June 30, 2023 were higher primarily due to higher ethylene sales volumes to Westlake and lower ethane feedstock costs and natural gas prices in the six months ended June 30, 2024 compared to the six months ended June 30, 2023, partially offset by lower ethylene sales prices to Westlake. Net sales for the six months ended June 30, 2024 decreased by $3.1 million as compared to net sales for the six months ended June 30, 2023, mainly due to lower ethylene sales prices, partially offset by higher sales volumes during the six months ended June 30, 2024 as compared to the six months ended June 30, 2023.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with Second Quarter 2023</w:t>
      </w:r>
    </w:p>
    <w:p>
      <w:pPr>
        <w:spacing w:after="0" w:line="92"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Net Sales. </w:t>
      </w:r>
      <w:r>
        <w:rPr>
          <w:rFonts w:ascii="Times New Roman" w:cs="Times New Roman" w:eastAsia="Times New Roman" w:hAnsi="Times New Roman"/>
          <w:sz w:val="17"/>
          <w:szCs w:val="17"/>
          <w:color w:val="auto"/>
        </w:rPr>
        <w:t>Total net sales increased by $20.0 million, or 7.6%, to $284.2 million in the second quarter of 2024 from $264.2 million in the second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quarter of 2023. The increase in net sales in the second quarter of 2024 was primarily due to higher ethylene sales volumes to Westlake and higher ethylene and co-products sales prices to third parties in the second quarter of 2024 compared to the second quarter of 2023, partially offset by lower ethylene sales prices to Westlake. Lower average sales prices in the second quarter of 2024 contributed to a 1.2% decrease in net sales compared to the second quarter of 2023. Higher sales volumes in the second quarter of 2024 contributed to an 8.8% increase in net sales compared to the second quarter of 2023.</w:t>
      </w:r>
    </w:p>
    <w:p>
      <w:pPr>
        <w:spacing w:after="0" w:line="11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$101.2 million in the second quarter of 2024 from $87.7 million in the second quarter of 2023.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percentage in the second quarter of 2024 was 35.6%, as compared to 33.2% for the second quarter of 2023. The higher gross profit was primarily due to higher ethylene sales volumes to Westlake, higher ethylene and co-products sales prices to third parties and lower ethane feedstock costs in the second quarter of 2024 compared to the second quarter of 2023, partially offset by lower ethylene sales prices to Westlake. The higher gross profit margin was primarily due to lower ethane feedstock costs in the second quarter of 2024 compared to the second quarter of 2023.</w:t>
      </w:r>
    </w:p>
    <w:p>
      <w:pPr>
        <w:spacing w:after="0" w:line="129"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$0.4 million, or 5.6%, to $7.6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of 2024 as compared to $7.2 million in the second quarter of 2023. The increase was mainly attributable to higher service costs in the second quarter of 2024 as compared to the second quarter of 2023.</w:t>
      </w:r>
    </w:p>
    <w:p>
      <w:pPr>
        <w:spacing w:after="0" w:line="119" w:lineRule="exact"/>
        <w:rPr>
          <w:sz w:val="20"/>
          <w:szCs w:val="20"/>
          <w:color w:val="auto"/>
        </w:rPr>
      </w:pPr>
    </w:p>
    <w:p>
      <w:pPr>
        <w:jc w:val="both"/>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$6.7 million in the second quarter of 2024 increased from $6.1 million in the second quarter of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mainly due to higher interest rates on the debt balance outstanding in the second quarter of 2024 as compared to the second quarter of 2023.</w:t>
      </w:r>
    </w:p>
    <w:p>
      <w:pPr>
        <w:spacing w:after="0" w:line="104" w:lineRule="exact"/>
        <w:rPr>
          <w:sz w:val="20"/>
          <w:szCs w:val="20"/>
          <w:color w:val="auto"/>
        </w:rPr>
      </w:pPr>
    </w:p>
    <w:p>
      <w:pPr>
        <w:jc w:val="both"/>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$0.2 million to $1.3 million in the second quarter of 2024 from $1.1 million in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2023, primarily due to higher interest earned on the balance with Westlake under the Investment Management Agreement due to higher market interest rates.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$2.1 million to $17.1 million in the second quarter of 2024 from $15.0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second quarter of 2023. The increase in the second quarter of 2024, as compared to the prior-year period, was primarily attributable to increased earnings at OpCo, partially offset by higher reserves for turnarounds and maintenance capital expenditures.</w:t>
      </w:r>
    </w:p>
    <w:p>
      <w:pPr>
        <w:spacing w:after="0" w:line="119"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$14.6 million to $123.2 million in the second quarter of 2024 from $108.6 million in the second quarter of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primarily due to higher ethylene sales volumes to Westlake and lower ethane feedstock costs in the second quarter of 2024 compared to the second quarter of 2023, partially offset by lower ethylene sales prices to Westlake.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with Six Months Ended June 30, 2023</w:t>
      </w:r>
    </w:p>
    <w:p>
      <w:pPr>
        <w:spacing w:after="0" w:line="9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Total net sales decreased by $3.1 million, or 0.5%, to $568.8 million in the six months ended June 30, 2024 from $571.9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decrease in net sales in the six months ended June 30, 2024 was primarily due to lower ethylene sales prices, partially offset by higher sales volumes during the six months ended June 30, 2024 as compared to the six months ended June 30, 2023. The lower average sales prices in the six months ended June 30, 2024 contributed to a 3.9% decrease in net sales compared to the six months ended June 30, 2023. The higher sales volumes in the six months ended June 30, 2024 contributed to a 3.3% increase in net sales as compared to the six months ended June 30, 2023.</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to $203.4 million in the six months ended June 30, 2024 from $193.8 million in the six months ended June 30,</w:t>
      </w:r>
    </w:p>
    <w:p>
      <w:pPr>
        <w:spacing w:after="0" w:line="29"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2023. Gross profit margin in the six months ended June 30, 2024 was 35.8%, as compared to 33.9% for the six months ended June 30, 2023. The increase in gross profit margin was primarily due to lower ethane feedstock costs and natural gas prices in the six months ended June 30, 2024 compared to the six months ended June 30, 2023.</w:t>
      </w:r>
    </w:p>
    <w:p>
      <w:pPr>
        <w:spacing w:after="0" w:line="130" w:lineRule="exact"/>
        <w:rPr>
          <w:sz w:val="20"/>
          <w:szCs w:val="20"/>
          <w:color w:val="auto"/>
        </w:rPr>
      </w:pPr>
    </w:p>
    <w:p>
      <w:pPr>
        <w:ind w:right="1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$0.4 million, or 2.6%, to $14.7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2024 as compared to $15.1 million in the six months ended June 30, 2023. The decrease was mainly attributable to the provision for credit losses recognized in the six months ended June 30, 2023.</w:t>
      </w:r>
    </w:p>
    <w:p>
      <w:pPr>
        <w:spacing w:after="0" w:line="119" w:lineRule="exact"/>
        <w:rPr>
          <w:sz w:val="20"/>
          <w:szCs w:val="20"/>
          <w:color w:val="auto"/>
        </w:rPr>
      </w:pPr>
    </w:p>
    <w:p>
      <w:pPr>
        <w:ind w:right="3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Expense—Westlake. </w:t>
      </w:r>
      <w:r>
        <w:rPr>
          <w:rFonts w:ascii="Times New Roman" w:cs="Times New Roman" w:eastAsia="Times New Roman" w:hAnsi="Times New Roman"/>
          <w:sz w:val="18"/>
          <w:szCs w:val="18"/>
          <w:color w:val="auto"/>
        </w:rPr>
        <w:t>Interest expense of $13.2 million in the six months ended June 30, 2024 was comparable to interest expense of $13.4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six months ended June 30, 2023.</w:t>
      </w:r>
    </w:p>
    <w:p>
      <w:pPr>
        <w:spacing w:after="0" w:line="10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$0.7 million to $2.6 million in the six months ended June 30, 2024 from $1.9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primarily due to higher interest earned on the balance with Westlake under the Investment Management Agreement due to higher market interest rates as well as a higher average amount of cash invested in the six months ended June 30, 2024 as compared to the six months ended June 30, 2023.</w:t>
      </w:r>
    </w:p>
    <w:p>
      <w:pPr>
        <w:spacing w:after="0" w:line="126"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MLP Distributable Cash Flow. </w:t>
      </w:r>
      <w:r>
        <w:rPr>
          <w:rFonts w:ascii="Times New Roman" w:cs="Times New Roman" w:eastAsia="Times New Roman" w:hAnsi="Times New Roman"/>
          <w:sz w:val="18"/>
          <w:szCs w:val="18"/>
          <w:color w:val="auto"/>
        </w:rPr>
        <w:t>MLP distributable cash flow increased by $1.5 million to $34.0 million in the six months ended June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$32.5 million in the six months ended June 30, 2023. The increase in the six months ended June 30, 2024, as compared to the prior-year period, was primarily attributable to increased earnings at OpCo, partially offset by higher reserves for turnarounds and maintenance capital expenditures.</w:t>
      </w:r>
    </w:p>
    <w:p>
      <w:pPr>
        <w:spacing w:after="0" w:line="119"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EBITDA increased by $13.4 million to $247.6 million in the six months ended June 30, 2024 from $234.2 million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The increase was primarily due to higher ethylene sales volumes to Westlake and lower ethane feedstock costs and natural gas prices during the six months ended June 30, 2024 as compared to the six months ended June 30, 2023, partially offset by lower ethylene sales prices to Westlake.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2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SIX MONTHS ENDED JUNE 30, 2024 AND 2023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Operating activities provided cash of $226.5 million in the first six months of 2024 compared to cash provided by operating activities of $243.4 million in the first six months of 2023. The $16.9 million decrease in cash flows from operating activities was mainly due to a decrease of $49.4 million in cash provided by working capital during the six months ended June 30, 2024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and other liabilities, provided cash of $0.3 million in the first six months of 2024 as compared to $49.7 million of cash provided in the first six months of 2023, resulting in an overall unfavorable change of $49.4 million. The unfavorable change in working capital was mainly attributable to unfavorable changes in net accounts receivable—Westlake, accounts receivable—third parties, accounts payable—third parties and accrued and other liabilities. The unfavorable change in accounts receivable, net—Westlake was primarily due to a smaller buyer deficiency fee and Shortfall collected in the first six months of 2024 as compared to the first six months of 2023 partially offset by lower ethane feedstock costs. Unfavorable changes in accounts receivables— third parties, accounts payable—third parties and accrued and other liabilities were due to higher third party sales and lower maintenance costs in the first six months of 2024 as compared to the first six months of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in the first six months of 2024 was $20.0 million as compared to net cash used for investing activities of $46.3 million in the first six months of 2023, resulting in an overall favorable change of $26.3 million in investing cash flows. During the first six months of 2023, there were net investments with Westlake of $29.1 million under the Investment Management Agreement, whereas, in the first six months of 2024 there were no investing activities under the Investment Management Agreement. Capital expenditures during the first six months of 2024 were slightly higher than the first six months of 2023. For both the comparative periods, these capital expenditures were primarily related to projects to increase production capacity or reduce costs, maintenance costs and safety and environmental projects at our facilities.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2024 was $199.1 million as compared to net cash used for financing activities of $202.5 million in the first six months of 2023. The cash outflows in the first six months of 2024 were related to distributions of $165.9 million to the noncontrolling interest retained in OpCo by Westlake and of $33.2 million to unitholders by the Partnership. The cash outflows in the first six months of 2023 were related to distributions of $169.3 million to the noncontrolling interest retained in OpCo by Westlake and of $33.2 million to unitholders by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June 30, 2024.</w:t>
      </w:r>
    </w:p>
    <w:p>
      <w:pPr>
        <w:spacing w:after="0" w:line="129"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 expect to commence the next planned maintenance turnaround at Petro 1 in the first quarter of 2025. Westlake's purchase price for ethylene purchased under the Ethylene Sales Agreement includes a component (adjusted annually) designed to cover, over the long term, substantially all of OpCo's turnaround expenditures.</w:t>
      </w:r>
    </w:p>
    <w:p>
      <w:pPr>
        <w:spacing w:after="0" w:line="1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spacing w:after="0" w:line="12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July 30, 2024, the board of directors of Westlake Chemical Partners GP LLC, our general partner, approved a quarterly distribution of $0.4714 per unit payable on August 27, 2024 to unitholders of record as of August 12, 2024, which equates to a total amount of approximately $16.6 million per quarter, or approximately $66.4 million per year in aggregate, based on the number of common units outstanding on June 30, 2024. We do not have a legal or contractual obligation to pay distributions on a quarterly basis or any other basis at our minimum quarterly distribution rate or any other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Westlake has historically funded expansion capital expenditures related to Lake Charles Olefins and Calvert City Olefins. No such funding was required by OpCo during the six months ended June 30, 2024 and 2023. Total capital expenditures for the six months ended June 30, 2024 and 2023 were $20.0 million and $17.2 million, respectively. We expect that Westlake will loan additional cash to OpCo to fund its expansion capital expenditures in the future, but Westlake is under no obligation to do 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our cash and cash equivalents totaled $66.0 million. In addition, we have cash invested under the Investment Management Agreement (as described below) and a revolving credit facility with Westlake available to supplement cash if needed, as described under "Indebtedness" below.</w:t>
      </w:r>
    </w:p>
    <w:p>
      <w:pPr>
        <w:spacing w:after="0" w:line="122" w:lineRule="exact"/>
        <w:rPr>
          <w:sz w:val="20"/>
          <w:szCs w:val="20"/>
          <w:color w:val="auto"/>
        </w:rPr>
      </w:pPr>
    </w:p>
    <w:p>
      <w:pPr>
        <w:ind w:right="180" w:firstLine="405"/>
        <w:spacing w:after="0" w:line="281" w:lineRule="auto"/>
        <w:rPr>
          <w:sz w:val="20"/>
          <w:szCs w:val="20"/>
          <w:color w:val="auto"/>
        </w:rPr>
      </w:pPr>
      <w:r>
        <w:rPr>
          <w:rFonts w:ascii="Times New Roman" w:cs="Times New Roman" w:eastAsia="Times New Roman" w:hAnsi="Times New Roman"/>
          <w:sz w:val="17"/>
          <w:szCs w:val="17"/>
          <w:color w:val="auto"/>
        </w:rPr>
        <w:t>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$94.5 million of cash invested under the Investment Management Agreement at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10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the London Interbank Offered Rate ("LIBOR") with the Secured Overnight Financing Rate, as administered by the Federal Reserve Bank of New York ("SOFR").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As of June 30, 2024,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June 30, 2024,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prices and margins in third-party ethylene and co-products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supply chain constraints caused by the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whom we will sell ethylene and on what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of ethylene that Westlake may purchase, in addition to the minimum commitment under the Ethylene Sales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distributions and the manner of making such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At-the-Market program and the use of any net proceeds from any sales under that program;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OpCo's ability to extend our credit agreements with Westlake;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loans from Westlake to OpCo to fund OpCo's expansion capital expenditures in the future;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mitigation of exposure to commodity price fluctuations;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turnaround activities (such as our plan to commence Petro 1 turnaround in the first quarter of 2025) and the variability of OpCo's cash flow;</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buyer deficiency fee and Shortfall under the Ethylene Sales Agreement;</w:t>
      </w:r>
    </w:p>
    <w:p>
      <w:pPr>
        <w:spacing w:after="0" w:line="10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indemnification from Westlake for environmental and other losses;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2023 Form 10-K and the following:</w:t>
      </w:r>
    </w:p>
    <w:p>
      <w:pPr>
        <w:spacing w:after="0" w:line="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industry;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crude oil prices reducing the cost advantage of ethane-based ethylene producers;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Westlake;</w:t>
      </w:r>
    </w:p>
    <w:p>
      <w:pPr>
        <w:spacing w:after="0" w:line="10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and worldwide economies, including those due to political tensions and conflict in the Middle East and elsewhere, including the conflict between Russia and Ukraine;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due to initiatives such as recycling and customers seeking alternatives to polymers;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regulatory actions and political unrest in other countries, including environmental regulations;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 at June 30,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with respect to our outstanding debt, all of which is variable rate debt. At June 30, 2024,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June 30, 2024 was 7.2%.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June 30, 2024 debt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2023 Form 10-K, filed on February 28, 2024, contained a description of various legal proceedings in which we are involved, including environmental proceedings. See Note 12 to the unaudited consolidated financial statements within this Quarterly Report on Form 10-Q for an updated discussion on legal proceedings, which information is incorporated by reference herein.</w:t>
      </w:r>
    </w:p>
    <w:p>
      <w:pPr>
        <w:spacing w:after="0" w:line="12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2023 Form 10-K. There have been no material changes from those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firstLine="40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Rule 10b5-1 Trading Arrangements. </w:t>
      </w:r>
      <w:r>
        <w:rPr>
          <w:rFonts w:ascii="Times New Roman" w:cs="Times New Roman" w:eastAsia="Times New Roman" w:hAnsi="Times New Roman"/>
          <w:sz w:val="17"/>
          <w:szCs w:val="17"/>
          <w:color w:val="auto"/>
        </w:rPr>
        <w:t>During the three months ended June 30, 2024, no director or officer of the Partnership's general partner adopted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920" w:type="dxa"/>
            <w:vAlign w:val="bottom"/>
            <w:gridSpan w:val="18"/>
          </w:tcPr>
          <w:p>
            <w:pPr>
              <w:ind w:left="176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Certificate of Limited Partnership of Westlake Chemical Partners LP (incorporated by reference to Exhibit 3.1 to Westlake Chemical</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Partners LP's Registration Statement on Form S-1 (File No. 333-195551), filed on April 29, 2014).</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First Amended and Restated Agreement of Limited Partnership of Westlake Chemical Partners LP (incorporated by reference to Exhibit</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3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Westlake Chemical Partners LP's Current Report on Form 8-K (File No. 001-36567) filed on August 8, 2014).</w:t>
              </w:r>
            </w:hyperlink>
          </w:p>
        </w:tc>
        <w:tc>
          <w:tcPr>
            <w:tcW w:w="14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Amendment No. 1 to the First Amended and Restated Agreement of Limited Partnership of Westlake Chemical Partners LP dated as of</w:t>
              </w:r>
            </w:hyperlink>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November 16, 2017 (incorporated by Reference to Exhibit 3.1 to Westlake Chemical Partners LP's Current Report on Form 8-K, filed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November 16, 2017, File No. 01-36567).</w:t>
              </w:r>
            </w:hyperlink>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Amendment No. 2 to the First Amended and Restated Agreement of Limited Partnership of Westlake Chemical Partners LP</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(incorporated by reference to Exhibit 3.1 to Westlake Chemical Partners LP's Current Report on Form 8-K filed on July 30,</w:t>
              </w:r>
            </w:hyperlink>
          </w:p>
        </w:tc>
        <w:tc>
          <w:tcPr>
            <w:tcW w:w="96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2018 (File</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51">
              <w:r>
                <w:rPr>
                  <w:rFonts w:ascii="Times New Roman" w:cs="Times New Roman" w:eastAsia="Times New Roman" w:hAnsi="Times New Roman"/>
                  <w:sz w:val="18"/>
                  <w:szCs w:val="18"/>
                  <w:color w:val="0000FF"/>
                  <w:w w:val="97"/>
                </w:rPr>
                <w:t>No. 01-36567)).</w:t>
              </w:r>
            </w:hyperlink>
          </w:p>
        </w:tc>
        <w:tc>
          <w:tcPr>
            <w:tcW w:w="85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tcPr>
          <w:p>
            <w:pPr>
              <w:spacing w:after="0"/>
              <w:rPr>
                <w:sz w:val="22"/>
                <w:szCs w:val="22"/>
                <w:color w:val="auto"/>
              </w:rPr>
            </w:pPr>
          </w:p>
        </w:tc>
        <w:tc>
          <w:tcPr>
            <w:tcW w:w="9860" w:type="dxa"/>
            <w:vAlign w:val="bottom"/>
            <w:gridSpan w:val="2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Agreement of Limited Partnership of Westlake Chemical OpCo LP (incorporated by reference to Exhibit 10.7 to</w:t>
              </w:r>
            </w:hyperlink>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Westlake Chemical Partners LP's Current Report on Form 8-K (File No. 001-36567) filed on August 8, 2014).</w:t>
              </w:r>
            </w:hyperlink>
          </w:p>
        </w:tc>
        <w:tc>
          <w:tcPr>
            <w:tcW w:w="60" w:type="dxa"/>
            <w:vAlign w:val="bottom"/>
            <w:gridSpan w:val="2"/>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Pr>
          <w:p>
            <w:pPr>
              <w:spacing w:after="0"/>
              <w:rPr>
                <w:sz w:val="22"/>
                <w:szCs w:val="22"/>
                <w:color w:val="auto"/>
              </w:rPr>
            </w:pPr>
          </w:p>
        </w:tc>
        <w:tc>
          <w:tcPr>
            <w:tcW w:w="92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Amendment No. 1 to the Amended and Restated Agreement of Limited Partnership of Westlake Chemical OpCo LP dated as of</w:t>
              </w:r>
            </w:hyperlink>
          </w:p>
        </w:tc>
        <w:tc>
          <w:tcPr>
            <w:tcW w:w="660" w:type="dxa"/>
            <w:vAlign w:val="bottom"/>
            <w:gridSpan w:val="7"/>
          </w:tcPr>
          <w:p>
            <w:pPr>
              <w:spacing w:after="0"/>
              <w:rPr>
                <w:sz w:val="22"/>
                <w:szCs w:val="22"/>
                <w:color w:val="auto"/>
              </w:rPr>
            </w:pPr>
          </w:p>
        </w:tc>
      </w:tr>
      <w:tr>
        <w:trPr>
          <w:trHeight w:val="169"/>
        </w:trPr>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60" w:type="dxa"/>
            <w:vAlign w:val="bottom"/>
            <w:gridSpan w:val="20"/>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December 1, 2017 (File No. 01-36567) (incorporated by reference to Exhibit 3.4 to Westlake Chemical Partners LP's Annual Report on</w:t>
              </w:r>
            </w:hyperlink>
          </w:p>
        </w:tc>
      </w:tr>
      <w:tr>
        <w:trPr>
          <w:trHeight w:val="156"/>
        </w:trPr>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10-K for the year ended December 31, 2017 (File No. 01-36567) filed on March 1, 2018).</w:t>
              </w:r>
            </w:hyperlink>
          </w:p>
        </w:tc>
        <w:tc>
          <w:tcPr>
            <w:tcW w:w="120" w:type="dxa"/>
            <w:vAlign w:val="bottom"/>
            <w:gridSpan w:val="4"/>
          </w:tcPr>
          <w:p>
            <w:pPr>
              <w:spacing w:after="0"/>
              <w:rPr>
                <w:sz w:val="13"/>
                <w:szCs w:val="13"/>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6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c>
          <w:tcPr>
            <w:tcW w:w="2960" w:type="dxa"/>
            <w:vAlign w:val="bottom"/>
            <w:gridSpan w:val="12"/>
          </w:tcPr>
          <w:p>
            <w:pPr>
              <w:spacing w:after="0"/>
              <w:rPr>
                <w:sz w:val="22"/>
                <w:szCs w:val="22"/>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40" w:type="dxa"/>
            <w:vAlign w:val="bottom"/>
            <w:tcBorders>
              <w:top w:val="single" w:sz="8" w:color="0000FF"/>
            </w:tcBorders>
          </w:tcPr>
          <w:p>
            <w:pPr>
              <w:spacing w:after="0"/>
              <w:rPr>
                <w:sz w:val="22"/>
                <w:szCs w:val="22"/>
                <w:color w:val="auto"/>
              </w:rPr>
            </w:pPr>
          </w:p>
        </w:tc>
        <w:tc>
          <w:tcPr>
            <w:tcW w:w="4600" w:type="dxa"/>
            <w:vAlign w:val="bottom"/>
            <w:gridSpan w:val="14"/>
          </w:tcPr>
          <w:p>
            <w:pPr>
              <w:spacing w:after="0"/>
              <w:rPr>
                <w:sz w:val="22"/>
                <w:szCs w:val="22"/>
                <w:color w:val="auto"/>
              </w:rPr>
            </w:pPr>
          </w:p>
        </w:tc>
      </w:tr>
      <w:tr>
        <w:trPr>
          <w:trHeight w:val="26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tcPr>
          <w:p>
            <w:pPr>
              <w:spacing w:after="0"/>
              <w:rPr>
                <w:sz w:val="22"/>
                <w:szCs w:val="22"/>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7"/>
            <w:shd w:val="clear" w:color="auto" w:fill="0000FF"/>
          </w:tcPr>
          <w:p>
            <w:pPr>
              <w:spacing w:after="0" w:line="20" w:lineRule="exact"/>
              <w:rPr>
                <w:sz w:val="1"/>
                <w:szCs w:val="1"/>
                <w:color w:val="auto"/>
              </w:rPr>
            </w:pPr>
          </w:p>
        </w:tc>
        <w:tc>
          <w:tcPr>
            <w:tcW w:w="3560" w:type="dxa"/>
            <w:vAlign w:val="bottom"/>
            <w:gridSpan w:val="13"/>
          </w:tcPr>
          <w:p>
            <w:pPr>
              <w:spacing w:after="0" w:line="20" w:lineRule="exact"/>
              <w:rPr>
                <w:sz w:val="1"/>
                <w:szCs w:val="1"/>
                <w:color w:val="auto"/>
              </w:rPr>
            </w:pPr>
          </w:p>
        </w:tc>
      </w:tr>
      <w:tr>
        <w:trPr>
          <w:trHeight w:val="259"/>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40" w:right="300" w:hanging="1314"/>
        <w:spacing w:after="0" w:line="250" w:lineRule="auto"/>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117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40"/>
        <w:spacing w:after="0" w:line="221"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20"/>
          </w:cols>
          <w:pgMar w:left="320" w:top="118" w:right="8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 (the "registrant");</w:t>
      </w:r>
    </w:p>
    <w:p>
      <w:pPr>
        <w:spacing w:after="0" w:line="157"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June 30,</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2024 as filed with the Securities and Exchange Commission on the date hereof (the "Report"), I, Jean-Marc Gilson,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78"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60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27"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August 9,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 and</w:t>
      </w:r>
    </w:p>
    <w:p>
      <w:pPr>
        <w:jc w:val="center"/>
        <w:ind w:left="6920"/>
        <w:spacing w:after="0" w:line="229" w:lineRule="auto"/>
        <w:rPr>
          <w:sz w:val="20"/>
          <w:szCs w:val="20"/>
          <w:color w:val="auto"/>
        </w:rPr>
      </w:pPr>
      <w:r>
        <w:rPr>
          <w:rFonts w:ascii="Times New Roman" w:cs="Times New Roman" w:eastAsia="Times New Roman" w:hAnsi="Times New Roman"/>
          <w:sz w:val="14"/>
          <w:szCs w:val="14"/>
          <w:b w:val="1"/>
          <w:bCs w:val="1"/>
          <w:color w:val="auto"/>
        </w:rPr>
        <w:t>Director of Westlake Chemical Partners GP LLC</w:t>
      </w: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4"/>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48" Type="http://schemas.openxmlformats.org/officeDocument/2006/relationships/hyperlink" Target="https://www.sec.gov/Archives/edgar/data/1604665/000119312514164760/d715499dex31.htm" TargetMode="External"/><Relationship Id="rId49" Type="http://schemas.openxmlformats.org/officeDocument/2006/relationships/hyperlink" Target="https://www.sec.gov/Archives/edgar/data/1604665/000119312514303305/d756630dex31.htm" TargetMode="External"/><Relationship Id="rId50" Type="http://schemas.openxmlformats.org/officeDocument/2006/relationships/hyperlink" Target="https://www.sec.gov/Archives/edgar/data/1604665/000119312517345554/d493400dex31.htm" TargetMode="External"/><Relationship Id="rId51" Type="http://schemas.openxmlformats.org/officeDocument/2006/relationships/hyperlink" Target="https://www.sec.gov/Archives/edgar/data/1604665/000119312518231463/d583758dex31.htm" TargetMode="External"/><Relationship Id="rId52" Type="http://schemas.openxmlformats.org/officeDocument/2006/relationships/hyperlink" Target="https://www.sec.gov/Archives/edgar/data/1604665/000119312514303305/d756630dex107.htm" TargetMode="External"/><Relationship Id="rId53" Type="http://schemas.openxmlformats.org/officeDocument/2006/relationships/hyperlink" Target="https://www.sec.gov/Archives/edgar/data/1604665/000160466518000007/ex34123117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2024-08-09T11:37:31Z</dcterms:created>
  <dcterms:modified xsi:type="dcterms:W3CDTF">2024-08-09T11:37:31Z</dcterms:modified>
</cp:coreProperties>
</file>