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193040</wp:posOffset>
            </wp:positionV>
            <wp:extent cx="3310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5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144145</wp:posOffset>
            </wp:positionV>
            <wp:extent cx="3310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720" w:right="16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 w:lineRule="exact"/>
        <w:rPr>
          <w:sz w:val="24"/>
          <w:szCs w:val="24"/>
          <w:color w:val="auto"/>
        </w:rPr>
      </w:pPr>
    </w:p>
    <w:p>
      <w:pPr>
        <w:ind w:left="720"/>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40" w:right="140" w:hanging="691"/>
        <w:spacing w:after="0" w:line="256" w:lineRule="auto"/>
        <w:tabs>
          <w:tab w:leader="none" w:pos="7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740"/>
        <w:spacing w:after="0"/>
        <w:tabs>
          <w:tab w:leader="none" w:pos="4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214630</wp:posOffset>
            </wp:positionV>
            <wp:extent cx="3310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3"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Westlake Chemical Partners LP</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125095</wp:posOffset>
            </wp:positionV>
            <wp:extent cx="3310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32-0436529</w:t>
      </w:r>
    </w:p>
    <w:p>
      <w:pPr>
        <w:spacing w:after="0" w:line="82" w:lineRule="exact"/>
        <w:rPr>
          <w:sz w:val="24"/>
          <w:szCs w:val="24"/>
          <w:color w:val="auto"/>
        </w:rPr>
      </w:pPr>
    </w:p>
    <w:p>
      <w:pPr>
        <w:sectPr>
          <w:pgSz w:w="11900" w:h="16838" w:orient="portrait"/>
          <w:cols w:equalWidth="0" w:num="2">
            <w:col w:w="7520" w:space="720"/>
            <w:col w:w="3140"/>
          </w:cols>
          <w:pgMar w:left="240" w:top="517" w:right="279" w:bottom="1440" w:gutter="0" w:footer="0" w:header="0"/>
          <w:type w:val="continuous"/>
        </w:sect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0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000"/>
        <w:spacing w:after="0"/>
        <w:rPr>
          <w:sz w:val="20"/>
          <w:szCs w:val="20"/>
          <w:color w:val="auto"/>
        </w:rPr>
      </w:pPr>
      <w:r>
        <w:rPr>
          <w:rFonts w:ascii="Arial" w:cs="Arial" w:eastAsia="Arial" w:hAnsi="Arial"/>
          <w:sz w:val="13"/>
          <w:szCs w:val="13"/>
          <w:b w:val="1"/>
          <w:bCs w:val="1"/>
          <w:color w:val="auto"/>
        </w:rPr>
        <w:t>Identification Number)</w:t>
      </w:r>
    </w:p>
    <w:p>
      <w:pPr>
        <w:spacing w:after="0" w:line="177" w:lineRule="exact"/>
        <w:rPr>
          <w:sz w:val="24"/>
          <w:szCs w:val="24"/>
          <w:color w:val="auto"/>
        </w:rPr>
      </w:pPr>
    </w:p>
    <w:p>
      <w:pPr>
        <w:sectPr>
          <w:pgSz w:w="11900" w:h="16838" w:orient="portrait"/>
          <w:cols w:equalWidth="0" w:num="2">
            <w:col w:w="7240" w:space="720"/>
            <w:col w:w="3420"/>
          </w:cols>
          <w:pgMar w:left="240" w:top="517" w:right="27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2801 Post Oak Boulevard, Suite 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77056</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7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585-2900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ectPr>
          <w:pgSz w:w="11900" w:h="16838" w:orient="portrait"/>
          <w:cols w:equalWidth="0" w:num="1">
            <w:col w:w="11380"/>
          </w:cols>
          <w:pgMar w:left="240" w:top="517" w:right="279" w:bottom="1440" w:gutter="0" w:footer="0" w:header="0"/>
          <w:type w:val="continuous"/>
        </w:sectPr>
      </w:pPr>
    </w:p>
    <w:p>
      <w:pPr>
        <w:spacing w:after="0" w:line="74"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1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smaller reporting company, or an emerging growth company. See definitions of "large accelerated filer," "accelerated filer", "smaller reporting company" and "emerging growth company" in Rule 12b-2 of the Exchange Act (Check one):</w:t>
      </w:r>
    </w:p>
    <w:p>
      <w:pPr>
        <w:spacing w:after="0" w:line="257"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360" w:type="dxa"/>
            <w:vAlign w:val="bottom"/>
          </w:tcPr>
          <w:p>
            <w:pPr>
              <w:spacing w:after="0"/>
              <w:rPr>
                <w:sz w:val="20"/>
                <w:szCs w:val="20"/>
                <w:color w:val="auto"/>
              </w:rPr>
            </w:pPr>
            <w:r>
              <w:rPr>
                <w:rFonts w:ascii="Arial" w:cs="Arial" w:eastAsia="Arial" w:hAnsi="Arial"/>
                <w:sz w:val="18"/>
                <w:szCs w:val="18"/>
                <w:b w:val="1"/>
                <w:bCs w:val="1"/>
                <w:color w:val="auto"/>
              </w:rPr>
              <w:t>Large accelerated filer</w:t>
            </w:r>
          </w:p>
        </w:tc>
        <w:tc>
          <w:tcPr>
            <w:tcW w:w="47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620"/>
              <w:spacing w:after="0"/>
              <w:rPr>
                <w:sz w:val="20"/>
                <w:szCs w:val="20"/>
                <w:color w:val="auto"/>
              </w:rPr>
            </w:pPr>
            <w:r>
              <w:rPr>
                <w:rFonts w:ascii="Arial" w:cs="Arial" w:eastAsia="Arial" w:hAnsi="Arial"/>
                <w:sz w:val="18"/>
                <w:szCs w:val="18"/>
                <w:b w:val="1"/>
                <w:bCs w:val="1"/>
                <w:color w:val="auto"/>
              </w:rPr>
              <w:t>Accelerated filer</w:t>
            </w:r>
          </w:p>
        </w:tc>
        <w:tc>
          <w:tcPr>
            <w:tcW w:w="700" w:type="dxa"/>
            <w:vAlign w:val="bottom"/>
          </w:tcPr>
          <w:p>
            <w:pPr>
              <w:ind w:left="540"/>
              <w:spacing w:after="0"/>
              <w:rPr>
                <w:sz w:val="20"/>
                <w:szCs w:val="20"/>
                <w:color w:val="auto"/>
              </w:rPr>
            </w:pPr>
            <w:r>
              <w:rPr>
                <w:rFonts w:ascii="Arial" w:cs="Arial" w:eastAsia="Arial" w:hAnsi="Arial"/>
                <w:sz w:val="18"/>
                <w:szCs w:val="18"/>
                <w:color w:val="auto"/>
              </w:rPr>
              <w:t>x</w:t>
            </w:r>
          </w:p>
        </w:tc>
      </w:tr>
      <w:tr>
        <w:trPr>
          <w:trHeight w:val="419"/>
        </w:trPr>
        <w:tc>
          <w:tcPr>
            <w:tcW w:w="2360" w:type="dxa"/>
            <w:vAlign w:val="bottom"/>
          </w:tcPr>
          <w:p>
            <w:pPr>
              <w:spacing w:after="0"/>
              <w:rPr>
                <w:sz w:val="20"/>
                <w:szCs w:val="20"/>
                <w:color w:val="auto"/>
              </w:rPr>
            </w:pPr>
            <w:r>
              <w:rPr>
                <w:rFonts w:ascii="Arial" w:cs="Arial" w:eastAsia="Arial" w:hAnsi="Arial"/>
                <w:sz w:val="18"/>
                <w:szCs w:val="18"/>
                <w:b w:val="1"/>
                <w:bCs w:val="1"/>
                <w:color w:val="auto"/>
              </w:rPr>
              <w:t>Non-accelerated filer</w:t>
            </w:r>
          </w:p>
        </w:tc>
        <w:tc>
          <w:tcPr>
            <w:tcW w:w="4780" w:type="dxa"/>
            <w:vAlign w:val="bottom"/>
          </w:tcPr>
          <w:p>
            <w:pPr>
              <w:ind w:left="6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260" w:type="dxa"/>
            <w:vAlign w:val="bottom"/>
          </w:tcPr>
          <w:p>
            <w:pPr>
              <w:ind w:left="620"/>
              <w:spacing w:after="0"/>
              <w:rPr>
                <w:sz w:val="20"/>
                <w:szCs w:val="20"/>
                <w:color w:val="auto"/>
              </w:rPr>
            </w:pPr>
            <w:r>
              <w:rPr>
                <w:rFonts w:ascii="Arial" w:cs="Arial" w:eastAsia="Arial" w:hAnsi="Arial"/>
                <w:sz w:val="18"/>
                <w:szCs w:val="18"/>
                <w:b w:val="1"/>
                <w:bCs w:val="1"/>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260" w:type="dxa"/>
            <w:vAlign w:val="bottom"/>
          </w:tcPr>
          <w:p>
            <w:pPr>
              <w:ind w:left="620"/>
              <w:spacing w:after="0"/>
              <w:rPr>
                <w:sz w:val="20"/>
                <w:szCs w:val="20"/>
                <w:color w:val="auto"/>
              </w:rPr>
            </w:pPr>
            <w:r>
              <w:rPr>
                <w:rFonts w:ascii="Arial" w:cs="Arial" w:eastAsia="Arial" w:hAnsi="Arial"/>
                <w:sz w:val="18"/>
                <w:szCs w:val="18"/>
                <w:b w:val="1"/>
                <w:bCs w:val="1"/>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right="1780"/>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x The registrant had 14,373,615 common units and 12,686,115 subordinated units outstanding as of July 27, 2017.</w:t>
      </w:r>
    </w:p>
    <w:p>
      <w:pPr>
        <w:sectPr>
          <w:pgSz w:w="11900" w:h="16838" w:orient="portrait"/>
          <w:cols w:equalWidth="0" w:num="1">
            <w:col w:w="11380"/>
          </w:cols>
          <w:pgMar w:left="240" w:top="517" w:right="27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10060" w:type="dxa"/>
            <w:vAlign w:val="bottom"/>
          </w:tcPr>
          <w:p>
            <w:pPr>
              <w:spacing w:after="0"/>
              <w:rPr>
                <w:sz w:val="14"/>
                <w:szCs w:val="14"/>
                <w:color w:val="auto"/>
              </w:rPr>
            </w:pPr>
          </w:p>
        </w:tc>
        <w:tc>
          <w:tcPr>
            <w:tcW w:w="800" w:type="dxa"/>
            <w:vAlign w:val="bottom"/>
          </w:tcPr>
          <w:p>
            <w:pPr>
              <w:jc w:val="right"/>
              <w:ind w:right="17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0580" w:type="dxa"/>
            <w:vAlign w:val="bottom"/>
            <w:gridSpan w:val="3"/>
            <w:vMerge w:val="restart"/>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 FINANCIAL INFORMATION</w:t>
              </w:r>
            </w:hyperlink>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0580" w:type="dxa"/>
            <w:vAlign w:val="bottom"/>
            <w:gridSpan w:val="3"/>
            <w:vMerge w:val="continue"/>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
              <w:r>
                <w:rPr>
                  <w:rFonts w:ascii="Arial" w:cs="Arial" w:eastAsia="Arial" w:hAnsi="Arial"/>
                  <w:sz w:val="18"/>
                  <w:szCs w:val="18"/>
                  <w:color w:val="auto"/>
                  <w:w w:val="99"/>
                </w:rPr>
                <w:t>1)</w:t>
              </w:r>
            </w:hyperlink>
          </w:p>
        </w:tc>
        <w:tc>
          <w:tcPr>
            <w:tcW w:w="10060" w:type="dxa"/>
            <w:vAlign w:val="bottom"/>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w:t>
              </w:r>
            </w:hyperlink>
          </w:p>
        </w:tc>
        <w:tc>
          <w:tcPr>
            <w:tcW w:w="80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20">
              <w:r>
                <w:rPr>
                  <w:rFonts w:ascii="Arial" w:cs="Arial" w:eastAsia="Arial" w:hAnsi="Arial"/>
                  <w:sz w:val="18"/>
                  <w:szCs w:val="18"/>
                  <w:color w:val="auto"/>
                  <w:w w:val="99"/>
                </w:rPr>
                <w:t>2)</w:t>
              </w:r>
            </w:hyperlink>
          </w:p>
        </w:tc>
        <w:tc>
          <w:tcPr>
            <w:tcW w:w="10060" w:type="dxa"/>
            <w:vAlign w:val="bottom"/>
          </w:tcPr>
          <w:p>
            <w:pPr>
              <w:ind w:left="20"/>
              <w:spacing w:after="0"/>
              <w:rPr>
                <w:rFonts w:ascii="Arial" w:cs="Arial" w:eastAsia="Arial" w:hAnsi="Arial"/>
                <w:sz w:val="18"/>
                <w:szCs w:val="18"/>
                <w:color w:val="auto"/>
              </w:rPr>
            </w:pPr>
            <w:hyperlink w:anchor="page20">
              <w:r>
                <w:rPr>
                  <w:rFonts w:ascii="Arial" w:cs="Arial" w:eastAsia="Arial" w:hAnsi="Arial"/>
                  <w:sz w:val="18"/>
                  <w:szCs w:val="18"/>
                  <w:color w:val="auto"/>
                </w:rPr>
                <w:t>Management's Discussion and Analysis of Financial Condition and Results of Operations</w:t>
              </w:r>
            </w:hyperlink>
          </w:p>
        </w:tc>
        <w:tc>
          <w:tcPr>
            <w:tcW w:w="80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18</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29">
              <w:r>
                <w:rPr>
                  <w:rFonts w:ascii="Arial" w:cs="Arial" w:eastAsia="Arial" w:hAnsi="Arial"/>
                  <w:sz w:val="18"/>
                  <w:szCs w:val="18"/>
                  <w:color w:val="auto"/>
                  <w:w w:val="99"/>
                </w:rPr>
                <w:t>3)</w:t>
              </w:r>
            </w:hyperlink>
          </w:p>
        </w:tc>
        <w:tc>
          <w:tcPr>
            <w:tcW w:w="10060" w:type="dxa"/>
            <w:vAlign w:val="bottom"/>
          </w:tcPr>
          <w:p>
            <w:pPr>
              <w:ind w:left="20"/>
              <w:spacing w:after="0"/>
              <w:rPr>
                <w:rFonts w:ascii="Arial" w:cs="Arial" w:eastAsia="Arial" w:hAnsi="Arial"/>
                <w:sz w:val="18"/>
                <w:szCs w:val="18"/>
                <w:color w:val="auto"/>
              </w:rPr>
            </w:pPr>
            <w:hyperlink w:anchor="page29">
              <w:r>
                <w:rPr>
                  <w:rFonts w:ascii="Arial" w:cs="Arial" w:eastAsia="Arial" w:hAnsi="Arial"/>
                  <w:sz w:val="18"/>
                  <w:szCs w:val="18"/>
                  <w:color w:val="auto"/>
                </w:rPr>
                <w:t>Quantitative and Qualitative Disclosures about Market Risk</w:t>
              </w:r>
            </w:hyperlink>
          </w:p>
        </w:tc>
        <w:tc>
          <w:tcPr>
            <w:tcW w:w="80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29">
              <w:r>
                <w:rPr>
                  <w:rFonts w:ascii="Arial" w:cs="Arial" w:eastAsia="Arial" w:hAnsi="Arial"/>
                  <w:sz w:val="18"/>
                  <w:szCs w:val="18"/>
                  <w:color w:val="auto"/>
                  <w:w w:val="99"/>
                </w:rPr>
                <w:t>4)</w:t>
              </w:r>
            </w:hyperlink>
          </w:p>
        </w:tc>
        <w:tc>
          <w:tcPr>
            <w:tcW w:w="10060" w:type="dxa"/>
            <w:vAlign w:val="bottom"/>
          </w:tcPr>
          <w:p>
            <w:pPr>
              <w:ind w:left="20"/>
              <w:spacing w:after="0"/>
              <w:rPr>
                <w:rFonts w:ascii="Arial" w:cs="Arial" w:eastAsia="Arial" w:hAnsi="Arial"/>
                <w:sz w:val="18"/>
                <w:szCs w:val="18"/>
                <w:color w:val="auto"/>
              </w:rPr>
            </w:pPr>
            <w:hyperlink w:anchor="page29">
              <w:r>
                <w:rPr>
                  <w:rFonts w:ascii="Arial" w:cs="Arial" w:eastAsia="Arial" w:hAnsi="Arial"/>
                  <w:sz w:val="18"/>
                  <w:szCs w:val="18"/>
                  <w:color w:val="auto"/>
                </w:rPr>
                <w:t>Controls and Procedures</w:t>
              </w:r>
            </w:hyperlink>
          </w:p>
        </w:tc>
        <w:tc>
          <w:tcPr>
            <w:tcW w:w="80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594"/>
        </w:trPr>
        <w:tc>
          <w:tcPr>
            <w:tcW w:w="10580" w:type="dxa"/>
            <w:vAlign w:val="bottom"/>
            <w:gridSpan w:val="3"/>
          </w:tcPr>
          <w:p>
            <w:pPr>
              <w:spacing w:after="0"/>
              <w:rPr>
                <w:rFonts w:ascii="Arial" w:cs="Arial" w:eastAsia="Arial" w:hAnsi="Arial"/>
                <w:sz w:val="18"/>
                <w:szCs w:val="18"/>
                <w:b w:val="1"/>
                <w:bCs w:val="1"/>
                <w:color w:val="auto"/>
              </w:rPr>
            </w:pPr>
            <w:hyperlink w:anchor="page30">
              <w:r>
                <w:rPr>
                  <w:rFonts w:ascii="Arial" w:cs="Arial" w:eastAsia="Arial" w:hAnsi="Arial"/>
                  <w:sz w:val="18"/>
                  <w:szCs w:val="18"/>
                  <w:b w:val="1"/>
                  <w:bCs w:val="1"/>
                  <w:color w:val="auto"/>
                </w:rPr>
                <w:t>PART II. OTHER INFORMATION</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0">
              <w:r>
                <w:rPr>
                  <w:rFonts w:ascii="Arial" w:cs="Arial" w:eastAsia="Arial" w:hAnsi="Arial"/>
                  <w:sz w:val="18"/>
                  <w:szCs w:val="18"/>
                  <w:color w:val="auto"/>
                  <w:w w:val="99"/>
                </w:rPr>
                <w:t>1)</w:t>
              </w:r>
            </w:hyperlink>
          </w:p>
        </w:tc>
        <w:tc>
          <w:tcPr>
            <w:tcW w:w="10060" w:type="dxa"/>
            <w:vAlign w:val="bottom"/>
          </w:tcPr>
          <w:p>
            <w:pPr>
              <w:ind w:left="20"/>
              <w:spacing w:after="0"/>
              <w:rPr>
                <w:rFonts w:ascii="Arial" w:cs="Arial" w:eastAsia="Arial" w:hAnsi="Arial"/>
                <w:sz w:val="18"/>
                <w:szCs w:val="18"/>
                <w:color w:val="auto"/>
              </w:rPr>
            </w:pPr>
            <w:hyperlink w:anchor="page30">
              <w:r>
                <w:rPr>
                  <w:rFonts w:ascii="Arial" w:cs="Arial" w:eastAsia="Arial" w:hAnsi="Arial"/>
                  <w:sz w:val="18"/>
                  <w:szCs w:val="18"/>
                  <w:color w:val="auto"/>
                </w:rPr>
                <w:t>Legal Proceedings</w:t>
              </w:r>
            </w:hyperlink>
          </w:p>
        </w:tc>
        <w:tc>
          <w:tcPr>
            <w:tcW w:w="80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0300" w:type="dxa"/>
            <w:vAlign w:val="bottom"/>
            <w:gridSpan w:val="2"/>
          </w:tcPr>
          <w:p>
            <w:pPr>
              <w:ind w:left="60"/>
              <w:spacing w:after="0"/>
              <w:rPr>
                <w:rFonts w:ascii="Arial" w:cs="Arial" w:eastAsia="Arial" w:hAnsi="Arial"/>
                <w:sz w:val="18"/>
                <w:szCs w:val="18"/>
                <w:color w:val="auto"/>
              </w:rPr>
            </w:pPr>
            <w:hyperlink w:anchor="page30">
              <w:r>
                <w:rPr>
                  <w:rFonts w:ascii="Arial" w:cs="Arial" w:eastAsia="Arial" w:hAnsi="Arial"/>
                  <w:sz w:val="18"/>
                  <w:szCs w:val="18"/>
                  <w:color w:val="auto"/>
                </w:rPr>
                <w:t>1A) Risk Factors</w:t>
              </w:r>
            </w:hyperlink>
          </w:p>
        </w:tc>
        <w:tc>
          <w:tcPr>
            <w:tcW w:w="80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0">
              <w:r>
                <w:rPr>
                  <w:rFonts w:ascii="Arial" w:cs="Arial" w:eastAsia="Arial" w:hAnsi="Arial"/>
                  <w:sz w:val="18"/>
                  <w:szCs w:val="18"/>
                  <w:color w:val="auto"/>
                  <w:w w:val="99"/>
                </w:rPr>
                <w:t>6)</w:t>
              </w:r>
            </w:hyperlink>
          </w:p>
        </w:tc>
        <w:tc>
          <w:tcPr>
            <w:tcW w:w="10060" w:type="dxa"/>
            <w:vAlign w:val="bottom"/>
          </w:tcPr>
          <w:p>
            <w:pPr>
              <w:ind w:left="20"/>
              <w:spacing w:after="0"/>
              <w:rPr>
                <w:rFonts w:ascii="Arial" w:cs="Arial" w:eastAsia="Arial" w:hAnsi="Arial"/>
                <w:sz w:val="18"/>
                <w:szCs w:val="18"/>
                <w:color w:val="auto"/>
              </w:rPr>
            </w:pPr>
            <w:hyperlink w:anchor="page30">
              <w:r>
                <w:rPr>
                  <w:rFonts w:ascii="Arial" w:cs="Arial" w:eastAsia="Arial" w:hAnsi="Arial"/>
                  <w:sz w:val="18"/>
                  <w:szCs w:val="18"/>
                  <w:color w:val="auto"/>
                </w:rPr>
                <w:t>Exhibits</w:t>
              </w:r>
            </w:hyperlink>
          </w:p>
        </w:tc>
        <w:tc>
          <w:tcPr>
            <w:tcW w:w="80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74"/>
        </w:trPr>
        <w:tc>
          <w:tcPr>
            <w:tcW w:w="8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78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(in thousands of dollars,</w:t>
            </w:r>
          </w:p>
        </w:tc>
      </w:tr>
      <w:tr>
        <w:trPr>
          <w:trHeight w:val="192"/>
        </w:trPr>
        <w:tc>
          <w:tcPr>
            <w:tcW w:w="8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791"/>
              <w:spacing w:after="0"/>
              <w:rPr>
                <w:sz w:val="20"/>
                <w:szCs w:val="20"/>
                <w:color w:val="auto"/>
              </w:rPr>
            </w:pPr>
            <w:r>
              <w:rPr>
                <w:rFonts w:ascii="Arial" w:cs="Arial" w:eastAsia="Arial" w:hAnsi="Arial"/>
                <w:sz w:val="14"/>
                <w:szCs w:val="14"/>
                <w:b w:val="1"/>
                <w:bCs w:val="1"/>
                <w:color w:val="auto"/>
              </w:rPr>
              <w:t>except unit amounts)</w:t>
            </w:r>
          </w:p>
        </w:tc>
      </w:tr>
      <w:tr>
        <w:trPr>
          <w:trHeight w:val="256"/>
        </w:trPr>
        <w:tc>
          <w:tcPr>
            <w:tcW w:w="83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4"/>
              </w:rPr>
              <w:t>ASSETS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104,939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88,900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receivable—Westlake Chemical Corporation ("Westlake")</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79,367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126,977</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net—third parties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12,085</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4,558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3,934</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203,629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232,165</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1,220,393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1,222,238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5,814</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Deferred charges and other assets, net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92,741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95,011</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assets, net</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98,555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100,825</w:t>
            </w:r>
          </w:p>
        </w:tc>
      </w:tr>
      <w:tr>
        <w:trPr>
          <w:trHeight w:val="297"/>
        </w:trPr>
        <w:tc>
          <w:tcPr>
            <w:tcW w:w="8360" w:type="dxa"/>
            <w:vAlign w:val="bottom"/>
            <w:tcBorders>
              <w:bottom w:val="single" w:sz="8" w:color="CCEEFF"/>
            </w:tcBorders>
          </w:tcPr>
          <w:p>
            <w:pPr>
              <w:ind w:left="72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1,522,577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1,555,228</w:t>
            </w:r>
          </w:p>
        </w:tc>
      </w:tr>
      <w:tr>
        <w:trPr>
          <w:trHeight w:val="237"/>
        </w:trPr>
        <w:tc>
          <w:tcPr>
            <w:tcW w:w="83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payable—Westlake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12,130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payable—third parties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7,102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9,930</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15,717</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36,390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37,777</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payable to Westlake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588,280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594,629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1,936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1,736</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626,774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634,265</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15)</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jc w:val="center"/>
              <w:ind w:right="30"/>
              <w:spacing w:after="0"/>
              <w:rPr>
                <w:sz w:val="20"/>
                <w:szCs w:val="20"/>
                <w:color w:val="auto"/>
              </w:rPr>
            </w:pPr>
            <w:r>
              <w:rPr>
                <w:rFonts w:ascii="Arial" w:cs="Arial" w:eastAsia="Arial" w:hAnsi="Arial"/>
                <w:sz w:val="18"/>
                <w:szCs w:val="18"/>
                <w:b w:val="1"/>
                <w:bCs w:val="1"/>
                <w:color w:val="auto"/>
              </w:rPr>
              <w:t>EQUITY</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unitholders—public (12,937,500 units issued and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297,486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297,367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Common unitholder—Westlake (1,436,115 units issued and outstanding)</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4,825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4,813</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Subordinated unitholder—Westlake (12,686,115 units issued and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42,534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General partner—Westlake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(242,250)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(242,430)</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Westlake Chemical Partners LP partners' capital</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102,953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102,484</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in Westlake Chemical OpCo LP ("OpCo")</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792,850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818,479</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895,803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920,963</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1,522,577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1,555,228</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5160" w:type="dxa"/>
        <w:tblCellMar>
          <w:top w:w="0" w:type="dxa"/>
          <w:left w:w="0" w:type="dxa"/>
          <w:bottom w:w="0" w:type="dxa"/>
          <w:right w:w="0" w:type="dxa"/>
        </w:tblCellMar>
      </w:tblPr>
      <w:tr>
        <w:trPr>
          <w:trHeight w:val="192"/>
        </w:trPr>
        <w:tc>
          <w:tcPr>
            <w:tcW w:w="3200" w:type="dxa"/>
            <w:vAlign w:val="bottom"/>
            <w:gridSpan w:val="4"/>
          </w:tcPr>
          <w:p>
            <w:pPr>
              <w:ind w:left="640"/>
              <w:spacing w:after="0"/>
              <w:rPr>
                <w:sz w:val="20"/>
                <w:szCs w:val="20"/>
                <w:color w:val="auto"/>
              </w:rPr>
            </w:pPr>
            <w:r>
              <w:rPr>
                <w:rFonts w:ascii="Arial" w:cs="Arial" w:eastAsia="Arial" w:hAnsi="Arial"/>
                <w:sz w:val="14"/>
                <w:szCs w:val="14"/>
                <w:b w:val="1"/>
                <w:bCs w:val="1"/>
                <w:color w:val="auto"/>
              </w:rPr>
              <w:t>Three Months Ended June 30,</w:t>
            </w:r>
          </w:p>
        </w:tc>
        <w:tc>
          <w:tcPr>
            <w:tcW w:w="3060" w:type="dxa"/>
            <w:vAlign w:val="bottom"/>
            <w:gridSpan w:val="3"/>
          </w:tcPr>
          <w:p>
            <w:pPr>
              <w:jc w:val="right"/>
              <w:ind w:right="60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150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r>
    </w:tbl>
    <w:p>
      <w:pPr>
        <w:spacing w:after="0" w:line="193" w:lineRule="exact"/>
        <w:rPr>
          <w:sz w:val="20"/>
          <w:szCs w:val="20"/>
          <w:color w:val="auto"/>
        </w:rPr>
      </w:pPr>
    </w:p>
    <w:p>
      <w:pPr>
        <w:ind w:left="6340"/>
        <w:spacing w:after="0"/>
        <w:rPr>
          <w:sz w:val="20"/>
          <w:szCs w:val="20"/>
          <w:color w:val="auto"/>
        </w:rPr>
      </w:pPr>
      <w:r>
        <w:rPr>
          <w:rFonts w:ascii="Arial" w:cs="Arial" w:eastAsia="Arial" w:hAnsi="Arial"/>
          <w:sz w:val="14"/>
          <w:szCs w:val="14"/>
          <w:b w:val="1"/>
          <w:bCs w:val="1"/>
          <w:color w:val="auto"/>
        </w:rPr>
        <w:t>(in thousands of dollars, except unit amounts and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Revenue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ind w:left="280"/>
              <w:spacing w:after="0"/>
              <w:rPr>
                <w:sz w:val="20"/>
                <w:szCs w:val="20"/>
                <w:color w:val="auto"/>
              </w:rPr>
            </w:pPr>
            <w:r>
              <w:rPr>
                <w:rFonts w:ascii="Arial" w:cs="Arial" w:eastAsia="Arial" w:hAnsi="Arial"/>
                <w:sz w:val="18"/>
                <w:szCs w:val="18"/>
                <w:color w:val="auto"/>
              </w:rPr>
              <w:t>Net sales—Westlake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240,989</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181,635</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453,919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412,895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co-product, ethylene and other sales—third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parties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49,124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113,642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50,550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290,113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210,841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567,561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463,445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190,542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122,460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370,029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264,650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99,571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88,381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197,532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198,795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6,886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92,685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82,533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182,818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186,850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expense—Westlake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86,767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81,489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173,098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184,659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86,470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81,192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172,498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183,963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noncontrolling</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interest in OpCo</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76,495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152,759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162,535</w:t>
            </w:r>
          </w:p>
        </w:tc>
        <w:tc>
          <w:tcPr>
            <w:tcW w:w="0" w:type="dxa"/>
            <w:vAlign w:val="bottom"/>
          </w:tcPr>
          <w:p>
            <w:pPr>
              <w:spacing w:after="0"/>
              <w:rPr>
                <w:sz w:val="1"/>
                <w:szCs w:val="1"/>
                <w:color w:val="auto"/>
              </w:rPr>
            </w:pPr>
          </w:p>
        </w:tc>
      </w:tr>
      <w:tr>
        <w:trPr>
          <w:trHeight w:val="205"/>
        </w:trPr>
        <w:tc>
          <w:tcPr>
            <w:tcW w:w="516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 Westlake Chemical</w:t>
            </w: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9,975</w:t>
            </w:r>
          </w:p>
        </w:tc>
        <w:tc>
          <w:tcPr>
            <w:tcW w:w="12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9,344</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19,739</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21,428</w:t>
            </w:r>
          </w:p>
        </w:tc>
        <w:tc>
          <w:tcPr>
            <w:tcW w:w="0" w:type="dxa"/>
            <w:vAlign w:val="bottom"/>
          </w:tcPr>
          <w:p>
            <w:pPr>
              <w:spacing w:after="0"/>
              <w:rPr>
                <w:sz w:val="1"/>
                <w:szCs w:val="1"/>
                <w:color w:val="auto"/>
              </w:rPr>
            </w:pPr>
          </w:p>
        </w:tc>
      </w:tr>
      <w:tr>
        <w:trPr>
          <w:trHeight w:val="281"/>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Partners LP</w:t>
            </w:r>
          </w:p>
        </w:tc>
        <w:tc>
          <w:tcPr>
            <w:tcW w:w="340" w:type="dxa"/>
            <w:vAlign w:val="bottom"/>
            <w:tcBorders>
              <w:bottom w:val="single" w:sz="8" w:color="auto"/>
            </w:tcBorders>
            <w:vMerge w:val="continue"/>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Net income per limited partner unit attributable to</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Westlake Chemical Partners LP (basic and diluted)</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Common units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Subordinated units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Weighted average limited partner units outstanding</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units—public</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12,937,500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12,937,500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12,937,500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12,937,500</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Common units—Westlake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1,436,115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1,436,115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1,436,115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1,436,115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Subordinated units—Westlake</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12,686,115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12,686,115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12,686,115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12,686,115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8"/>
                <w:szCs w:val="18"/>
                <w:color w:val="auto"/>
              </w:rPr>
              <w:t>Distributions per common unit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0.3549</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0.3168</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0.6999</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0.6248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385"/>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5"/>
          </w:tcPr>
          <w:p>
            <w:pPr>
              <w:ind w:left="420"/>
              <w:spacing w:after="0"/>
              <w:rPr>
                <w:sz w:val="20"/>
                <w:szCs w:val="20"/>
                <w:color w:val="auto"/>
              </w:rPr>
            </w:pPr>
            <w:r>
              <w:rPr>
                <w:rFonts w:ascii="Arial" w:cs="Arial" w:eastAsia="Arial" w:hAnsi="Arial"/>
                <w:sz w:val="14"/>
                <w:szCs w:val="14"/>
                <w:b w:val="1"/>
                <w:bCs w:val="1"/>
                <w:color w:val="auto"/>
              </w:rPr>
              <w:t>(in thousands of dollars)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86,470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81,192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172,498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183,963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flow hedge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rate contract</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Change in fair value of cash flow hedge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Reclassification of loss to net income</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comprehensive income (loss)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86,424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81,019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172,541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183,059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Comprehensive income attributable to noncontrolling</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interest in OpCo</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76,495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71,848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152,759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162,535</w:t>
            </w:r>
          </w:p>
        </w:tc>
        <w:tc>
          <w:tcPr>
            <w:tcW w:w="0" w:type="dxa"/>
            <w:vAlign w:val="bottom"/>
          </w:tcPr>
          <w:p>
            <w:pPr>
              <w:spacing w:after="0"/>
              <w:rPr>
                <w:sz w:val="1"/>
                <w:szCs w:val="1"/>
                <w:color w:val="auto"/>
              </w:rPr>
            </w:pPr>
          </w:p>
        </w:tc>
      </w:tr>
      <w:tr>
        <w:trPr>
          <w:trHeight w:val="209"/>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 attributable to Westlake</w:t>
            </w: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9,929</w:t>
            </w:r>
          </w:p>
        </w:tc>
        <w:tc>
          <w:tcPr>
            <w:tcW w:w="12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9,171</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19,782</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20,524</w:t>
            </w:r>
          </w:p>
        </w:tc>
        <w:tc>
          <w:tcPr>
            <w:tcW w:w="0" w:type="dxa"/>
            <w:vAlign w:val="bottom"/>
          </w:tcPr>
          <w:p>
            <w:pPr>
              <w:spacing w:after="0"/>
              <w:rPr>
                <w:sz w:val="1"/>
                <w:szCs w:val="1"/>
                <w:color w:val="auto"/>
              </w:rPr>
            </w:pPr>
          </w:p>
        </w:tc>
      </w:tr>
      <w:tr>
        <w:trPr>
          <w:trHeight w:val="242"/>
        </w:trPr>
        <w:tc>
          <w:tcPr>
            <w:tcW w:w="5160" w:type="dxa"/>
            <w:vAlign w:val="bottom"/>
          </w:tcPr>
          <w:p>
            <w:pPr>
              <w:ind w:left="180"/>
              <w:spacing w:after="0"/>
              <w:rPr>
                <w:sz w:val="20"/>
                <w:szCs w:val="20"/>
                <w:color w:val="auto"/>
              </w:rPr>
            </w:pPr>
            <w:r>
              <w:rPr>
                <w:rFonts w:ascii="Arial" w:cs="Arial" w:eastAsia="Arial" w:hAnsi="Arial"/>
                <w:sz w:val="18"/>
                <w:szCs w:val="18"/>
                <w:color w:val="auto"/>
              </w:rPr>
              <w:t>Chemical Partners LP</w:t>
            </w:r>
          </w:p>
        </w:tc>
        <w:tc>
          <w:tcPr>
            <w:tcW w:w="36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Subordinated</w:t>
            </w:r>
          </w:p>
        </w:tc>
        <w:tc>
          <w:tcPr>
            <w:tcW w:w="16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General</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Noncontrolling</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1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Unitholders</w:t>
            </w:r>
            <w:r>
              <w:rPr>
                <w:rFonts w:ascii="Arial" w:cs="Arial" w:eastAsia="Arial" w:hAnsi="Arial"/>
                <w:sz w:val="14"/>
                <w:szCs w:val="14"/>
                <w:color w:val="auto"/>
                <w:w w:val="93"/>
              </w:rPr>
              <w:t>—</w:t>
            </w: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Unitholder</w:t>
            </w:r>
            <w:r>
              <w:rPr>
                <w:rFonts w:ascii="Arial" w:cs="Arial" w:eastAsia="Arial" w:hAnsi="Arial"/>
                <w:sz w:val="14"/>
                <w:szCs w:val="14"/>
                <w:color w:val="auto"/>
                <w:w w:val="97"/>
              </w:rPr>
              <w:t>—</w:t>
            </w: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Unitholder</w:t>
            </w:r>
            <w:r>
              <w:rPr>
                <w:rFonts w:ascii="Arial" w:cs="Arial" w:eastAsia="Arial" w:hAnsi="Arial"/>
                <w:sz w:val="14"/>
                <w:szCs w:val="14"/>
                <w:color w:val="auto"/>
                <w:w w:val="95"/>
              </w:rPr>
              <w:t>—</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Partner</w:t>
            </w:r>
            <w:r>
              <w:rPr>
                <w:rFonts w:ascii="Arial" w:cs="Arial" w:eastAsia="Arial" w:hAnsi="Arial"/>
                <w:sz w:val="14"/>
                <w:szCs w:val="14"/>
                <w:color w:val="auto"/>
                <w:w w:val="98"/>
              </w:rPr>
              <w:t>—</w:t>
            </w: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Interests</w:t>
            </w:r>
          </w:p>
        </w:tc>
        <w:tc>
          <w:tcPr>
            <w:tcW w:w="200" w:type="dxa"/>
            <w:vAlign w:val="bottom"/>
          </w:tcPr>
          <w:p>
            <w:pPr>
              <w:spacing w:after="0"/>
              <w:rPr>
                <w:sz w:val="12"/>
                <w:szCs w:val="12"/>
                <w:color w:val="auto"/>
              </w:rPr>
            </w:pPr>
          </w:p>
        </w:tc>
        <w:tc>
          <w:tcPr>
            <w:tcW w:w="8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0"/>
              </w:rPr>
              <w:t>Public</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2"/>
              </w:rPr>
              <w:t>Westlake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2"/>
              </w:rPr>
              <w:t>Westlake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2"/>
              </w:rPr>
              <w:t>Westlake</w:t>
            </w:r>
          </w:p>
        </w:tc>
        <w:tc>
          <w:tcPr>
            <w:tcW w:w="12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5"/>
              </w:rPr>
              <w:t>in OpCo</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gridSpan w:val="6"/>
          </w:tcPr>
          <w:p>
            <w:pPr>
              <w:ind w:left="680"/>
              <w:spacing w:after="0"/>
              <w:rPr>
                <w:sz w:val="20"/>
                <w:szCs w:val="20"/>
                <w:color w:val="auto"/>
              </w:rPr>
            </w:pPr>
            <w:r>
              <w:rPr>
                <w:rFonts w:ascii="Arial" w:cs="Arial" w:eastAsia="Arial" w:hAnsi="Arial"/>
                <w:sz w:val="14"/>
                <w:szCs w:val="14"/>
                <w:b w:val="1"/>
                <w:bCs w:val="1"/>
                <w:color w:val="auto"/>
                <w:w w:val="99"/>
              </w:rPr>
              <w:t>(in thousands of dollars)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294,565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39,786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(242,572)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750,606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847,167</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10,222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10,023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162,535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183,963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effect of cash flow hedge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Quarterly distributions to unitholders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(16,910)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Quarterly distribution to noncontrolling</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retained in</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OpCo by Westlake</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(149,566)</w:t>
            </w:r>
          </w:p>
        </w:tc>
        <w:tc>
          <w:tcPr>
            <w:tcW w:w="0" w:type="dxa"/>
            <w:vAlign w:val="bottom"/>
          </w:tcPr>
          <w:p>
            <w:pPr>
              <w:spacing w:after="0"/>
              <w:rPr>
                <w:sz w:val="1"/>
                <w:szCs w:val="1"/>
                <w:color w:val="auto"/>
              </w:rPr>
            </w:pPr>
          </w:p>
        </w:tc>
      </w:tr>
      <w:tr>
        <w:trPr>
          <w:trHeight w:val="257"/>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Balances at June 30, 2016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296,704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4,739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41,882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(242,526)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763,575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863,750</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297,367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42,534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(242,430)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818,479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920,963</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9,174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8,994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152,759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172,498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effect of cash flow hedge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Quarterly distributions to unitholders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(19,313)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Quarterly distribution to noncontrolling</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retained in</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OpCo by Westlake</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(178,388)</w:t>
            </w:r>
          </w:p>
        </w:tc>
        <w:tc>
          <w:tcPr>
            <w:tcW w:w="0" w:type="dxa"/>
            <w:vAlign w:val="bottom"/>
          </w:tcPr>
          <w:p>
            <w:pPr>
              <w:spacing w:after="0"/>
              <w:rPr>
                <w:sz w:val="1"/>
                <w:szCs w:val="1"/>
                <w:color w:val="auto"/>
              </w:rPr>
            </w:pPr>
          </w:p>
        </w:tc>
      </w:tr>
      <w:tr>
        <w:trPr>
          <w:trHeight w:val="257"/>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Balances at June 30, 2017</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297,486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4,825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42,649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(242,250)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792,850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895,803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3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385"/>
        </w:trPr>
        <w:tc>
          <w:tcPr>
            <w:tcW w:w="8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0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(in thousands of dollars)</w:t>
            </w: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172,498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183,963</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57,449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41,182</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(Gain) loss from disposition of property, plant and equipment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2,467</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involuntary conversion of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320</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receivable—third parties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2,270</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accounts receivable—Westlake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(36,703)</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1,386</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24,833</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and other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26,905</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(61,577)</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262,286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185,277</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(168,533)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Proceeds from disposition of assets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98</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involuntary conversion of assets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(168,435)</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Proceeds from debt payable to Westlake</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20,384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131,832</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debt payable to Westlake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Quarterly distributions to noncontrolling interest retained in OpCo by Westlake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(178,388)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(149,566)</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Quarterly distributions to unitholders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(16,910)</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cash used for financing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(204,050)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(35,144)</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88,900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169,559</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104,939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151,257</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742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Basis of Presentation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Westlake Chemical Partners LP (the "Partnership") is a Delaware limited partnership formed in March 2014 to operate, acquire and develop ethylene production facilities and related assets. On August 4, 2014, the Partnership completed its initial public offering (the "IPO") of 12,937,500 common units representing limited partner interests. In connection with the IPO, the Partnership acquired a 10.6% interest in Westlake Chemical OpCo LP ("OpCo") and a 100% interest in Westlake Chemical OpCo GP LLC ("OpCo GP"), which is the general partner of OpCo. On April 29, 2015, the Partnership purchased an additional 2.7% newly-issued limited partner interest in OpCo for approximately $135,341, resulting in an aggregate 13.3% limited partner interest in OpCo effective April 1, 2015. OpCo owns three ethylene production facilities and a common carrier ethylene pipeline.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392"/>
        <w:spacing w:after="0" w:line="272" w:lineRule="auto"/>
        <w:rPr>
          <w:sz w:val="20"/>
          <w:szCs w:val="20"/>
          <w:color w:val="auto"/>
        </w:rPr>
      </w:pPr>
      <w:r>
        <w:rPr>
          <w:rFonts w:ascii="Arial" w:cs="Arial" w:eastAsia="Arial" w:hAnsi="Arial"/>
          <w:sz w:val="17"/>
          <w:szCs w:val="17"/>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December 31, 2016 combined and consolidated financial statements and notes thereto of the Partnership included in the annual report on Form 10-K for the fiscal year ended December 31, 2016 (the "2016 Form 10-K"), filed with the SEC on March 7, 2017. These financial statements have been prepared in conformity with the accounting principles and practices as disclosed in the notes to the combined and consolidated financial statements of the Partnership for the fiscal year ended December 31, 2016.</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References to "Westlake" refer collectively to Westlake Chemical Corporation and its subsidiaries, other than the Partnership, OpCo and OpCo GP.</w:t>
      </w:r>
    </w:p>
    <w:p>
      <w:pPr>
        <w:spacing w:after="0" w:line="183" w:lineRule="exact"/>
        <w:rPr>
          <w:sz w:val="20"/>
          <w:szCs w:val="20"/>
          <w:color w:val="auto"/>
        </w:rPr>
      </w:pPr>
    </w:p>
    <w:p>
      <w:pPr>
        <w:ind w:right="40" w:firstLine="392"/>
        <w:spacing w:after="0" w:line="271" w:lineRule="auto"/>
        <w:rPr>
          <w:sz w:val="20"/>
          <w:szCs w:val="20"/>
          <w:color w:val="auto"/>
        </w:rPr>
      </w:pPr>
      <w:r>
        <w:rPr>
          <w:rFonts w:ascii="Arial" w:cs="Arial" w:eastAsia="Arial" w:hAnsi="Arial"/>
          <w:sz w:val="17"/>
          <w:szCs w:val="17"/>
          <w:color w:val="auto"/>
        </w:rPr>
        <w:t>The Partnership holds a 13.3% limited partner interest and the entire non-economic general partner interest in OpCo. The remaining 86.7% limited partner interest in OpCo is owned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Westlake's retained interest of 86.7% is recorded as noncontrolling interest in the Partnership's consolidated financial statements.</w:t>
      </w:r>
    </w:p>
    <w:p>
      <w:pPr>
        <w:spacing w:after="0" w:line="12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 the opinion of the Partnership's management, the accompanying unaudited consolidated interim financial statements reflect all adjustments (consisting only of normal recurring adjustments) that are necessary for a fair statement of the Partnership's financial position as of June 30, 2017, its results of operations for the three and six months ended June 30, 2017 and 2016 and the changes in its cash position for the six months ended June 30, 2017 and 2016.</w:t>
      </w:r>
    </w:p>
    <w:p>
      <w:pPr>
        <w:spacing w:after="0" w:line="133"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Results of operations and changes in cash position for the interim periods presented are not necessarily indicative of the results that will be realized for the fiscal year ending December 31, 2017 or any other interim period. The preparation of financial 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25"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 (ASU No. 2014-09)</w:t>
      </w:r>
    </w:p>
    <w:p>
      <w:pPr>
        <w:spacing w:after="0" w:line="9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May 2014, the Financial Accounting Standards Board ("FASB") issued an accounting standards update on a comprehensive new revenue recognition standard that will supersede the existing revenue recognition guidance. The new accounting guidance creates a framework by which an entity will allocate the transaction price to separate performance obligations and recognize revenue when each performance obligation is satisfied. Under the new standard, entities will be required to use judgment and make estimates, including identifying performance obligations in a contract, estimating the amount of variable consideration to include in the transaction price, allocating the transaction price to each separate performance obligation and determining when an entity satisfies its performance obligations. The standard allows for either "full retrospective" adoption, meaning that the standard is applied to all of the periods presented with a cumulative catch-up as of the earliest period presented, or "modified retrospective" adoption, meaning the standard is applied only to the most current period presented in the financial statements with a cumulative catch-up as of the current period. In 2016, the FASB issued various additional authoritative guidance for the new revenue recognition standard. The accounting standard will be effective for reporting periods beginning after December 15, 2017. The Partnership is in the process of performing a detailed analysis of its contracts with customer to evaluate the potential impact that the new accounting standard will have on its consolidated financial position, results of operations and cash flows. The Partnership intends to elect the modified retrospective method of adoption.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(ASU No. 2016-02)</w:t>
      </w:r>
    </w:p>
    <w:p>
      <w:pPr>
        <w:spacing w:after="0" w:line="90"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In February 2016, the FASB issued an accounting standards update on a new lease standard that will supersede the existing lease guidance. The standard requires a lessee to recognize assets and liabilities related to long-term leases that are classified as operating leases under current guidance on its balance sheet. An asset would be recognized related to the right to use the underlying asset and a liability would be recognized related to the obligation to make lease payments over the term of the lease. The standard also requires expanded disclosures related to leases. The accounting standard will be effective for reporting periods beginning after December 15, 2018. The Partnership is in the process of evaluating the impact that the new accounting guidance will have on its consolidated financial position,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(ASU No. 2016-13)</w:t>
      </w:r>
    </w:p>
    <w:p>
      <w:pPr>
        <w:spacing w:after="0" w:line="90"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In June 2016, the FASB issued an accounting standards update providing new guidance for the accounting for credit losses on loans and other financial instruments. The new guidance introduces an approach based on expected losses to estimate credit losses on certain types of financial instruments. The standard also modifies the impairment model for available-for-sale debt securities and provides for a simplified accounting model for purchased financial assets with credit deterioration since their origination. The accounting standard will be effective for reporting periods beginning after December 15, 2019 and is not expected to have a material impact on the Partnership's consolidated financial position, results of operations and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(ASU No. 2016-15)</w:t>
      </w:r>
    </w:p>
    <w:p>
      <w:pPr>
        <w:spacing w:after="0" w:line="90"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In August 2016, the FASB issued an accounting standards update providing new guidance on the classification of certain cash receipts and payments including debt extinguishment costs, debt prepayment costs, settlement of zero-coupon debt instruments, contingent consideration payments, proceeds from the settlement of insurance claims and life insurance policies and distributions received from equity method investees in the statement of cash flows. This update is required to be applied using the retrospective transition method to each period presented unless it is impracticable to be applied retrospectively. In such situation, this guidance is to be applied prospectively. The accounting standard will be effective for reporting periods beginning after December 15, 2017 and is not expected to have an impact on the Partnership's consolidated financial position, results of operations and cash flows.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 (ASU No. 2017-01)</w:t>
      </w:r>
    </w:p>
    <w:p>
      <w:pPr>
        <w:spacing w:after="0" w:line="90"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In January 2017, the FASB issued an accounting standards update to assist entities with evaluating when a set of transferred assets and activities is a business. The guidance requires an entity to evaluate if substantially all of the fair value of the gross assets acquired is concentrated in a single identifiable asset or a group of similar identifiable assets; if so, the set of transferred assets and activities is not a business. The guidance also requires a business to include at least one substantive process and narrows the definition of outputs by more closely aligning it with how outputs are described in the FASB ASC Topic 606, Revenue from contracts with customers.The accounting standard will be effective for reporting periods beginning after December 15, 2017 and is not expected to have an impact on the Partnership's consolidated financial position, results of operations and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 Gains and Losses from the Derecognition of Nonfinancial Assets (ASU No. 2017-05)</w:t>
      </w:r>
    </w:p>
    <w:p>
      <w:pPr>
        <w:spacing w:after="0" w:line="90"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February 2017, the FASB issued an accounting standards update to clarify the scope of guidance related to other income—gains and losses from the derecognition of nonfinancial assets, and to add guidance for partial sales of nonfinancial assets. The new guidance clarifies that an in substance nonfinancial asset is an asset or group of assets for which substantially all of the fair value consists of nonfinancial assets and the group or subsidiary is not a business. The guidance also outlines that when an entity transfers its controlling interest in a nonfinancial asset, but retains a noncontrolling interest, it will measure the retained interest at fair value resulting in full gain or loss recognition upon sale of the controlling interest. The accounting standard will be effective for reporting periods beginning after December 15, 2017 and is not expected to have an impact on the Partnership's consolidated financial position, results of operations and cash flows.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Amendments to the Consolidation Analysis (ASU No. 2016-17)</w:t>
      </w:r>
    </w:p>
    <w:p>
      <w:pPr>
        <w:spacing w:after="0" w:line="9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October 2016, the FASB issued an accounting standards update making certain changes to the current consolidation guidance. The amendments affect reporting entities that are required to evaluate whether they should consolidate a variable interest entity in certain situations involving entities under common control. Specifically, the amendments change the evaluation of whether a reporting entity is the primary beneficiary of a variable interest entity by changing how a reporting entity that is a single decision maker of a variable interest entity treats indirect interests in the entity held through related parties that are under common control with the reporting entity. The amendments became effective for annual periods beginning after December 15, 2016. The Partnership adopted this accounting standard effective January 1, 2017, and the adoption did not have any impact on the Partnership's consolidated financial position, results of operations and cash flow.</w:t>
      </w:r>
    </w:p>
    <w:p>
      <w:pPr>
        <w:spacing w:after="0" w:line="212" w:lineRule="exact"/>
        <w:rPr>
          <w:sz w:val="20"/>
          <w:szCs w:val="20"/>
          <w:color w:val="auto"/>
        </w:rPr>
      </w:pPr>
    </w:p>
    <w:p>
      <w:pPr>
        <w:ind w:right="9520" w:firstLine="8"/>
        <w:spacing w:after="0" w:line="390" w:lineRule="auto"/>
        <w:tabs>
          <w:tab w:leader="none" w:pos="1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Instruments </w:t>
      </w:r>
      <w:r>
        <w:rPr>
          <w:rFonts w:ascii="Arial" w:cs="Arial" w:eastAsia="Arial" w:hAnsi="Arial"/>
          <w:sz w:val="16"/>
          <w:szCs w:val="16"/>
          <w:b w:val="1"/>
          <w:bCs w:val="1"/>
          <w:i w:val="1"/>
          <w:iCs w:val="1"/>
          <w:color w:val="auto"/>
        </w:rPr>
        <w:t>Cash Equivalents</w:t>
      </w:r>
    </w:p>
    <w:p>
      <w:pPr>
        <w:ind w:right="520" w:firstLine="432"/>
        <w:spacing w:after="0" w:line="286" w:lineRule="auto"/>
        <w:rPr>
          <w:sz w:val="20"/>
          <w:szCs w:val="20"/>
          <w:color w:val="auto"/>
        </w:rPr>
      </w:pPr>
      <w:r>
        <w:rPr>
          <w:rFonts w:ascii="Arial" w:cs="Arial" w:eastAsia="Arial" w:hAnsi="Arial"/>
          <w:sz w:val="17"/>
          <w:szCs w:val="17"/>
          <w:color w:val="auto"/>
        </w:rPr>
        <w:t>The Partnership had $9,996 of held-to-maturity securities with original maturities of three months or less, primarily consisting of corporate debt securities, classified as cash equivalents at June 30, 2017. The Partnership's investments in held-to-maturity securities are held at amortized cost, which approximates fair value. There were no held-to-maturity securities, classified as cash equivalents, at December 31,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Accounts Receivable—Third Parties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receivable—third parties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260" w:type="dxa"/>
            <w:vAlign w:val="bottom"/>
            <w:tcBorders>
              <w:bottom w:val="single" w:sz="8" w:color="CCEEFF"/>
            </w:tcBorders>
          </w:tcPr>
          <w:p>
            <w:pPr>
              <w:spacing w:after="0"/>
              <w:rPr>
                <w:sz w:val="16"/>
                <w:szCs w:val="16"/>
                <w:color w:val="auto"/>
              </w:rPr>
            </w:pPr>
          </w:p>
        </w:tc>
        <w:tc>
          <w:tcPr>
            <w:tcW w:w="4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customers</w:t>
            </w:r>
          </w:p>
        </w:tc>
        <w:tc>
          <w:tcPr>
            <w:tcW w:w="4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15,759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11,913</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4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7"/>
        </w:trPr>
        <w:tc>
          <w:tcPr>
            <w:tcW w:w="426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14,720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11,349</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Other</w:t>
            </w:r>
          </w:p>
        </w:tc>
        <w:tc>
          <w:tcPr>
            <w:tcW w:w="4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7"/>
        </w:trPr>
        <w:tc>
          <w:tcPr>
            <w:tcW w:w="426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receivable, net—third parties</w:t>
            </w:r>
          </w:p>
        </w:tc>
        <w:tc>
          <w:tcPr>
            <w:tcW w:w="4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14,720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12,085</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bottom w:val="single" w:sz="8" w:color="CCEEFF"/>
            </w:tcBorders>
            <w:vMerge w:val="restart"/>
          </w:tcPr>
          <w:p>
            <w:pPr>
              <w:jc w:val="right"/>
              <w:ind w:right="2510"/>
              <w:spacing w:after="0"/>
              <w:rPr>
                <w:sz w:val="20"/>
                <w:szCs w:val="20"/>
                <w:color w:val="auto"/>
              </w:rPr>
            </w:pPr>
            <w:r>
              <w:rPr>
                <w:rFonts w:ascii="Arial" w:cs="Arial" w:eastAsia="Arial" w:hAnsi="Arial"/>
                <w:sz w:val="18"/>
                <w:szCs w:val="18"/>
                <w:color w:val="auto"/>
              </w:rPr>
              <w:t>8</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6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3,610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Feedstock, additives and chemicals</w:t>
            </w: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324</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4,558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3,934</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Plant and Equipment</w:t>
      </w:r>
    </w:p>
    <w:p>
      <w:pPr>
        <w:spacing w:after="0" w:line="94"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As of June 30, 2017, the Partnership had property, plant and equipment, net totaling $1,220,393. The Partnership assesses these assets for impairment whenever events or changes in circumstances indicate that the carrying amount of an asset may not be recoverable, including when negative conditions such as significant current or projected operating losses exist. Other factors considered by the Partnership when determining if an impairment assessment is necessary include, but are not limited to,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U.S. and world economies and uncertainties associated with governmental actions. Long-lived assets assessed for impairment are grouped at the lowest level for which identifiable cash flows are largely independent of the cash flows of other assets and liabilities.</w:t>
      </w:r>
    </w:p>
    <w:p>
      <w:pPr>
        <w:spacing w:after="0" w:line="113" w:lineRule="exact"/>
        <w:rPr>
          <w:sz w:val="20"/>
          <w:szCs w:val="20"/>
          <w:color w:val="auto"/>
        </w:rPr>
      </w:pPr>
    </w:p>
    <w:p>
      <w:pPr>
        <w:jc w:val="both"/>
        <w:ind w:right="100" w:firstLine="432"/>
        <w:spacing w:after="0" w:line="286" w:lineRule="auto"/>
        <w:rPr>
          <w:sz w:val="20"/>
          <w:szCs w:val="20"/>
          <w:color w:val="auto"/>
        </w:rPr>
      </w:pPr>
      <w:r>
        <w:rPr>
          <w:rFonts w:ascii="Arial" w:cs="Arial" w:eastAsia="Arial" w:hAnsi="Arial"/>
          <w:sz w:val="17"/>
          <w:szCs w:val="17"/>
          <w:color w:val="auto"/>
        </w:rPr>
        <w:t>Depreciation expense on property, plant and equipment of $22,251 and $17,094 is included in cost of sales in the consolidated statements of operations for the three months ended June 30, 2017 and 2016, respectively. Depreciation expense on property, plant and equipment of $45,664 and $33,647 is included in cost of sales in the consolidated statements of operations for the six months ended June 30, 2017 and 2016,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Assets</w:t>
      </w:r>
    </w:p>
    <w:p>
      <w:pPr>
        <w:spacing w:after="0" w:line="17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Amortization expense on other assets of $5,047 and $3,692 is included in costs of sales in the consolidated statements of operations for the three months ended June 30, 2017 and 2016, respectively. Amortization expense on other assets of $11,785 and $7,535 is included in costs of sales in the consolidated statements of operations for the six months ended June 30, 2017 and 2016,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Distributions and Net Income Per Limited Partner Unit</w:t>
      </w:r>
    </w:p>
    <w:p>
      <w:pPr>
        <w:spacing w:after="0" w:line="175" w:lineRule="exact"/>
        <w:rPr>
          <w:sz w:val="20"/>
          <w:szCs w:val="20"/>
          <w:color w:val="auto"/>
        </w:rPr>
      </w:pPr>
    </w:p>
    <w:p>
      <w:pPr>
        <w:ind w:right="420" w:firstLine="392"/>
        <w:spacing w:after="0" w:line="259" w:lineRule="auto"/>
        <w:rPr>
          <w:sz w:val="20"/>
          <w:szCs w:val="20"/>
          <w:color w:val="auto"/>
        </w:rPr>
      </w:pPr>
      <w:r>
        <w:rPr>
          <w:rFonts w:ascii="Arial" w:cs="Arial" w:eastAsia="Arial" w:hAnsi="Arial"/>
          <w:sz w:val="18"/>
          <w:szCs w:val="18"/>
          <w:color w:val="auto"/>
        </w:rPr>
        <w:t>On August 1, 2017, the board of directors of Westlake Chemical Partners GP LLC ("Westlake GP"), the Partnership's general partner, declared a quarterly cash distribution for the period from April 1, 2017 through June 30, 2017 of $0.3650 per unit and of $323 to the holders of the Partnership's incentive distribution rights ("IDR Holders"). This distribution is payable on August 29, 2017 to unitholders and IDR Holders of record as of August 15, 2017.</w:t>
      </w:r>
    </w:p>
    <w:p>
      <w:pPr>
        <w:spacing w:after="0" w:line="52"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Partnership Agreement provides that the Partnership will distribute cash each quarter during the subordination period in the following manner: first, to the holders of common units, until each common unit has received the minimum quarterly distribution of $0.2750, plus any arrearages from prior quarters; second, to the holders of subordinated units, until each subordinated unit has received the minimum quarterly distribution of $0.2750; and third, to the holders of common and subordinated units, pro-rata, until each unit has received a distribution of $0.3163. If cash distributions to the Partnership's unitholders exceed $0.3163 per common unit and subordinated unit in any quarter, the Partnership's unitholders and Westlake, as the holder of the Partnership's incentive distribution rights, will receive distributions according to the following percentage allocations: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Marginal Percentage Interest in Distributions</w:t>
            </w: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Quarterly Distribution Per Unit</w:t>
            </w:r>
          </w:p>
        </w:tc>
        <w:tc>
          <w:tcPr>
            <w:tcW w:w="4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Unitholders</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IDR Holders</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Above $0.3163 up to $0.3438</w:t>
            </w:r>
          </w:p>
        </w:tc>
        <w:tc>
          <w:tcPr>
            <w:tcW w:w="5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Above $0.3438 up to $0.4125</w:t>
            </w:r>
          </w:p>
        </w:tc>
        <w:tc>
          <w:tcPr>
            <w:tcW w:w="5760" w:type="dxa"/>
            <w:vAlign w:val="bottom"/>
            <w:gridSpan w:val="3"/>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40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Above $0.4125</w:t>
            </w:r>
          </w:p>
        </w:tc>
        <w:tc>
          <w:tcPr>
            <w:tcW w:w="5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459"/>
        </w:trPr>
        <w:tc>
          <w:tcPr>
            <w:tcW w:w="4000" w:type="dxa"/>
            <w:vAlign w:val="bottom"/>
          </w:tcPr>
          <w:p>
            <w:pPr>
              <w:spacing w:after="0"/>
              <w:rPr>
                <w:sz w:val="24"/>
                <w:szCs w:val="24"/>
                <w:color w:val="auto"/>
              </w:rPr>
            </w:pPr>
          </w:p>
        </w:tc>
        <w:tc>
          <w:tcPr>
            <w:tcW w:w="4100" w:type="dxa"/>
            <w:vAlign w:val="bottom"/>
          </w:tcPr>
          <w:p>
            <w:pPr>
              <w:jc w:val="right"/>
              <w:ind w:right="225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319"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For the three months ended June 30, 2017, the Partnership's distribution exceeded the $0.3163 per common and subordinated unit target, which resulted in distributions to the IDR Holders.</w:t>
      </w:r>
    </w:p>
    <w:p>
      <w:pPr>
        <w:spacing w:after="0" w:line="116" w:lineRule="exact"/>
        <w:rPr>
          <w:sz w:val="20"/>
          <w:szCs w:val="20"/>
          <w:color w:val="auto"/>
        </w:rPr>
      </w:pPr>
    </w:p>
    <w:p>
      <w:pPr>
        <w:ind w:right="260" w:firstLine="392"/>
        <w:spacing w:after="0" w:line="277" w:lineRule="auto"/>
        <w:rPr>
          <w:sz w:val="20"/>
          <w:szCs w:val="20"/>
          <w:color w:val="auto"/>
        </w:rPr>
      </w:pPr>
      <w:r>
        <w:rPr>
          <w:rFonts w:ascii="Arial" w:cs="Arial" w:eastAsia="Arial" w:hAnsi="Arial"/>
          <w:sz w:val="18"/>
          <w:szCs w:val="18"/>
          <w:color w:val="auto"/>
        </w:rPr>
        <w:t>The distributions are declared subsequent to quarter end; therefore, the table below represents total distributions declared from earnings of the related periods pertaining to such distributions.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9,975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9,344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19,739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21,428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Less:</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Limited partners' distribution declared on common</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units</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5,246</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4,684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10,347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9,238</w:t>
            </w:r>
          </w:p>
        </w:tc>
        <w:tc>
          <w:tcPr>
            <w:tcW w:w="0" w:type="dxa"/>
            <w:vAlign w:val="bottom"/>
          </w:tcPr>
          <w:p>
            <w:pPr>
              <w:spacing w:after="0"/>
              <w:rPr>
                <w:sz w:val="1"/>
                <w:szCs w:val="1"/>
                <w:color w:val="auto"/>
              </w:rPr>
            </w:pPr>
          </w:p>
        </w:tc>
      </w:tr>
      <w:tr>
        <w:trPr>
          <w:trHeight w:val="229"/>
        </w:trPr>
        <w:tc>
          <w:tcPr>
            <w:tcW w:w="5160" w:type="dxa"/>
            <w:vAlign w:val="bottom"/>
          </w:tcPr>
          <w:p>
            <w:pPr>
              <w:ind w:left="380"/>
              <w:spacing w:after="0"/>
              <w:rPr>
                <w:sz w:val="20"/>
                <w:szCs w:val="20"/>
                <w:color w:val="auto"/>
              </w:rPr>
            </w:pPr>
            <w:r>
              <w:rPr>
                <w:rFonts w:ascii="Arial" w:cs="Arial" w:eastAsia="Arial" w:hAnsi="Arial"/>
                <w:sz w:val="18"/>
                <w:szCs w:val="18"/>
                <w:color w:val="auto"/>
              </w:rPr>
              <w:t>Limited partners' distribution declared on</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520"/>
              <w:spacing w:after="0"/>
              <w:rPr>
                <w:sz w:val="20"/>
                <w:szCs w:val="20"/>
                <w:color w:val="auto"/>
              </w:rPr>
            </w:pPr>
            <w:r>
              <w:rPr>
                <w:rFonts w:ascii="Arial" w:cs="Arial" w:eastAsia="Arial" w:hAnsi="Arial"/>
                <w:sz w:val="18"/>
                <w:szCs w:val="18"/>
                <w:color w:val="auto"/>
              </w:rPr>
              <w:t>subordinated units</w:t>
            </w:r>
          </w:p>
        </w:tc>
        <w:tc>
          <w:tcPr>
            <w:tcW w:w="94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4,631</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4,134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9,133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8,153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Distribution declared with respect to the incentive</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distribution rights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9"/>
        </w:trPr>
        <w:tc>
          <w:tcPr>
            <w:tcW w:w="5160" w:type="dxa"/>
            <w:vAlign w:val="bottom"/>
          </w:tcPr>
          <w:p>
            <w:pPr>
              <w:ind w:left="40"/>
              <w:spacing w:after="0"/>
              <w:rPr>
                <w:sz w:val="20"/>
                <w:szCs w:val="20"/>
                <w:color w:val="auto"/>
              </w:rPr>
            </w:pPr>
            <w:r>
              <w:rPr>
                <w:rFonts w:ascii="Arial" w:cs="Arial" w:eastAsia="Arial" w:hAnsi="Arial"/>
                <w:sz w:val="18"/>
                <w:szCs w:val="18"/>
                <w:color w:val="auto"/>
              </w:rPr>
              <w:t>(Distribution in excess of net income) net income in</w:t>
            </w:r>
          </w:p>
        </w:tc>
        <w:tc>
          <w:tcPr>
            <w:tcW w:w="940" w:type="dxa"/>
            <w:vAlign w:val="bottom"/>
            <w:tcBorders>
              <w:top w:val="single" w:sz="8" w:color="auto"/>
            </w:tcBorders>
            <w:vMerge w:val="restart"/>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8"/>
                <w:szCs w:val="18"/>
                <w:color w:val="auto"/>
              </w:rPr>
            </w:pPr>
          </w:p>
        </w:tc>
        <w:tc>
          <w:tcPr>
            <w:tcW w:w="920" w:type="dxa"/>
            <w:vAlign w:val="bottom"/>
            <w:tcBorders>
              <w:top w:val="single" w:sz="8" w:color="auto"/>
            </w:tcBorders>
            <w:vMerge w:val="restart"/>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3,989</w:t>
            </w:r>
          </w:p>
        </w:tc>
        <w:tc>
          <w:tcPr>
            <w:tcW w:w="0" w:type="dxa"/>
            <w:vAlign w:val="bottom"/>
          </w:tcPr>
          <w:p>
            <w:pPr>
              <w:spacing w:after="0"/>
              <w:rPr>
                <w:sz w:val="1"/>
                <w:szCs w:val="1"/>
                <w:color w:val="auto"/>
              </w:rPr>
            </w:pPr>
          </w:p>
        </w:tc>
      </w:tr>
      <w:tr>
        <w:trPr>
          <w:trHeight w:val="242"/>
        </w:trPr>
        <w:tc>
          <w:tcPr>
            <w:tcW w:w="5160" w:type="dxa"/>
            <w:vAlign w:val="bottom"/>
          </w:tcPr>
          <w:p>
            <w:pPr>
              <w:ind w:left="180"/>
              <w:spacing w:after="0"/>
              <w:rPr>
                <w:sz w:val="20"/>
                <w:szCs w:val="20"/>
                <w:color w:val="auto"/>
              </w:rPr>
            </w:pPr>
            <w:r>
              <w:rPr>
                <w:rFonts w:ascii="Arial" w:cs="Arial" w:eastAsia="Arial" w:hAnsi="Arial"/>
                <w:sz w:val="18"/>
                <w:szCs w:val="18"/>
                <w:color w:val="auto"/>
              </w:rPr>
              <w:t>excess of distribution</w:t>
            </w:r>
          </w:p>
        </w:tc>
        <w:tc>
          <w:tcPr>
            <w:tcW w:w="940" w:type="dxa"/>
            <w:vAlign w:val="bottom"/>
            <w:tcBorders>
              <w:bottom w:val="single" w:sz="8" w:color="auto"/>
            </w:tcBorders>
            <w:vMerge w:val="continue"/>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Net income per unit applicable to common limited partner units and to subordinated limited partner units is computed by dividing the respective limited partners' interest in net income by the weighted-average number of common units and subordinated units outstanding for the period. Because the Partnership has more than one class of participating securities, it uses the two-class method when calculating the net income per unit applicable to limited partners. The classes of participating securities include common units, subordinated units and incentive distribution rights. Net income attributable to the Partnership is allocated to the unitholders in accordance with their respective ownership percentages in preparation of the consolidated statement of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pacing w:after="0" w:line="171"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Three Months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Limited Partners'</w:t>
            </w:r>
          </w:p>
        </w:tc>
        <w:tc>
          <w:tcPr>
            <w:tcW w:w="140" w:type="dxa"/>
            <w:vAlign w:val="bottom"/>
          </w:tcPr>
          <w:p>
            <w:pPr>
              <w:spacing w:after="0"/>
              <w:rPr>
                <w:sz w:val="14"/>
                <w:szCs w:val="14"/>
                <w:color w:val="auto"/>
              </w:rPr>
            </w:pPr>
          </w:p>
        </w:tc>
        <w:tc>
          <w:tcPr>
            <w:tcW w:w="1340" w:type="dxa"/>
            <w:vAlign w:val="bottom"/>
          </w:tcPr>
          <w:p>
            <w:pPr>
              <w:jc w:val="right"/>
              <w:ind w:right="95"/>
              <w:spacing w:after="0"/>
              <w:rPr>
                <w:sz w:val="20"/>
                <w:szCs w:val="20"/>
                <w:color w:val="auto"/>
              </w:rPr>
            </w:pPr>
            <w:r>
              <w:rPr>
                <w:rFonts w:ascii="Arial" w:cs="Arial" w:eastAsia="Arial" w:hAnsi="Arial"/>
                <w:sz w:val="14"/>
                <w:szCs w:val="14"/>
                <w:b w:val="1"/>
                <w:bCs w:val="1"/>
                <w:color w:val="auto"/>
              </w:rPr>
              <w:t>Limited Partners'</w:t>
            </w:r>
          </w:p>
        </w:tc>
        <w:tc>
          <w:tcPr>
            <w:tcW w:w="100" w:type="dxa"/>
            <w:vAlign w:val="bottom"/>
          </w:tcPr>
          <w:p>
            <w:pPr>
              <w:spacing w:after="0"/>
              <w:rPr>
                <w:sz w:val="14"/>
                <w:szCs w:val="1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Incentive Distribution</w:t>
            </w:r>
          </w:p>
        </w:tc>
        <w:tc>
          <w:tcPr>
            <w:tcW w:w="340" w:type="dxa"/>
            <w:vAlign w:val="bottom"/>
          </w:tcPr>
          <w:p>
            <w:pPr>
              <w:spacing w:after="0"/>
              <w:rPr>
                <w:sz w:val="14"/>
                <w:szCs w:val="14"/>
                <w:color w:val="auto"/>
              </w:rPr>
            </w:pPr>
          </w:p>
        </w:tc>
        <w:tc>
          <w:tcPr>
            <w:tcW w:w="11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Common Units</w:t>
            </w:r>
          </w:p>
        </w:tc>
        <w:tc>
          <w:tcPr>
            <w:tcW w:w="140" w:type="dxa"/>
            <w:vAlign w:val="bottom"/>
          </w:tcPr>
          <w:p>
            <w:pPr>
              <w:spacing w:after="0"/>
              <w:rPr>
                <w:sz w:val="16"/>
                <w:szCs w:val="16"/>
                <w:color w:val="auto"/>
              </w:rPr>
            </w:pPr>
          </w:p>
        </w:tc>
        <w:tc>
          <w:tcPr>
            <w:tcW w:w="1340" w:type="dxa"/>
            <w:vAlign w:val="bottom"/>
          </w:tcPr>
          <w:p>
            <w:pPr>
              <w:jc w:val="right"/>
              <w:ind w:right="55"/>
              <w:spacing w:after="0"/>
              <w:rPr>
                <w:sz w:val="20"/>
                <w:szCs w:val="20"/>
                <w:color w:val="auto"/>
              </w:rPr>
            </w:pPr>
            <w:r>
              <w:rPr>
                <w:rFonts w:ascii="Arial" w:cs="Arial" w:eastAsia="Arial" w:hAnsi="Arial"/>
                <w:sz w:val="14"/>
                <w:szCs w:val="14"/>
                <w:b w:val="1"/>
                <w:bCs w:val="1"/>
                <w:color w:val="auto"/>
                <w:w w:val="91"/>
              </w:rPr>
              <w:t>Subordinated Units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Rights</w:t>
            </w: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Distribution declared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5,246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4,631</w:t>
            </w:r>
          </w:p>
        </w:tc>
        <w:tc>
          <w:tcPr>
            <w:tcW w:w="44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10,200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in excess of net income</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5,127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4,525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9,975</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units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14,373,615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12,686,115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27,059,730</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limited partner unit:</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77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center"/>
              <w:ind w:left="196"/>
              <w:spacing w:after="0"/>
              <w:rPr>
                <w:sz w:val="20"/>
                <w:szCs w:val="20"/>
                <w:color w:val="auto"/>
              </w:rPr>
            </w:pPr>
            <w:r>
              <w:rPr>
                <w:rFonts w:ascii="Arial" w:cs="Arial" w:eastAsia="Arial" w:hAnsi="Arial"/>
                <w:sz w:val="14"/>
                <w:szCs w:val="14"/>
                <w:b w:val="1"/>
                <w:bCs w:val="1"/>
                <w:color w:val="auto"/>
                <w:w w:val="93"/>
              </w:rPr>
              <w:t>Three Months Ended June 30, 2016</w:t>
            </w: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4"/>
              </w:rPr>
              <w:t>Incentive Distribution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4"/>
              </w:rPr>
              <w:t>Common Units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Subordinated Units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ind w:left="344"/>
              <w:spacing w:after="0"/>
              <w:rPr>
                <w:sz w:val="20"/>
                <w:szCs w:val="20"/>
                <w:color w:val="auto"/>
              </w:rPr>
            </w:pPr>
            <w:r>
              <w:rPr>
                <w:rFonts w:ascii="Arial" w:cs="Arial" w:eastAsia="Arial" w:hAnsi="Arial"/>
                <w:sz w:val="14"/>
                <w:szCs w:val="14"/>
                <w:b w:val="1"/>
                <w:bCs w:val="1"/>
                <w:color w:val="auto"/>
                <w:w w:val="91"/>
              </w:rPr>
              <w:t>Rights</w:t>
            </w: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Distribution declared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4,684</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4,134</w:t>
            </w:r>
          </w:p>
        </w:tc>
        <w:tc>
          <w:tcPr>
            <w:tcW w:w="20" w:type="dxa"/>
            <w:vAlign w:val="bottom"/>
          </w:tcPr>
          <w:p>
            <w:pPr>
              <w:spacing w:after="0"/>
              <w:rPr>
                <w:sz w:val="21"/>
                <w:szCs w:val="21"/>
                <w:color w:val="auto"/>
              </w:rPr>
            </w:pPr>
          </w:p>
        </w:tc>
        <w:tc>
          <w:tcPr>
            <w:tcW w:w="116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1"/>
                <w:szCs w:val="21"/>
                <w:color w:val="auto"/>
              </w:rPr>
            </w:pPr>
          </w:p>
        </w:tc>
        <w:tc>
          <w:tcPr>
            <w:tcW w:w="44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8,864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 in excess of distribution</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gridSpan w:val="2"/>
          </w:tcPr>
          <w:p>
            <w:pPr>
              <w:ind w:left="7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4,939</w:t>
            </w:r>
          </w:p>
        </w:tc>
        <w:tc>
          <w:tcPr>
            <w:tcW w:w="120" w:type="dxa"/>
            <w:vAlign w:val="bottom"/>
            <w:tcBorders>
              <w:bottom w:val="single" w:sz="8" w:color="CCEEFF"/>
            </w:tcBorders>
            <w:gridSpan w:val="2"/>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4,359</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gridSpan w:val="2"/>
          </w:tcPr>
          <w:p>
            <w:pPr>
              <w:spacing w:after="0"/>
              <w:rPr>
                <w:sz w:val="24"/>
                <w:szCs w:val="24"/>
                <w:color w:val="auto"/>
              </w:rPr>
            </w:pPr>
          </w:p>
        </w:tc>
        <w:tc>
          <w:tcPr>
            <w:tcW w:w="10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gridSpan w:val="2"/>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9,344</w:t>
            </w:r>
          </w:p>
        </w:tc>
        <w:tc>
          <w:tcPr>
            <w:tcW w:w="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units outstanding:</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Basic and diluted</w:t>
            </w: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14,373,615</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12,686,115</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27,059,730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per limited partner unit:</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Basic and 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0.34</w:t>
            </w:r>
          </w:p>
        </w:tc>
        <w:tc>
          <w:tcPr>
            <w:tcW w:w="120" w:type="dxa"/>
            <w:vAlign w:val="bottom"/>
            <w:gridSpan w:val="2"/>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center"/>
              <w:ind w:left="176"/>
              <w:spacing w:after="0"/>
              <w:rPr>
                <w:sz w:val="20"/>
                <w:szCs w:val="20"/>
                <w:color w:val="auto"/>
              </w:rPr>
            </w:pPr>
            <w:r>
              <w:rPr>
                <w:rFonts w:ascii="Arial" w:cs="Arial" w:eastAsia="Arial" w:hAnsi="Arial"/>
                <w:sz w:val="14"/>
                <w:szCs w:val="14"/>
                <w:b w:val="1"/>
                <w:bCs w:val="1"/>
                <w:color w:val="auto"/>
                <w:w w:val="92"/>
              </w:rPr>
              <w:t>Six Months Ended June 30, 2017</w:t>
            </w: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4"/>
              </w:rPr>
              <w:t>Incentive Distribution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4"/>
              </w:rPr>
              <w:t>Common Units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Subordinated Units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ind w:left="344"/>
              <w:spacing w:after="0"/>
              <w:rPr>
                <w:sz w:val="20"/>
                <w:szCs w:val="20"/>
                <w:color w:val="auto"/>
              </w:rPr>
            </w:pPr>
            <w:r>
              <w:rPr>
                <w:rFonts w:ascii="Arial" w:cs="Arial" w:eastAsia="Arial" w:hAnsi="Arial"/>
                <w:sz w:val="14"/>
                <w:szCs w:val="14"/>
                <w:b w:val="1"/>
                <w:bCs w:val="1"/>
                <w:color w:val="auto"/>
                <w:w w:val="91"/>
              </w:rPr>
              <w:t>Rights</w:t>
            </w: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Distribution declared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10,347</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9,133</w:t>
            </w:r>
          </w:p>
        </w:tc>
        <w:tc>
          <w:tcPr>
            <w:tcW w:w="20" w:type="dxa"/>
            <w:vAlign w:val="bottom"/>
          </w:tcPr>
          <w:p>
            <w:pPr>
              <w:spacing w:after="0"/>
              <w:rPr>
                <w:sz w:val="21"/>
                <w:szCs w:val="21"/>
                <w:color w:val="auto"/>
              </w:rPr>
            </w:pPr>
          </w:p>
        </w:tc>
        <w:tc>
          <w:tcPr>
            <w:tcW w:w="116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554</w:t>
            </w:r>
          </w:p>
        </w:tc>
        <w:tc>
          <w:tcPr>
            <w:tcW w:w="20" w:type="dxa"/>
            <w:vAlign w:val="bottom"/>
          </w:tcPr>
          <w:p>
            <w:pPr>
              <w:spacing w:after="0"/>
              <w:rPr>
                <w:sz w:val="21"/>
                <w:szCs w:val="21"/>
                <w:color w:val="auto"/>
              </w:rPr>
            </w:pPr>
          </w:p>
        </w:tc>
        <w:tc>
          <w:tcPr>
            <w:tcW w:w="44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20,034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Distribution in excess of net income</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gridSpan w:val="2"/>
          </w:tcPr>
          <w:p>
            <w:pPr>
              <w:ind w:left="7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10,191</w:t>
            </w:r>
          </w:p>
        </w:tc>
        <w:tc>
          <w:tcPr>
            <w:tcW w:w="120" w:type="dxa"/>
            <w:vAlign w:val="bottom"/>
            <w:tcBorders>
              <w:bottom w:val="single" w:sz="8" w:color="CCEEFF"/>
            </w:tcBorders>
            <w:gridSpan w:val="2"/>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8,994</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gridSpan w:val="2"/>
          </w:tcPr>
          <w:p>
            <w:pPr>
              <w:spacing w:after="0"/>
              <w:rPr>
                <w:sz w:val="24"/>
                <w:szCs w:val="24"/>
                <w:color w:val="auto"/>
              </w:rPr>
            </w:pPr>
          </w:p>
        </w:tc>
        <w:tc>
          <w:tcPr>
            <w:tcW w:w="10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554</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gridSpan w:val="2"/>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19,739</w:t>
            </w:r>
          </w:p>
        </w:tc>
        <w:tc>
          <w:tcPr>
            <w:tcW w:w="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units outstanding:</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Basic and diluted</w:t>
            </w: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14,373,615</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12,686,115</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27,059,730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per limited partner unit:</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Basic and 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0.71</w:t>
            </w:r>
          </w:p>
        </w:tc>
        <w:tc>
          <w:tcPr>
            <w:tcW w:w="120" w:type="dxa"/>
            <w:vAlign w:val="bottom"/>
            <w:gridSpan w:val="2"/>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center"/>
              <w:ind w:left="136"/>
              <w:spacing w:after="0"/>
              <w:rPr>
                <w:sz w:val="20"/>
                <w:szCs w:val="20"/>
                <w:color w:val="auto"/>
              </w:rPr>
            </w:pPr>
            <w:r>
              <w:rPr>
                <w:rFonts w:ascii="Arial" w:cs="Arial" w:eastAsia="Arial" w:hAnsi="Arial"/>
                <w:sz w:val="14"/>
                <w:szCs w:val="14"/>
                <w:b w:val="1"/>
                <w:bCs w:val="1"/>
                <w:color w:val="auto"/>
                <w:w w:val="92"/>
              </w:rPr>
              <w:t>Six Months Ended June 30, 2016</w:t>
            </w: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center"/>
              <w:ind w:right="95"/>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w w:val="99"/>
              </w:rPr>
              <w:t>Incentive Distribution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1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2"/>
              </w:rPr>
              <w:t>Common Units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Subordinated Units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Rights</w:t>
            </w: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Distribution declared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9,238</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8,153</w:t>
            </w:r>
          </w:p>
        </w:tc>
        <w:tc>
          <w:tcPr>
            <w:tcW w:w="20" w:type="dxa"/>
            <w:vAlign w:val="bottom"/>
          </w:tcPr>
          <w:p>
            <w:pPr>
              <w:spacing w:after="0"/>
              <w:rPr>
                <w:sz w:val="21"/>
                <w:szCs w:val="21"/>
                <w:color w:val="auto"/>
              </w:rPr>
            </w:pPr>
          </w:p>
        </w:tc>
        <w:tc>
          <w:tcPr>
            <w:tcW w:w="1160" w:type="dxa"/>
            <w:vAlign w:val="bottom"/>
            <w:gridSpan w:val="3"/>
          </w:tcPr>
          <w:p>
            <w:pPr>
              <w:jc w:val="right"/>
              <w:ind w:right="884"/>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1"/>
                <w:szCs w:val="21"/>
                <w:color w:val="auto"/>
              </w:rPr>
            </w:pPr>
          </w:p>
        </w:tc>
        <w:tc>
          <w:tcPr>
            <w:tcW w:w="4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17,439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in excess of distribution</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2,119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1,870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3,989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11,357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10,023</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80" w:type="dxa"/>
            <w:vAlign w:val="bottom"/>
            <w:tcBorders>
              <w:top w:val="single" w:sz="8" w:color="auto"/>
              <w:bottom w:val="single" w:sz="8" w:color="auto"/>
            </w:tcBorders>
            <w:gridSpan w:val="2"/>
          </w:tcPr>
          <w:p>
            <w:pPr>
              <w:jc w:val="right"/>
              <w:ind w:right="884"/>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21,428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units outstanding:</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and diluted</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14,373,615</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12,686,115</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27,059,730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per limited partner unit:</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Basic and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0.79</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0.79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Partnership and OpCo regularly enter into related party transactions with Westlake. See below for a description of transactions with related parties.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Related Parties</w:t>
      </w:r>
    </w:p>
    <w:p>
      <w:pPr>
        <w:spacing w:after="0" w:line="90"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OpCo sells ethylene to Westlake under the Amended Ethylene Sales Agreement. Additionally, the Partnership and OpCo from time to time provide other services or products for which each charges Westlake a fee.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to related parties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r>
      <w:tr>
        <w:trPr>
          <w:trHeight w:val="263"/>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sales—Westlake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240,989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181,635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453,919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412,895</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Under the Services and Secondment Agreement, OpCo uses a portion of its production capacity to process purge gas for Westlake. On August 4, 2016, OpCo and Westlake entered into an amendment to the Ethylene Sales Agreement in order to provide that certain of the pricing components that make up the price for ethylene sold thereunder would be modified to reflect the portion of OpCo's production capacity that is used to process Westlake's purge gas instead of producing ethylene and to clarify that costs specific to the processing of Westlake's purge gas would be recovered under the Services and Secondment Agreement, and not the Ethylene Sales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from Related Parties</w:t>
      </w:r>
    </w:p>
    <w:p>
      <w:pPr>
        <w:spacing w:after="0" w:line="90" w:lineRule="exact"/>
        <w:rPr>
          <w:sz w:val="20"/>
          <w:szCs w:val="20"/>
          <w:color w:val="auto"/>
        </w:rPr>
      </w:pPr>
    </w:p>
    <w:p>
      <w:pPr>
        <w:ind w:right="600" w:firstLine="405"/>
        <w:spacing w:after="0" w:line="308" w:lineRule="auto"/>
        <w:rPr>
          <w:sz w:val="20"/>
          <w:szCs w:val="20"/>
          <w:color w:val="auto"/>
        </w:rPr>
      </w:pPr>
      <w:r>
        <w:rPr>
          <w:rFonts w:ascii="Arial" w:cs="Arial" w:eastAsia="Arial" w:hAnsi="Arial"/>
          <w:sz w:val="17"/>
          <w:szCs w:val="17"/>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 cost of sales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1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Feedstock purchased from Westlake and included in cost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105,877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51,373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202,990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117,481</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Other charges from Westlake and included in cost of</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sales</w:t>
            </w:r>
          </w:p>
        </w:tc>
        <w:tc>
          <w:tcPr>
            <w:tcW w:w="360" w:type="dxa"/>
            <w:vAlign w:val="bottom"/>
          </w:tcPr>
          <w:p>
            <w:pPr>
              <w:spacing w:after="0"/>
              <w:rPr>
                <w:sz w:val="20"/>
                <w:szCs w:val="20"/>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25,525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19,665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50,942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40,118</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131,402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71,038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253,932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157,599</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from Related Parties Included in Selling, General and Administrative Expenses</w:t>
      </w:r>
    </w:p>
    <w:p>
      <w:pPr>
        <w:spacing w:after="0" w:line="90"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included within selling, general and administrative expenses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 received from Westlake and included in selling,</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6,946</w:t>
            </w:r>
          </w:p>
        </w:tc>
        <w:tc>
          <w:tcPr>
            <w:tcW w:w="12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5,003</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22"/>
              <w:spacing w:after="0"/>
              <w:rPr>
                <w:sz w:val="20"/>
                <w:szCs w:val="20"/>
                <w:color w:val="auto"/>
              </w:rPr>
            </w:pPr>
            <w:r>
              <w:rPr>
                <w:rFonts w:ascii="Arial" w:cs="Arial" w:eastAsia="Arial" w:hAnsi="Arial"/>
                <w:sz w:val="18"/>
                <w:szCs w:val="18"/>
                <w:color w:val="auto"/>
              </w:rPr>
              <w:t>13,678</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10,471</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Goods and Services from Related Parties Capitalized as Assets</w:t>
      </w:r>
    </w:p>
    <w:p>
      <w:pPr>
        <w:spacing w:after="0" w:line="90"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for goods and services capitalized as assets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Goods and services purchased from Westlake and</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3,239</w:t>
            </w:r>
          </w:p>
        </w:tc>
        <w:tc>
          <w:tcPr>
            <w:tcW w:w="12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11,074</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22"/>
              <w:spacing w:after="0"/>
              <w:rPr>
                <w:sz w:val="20"/>
                <w:szCs w:val="20"/>
                <w:color w:val="auto"/>
              </w:rPr>
            </w:pPr>
            <w:r>
              <w:rPr>
                <w:rFonts w:ascii="Arial" w:cs="Arial" w:eastAsia="Arial" w:hAnsi="Arial"/>
                <w:sz w:val="18"/>
                <w:szCs w:val="18"/>
                <w:color w:val="auto"/>
              </w:rPr>
              <w:t>7,324</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13,081</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capitalized as assets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9"/>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from and Accounts Payable to Related Parties</w:t>
      </w:r>
    </w:p>
    <w:p>
      <w:pPr>
        <w:spacing w:after="0" w:line="90"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The Partnership's accounts receivable from Westlake result primarily from ethylene sales to Westlake and the shortfall recoverable from Westlake under the Ethylene Sales Agreement. Under the Ethylene Sales Agreement, if production costs billed to Westlake on an annual basis are less than 95% of the actual production costs incurred by OpCo during the year, OpCo is entitled to recover the shortfall in the subsequent year. The shortfall is recognized in the period when such production activities occur. The shortfall recognized in 2016 is recoverable during 2017, per the Ethylene Sales Agreement. During 2016, Calvert City Olefins experienced a shutdown caused by a mechanical failure, which resulted in a force majeure event under the Ethylene Sales Agreement. Based on the annual year-end measurement, a buyer deficiency fee of $13,106 was recognized as a receivable from Westlake and as a component of net sales in the consolidated financial statements as of and for the year ended December 31, 2016. The buyer deficiency fee was collected from Westlake in January 2017.</w:t>
      </w:r>
    </w:p>
    <w:p>
      <w:pPr>
        <w:spacing w:after="0" w:line="32"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Partnership's accounts payable to Westlake result primarily from feedstock purchases under the Feedstock Supply Agreement and services provided under the Services and Secondment Agreement and the Omnibus Agreement.</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related party accounts receivable and accounts payable balances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9"/>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receivable—Westlake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79,367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126,977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Accounts payable—Westlake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(12,130)</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Payable to Related Parties</w:t>
      </w:r>
    </w:p>
    <w:p>
      <w:pPr>
        <w:spacing w:after="0" w:line="90"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connection with the IPO, OpCo assumed promissory notes payable to Westlake ("the August 2013 Promissory Notes") and entered into a senior unsecured revolving credit facility with Westlake. In April 2015, the Partnership entered into an unsecured revolving credit facility with Westlake. See Note 9 for a description of related party debt payable balances. Interest on related party debt payable balances for the three months ended June 30, 2017 and 2016 was $5,942 and $1,203, respectively, and for the six months ended June 30, 2017 and 2016 was $11,402 and $2,434, respectively. Interest on related party debt payable is presented as interest expense—Westlake in the consolidated statements of operations. Interest capitalized as a component of plant and equipment on related party debt was $20 and $3,050 for the three months ended June 30, 2017 and 2016, respectively, and $418 and $5,436 for the six months ended June 30, 2017 and 2016, respectively. At June 30, 2017 and December 31, 2016, accrued interest on related party debt was $2,967 and $5,517, respectively, and is reflected as a component of accrued liabilities in the consolidated balance sheets.</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payable to related parties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26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r>
      <w:tr>
        <w:trPr>
          <w:trHeight w:val="263"/>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payable to Westlake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588,280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594,629</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OpCo, together with other subsidiaries of Westlake not included in these consolidated financial statements, were guarantors under Westlake's revolving credit facility and the indentures governing its senior notes. During August 2016, OpCo and certain subsidiaries of Westlake were released from their guarantees.</w:t>
      </w:r>
    </w:p>
    <w:p>
      <w:pPr>
        <w:spacing w:after="0" w:line="127" w:lineRule="exact"/>
        <w:rPr>
          <w:sz w:val="20"/>
          <w:szCs w:val="20"/>
          <w:color w:val="auto"/>
        </w:rPr>
      </w:pPr>
    </w:p>
    <w:p>
      <w:pPr>
        <w:ind w:right="20" w:firstLine="392"/>
        <w:spacing w:after="0" w:line="277" w:lineRule="auto"/>
        <w:rPr>
          <w:sz w:val="20"/>
          <w:szCs w:val="20"/>
          <w:color w:val="auto"/>
        </w:rPr>
      </w:pPr>
      <w:r>
        <w:rPr>
          <w:rFonts w:ascii="Arial" w:cs="Arial" w:eastAsia="Arial" w:hAnsi="Arial"/>
          <w:sz w:val="18"/>
          <w:szCs w:val="18"/>
          <w:color w:val="auto"/>
        </w:rPr>
        <w:t>In 2015, the Partnership entered into an interest rate contract with Westlake to fix the London Interbank Offered Rate ("LIBOR") component of the interest rate for a portion of the MLP Revolver balance. See Note 11 for additional information on the interest rate contract.</w:t>
      </w:r>
    </w:p>
    <w:p>
      <w:pPr>
        <w:spacing w:after="0" w:line="116" w:lineRule="exact"/>
        <w:rPr>
          <w:sz w:val="20"/>
          <w:szCs w:val="20"/>
          <w:color w:val="auto"/>
        </w:rPr>
      </w:pPr>
    </w:p>
    <w:p>
      <w:pPr>
        <w:ind w:right="380" w:firstLine="392"/>
        <w:spacing w:after="0" w:line="277" w:lineRule="auto"/>
        <w:rPr>
          <w:sz w:val="20"/>
          <w:szCs w:val="20"/>
          <w:color w:val="auto"/>
        </w:rPr>
      </w:pPr>
      <w:r>
        <w:rPr>
          <w:rFonts w:ascii="Arial" w:cs="Arial" w:eastAsia="Arial" w:hAnsi="Arial"/>
          <w:sz w:val="18"/>
          <w:szCs w:val="18"/>
          <w:color w:val="auto"/>
        </w:rPr>
        <w:t>OpCo has two site lease agreements with Westlake, and each has a term of 50 years. Pursuant to the site lease agreements, OpCo pays Westlake one dollar per site per year.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 Payable to Westlake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payable to Westlake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6"/>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15"/>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August 2013 Promissory Notes (variable interest rate of prime plus 1.5%, original</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7"/>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scheduled maturity of August 1, 2023)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31,775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31,775</w:t>
            </w: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rPr>
              <w:t>OpCo Revolver (variable interest rate of LIBOR plus 3.0%, original scheduled maturity of</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60" w:type="dxa"/>
            <w:vAlign w:val="bottom"/>
          </w:tcPr>
          <w:p>
            <w:pPr>
              <w:ind w:left="160"/>
              <w:spacing w:after="0"/>
              <w:rPr>
                <w:sz w:val="20"/>
                <w:szCs w:val="20"/>
                <w:color w:val="auto"/>
              </w:rPr>
            </w:pPr>
            <w:r>
              <w:rPr>
                <w:rFonts w:ascii="Arial" w:cs="Arial" w:eastAsia="Arial" w:hAnsi="Arial"/>
                <w:sz w:val="18"/>
                <w:szCs w:val="18"/>
                <w:color w:val="auto"/>
              </w:rPr>
              <w:t>August 4, 2019)</w:t>
            </w:r>
          </w:p>
        </w:tc>
        <w:tc>
          <w:tcPr>
            <w:tcW w:w="280" w:type="dxa"/>
            <w:vAlign w:val="bottom"/>
          </w:tcPr>
          <w:p>
            <w:pPr>
              <w:spacing w:after="0"/>
              <w:rPr>
                <w:sz w:val="20"/>
                <w:szCs w:val="20"/>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421,164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427,513</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MLP Revolver (variable interest rate of LIBOR plus 2.0%, original scheduled maturity of</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8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April 29, 2018)</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135,341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135,341</w:t>
            </w:r>
          </w:p>
        </w:tc>
      </w:tr>
      <w:tr>
        <w:trPr>
          <w:trHeight w:val="237"/>
        </w:trPr>
        <w:tc>
          <w:tcPr>
            <w:tcW w:w="83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588,280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594,629</w:t>
            </w:r>
          </w:p>
        </w:tc>
      </w:tr>
      <w:tr>
        <w:trPr>
          <w:trHeight w:val="27"/>
        </w:trPr>
        <w:tc>
          <w:tcPr>
            <w:tcW w:w="8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weighted average interest rate on all long-term debt was 4.00% and 3.72% at June 30, 2017 and December 31, 2016, respectively.</w:t>
      </w:r>
    </w:p>
    <w:p>
      <w:pPr>
        <w:spacing w:after="0" w:line="171" w:lineRule="exact"/>
        <w:rPr>
          <w:sz w:val="20"/>
          <w:szCs w:val="20"/>
          <w:color w:val="auto"/>
        </w:rPr>
      </w:pPr>
    </w:p>
    <w:p>
      <w:pPr>
        <w:jc w:val="both"/>
        <w:ind w:right="100" w:firstLine="405"/>
        <w:spacing w:after="0" w:line="277" w:lineRule="auto"/>
        <w:rPr>
          <w:sz w:val="20"/>
          <w:szCs w:val="20"/>
          <w:color w:val="auto"/>
        </w:rPr>
      </w:pPr>
      <w:r>
        <w:rPr>
          <w:rFonts w:ascii="Arial" w:cs="Arial" w:eastAsia="Arial" w:hAnsi="Arial"/>
          <w:sz w:val="18"/>
          <w:szCs w:val="18"/>
          <w:color w:val="auto"/>
        </w:rPr>
        <w:t>As of June 30, 2017, the Partnership was in compliance with all of the covenants under the August 2013 Promissory Notes, the OpCo Revolver and the MLP Revolver.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Income (Loss)</w:t>
      </w:r>
    </w:p>
    <w:p>
      <w:pPr>
        <w:spacing w:after="0" w:line="9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Accumulated other comprehensive income or loss primarily reflects the effective portion of the gain or loss on derivative instrument designated and qualified as a cash flow hedge. Gain or loss amounts related to a cash flow hedge recorded in accumulated other comprehensive income or loss are reclassified to income in the same period in which the underlying hedged forecasted transaction affects income. If it becomes probable that a forecasted transaction will not occur, the related net gain or loss in accumulated other comprehensive income or loss is immediately reclassified into income. Changes in accumulated other comprehensive income (loss)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48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Interest rate contract—Other comprehensive income (loss) before reclassification</w:t>
            </w: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(1,094)</w:t>
            </w:r>
          </w:p>
        </w:tc>
      </w:tr>
      <w:tr>
        <w:trPr>
          <w:trHeight w:val="27"/>
        </w:trPr>
        <w:tc>
          <w:tcPr>
            <w:tcW w:w="8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contract—Amounts reclassified from accumulated other comprehensive loss</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57"/>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into net income</w:t>
            </w:r>
          </w:p>
        </w:tc>
        <w:tc>
          <w:tcPr>
            <w:tcW w:w="10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Balances at June 30,</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w:t>
            </w:r>
          </w:p>
        </w:tc>
      </w:tr>
      <w:tr>
        <w:trPr>
          <w:trHeight w:val="20"/>
        </w:trPr>
        <w:tc>
          <w:tcPr>
            <w:tcW w:w="8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w:t>
      </w:r>
    </w:p>
    <w:p>
      <w:pPr>
        <w:spacing w:after="0" w:line="94" w:lineRule="exact"/>
        <w:rPr>
          <w:sz w:val="20"/>
          <w:szCs w:val="20"/>
          <w:color w:val="auto"/>
        </w:rPr>
      </w:pPr>
    </w:p>
    <w:p>
      <w:pPr>
        <w:ind w:right="260" w:firstLine="432"/>
        <w:spacing w:after="0" w:line="273" w:lineRule="auto"/>
        <w:rPr>
          <w:sz w:val="20"/>
          <w:szCs w:val="20"/>
          <w:color w:val="auto"/>
        </w:rPr>
      </w:pPr>
      <w:r>
        <w:rPr>
          <w:rFonts w:ascii="Arial" w:cs="Arial" w:eastAsia="Arial" w:hAnsi="Arial"/>
          <w:sz w:val="17"/>
          <w:szCs w:val="17"/>
          <w:color w:val="auto"/>
        </w:rPr>
        <w:t>The accounting guidance for derivative instruments and hedging activities requires that the Partnership recognize all derivative instruments on the balance sheet at fair value, and changes in the derivative's fair value must be currently recognized in earnings or comprehensive income, depending on the designation of the derivative. If the derivative is designated as a fair value hedge, the changes in the fair value of the derivative and of the hedged item attributable to the hedged risk are recognized in earnings. If the derivative is designated as a cash flow hedge, the effective portion of the change in the fair value of the derivative is recorded in comprehensive income and is recognized in the statement of operations when the hedged item affects earnings. Ineffective portions of changes in the fair value of cash flow hedges are recognized in earnings currently.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Management</w:t>
      </w:r>
    </w:p>
    <w:p>
      <w:pPr>
        <w:spacing w:after="0" w:line="90"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During August 2015, the Partnership entered into an interest rate contract with Westlake designed to reduce the risks of variability of the interest rate under the MLP Revolver. The interest rate contract fixed the LIBOR component of the interest rate for a portion of the MLP Revolver balance. This contract was designated as a cash flow hedge. With the exception of this interest rate contract, the Partnership did not have any other derivative financial instruments during the three and six months ended June 30, 2017 and 2016.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of the derivative instrument on the Partnership's consolidated balance sheets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1168"/>
              <w:spacing w:after="0"/>
              <w:rPr>
                <w:sz w:val="20"/>
                <w:szCs w:val="20"/>
                <w:color w:val="auto"/>
              </w:rPr>
            </w:pPr>
            <w:r>
              <w:rPr>
                <w:rFonts w:ascii="Arial" w:cs="Arial" w:eastAsia="Arial" w:hAnsi="Arial"/>
                <w:sz w:val="14"/>
                <w:szCs w:val="14"/>
                <w:b w:val="1"/>
                <w:bCs w:val="1"/>
                <w:color w:val="auto"/>
              </w:rPr>
              <w:t>Derivative Assets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4"/>
          </w:tcPr>
          <w:p>
            <w:pPr>
              <w:jc w:val="right"/>
              <w:ind w:right="962"/>
              <w:spacing w:after="0"/>
              <w:rPr>
                <w:sz w:val="20"/>
                <w:szCs w:val="20"/>
                <w:color w:val="auto"/>
              </w:rPr>
            </w:pPr>
            <w:r>
              <w:rPr>
                <w:rFonts w:ascii="Arial" w:cs="Arial" w:eastAsia="Arial" w:hAnsi="Arial"/>
                <w:sz w:val="14"/>
                <w:szCs w:val="14"/>
                <w:b w:val="1"/>
                <w:bCs w:val="1"/>
                <w:color w:val="auto"/>
                <w:w w:val="94"/>
              </w:rPr>
              <w:t>Fair Value as of</w:t>
            </w:r>
          </w:p>
        </w:tc>
        <w:tc>
          <w:tcPr>
            <w:tcW w:w="0" w:type="dxa"/>
            <w:vAlign w:val="bottom"/>
          </w:tcPr>
          <w:p>
            <w:pPr>
              <w:spacing w:after="0"/>
              <w:rPr>
                <w:sz w:val="1"/>
                <w:szCs w:val="1"/>
                <w:color w:val="auto"/>
              </w:rPr>
            </w:pPr>
          </w:p>
        </w:tc>
      </w:tr>
      <w:tr>
        <w:trPr>
          <w:trHeight w:val="152"/>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 Cash Flow Hedging Relationship</w:t>
            </w:r>
          </w:p>
        </w:tc>
        <w:tc>
          <w:tcPr>
            <w:tcW w:w="120" w:type="dxa"/>
            <w:vAlign w:val="bottom"/>
            <w:vMerge w:val="restart"/>
          </w:tcPr>
          <w:p>
            <w:pPr>
              <w:spacing w:after="0"/>
              <w:rPr>
                <w:sz w:val="13"/>
                <w:szCs w:val="13"/>
                <w:color w:val="auto"/>
              </w:rPr>
            </w:pPr>
          </w:p>
        </w:tc>
        <w:tc>
          <w:tcPr>
            <w:tcW w:w="310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Balance Sheet Location</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w w:val="92"/>
              </w:rPr>
              <w:t>June 30,</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62"/>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10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63"/>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contract</w:t>
            </w: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Deferred charges and other assets, net</w:t>
            </w:r>
          </w:p>
        </w:tc>
        <w:tc>
          <w:tcPr>
            <w:tcW w:w="2480" w:type="dxa"/>
            <w:vAlign w:val="bottom"/>
            <w:gridSpan w:val="3"/>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following tables present the effect of the derivative instrument designated as cash flow hedge on the consolidated statements of operations and the consolidated statements of comprehensive income for the three and six months ended June 30, 2017 and 2016:</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Location of Loss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 in Cash Flow Hedging Relationship</w:t>
            </w: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360" w:type="dxa"/>
            <w:vAlign w:val="bottom"/>
          </w:tcPr>
          <w:p>
            <w:pPr>
              <w:spacing w:after="0"/>
              <w:rPr>
                <w:sz w:val="12"/>
                <w:szCs w:val="12"/>
                <w:color w:val="auto"/>
              </w:rPr>
            </w:pPr>
          </w:p>
        </w:tc>
        <w:tc>
          <w:tcPr>
            <w:tcW w:w="2840" w:type="dxa"/>
            <w:vAlign w:val="bottom"/>
            <w:gridSpan w:val="6"/>
            <w:vMerge w:val="restart"/>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2"/>
                <w:szCs w:val="12"/>
                <w:color w:val="auto"/>
              </w:rPr>
            </w:pPr>
          </w:p>
        </w:tc>
        <w:tc>
          <w:tcPr>
            <w:tcW w:w="2700" w:type="dxa"/>
            <w:vAlign w:val="bottom"/>
            <w:gridSpan w:val="4"/>
            <w:vMerge w:val="restart"/>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2"/>
        </w:trPr>
        <w:tc>
          <w:tcPr>
            <w:tcW w:w="3660" w:type="dxa"/>
            <w:vAlign w:val="bottom"/>
            <w:gridSpan w:val="2"/>
            <w:vMerge w:val="continue"/>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Operations</w:t>
            </w:r>
          </w:p>
        </w:tc>
        <w:tc>
          <w:tcPr>
            <w:tcW w:w="360" w:type="dxa"/>
            <w:vAlign w:val="bottom"/>
          </w:tcPr>
          <w:p>
            <w:pPr>
              <w:spacing w:after="0"/>
              <w:rPr>
                <w:sz w:val="16"/>
                <w:szCs w:val="16"/>
                <w:color w:val="auto"/>
              </w:rPr>
            </w:pPr>
          </w:p>
        </w:tc>
        <w:tc>
          <w:tcPr>
            <w:tcW w:w="2840" w:type="dxa"/>
            <w:vAlign w:val="bottom"/>
            <w:gridSpan w:val="6"/>
            <w:vMerge w:val="continue"/>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4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8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5"/>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contract—Loss reclassified</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from accumulated other</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66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 in Cash Flow Hedging Relationship</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24"/>
                <w:szCs w:val="24"/>
                <w:color w:val="auto"/>
              </w:rPr>
            </w:pPr>
          </w:p>
        </w:tc>
        <w:tc>
          <w:tcPr>
            <w:tcW w:w="2700" w:type="dxa"/>
            <w:vAlign w:val="bottom"/>
            <w:gridSpan w:val="4"/>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3540" w:type="dxa"/>
            <w:vAlign w:val="bottom"/>
            <w:tcBorders>
              <w:top w:val="single" w:sz="8" w:color="auto"/>
              <w:bottom w:val="single" w:sz="8" w:color="CCEEFF"/>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138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5"/>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Interest rate contract—Adjustments to fair value</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recognized in other comprehensive income</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was no ineffective portion of the derivative instrument during the three and six months ended June 30, 2017 and 2016.</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12 for the fair value of derivative instruments.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171"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following tables summarize, by level within the fair value hierarchy, the Partnership's liability and asset under the interest rate contract that was accounted for at fair value on a recurring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June 30, 2017</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6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80" w:type="dxa"/>
            <w:vAlign w:val="bottom"/>
          </w:tcPr>
          <w:p>
            <w:pPr>
              <w:spacing w:after="0"/>
              <w:rPr>
                <w:sz w:val="22"/>
                <w:szCs w:val="22"/>
                <w:color w:val="auto"/>
              </w:rPr>
            </w:pPr>
          </w:p>
        </w:tc>
        <w:tc>
          <w:tcPr>
            <w:tcW w:w="1000" w:type="dxa"/>
            <w:vAlign w:val="bottom"/>
          </w:tcPr>
          <w:p>
            <w:pPr>
              <w:jc w:val="right"/>
              <w:ind w:right="4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instruments</w:t>
            </w:r>
          </w:p>
        </w:tc>
        <w:tc>
          <w:tcPr>
            <w:tcW w:w="45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860" w:type="dxa"/>
            <w:vAlign w:val="bottom"/>
          </w:tcPr>
          <w:p>
            <w:pPr>
              <w:ind w:left="40"/>
              <w:spacing w:after="0"/>
              <w:rPr>
                <w:sz w:val="20"/>
                <w:szCs w:val="20"/>
                <w:color w:val="auto"/>
              </w:rPr>
            </w:pPr>
            <w:r>
              <w:rPr>
                <w:rFonts w:ascii="Arial" w:cs="Arial" w:eastAsia="Arial" w:hAnsi="Arial"/>
                <w:sz w:val="18"/>
                <w:szCs w:val="18"/>
                <w:color w:val="auto"/>
              </w:rPr>
              <w:t>Asset—Interest rate contract</w:t>
            </w:r>
          </w:p>
        </w:tc>
        <w:tc>
          <w:tcPr>
            <w:tcW w:w="4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ind w:left="78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4500" w:type="dxa"/>
            <w:vAlign w:val="bottom"/>
            <w:vMerge w:val="restart"/>
          </w:tcPr>
          <w:p>
            <w:pPr>
              <w:jc w:val="right"/>
              <w:ind w:right="2470"/>
              <w:spacing w:after="0"/>
              <w:rPr>
                <w:sz w:val="20"/>
                <w:szCs w:val="20"/>
                <w:color w:val="auto"/>
              </w:rPr>
            </w:pPr>
            <w:r>
              <w:rPr>
                <w:rFonts w:ascii="Arial" w:cs="Arial" w:eastAsia="Arial" w:hAnsi="Arial"/>
                <w:sz w:val="18"/>
                <w:szCs w:val="18"/>
                <w:color w:val="auto"/>
              </w:rPr>
              <w:t>15</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860" w:type="dxa"/>
            <w:vAlign w:val="bottom"/>
          </w:tcPr>
          <w:p>
            <w:pPr>
              <w:spacing w:after="0"/>
              <w:rPr>
                <w:sz w:val="24"/>
                <w:szCs w:val="24"/>
                <w:color w:val="auto"/>
              </w:rPr>
            </w:pPr>
          </w:p>
        </w:tc>
        <w:tc>
          <w:tcPr>
            <w:tcW w:w="45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December 31, 2016</w:t>
            </w:r>
          </w:p>
        </w:tc>
        <w:tc>
          <w:tcPr>
            <w:tcW w:w="92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w w:val="95"/>
              </w:rPr>
              <w:t>Total</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instruments</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64"/>
        </w:trPr>
        <w:tc>
          <w:tcPr>
            <w:tcW w:w="8360" w:type="dxa"/>
            <w:vAlign w:val="bottom"/>
          </w:tcPr>
          <w:p>
            <w:pPr>
              <w:ind w:left="40"/>
              <w:spacing w:after="0"/>
              <w:rPr>
                <w:sz w:val="20"/>
                <w:szCs w:val="20"/>
                <w:color w:val="auto"/>
              </w:rPr>
            </w:pPr>
            <w:r>
              <w:rPr>
                <w:rFonts w:ascii="Arial" w:cs="Arial" w:eastAsia="Arial" w:hAnsi="Arial"/>
                <w:sz w:val="18"/>
                <w:szCs w:val="18"/>
                <w:color w:val="auto"/>
              </w:rPr>
              <w:t>Asset—Interest rate contract</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2"/>
                <w:szCs w:val="22"/>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290</w:t>
            </w:r>
          </w:p>
        </w:tc>
      </w:tr>
      <w:tr>
        <w:trPr>
          <w:trHeight w:val="20"/>
        </w:trPr>
        <w:tc>
          <w:tcPr>
            <w:tcW w:w="8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fair value of the Level 2 interest rate contract is determined using standard valuation methodologies which incorporate relevant contract terms along with readily available market data (i.e. the 3-month LIBOR forward curve). There were no transfers in or out of Levels 1 and 2 of the fair value hierarchy during the six months ended June 30, 2017.</w:t>
      </w:r>
    </w:p>
    <w:p>
      <w:pPr>
        <w:spacing w:after="0" w:line="127"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The Partnership has other financial assets and liabilities subject to fair value measures. These financial assets and liabilities include accounts receivable, net, accounts payable and long-term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long-term debt at June 30, 2017 and December 31, 2016 are summarized in the table below. The Partnership's long-term debt includes the August 2013 Promissory Notes, the OpCo Revolver and the MLP Revolver. The fair value of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 2017</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2016</w:t>
            </w:r>
          </w:p>
        </w:tc>
        <w:tc>
          <w:tcPr>
            <w:tcW w:w="92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Carrying</w:t>
            </w:r>
          </w:p>
        </w:tc>
        <w:tc>
          <w:tcPr>
            <w:tcW w:w="460" w:type="dxa"/>
            <w:vAlign w:val="bottom"/>
          </w:tcPr>
          <w:p>
            <w:pPr>
              <w:spacing w:after="0"/>
              <w:rPr>
                <w:sz w:val="13"/>
                <w:szCs w:val="13"/>
                <w:color w:val="auto"/>
              </w:rPr>
            </w:pPr>
          </w:p>
        </w:tc>
        <w:tc>
          <w:tcPr>
            <w:tcW w:w="112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Carrying</w:t>
            </w:r>
          </w:p>
        </w:tc>
        <w:tc>
          <w:tcPr>
            <w:tcW w:w="560" w:type="dxa"/>
            <w:vAlign w:val="bottom"/>
          </w:tcPr>
          <w:p>
            <w:pPr>
              <w:spacing w:after="0"/>
              <w:rPr>
                <w:sz w:val="13"/>
                <w:szCs w:val="13"/>
                <w:color w:val="auto"/>
              </w:rPr>
            </w:pPr>
          </w:p>
        </w:tc>
        <w:tc>
          <w:tcPr>
            <w:tcW w:w="920" w:type="dxa"/>
            <w:vAlign w:val="bottom"/>
          </w:tcPr>
          <w:p>
            <w:pPr>
              <w:jc w:val="right"/>
              <w:ind w:right="517"/>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460" w:type="dxa"/>
            <w:vAlign w:val="bottom"/>
          </w:tcPr>
          <w:p>
            <w:pPr>
              <w:spacing w:after="0"/>
              <w:rPr>
                <w:sz w:val="16"/>
                <w:szCs w:val="16"/>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560" w:type="dxa"/>
            <w:vAlign w:val="bottom"/>
          </w:tcPr>
          <w:p>
            <w:pPr>
              <w:spacing w:after="0"/>
              <w:rPr>
                <w:sz w:val="16"/>
                <w:szCs w:val="16"/>
                <w:color w:val="auto"/>
              </w:rPr>
            </w:pPr>
          </w:p>
        </w:tc>
        <w:tc>
          <w:tcPr>
            <w:tcW w:w="920" w:type="dxa"/>
            <w:vAlign w:val="bottom"/>
          </w:tcPr>
          <w:p>
            <w:pPr>
              <w:jc w:val="right"/>
              <w:ind w:right="477"/>
              <w:spacing w:after="0"/>
              <w:rPr>
                <w:sz w:val="20"/>
                <w:szCs w:val="20"/>
                <w:color w:val="auto"/>
              </w:rPr>
            </w:pPr>
            <w:r>
              <w:rPr>
                <w:rFonts w:ascii="Arial" w:cs="Arial" w:eastAsia="Arial" w:hAnsi="Arial"/>
                <w:sz w:val="14"/>
                <w:szCs w:val="14"/>
                <w:b w:val="1"/>
                <w:bCs w:val="1"/>
                <w:color w:val="auto"/>
                <w:w w:val="90"/>
              </w:rPr>
              <w:t>Value</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August 2013 Promissory Notes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31,775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31,775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31,775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31,775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OpCo Revolver</w:t>
            </w:r>
          </w:p>
        </w:tc>
        <w:tc>
          <w:tcPr>
            <w:tcW w:w="28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421,164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437,088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427,513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442,716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MLP Revolver</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135,341</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135,526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135,341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134,835</w:t>
            </w:r>
          </w:p>
        </w:tc>
      </w:tr>
      <w:tr>
        <w:trPr>
          <w:trHeight w:val="27"/>
        </w:trPr>
        <w:tc>
          <w:tcPr>
            <w:tcW w:w="5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ind w:right="9100" w:firstLine="8"/>
        <w:spacing w:after="0" w:line="390" w:lineRule="auto"/>
        <w:tabs>
          <w:tab w:leader="none" w:pos="27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Information </w:t>
      </w:r>
      <w:r>
        <w:rPr>
          <w:rFonts w:ascii="Arial" w:cs="Arial" w:eastAsia="Arial" w:hAnsi="Arial"/>
          <w:sz w:val="16"/>
          <w:szCs w:val="16"/>
          <w:b w:val="1"/>
          <w:bCs w:val="1"/>
          <w:i w:val="1"/>
          <w:iCs w:val="1"/>
          <w:color w:val="auto"/>
        </w:rPr>
        <w:t>Accrued Liabilities</w:t>
      </w:r>
    </w:p>
    <w:p>
      <w:pPr>
        <w:ind w:firstLine="405"/>
        <w:spacing w:after="0" w:line="259" w:lineRule="auto"/>
        <w:rPr>
          <w:sz w:val="20"/>
          <w:szCs w:val="20"/>
          <w:color w:val="auto"/>
        </w:rPr>
      </w:pPr>
      <w:r>
        <w:rPr>
          <w:rFonts w:ascii="Arial" w:cs="Arial" w:eastAsia="Arial" w:hAnsi="Arial"/>
          <w:sz w:val="18"/>
          <w:szCs w:val="18"/>
          <w:color w:val="auto"/>
        </w:rPr>
        <w:t>Accrued liabilities were $15,230 and $15,717 at June 30, 2017 and December 31, 2016, respectively. The capital expenditures accrual, accrued interest, accrued taxes, and accrued maintenance, which are components of accrued liabilities, were $2,776, $2,967, $3,461, and $2,906, respectively, at June 30, 2017, and $2,647, $5,517, $1,497, and $2,586, respectively, at December 31, 2016. No other component of accrued liabilities was more than five percent of total current liabilities.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Activity</w:t>
      </w:r>
    </w:p>
    <w:p>
      <w:pPr>
        <w:spacing w:after="0" w:line="90"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The change in capital expenditure accrual increasing additions to property, plant and equipment was $293 for the six months ended June 30, 2017. The change in capital expenditure accrual reducing additions to property, plant and equipment was $50,354 for the six months ended June 30, 2016.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Recovery</w:t>
      </w:r>
    </w:p>
    <w:p>
      <w:pPr>
        <w:spacing w:after="0" w:line="171" w:lineRule="exact"/>
        <w:rPr>
          <w:sz w:val="20"/>
          <w:szCs w:val="20"/>
          <w:color w:val="auto"/>
        </w:rPr>
      </w:pPr>
    </w:p>
    <w:p>
      <w:pPr>
        <w:jc w:val="both"/>
        <w:ind w:right="720" w:firstLine="432"/>
        <w:spacing w:after="0" w:line="264" w:lineRule="auto"/>
        <w:rPr>
          <w:sz w:val="20"/>
          <w:szCs w:val="20"/>
          <w:color w:val="auto"/>
        </w:rPr>
      </w:pPr>
      <w:r>
        <w:rPr>
          <w:rFonts w:ascii="Arial" w:cs="Arial" w:eastAsia="Arial" w:hAnsi="Arial"/>
          <w:sz w:val="18"/>
          <w:szCs w:val="18"/>
          <w:color w:val="auto"/>
        </w:rPr>
        <w:t>During the six months ended June 30, 2017, the Partnership received an insurance recovery of approximately $1,672 representing involuntary conversion of assets related to the Calvert City Olefins unplanned shut-down during 2016. The insurance recovery is included in other income in the consolidated statement of operations for the six months ended June 30, 2017.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Major Customer and Concentration of Credit Risk</w:t>
      </w:r>
    </w:p>
    <w:p>
      <w:pPr>
        <w:spacing w:after="0" w:line="94"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During the three months ended June 30, 2017 and 2016, Westlake accounted for approximately 83.1% and 86.1%, respectively, of the Partnership's net sales. During the six months ended June 30, 2017 and 2016, Westlake accounted for approximately 80.0% and 89.1%, respectively, of the Partnership's net sales.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94"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("RCRA"),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Westlake will indemnify the Partnership for liabilities that occurred or existed prior to August 4, 2014.</w:t>
      </w:r>
    </w:p>
    <w:p>
      <w:pPr>
        <w:spacing w:after="0" w:line="12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i w:val="1"/>
          <w:iCs w:val="1"/>
          <w:color w:val="auto"/>
        </w:rPr>
        <w:t>Potential Flare Modifications</w:t>
      </w:r>
      <w:r>
        <w:rPr>
          <w:rFonts w:ascii="Arial" w:cs="Arial" w:eastAsia="Arial" w:hAnsi="Arial"/>
          <w:sz w:val="18"/>
          <w:szCs w:val="18"/>
          <w:color w:val="auto"/>
        </w:rPr>
        <w:t>. For several years, the EPA has been conducting an enforcement initiative against petroleum refineries and petrochemical</w:t>
      </w:r>
      <w:r>
        <w:rPr>
          <w:rFonts w:ascii="Arial" w:cs="Arial" w:eastAsia="Arial" w:hAnsi="Arial"/>
          <w:sz w:val="18"/>
          <w:szCs w:val="18"/>
          <w:i w:val="1"/>
          <w:iCs w:val="1"/>
          <w:color w:val="auto"/>
        </w:rPr>
        <w:t xml:space="preserve"> </w:t>
      </w:r>
      <w:r>
        <w:rPr>
          <w:rFonts w:ascii="Arial" w:cs="Arial" w:eastAsia="Arial" w:hAnsi="Arial"/>
          <w:sz w:val="18"/>
          <w:szCs w:val="18"/>
          <w:color w:val="auto"/>
        </w:rPr>
        <w:t>plants with respect to emissions from flares. On April 21, 2014, Westlake received a Clean Air Act Section 114 Information Request from the EPA which sought information regarding flares at the Calvert City and Lake Charles facilities. The EPA has informed Westlake that the information provided leads the EPA to believe that some of the flares are out of compliance with applicable standards. The EPA has indicated that it is seeking a consent decree that would obligate Westlake to take corrective actions relating to the alleged noncompliance. Westlake believes the resolution of these matters may require the payment of a monetary sanction in excess of $100.</w:t>
      </w:r>
    </w:p>
    <w:p>
      <w:pPr>
        <w:spacing w:after="0" w:line="13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i w:val="1"/>
          <w:iCs w:val="1"/>
          <w:color w:val="auto"/>
        </w:rPr>
        <w:t>Louisiana Notice of Violations</w:t>
      </w:r>
      <w:r>
        <w:rPr>
          <w:rFonts w:ascii="Arial" w:cs="Arial" w:eastAsia="Arial" w:hAnsi="Arial"/>
          <w:sz w:val="18"/>
          <w:szCs w:val="18"/>
          <w:color w:val="auto"/>
        </w:rPr>
        <w:t>. The Louisiana Department of Environmental Quality ("LDEQ") has issued notices of violations ("NOVs") regarding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Partnership's assets, and those of Westlake, for various air and water compliance issues. The Partnership and Westlake negotiated two settlement agreements with the LDEQ fully resolving the NOVs as well as additional violations alleged by the LDEQ though not made the subject of any specific NOV for a combined $192 in civil penalties. The penalties have been paid and upon submission of a letter withdrawing Westlake's request for administrative hearing, this matter is expected to be resolved.</w:t>
      </w:r>
    </w:p>
    <w:p>
      <w:pPr>
        <w:spacing w:after="0" w:line="134"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In addition to the matters described above, 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spacing w:after="0" w:line="204" w:lineRule="exact"/>
        <w:rPr>
          <w:sz w:val="20"/>
          <w:szCs w:val="20"/>
          <w:color w:val="auto"/>
        </w:rPr>
      </w:pPr>
    </w:p>
    <w:p>
      <w:pPr>
        <w:ind w:right="9680" w:firstLine="8"/>
        <w:spacing w:after="0" w:line="346" w:lineRule="auto"/>
        <w:tabs>
          <w:tab w:leader="none" w:pos="27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b w:val="1"/>
          <w:bCs w:val="1"/>
          <w:i w:val="1"/>
          <w:iCs w:val="1"/>
          <w:color w:val="auto"/>
        </w:rPr>
        <w:t>Distribution</w:t>
      </w:r>
    </w:p>
    <w:p>
      <w:pPr>
        <w:spacing w:after="0" w:line="1" w:lineRule="exact"/>
        <w:rPr>
          <w:sz w:val="20"/>
          <w:szCs w:val="20"/>
          <w:color w:val="auto"/>
        </w:rPr>
      </w:pPr>
    </w:p>
    <w:p>
      <w:pPr>
        <w:jc w:val="both"/>
        <w:ind w:right="160" w:firstLine="405"/>
        <w:spacing w:after="0" w:line="342" w:lineRule="auto"/>
        <w:rPr>
          <w:sz w:val="20"/>
          <w:szCs w:val="20"/>
          <w:color w:val="auto"/>
        </w:rPr>
      </w:pPr>
      <w:r>
        <w:rPr>
          <w:rFonts w:ascii="Arial" w:cs="Arial" w:eastAsia="Arial" w:hAnsi="Arial"/>
          <w:sz w:val="16"/>
          <w:szCs w:val="16"/>
          <w:color w:val="auto"/>
        </w:rPr>
        <w:t>On August 1, 2017, the board of directors of Westlake GP declared a quarterly distribution for the period from April 1, 2017 through June 30, 2017 of $0.3650 per unit and $323 to IDR Holders. This distribution is payable on August 29, 2017 to unitholders and IDR Holders of record as of August 15, 2017.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MLP Revolver Amendment</w:t>
      </w:r>
    </w:p>
    <w:p>
      <w:pPr>
        <w:spacing w:after="0" w:line="90"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On August 1, 2017, the Partnership entered into an amendment to the MLP Revolver agreement, resulting in the extension of the maturity date from April 29, 2018 to April 29,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Subsequent events were evaluated through the date on which the financial statements were issued.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This Management's Discussion and Analysis of Financial Condition and Results of Operations section should be read in conjunction with the accompanying consolidated financial statements and the notes thereto and the combined and consolidated financial statements and notes thereto included in Westlake Chemical Partners LP's annual report on Form 10-K for the fiscal year ended December 31, 2016 (the "2016 Form 10-K"), as filed with the SEC on March 7, 2017. Unless otherwise indicated, references in this report to "we," "our," "us" or like terms, refer to Westlake Chemical Partners LP (the "Partnership"), Westlake Chemical OpCo LP ("OpCo") and Westlake Chemical OpCo GP LLC ("OpCo GP"). References to "Westlake" refer to Westlake Chemical Corporation and its consolidated subsidiaries other than the Partnership, OpCo GP and OpCo. The following discussion contains forward-looking statements. Please read "Forward-Looking Statements" for a discussion of limitations inherent in such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Overview</w:t>
      </w:r>
    </w:p>
    <w:p>
      <w:pPr>
        <w:spacing w:after="0" w:line="94"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On August 4, 2014, we closed our initial public offering (the "IPO'") of 12,937,500 common units. We are a Delaware limited partnership formed by Westlake to operate, acquire and develop ethylene production facilities and related assets. Currently, our sole revenue generating asset is our 13.3% limited partner interest in OpCo, a limited partnership formed by Westlake and us in anticipation of the IPO to own and operate an ethylene production business. We control OpCo through our ownership of its general partner. Westlake retains the remaining 86.7% limited partner interest in OpCo as well as significant interest in us through its ownership of our general partner, 52.2% of our limited partner units (consisting of 1,436,115 common units and all of the subordinated units)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w:t>
      </w:r>
    </w:p>
    <w:p>
      <w:pPr>
        <w:spacing w:after="0" w:line="94"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w:t>
      </w:r>
    </w:p>
    <w:p>
      <w:pPr>
        <w:spacing w:after="0" w:line="58"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 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recognized during the period in which the related operating, maintenance or turnaround activities occur.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Maintenance Capital Expenditures and Turnaround Costs</w:t>
      </w:r>
    </w:p>
    <w:p>
      <w:pPr>
        <w:spacing w:after="0" w:line="94"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 may directly affect our profitability and cash flows. The impact on profitability is partially mitigated by the fact that we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MLP Distributable Cash Flow and EBITDA</w:t>
      </w:r>
    </w:p>
    <w:p>
      <w:pPr>
        <w:spacing w:after="0" w:line="94"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We use each of MLP distributable cash flow and EBITDA to analyze our performance. We define distributable cash flow as net income plus depreciation and amortization, less contributions for turnaround reserves and maintenance capital expenditures.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MLP distributable cash flow and EBITDA are non-GAAP supplemental financial measures that management and external users of our consolidated financial statements, such as industry analysts, investors, lenders and rating agencies, may use to assess:</w:t>
      </w:r>
    </w:p>
    <w:p>
      <w:pPr>
        <w:spacing w:after="0" w:line="3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operating performance as compared to other publicly traded partnerships;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incur and service debt and fund capital expenditures;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viability of acquisitions and other capital expenditure projects and the returns on investment of various investment opportunities.</w:t>
      </w:r>
    </w:p>
    <w:p>
      <w:pPr>
        <w:spacing w:after="0" w:line="171"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We believe that the presentation of MLP distributable cash flow and EBITDA provides useful information to investors in assessing our financial condition and results of operations. The GAAP measures most directly comparable to MLP distributable cash flow are net income and net cash provided by operating activities. MLP distributable cash flow should not be considered as an alternative to GAAP net income or net cash provided by operating activities. MLP distributable cash flow has important limitations as an analytical tool because it excludes some but not all items that affect net income and net cash provided by operating activities. The GAAP measures most directly comparable to EBITDA are net income and net cash provided by operating activities, but EBITDA should not be considered an alternative to such GAAP measures. EBITDA has important limitations as an analytical tool because it excludes (1) interest expense, which is a necessary element of our costs and ability to generate revenues because we have borrowed money to finance our operations, (2) depreciation, which is a necessary element of our costs and ability to generate revenues because we use capital assets and (3) income taxes, which was a necessary element of the operations of our predecessor. MLP distributable cash flow and EBITDA should not be considered in isolation or as a substitute for analysis of our results as reported under GAAP. See reconciliations for each of MLP distributable cash flow and EBITDA under "Results of Operations" below.</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On August 1, 2017, the Partnership entered into an amendment to the MLP Revolver credit agreement, resulting in the extension of the maturity date from April 29, 2018 to April 29, 2021.</w:t>
      </w:r>
    </w:p>
    <w:p>
      <w:pPr>
        <w:spacing w:after="0" w:line="35"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We completed the upgrade and capacity expansion of our Calvert City Olefins facility in April 2017. The expansion, along with other initiatives, is expected to increase ethylene capacity of Calvert City Olefins by approximately 100 million pounds annually to a total annual ethylene capacity of 730 million pounds.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5"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385"/>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5"/>
          </w:tcPr>
          <w:p>
            <w:pPr>
              <w:ind w:left="50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Net sales—Westlake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240,989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181,635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453,919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412,895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co-product, ethylene and other sales—third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parties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49,124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113,642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50,550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290,113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210,841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567,561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463,445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190,542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122,460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370,029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264,650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99,571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88,381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197,532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198,795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6,886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11,945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92,685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82,533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182,818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186,850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expense—Westlake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86,767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81,489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173,098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184,659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86,470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81,192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172,498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183,963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noncontrolling</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interest in OpCo</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76,495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71,848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152,759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162,535</w:t>
            </w:r>
          </w:p>
        </w:tc>
        <w:tc>
          <w:tcPr>
            <w:tcW w:w="0" w:type="dxa"/>
            <w:vAlign w:val="bottom"/>
          </w:tcPr>
          <w:p>
            <w:pPr>
              <w:spacing w:after="0"/>
              <w:rPr>
                <w:sz w:val="1"/>
                <w:szCs w:val="1"/>
                <w:color w:val="auto"/>
              </w:rPr>
            </w:pPr>
          </w:p>
        </w:tc>
      </w:tr>
      <w:tr>
        <w:trPr>
          <w:trHeight w:val="205"/>
        </w:trPr>
        <w:tc>
          <w:tcPr>
            <w:tcW w:w="516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 Westlake Chemical</w:t>
            </w: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9,975</w:t>
            </w:r>
          </w:p>
        </w:tc>
        <w:tc>
          <w:tcPr>
            <w:tcW w:w="120" w:type="dxa"/>
            <w:vAlign w:val="bottom"/>
          </w:tcPr>
          <w:p>
            <w:pPr>
              <w:spacing w:after="0"/>
              <w:rPr>
                <w:sz w:val="17"/>
                <w:szCs w:val="17"/>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9,344</w:t>
            </w:r>
          </w:p>
        </w:tc>
        <w:tc>
          <w:tcPr>
            <w:tcW w:w="100" w:type="dxa"/>
            <w:vAlign w:val="bottom"/>
          </w:tcPr>
          <w:p>
            <w:pPr>
              <w:spacing w:after="0"/>
              <w:rPr>
                <w:sz w:val="17"/>
                <w:szCs w:val="17"/>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19,739</w:t>
            </w:r>
          </w:p>
        </w:tc>
        <w:tc>
          <w:tcPr>
            <w:tcW w:w="100" w:type="dxa"/>
            <w:vAlign w:val="bottom"/>
          </w:tcPr>
          <w:p>
            <w:pPr>
              <w:spacing w:after="0"/>
              <w:rPr>
                <w:sz w:val="17"/>
                <w:szCs w:val="17"/>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21,428</w:t>
            </w:r>
          </w:p>
        </w:tc>
        <w:tc>
          <w:tcPr>
            <w:tcW w:w="0" w:type="dxa"/>
            <w:vAlign w:val="bottom"/>
          </w:tcPr>
          <w:p>
            <w:pPr>
              <w:spacing w:after="0"/>
              <w:rPr>
                <w:sz w:val="1"/>
                <w:szCs w:val="1"/>
                <w:color w:val="auto"/>
              </w:rPr>
            </w:pPr>
          </w:p>
        </w:tc>
      </w:tr>
      <w:tr>
        <w:trPr>
          <w:trHeight w:val="281"/>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Partners LP</w:t>
            </w:r>
          </w:p>
        </w:tc>
        <w:tc>
          <w:tcPr>
            <w:tcW w:w="36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MLP distributable cash flow </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10,967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4,295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22,414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13,810</w:t>
            </w:r>
          </w:p>
        </w:tc>
        <w:tc>
          <w:tcPr>
            <w:tcW w:w="0" w:type="dxa"/>
            <w:vAlign w:val="bottom"/>
          </w:tcPr>
          <w:p>
            <w:pPr>
              <w:spacing w:after="0"/>
              <w:rPr>
                <w:sz w:val="1"/>
                <w:szCs w:val="1"/>
                <w:color w:val="auto"/>
              </w:rPr>
            </w:pPr>
          </w:p>
        </w:tc>
      </w:tr>
      <w:tr>
        <w:trPr>
          <w:trHeight w:val="283"/>
        </w:trPr>
        <w:tc>
          <w:tcPr>
            <w:tcW w:w="5160" w:type="dxa"/>
            <w:vAlign w:val="bottom"/>
          </w:tcPr>
          <w:p>
            <w:pPr>
              <w:ind w:left="40"/>
              <w:spacing w:after="0" w:line="283"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120,008</w:t>
            </w:r>
          </w:p>
        </w:tc>
        <w:tc>
          <w:tcPr>
            <w:tcW w:w="1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103,478</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241,949</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228,275</w:t>
            </w: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____________</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280" w:hanging="245"/>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"Reconciliation of MLP Distributable Cash Flow to Net Income and Net Cash Provided by Operating Activities" below.</w:t>
      </w:r>
    </w:p>
    <w:p>
      <w:pPr>
        <w:spacing w:after="0" w:line="117" w:lineRule="exact"/>
        <w:rPr>
          <w:rFonts w:ascii="Arial" w:cs="Arial" w:eastAsia="Arial" w:hAnsi="Arial"/>
          <w:sz w:val="18"/>
          <w:szCs w:val="18"/>
          <w:color w:val="auto"/>
        </w:rPr>
      </w:pPr>
    </w:p>
    <w:p>
      <w:pPr>
        <w:ind w:left="280" w:hanging="245"/>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"Reconciliation of EBITDA to Net Income and Net Cash Provided by Operating Activities"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Three Months Ended June 30, 2017</w:t>
            </w:r>
          </w:p>
        </w:tc>
        <w:tc>
          <w:tcPr>
            <w:tcW w:w="100" w:type="dxa"/>
            <w:vAlign w:val="bottom"/>
          </w:tcPr>
          <w:p>
            <w:pPr>
              <w:spacing w:after="0"/>
              <w:rPr>
                <w:sz w:val="16"/>
                <w:szCs w:val="16"/>
                <w:color w:val="auto"/>
              </w:rPr>
            </w:pPr>
          </w:p>
        </w:tc>
        <w:tc>
          <w:tcPr>
            <w:tcW w:w="3200" w:type="dxa"/>
            <w:vAlign w:val="bottom"/>
            <w:tcBorders>
              <w:bottom w:val="single" w:sz="8" w:color="auto"/>
            </w:tcBorders>
            <w:gridSpan w:val="3"/>
          </w:tcPr>
          <w:p>
            <w:pPr>
              <w:jc w:val="right"/>
              <w:ind w:right="492"/>
              <w:spacing w:after="0"/>
              <w:rPr>
                <w:sz w:val="20"/>
                <w:szCs w:val="20"/>
                <w:color w:val="auto"/>
              </w:rPr>
            </w:pPr>
            <w:r>
              <w:rPr>
                <w:rFonts w:ascii="Arial" w:cs="Arial" w:eastAsia="Arial" w:hAnsi="Arial"/>
                <w:sz w:val="14"/>
                <w:szCs w:val="14"/>
                <w:b w:val="1"/>
                <w:bCs w:val="1"/>
                <w:color w:val="auto"/>
              </w:rPr>
              <w:t>Six Months Ended June 30, 2017</w:t>
            </w: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6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62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Volume</w:t>
            </w:r>
          </w:p>
        </w:tc>
        <w:tc>
          <w:tcPr>
            <w:tcW w:w="16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5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Sales Price</w:t>
            </w:r>
          </w:p>
        </w:tc>
        <w:tc>
          <w:tcPr>
            <w:tcW w:w="1620" w:type="dxa"/>
            <w:vAlign w:val="bottom"/>
            <w:gridSpan w:val="2"/>
            <w:vMerge w:val="continue"/>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Sales Price</w:t>
            </w: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 prices and volume percentage change from</w:t>
            </w: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prior-year period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-26.4 %</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561"/>
        </w:trPr>
        <w:tc>
          <w:tcPr>
            <w:tcW w:w="4920" w:type="dxa"/>
            <w:vAlign w:val="bottom"/>
          </w:tcPr>
          <w:p>
            <w:pPr>
              <w:spacing w:after="0"/>
              <w:rPr>
                <w:sz w:val="24"/>
                <w:szCs w:val="24"/>
                <w:color w:val="auto"/>
              </w:rPr>
            </w:pPr>
          </w:p>
        </w:tc>
        <w:tc>
          <w:tcPr>
            <w:tcW w:w="33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Three Months Ended June 30,</w:t>
            </w:r>
          </w:p>
        </w:tc>
        <w:tc>
          <w:tcPr>
            <w:tcW w:w="3200" w:type="dxa"/>
            <w:vAlign w:val="bottom"/>
            <w:gridSpan w:val="3"/>
          </w:tcPr>
          <w:p>
            <w:pPr>
              <w:jc w:val="right"/>
              <w:ind w:right="65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spacing w:after="0"/>
              <w:rPr>
                <w:sz w:val="22"/>
                <w:szCs w:val="22"/>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top w:val="single" w:sz="8" w:color="auto"/>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top w:val="single" w:sz="8" w:color="auto"/>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Average industry prices </w:t>
            </w:r>
            <w:r>
              <w:rPr>
                <w:rFonts w:ascii="Arial" w:cs="Arial" w:eastAsia="Arial" w:hAnsi="Arial"/>
                <w:sz w:val="25"/>
                <w:szCs w:val="25"/>
                <w:b w:val="1"/>
                <w:bCs w:val="1"/>
                <w:color w:val="auto"/>
                <w:vertAlign w:val="superscript"/>
              </w:rPr>
              <w:t>(1)</w:t>
            </w: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4920" w:type="dxa"/>
            <w:vAlign w:val="bottom"/>
          </w:tcPr>
          <w:p>
            <w:pPr>
              <w:ind w:left="40"/>
              <w:spacing w:after="0"/>
              <w:rPr>
                <w:sz w:val="20"/>
                <w:szCs w:val="20"/>
                <w:color w:val="auto"/>
              </w:rPr>
            </w:pPr>
            <w:r>
              <w:rPr>
                <w:rFonts w:ascii="Arial" w:cs="Arial" w:eastAsia="Arial" w:hAnsi="Arial"/>
                <w:sz w:val="18"/>
                <w:szCs w:val="18"/>
                <w:color w:val="auto"/>
              </w:rPr>
              <w:t>Ethane (cents/lb)</w:t>
            </w:r>
          </w:p>
        </w:tc>
        <w:tc>
          <w:tcPr>
            <w:tcW w:w="1580" w:type="dxa"/>
            <w:vAlign w:val="bottom"/>
          </w:tcPr>
          <w:p>
            <w:pPr>
              <w:jc w:val="right"/>
              <w:ind w:right="157"/>
              <w:spacing w:after="0"/>
              <w:rPr>
                <w:sz w:val="20"/>
                <w:szCs w:val="20"/>
                <w:color w:val="auto"/>
              </w:rPr>
            </w:pPr>
            <w:r>
              <w:rPr>
                <w:rFonts w:ascii="Arial" w:cs="Arial" w:eastAsia="Arial" w:hAnsi="Arial"/>
                <w:sz w:val="20"/>
                <w:szCs w:val="20"/>
                <w:color w:val="auto"/>
              </w:rPr>
              <w:t>8.3</w:t>
            </w:r>
          </w:p>
        </w:tc>
        <w:tc>
          <w:tcPr>
            <w:tcW w:w="100" w:type="dxa"/>
            <w:vAlign w:val="bottom"/>
          </w:tcPr>
          <w:p>
            <w:pPr>
              <w:spacing w:after="0"/>
              <w:rPr>
                <w:sz w:val="22"/>
                <w:szCs w:val="22"/>
                <w:color w:val="auto"/>
              </w:rPr>
            </w:pPr>
          </w:p>
        </w:tc>
        <w:tc>
          <w:tcPr>
            <w:tcW w:w="1520" w:type="dxa"/>
            <w:vAlign w:val="bottom"/>
          </w:tcPr>
          <w:p>
            <w:pPr>
              <w:jc w:val="right"/>
              <w:ind w:right="112"/>
              <w:spacing w:after="0"/>
              <w:rPr>
                <w:sz w:val="20"/>
                <w:szCs w:val="20"/>
                <w:color w:val="auto"/>
              </w:rPr>
            </w:pPr>
            <w:r>
              <w:rPr>
                <w:rFonts w:ascii="Arial" w:cs="Arial" w:eastAsia="Arial" w:hAnsi="Arial"/>
                <w:sz w:val="20"/>
                <w:szCs w:val="20"/>
                <w:color w:val="auto"/>
              </w:rPr>
              <w:t>6.8</w:t>
            </w:r>
          </w:p>
        </w:tc>
        <w:tc>
          <w:tcPr>
            <w:tcW w:w="100" w:type="dxa"/>
            <w:vAlign w:val="bottom"/>
          </w:tcPr>
          <w:p>
            <w:pPr>
              <w:spacing w:after="0"/>
              <w:rPr>
                <w:sz w:val="22"/>
                <w:szCs w:val="22"/>
                <w:color w:val="auto"/>
              </w:rPr>
            </w:pPr>
          </w:p>
        </w:tc>
        <w:tc>
          <w:tcPr>
            <w:tcW w:w="1560" w:type="dxa"/>
            <w:vAlign w:val="bottom"/>
          </w:tcPr>
          <w:p>
            <w:pPr>
              <w:jc w:val="right"/>
              <w:ind w:right="137"/>
              <w:spacing w:after="0"/>
              <w:rPr>
                <w:sz w:val="20"/>
                <w:szCs w:val="20"/>
                <w:color w:val="auto"/>
              </w:rPr>
            </w:pPr>
            <w:r>
              <w:rPr>
                <w:rFonts w:ascii="Arial" w:cs="Arial" w:eastAsia="Arial" w:hAnsi="Arial"/>
                <w:sz w:val="20"/>
                <w:szCs w:val="20"/>
                <w:color w:val="auto"/>
              </w:rPr>
              <w:t>8.1</w:t>
            </w:r>
          </w:p>
        </w:tc>
        <w:tc>
          <w:tcPr>
            <w:tcW w:w="120" w:type="dxa"/>
            <w:vAlign w:val="bottom"/>
          </w:tcPr>
          <w:p>
            <w:pPr>
              <w:spacing w:after="0"/>
              <w:rPr>
                <w:sz w:val="22"/>
                <w:szCs w:val="22"/>
                <w:color w:val="auto"/>
              </w:rPr>
            </w:pPr>
          </w:p>
        </w:tc>
        <w:tc>
          <w:tcPr>
            <w:tcW w:w="1520" w:type="dxa"/>
            <w:vAlign w:val="bottom"/>
          </w:tcPr>
          <w:p>
            <w:pPr>
              <w:jc w:val="right"/>
              <w:ind w:right="92"/>
              <w:spacing w:after="0"/>
              <w:rPr>
                <w:sz w:val="20"/>
                <w:szCs w:val="20"/>
                <w:color w:val="auto"/>
              </w:rPr>
            </w:pPr>
            <w:r>
              <w:rPr>
                <w:rFonts w:ascii="Arial" w:cs="Arial" w:eastAsia="Arial" w:hAnsi="Arial"/>
                <w:sz w:val="20"/>
                <w:szCs w:val="20"/>
                <w:color w:val="auto"/>
              </w:rPr>
              <w:t>6.1</w:t>
            </w: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Propane (cents/lb)</w:t>
            </w:r>
          </w:p>
        </w:tc>
        <w:tc>
          <w:tcPr>
            <w:tcW w:w="15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20"/>
                <w:szCs w:val="20"/>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20"/>
                <w:szCs w:val="20"/>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20"/>
                <w:szCs w:val="20"/>
                <w:color w:val="auto"/>
              </w:rPr>
              <w:t>15.9</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20"/>
                <w:szCs w:val="20"/>
                <w:color w:val="auto"/>
              </w:rPr>
              <w:t>10.4</w:t>
            </w:r>
          </w:p>
        </w:tc>
        <w:tc>
          <w:tcPr>
            <w:tcW w:w="0" w:type="dxa"/>
            <w:vAlign w:val="bottom"/>
          </w:tcPr>
          <w:p>
            <w:pPr>
              <w:spacing w:after="0"/>
              <w:rPr>
                <w:sz w:val="1"/>
                <w:szCs w:val="1"/>
                <w:color w:val="auto"/>
              </w:rPr>
            </w:pPr>
          </w:p>
        </w:tc>
      </w:tr>
      <w:tr>
        <w:trPr>
          <w:trHeight w:val="283"/>
        </w:trPr>
        <w:tc>
          <w:tcPr>
            <w:tcW w:w="4920" w:type="dxa"/>
            <w:vAlign w:val="bottom"/>
          </w:tcPr>
          <w:p>
            <w:pPr>
              <w:ind w:left="40"/>
              <w:spacing w:after="0" w:line="283" w:lineRule="exact"/>
              <w:rPr>
                <w:sz w:val="20"/>
                <w:szCs w:val="20"/>
                <w:color w:val="auto"/>
              </w:rPr>
            </w:pPr>
            <w:r>
              <w:rPr>
                <w:rFonts w:ascii="Arial" w:cs="Arial" w:eastAsia="Arial" w:hAnsi="Arial"/>
                <w:sz w:val="18"/>
                <w:szCs w:val="18"/>
                <w:color w:val="auto"/>
              </w:rPr>
              <w:t xml:space="preserve">Ethylene (cents/lb) </w:t>
            </w:r>
            <w:r>
              <w:rPr>
                <w:rFonts w:ascii="Arial" w:cs="Arial" w:eastAsia="Arial" w:hAnsi="Arial"/>
                <w:sz w:val="25"/>
                <w:szCs w:val="25"/>
                <w:color w:val="auto"/>
                <w:vertAlign w:val="superscript"/>
              </w:rPr>
              <w:t>(2)</w:t>
            </w:r>
          </w:p>
        </w:tc>
        <w:tc>
          <w:tcPr>
            <w:tcW w:w="1580" w:type="dxa"/>
            <w:vAlign w:val="bottom"/>
          </w:tcPr>
          <w:p>
            <w:pPr>
              <w:jc w:val="right"/>
              <w:ind w:right="157"/>
              <w:spacing w:after="0"/>
              <w:rPr>
                <w:sz w:val="20"/>
                <w:szCs w:val="20"/>
                <w:color w:val="auto"/>
              </w:rPr>
            </w:pPr>
            <w:r>
              <w:rPr>
                <w:rFonts w:ascii="Arial" w:cs="Arial" w:eastAsia="Arial" w:hAnsi="Arial"/>
                <w:sz w:val="20"/>
                <w:szCs w:val="20"/>
                <w:color w:val="auto"/>
              </w:rPr>
              <w:t>27.6</w:t>
            </w:r>
          </w:p>
        </w:tc>
        <w:tc>
          <w:tcPr>
            <w:tcW w:w="100" w:type="dxa"/>
            <w:vAlign w:val="bottom"/>
          </w:tcPr>
          <w:p>
            <w:pPr>
              <w:spacing w:after="0"/>
              <w:rPr>
                <w:sz w:val="24"/>
                <w:szCs w:val="24"/>
                <w:color w:val="auto"/>
              </w:rPr>
            </w:pPr>
          </w:p>
        </w:tc>
        <w:tc>
          <w:tcPr>
            <w:tcW w:w="1520" w:type="dxa"/>
            <w:vAlign w:val="bottom"/>
          </w:tcPr>
          <w:p>
            <w:pPr>
              <w:jc w:val="right"/>
              <w:ind w:right="112"/>
              <w:spacing w:after="0"/>
              <w:rPr>
                <w:sz w:val="20"/>
                <w:szCs w:val="20"/>
                <w:color w:val="auto"/>
              </w:rPr>
            </w:pPr>
            <w:r>
              <w:rPr>
                <w:rFonts w:ascii="Arial" w:cs="Arial" w:eastAsia="Arial" w:hAnsi="Arial"/>
                <w:sz w:val="20"/>
                <w:szCs w:val="20"/>
                <w:color w:val="auto"/>
              </w:rPr>
              <w:t>25.9</w:t>
            </w:r>
          </w:p>
        </w:tc>
        <w:tc>
          <w:tcPr>
            <w:tcW w:w="100" w:type="dxa"/>
            <w:vAlign w:val="bottom"/>
          </w:tcPr>
          <w:p>
            <w:pPr>
              <w:spacing w:after="0"/>
              <w:rPr>
                <w:sz w:val="24"/>
                <w:szCs w:val="24"/>
                <w:color w:val="auto"/>
              </w:rPr>
            </w:pPr>
          </w:p>
        </w:tc>
        <w:tc>
          <w:tcPr>
            <w:tcW w:w="1560" w:type="dxa"/>
            <w:vAlign w:val="bottom"/>
          </w:tcPr>
          <w:p>
            <w:pPr>
              <w:jc w:val="right"/>
              <w:ind w:right="137"/>
              <w:spacing w:after="0"/>
              <w:rPr>
                <w:sz w:val="20"/>
                <w:szCs w:val="20"/>
                <w:color w:val="auto"/>
              </w:rPr>
            </w:pPr>
            <w:r>
              <w:rPr>
                <w:rFonts w:ascii="Arial" w:cs="Arial" w:eastAsia="Arial" w:hAnsi="Arial"/>
                <w:sz w:val="20"/>
                <w:szCs w:val="20"/>
                <w:color w:val="auto"/>
              </w:rPr>
              <w:t>29.4</w:t>
            </w:r>
          </w:p>
        </w:tc>
        <w:tc>
          <w:tcPr>
            <w:tcW w:w="120" w:type="dxa"/>
            <w:vAlign w:val="bottom"/>
          </w:tcPr>
          <w:p>
            <w:pPr>
              <w:spacing w:after="0"/>
              <w:rPr>
                <w:sz w:val="24"/>
                <w:szCs w:val="24"/>
                <w:color w:val="auto"/>
              </w:rPr>
            </w:pPr>
          </w:p>
        </w:tc>
        <w:tc>
          <w:tcPr>
            <w:tcW w:w="1520" w:type="dxa"/>
            <w:vAlign w:val="bottom"/>
          </w:tcPr>
          <w:p>
            <w:pPr>
              <w:jc w:val="right"/>
              <w:ind w:right="92"/>
              <w:spacing w:after="0"/>
              <w:rPr>
                <w:sz w:val="20"/>
                <w:szCs w:val="20"/>
                <w:color w:val="auto"/>
              </w:rPr>
            </w:pPr>
            <w:r>
              <w:rPr>
                <w:rFonts w:ascii="Arial" w:cs="Arial" w:eastAsia="Arial" w:hAnsi="Arial"/>
                <w:sz w:val="20"/>
                <w:szCs w:val="20"/>
                <w:color w:val="auto"/>
              </w:rPr>
              <w:t>23.5</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_____________</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Industry pricing data was obtained through IHS Chemical. We have not independently verified the data.</w:t>
      </w:r>
    </w:p>
    <w:p>
      <w:pPr>
        <w:spacing w:after="0" w:line="63"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average North American spot prices of ethylene over the period as reported by IHS Chemical.</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MLP Distributable Cash Flow to Net Income and Net Cash Provided by Operating Activities</w:t>
      </w:r>
    </w:p>
    <w:p>
      <w:pPr>
        <w:spacing w:after="0" w:line="94"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following table presents reconciliations of MLP distributable cash flow to net income and net cash provided by operating activities, the most directly comparable GAAP financial measures, for each of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0" w:type="dxa"/>
            <w:vAlign w:val="bottom"/>
            <w:gridSpan w:val="5"/>
          </w:tcPr>
          <w:p>
            <w:pPr>
              <w:ind w:left="50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113,208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72,702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262,286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185,277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 and other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8,631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(89,588)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86,470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81,192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172,498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183,963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5"/>
                <w:szCs w:val="25"/>
                <w:color w:val="auto"/>
                <w:vertAlign w:val="superscript"/>
              </w:rPr>
              <w:t>(1)</w:t>
            </w:r>
          </w:p>
        </w:tc>
        <w:tc>
          <w:tcPr>
            <w:tcW w:w="360" w:type="dxa"/>
            <w:vAlign w:val="bottom"/>
          </w:tcPr>
          <w:p>
            <w:pPr>
              <w:spacing w:after="0"/>
              <w:rPr>
                <w:sz w:val="23"/>
                <w:szCs w:val="23"/>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27,299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20,786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57,449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41,182</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Contribution to turnaround reserves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(16,338)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Maintenance capital expenditures </w:t>
            </w:r>
            <w:r>
              <w:rPr>
                <w:rFonts w:ascii="Arial" w:cs="Arial" w:eastAsia="Arial" w:hAnsi="Arial"/>
                <w:sz w:val="25"/>
                <w:szCs w:val="25"/>
                <w:color w:val="auto"/>
                <w:vertAlign w:val="superscript"/>
              </w:rPr>
              <w:t>(2)</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Incentive distribution rights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Distributable cash flow attributable to</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noncontrolling interest in OpCo</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(85,091)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(113,087)</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MLP distributable cash flow</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10,967</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4,295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22,414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13,810</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right="40" w:hanging="492"/>
        <w:spacing w:after="0" w:line="26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depreciation and amortization in the second quarter and first six months of 2017 as compared to the second quarter and first six months of 2016 are primarily related to the increase in the property, plant and equipment and the turnaround deferred costs associated with the Lake Charles Petro 1 facility expansion and turnaround project that was completed in July 2016.</w:t>
      </w:r>
    </w:p>
    <w:p>
      <w:pPr>
        <w:spacing w:after="0" w:line="19"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Lower maintenance capital expenditures in the second quarter and first six months of 2017 as compared to the second quarter and first six months of 2016 are primarily related to the Lake Charles Petro 1 facility maintenance capital expenditures incurred in the first six months of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EBITDA to Net Income and Net Cash Provided by Operating Activities</w:t>
      </w:r>
    </w:p>
    <w:p>
      <w:pPr>
        <w:spacing w:after="0" w:line="94"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following table presents reconciliations of EBITDA to net income and net cash provided by operating activities, the most directly comparable GAAP financial measures, for each of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0" w:type="dxa"/>
            <w:vAlign w:val="bottom"/>
            <w:gridSpan w:val="5"/>
          </w:tcPr>
          <w:p>
            <w:pPr>
              <w:ind w:left="50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113,208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72,702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262,286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185,277</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 and other</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(26,630)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8,631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(89,588)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86,470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81,192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172,498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183,963</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27,299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20,786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57,449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41,182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2,434</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696</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120,008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103,478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241,949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228,275</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3"/>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90"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For the quarter ended June 30, 2017, net income was $86.5 million on net sales of $290.1 million. This represents an increase in net income of $5.3 million as compared to the quarter ended June 30, 2016 net income of $81.2 million on net sales of $210.8 million. Net income attributable to Westlake Chemical Partners LP for the quarter ended June 30, 2017 was $10.0 million as compared to $9.3 million for the quarter ended June 30, 2016, an increase of $0.6 million, which was consistent with the increase in net income. Net sales for the second quarter of 2017 increased by $79.3 million as compared to net sales for the second quarter of 2016 mainly attributable to higher sales volumes to Westlake and third parties, partially offset by lower internal sales prices to Westlake and the Shortfall of approximately $44.7 million recognized in the second quarter of 2016. Income from operations was $92.7 million for the second quarter of 2017 as compared to $82.5 million for the second quarter of 2016. Income from operations and net income for the second quarter of 2017 increased mainly as a result of higher sales volume to Westlake and third parties, partially offset by the Shortfall of approximately $44.7 million recognized in the second quarter of 2016, higher depreciation and amortization expense and higher selling, general and administrative expenses in the second quarter of 2017 as compared to the second quarter of 2016. Net income for the second quarter of 2017 was also lower due to decreased capitalized interest on major projects in the second quarter of 2017 as compared to the second quarter of 2016.</w:t>
      </w:r>
    </w:p>
    <w:p>
      <w:pPr>
        <w:spacing w:after="0" w:line="48"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For the six months ended June 30, 2017, net income was $172.5 million on net sales of $567.6 million. This represents a decrease in net income of $11.5 million as compared to the six months ended June 30, 2016 net income of $184.0 million on net sales of $463.4 million. Net income attributable to Westlake Chemical Partners LP for the six months ended June 30, 2017 was $19.7 million as compared to $21.4 million for the six months ended June 30, 2016, a decline of $1.7 million, which was consistent with the decline in net income. Net sales for the six months ended June 30, 2017 increased by $104.2 million as compared to net sales for the six months ended June 30, 2016 mainly attributable to higher overall sales volumes to Westlake and third parties, partially offset by the Shortfall of approximately $56.5 million recognized during the first six months of 2016. Income from operations was $182.8 million for the six months ended June 30, 2017 as compared to $186.9 million for the six months ended June 30, 2016. Income from operations and net income for the six months ended June 30, 2017 decreased mainly as a result of the Shortfall recognized for the six months ended June 30, 2016, higher depreciation and amortization expense and higher selling, general and administrative expenses, partially offset by higher sales volume to Westlake and third parties in the six months ended June 30, 2017 as compared to the six months ended June 30, 2016. Net income for the six months ended June 30, 2017 was also lower due to decreased capitalized interest on major projects in the six months ended June 30, 2017 as compared to the six months ended June 30, 2016.</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2017 Compared with Second Quarter 2016</w:t>
      </w:r>
    </w:p>
    <w:p>
      <w:pPr>
        <w:spacing w:after="0" w:line="90"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Total net sales increased by $79.3 million, or 37.6%, to $290.1 million in the second quarter of 2017 from $210.8 million in the second</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2016. The overall increase in sales volumes for the second quarter of 2017 contributed to an increase in net sales of 64.0%, as compared to the second quarter of 2016, which was primarily due to higher sales volumes to Westlake. This increase was partially offset by a 26.4% lower sales price of ethylene for the second quarter of 2017 compared to the sales price for the second quarter of 2016, which was primarily due to the Shortfall recognized as a component of net sales for the second quarter of 2016. Ethylene production at the Lake Charles Petro I facility increased during the second quarter of 2017 as a result of the upgrade and capacity expansion that was completed in July 2016. The production rates at the Lake Charles Petro 2 facility and at the Calvert City Olefins facility were higher during the second quarter of 2017 as compared to the second quarter of 2016.</w:t>
      </w:r>
    </w:p>
    <w:p>
      <w:pPr>
        <w:spacing w:after="0" w:line="12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increased to $99.6 million for the second quarter of 2017 from $88.4 million for the second quarter of 2016. The gross profit</w:t>
      </w:r>
      <w:r>
        <w:rPr>
          <w:rFonts w:ascii="Arial" w:cs="Arial" w:eastAsia="Arial" w:hAnsi="Arial"/>
          <w:sz w:val="18"/>
          <w:szCs w:val="18"/>
          <w:i w:val="1"/>
          <w:iCs w:val="1"/>
          <w:color w:val="auto"/>
        </w:rPr>
        <w:t xml:space="preserve"> </w:t>
      </w:r>
      <w:r>
        <w:rPr>
          <w:rFonts w:ascii="Arial" w:cs="Arial" w:eastAsia="Arial" w:hAnsi="Arial"/>
          <w:sz w:val="18"/>
          <w:szCs w:val="18"/>
          <w:color w:val="auto"/>
        </w:rPr>
        <w:t>margin in the second quarter of 2017 was 34.3%, as compared to 41.9% for the second quarter of 2016. The second quarter of 2017 gross profit margin was lower due to the recognition of the Shortfall in the second quarter of 2016 and higher depreciation and amortization expense in the second quarter of 2017 as a result of the 2016 Lake Charles Petro 1 facility expansion and turnaround, partially offset by higher sales volume to Westlake, as compared to the second quarter of 2016.</w:t>
      </w:r>
    </w:p>
    <w:p>
      <w:pPr>
        <w:spacing w:after="0" w:line="134"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by $1.1 million, or 19.0%, to $6.9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2017 as compared to $5.8 million in the second quarter of 2016. The increase was mainly attributable to the general and administrative expense allocation from Westlake, partially offset by a decrease in the allowance for bad debt accounts in the second quarter of 2017, as compared to the prior-year period.</w:t>
      </w:r>
    </w:p>
    <w:p>
      <w:pPr>
        <w:spacing w:after="0" w:line="13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increased by $4.7 million to $5.9 million in the second quarter of 2017 from $1.2 million in the second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2016, largely due to decreased capitalized interest on major projects in the second quarter of 2017 as compared to the second quarter of 2016 and a higher average debt balance to fund the capital expenditures related to the Lake Charles Petro 1 upgrade and expansion in 2016 and Calvert City Olefins upgrade and expansion in March and April 2017, as compared to the second quarter of 2016.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2017 Compared with Six Months Ended June 30, 2016</w:t>
      </w:r>
    </w:p>
    <w:p>
      <w:pPr>
        <w:spacing w:after="0" w:line="90"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Total net sales increased by $104.2 million, or 22.5%, to $567.6 million in the six months ended June 30, 2017 from $463.4 million in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2016. The overall sales volumes for the six months ended June 30, 2017 contributed to an increase in net sales of 23.5%, as compared to the six months ended June 30, 2016, due to higher sales volumes to Westlake and third parties. The overall ethylene and co-product sales price for the six months ended June 30, 2017 decreased by 1.0%, which was primarily due to lower sales prices to Westlake due to the recognition of the Shortfall in the six months ended June 30, 2016, partially offset by the increase in sales prices to third parties, as compared to the six months ended June 30, 2016. Ethylene production at the Lake Charles Petro I facility increased during the six months ended June 30, 2017 as a result of the upgrade and capacity expansion that was completed in July 2016 and a higher production rate at the Lake Charles Petro 2 facility, partially offset by a lower production rate at the Calvert City Olefins facility due to the upgrade and expansion at the facility during March and April 2017, as compared to the six months ended June 30, 2016.</w:t>
      </w:r>
    </w:p>
    <w:p>
      <w:pPr>
        <w:spacing w:after="0" w:line="112"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decreased to $197.5 million for the six months ended June 30, 2017 from $198.8 million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2016. The gross profit margin in the six months ended June 30, 2017 was 34.8%, as compared with 42.9% for the six months ended June 30, 2016. The six months ended June 30, 2017 gross profit margin was lower due to the recognition of the Shortfall in the six months ended June 30, 2016 and higher depreciation and amortization expense in the six months ended June 30, 2017 as a result of the 2016 Lake Charles Petro 1 facility expansion and turnaround, partially offset by a higher sales volume to third parties and Westlake, as compared to the six months ended June 30, 2016.</w:t>
      </w:r>
    </w:p>
    <w:p>
      <w:pPr>
        <w:spacing w:after="0" w:line="104"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by $2.8 million, or 23.5%, to $14.7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2017 as compared to $11.9 million in the six months ended June 30, 2016. The increase was mainly attributable to the general and administrative expense allocation from Westlake and an increase in the allowance for bad debt accounts in the six months ended June 30, 2017, as compared to the prior-year period.</w:t>
      </w:r>
    </w:p>
    <w:p>
      <w:pPr>
        <w:spacing w:after="0" w:line="133"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increased by $9.0 million to $11.4 million in the six months ended June 30, 2017 from $2.4 million in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2016, largely due to decreased capitalized interest on major projects in the six months ended June 30, 2017 as compared to the six months ended June 30, 2016 and a higher average debt balance in the six months ended June 30, 2017, to fund the capital expenditures related to the Lake Charles Petro 1 upgrade and expansion in 2016 and Calvert City Olefins upgrade and expansion during March and April 2017, as compared to the six months ended June 30, 2016.</w:t>
      </w:r>
    </w:p>
    <w:p>
      <w:pPr>
        <w:spacing w:after="0" w:line="134"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The increase in other income in the six months ended June 30, 2017 as compared to the six months ended June 30, 2016,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recognition of an insurance recovery with respect to the involuntary conversion of asset related to the Calvert City Olefins unplanned shut-down in 2016.</w:t>
      </w:r>
    </w:p>
    <w:p>
      <w:pPr>
        <w:spacing w:after="0" w:line="204" w:lineRule="exact"/>
        <w:rPr>
          <w:sz w:val="20"/>
          <w:szCs w:val="20"/>
          <w:color w:val="auto"/>
        </w:rPr>
      </w:pPr>
    </w:p>
    <w:p>
      <w:pPr>
        <w:ind w:right="4380"/>
        <w:spacing w:after="0" w:line="346" w:lineRule="auto"/>
        <w:rPr>
          <w:sz w:val="20"/>
          <w:szCs w:val="20"/>
          <w:color w:val="auto"/>
        </w:rPr>
      </w:pPr>
      <w:r>
        <w:rPr>
          <w:rFonts w:ascii="Arial" w:cs="Arial" w:eastAsia="Arial" w:hAnsi="Arial"/>
          <w:sz w:val="18"/>
          <w:szCs w:val="18"/>
          <w:b w:val="1"/>
          <w:bCs w:val="1"/>
          <w:color w:val="auto"/>
        </w:rPr>
        <w:t xml:space="preserve">CASH FLOW DISCUSSION FOR THE SIX MONTHS ENDED JUNE 30, 2017 AND 2016 </w:t>
      </w:r>
      <w:r>
        <w:rPr>
          <w:rFonts w:ascii="Arial" w:cs="Arial" w:eastAsia="Arial" w:hAnsi="Arial"/>
          <w:sz w:val="18"/>
          <w:szCs w:val="18"/>
          <w:b w:val="1"/>
          <w:bCs w:val="1"/>
          <w:i w:val="1"/>
          <w:iCs w:val="1"/>
          <w:color w:val="auto"/>
        </w:rPr>
        <w:t>Operating Activities</w:t>
      </w:r>
    </w:p>
    <w:p>
      <w:pPr>
        <w:spacing w:after="0" w:line="1"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Operating activities provided cash of $262.3 million in the first six months of 2017 compared to cash provided by operating activities of $185.3 million in the first six months of 2016. The $77.0 million increase in cash flows from operating activities was mainly due to an increase in cash provided by working capital and lower turnaround related expenditures during the six months ended June 30, 2017 as compared to the prior-year period. These increases were largely offset by the decrease in net income for the first six months of 2017, as compared to the first six months of 2016. Changes in components of working capital, which we define for the purposes of this cash flow discussion as accounts receivable—Westlake, accounts receivable, net—third parties, inventories, prepaid expenses and other current assets less accounts payable—Westlake, accounts payable—third parties and accrued liabilities, provided cash of $42.9 million in the first six months of 2017 as compared to $18.9 million of cash provided in the first six months of 2016, resulting in an overall favorable change of $24.0 million. The favorable change in working capital is mainly attributable to the favorable change in the Westlake accounts receivable balance offset by unfavorable changes in third party accounts payable and accrued liabilities.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400" w:firstLine="432"/>
        <w:spacing w:after="0" w:line="257" w:lineRule="auto"/>
        <w:rPr>
          <w:sz w:val="20"/>
          <w:szCs w:val="20"/>
          <w:color w:val="auto"/>
        </w:rPr>
      </w:pPr>
      <w:r>
        <w:rPr>
          <w:rFonts w:ascii="Arial" w:cs="Arial" w:eastAsia="Arial" w:hAnsi="Arial"/>
          <w:sz w:val="18"/>
          <w:szCs w:val="18"/>
          <w:color w:val="auto"/>
        </w:rPr>
        <w:t>Net cash used for investing activities during the first six months of 2017 was $42.2 million as compared to net cash used for investing activities of $168.4 million in the first six months of 2016, mainly due to decreased capital expenditures in the first six months of 2017 as compared to the prior-year period. Capital expenditures during the first six months of 2017 were primarily incurred for the Calvert City expansion while the same period in 2016 primarily reflected capital expenditures for the Lake Charles Petro 1 facility expansions and upgrade. The Lake Charles Petro 1 facility expansion and turnaround project was completed in July 2016.</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5"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Net cash used for financing activities during the first six months of 2017 was $204.1 million as compared to net cash used for financing activities of $35.1 million in the first six months of 2016. The cash outflows during the first six months of 2017 were related to the distribution of $178.4 million to Westlake and of $19.3 million to other unitholders by the Partnership and the repayment of $26.7 million of borrowings under the OpCo Revolver as compared to the distribution of $149.6 million to Westlake and of $16.9 million to other unitholders during the first six months of 2016. The distributions and repayment in the first six months of 2017 were partially offset by borrowings under the OpCo Revolver of $20.4 million to fund capital expenditures. The distributions in the first six months of 2016 were partially offset by borrowing under the OpCo Revolver of $131.8 million primarily to fund capital expenditures and our working capital requirements.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Financing Arrangements</w:t>
      </w:r>
    </w:p>
    <w:p>
      <w:pPr>
        <w:spacing w:after="0" w:line="9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and debt interests.</w:t>
      </w:r>
    </w:p>
    <w:p>
      <w:pPr>
        <w:spacing w:after="0" w:line="12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Partnership maintains separate bank accounts, but Westlake continues to provide treasury services on our behalf under the Services and Secondment Agreement. Our sources of liquidity include cash generated from operations, the OpCo Revolver, the MLP Revolver and, if necessary and possible under then current market conditions, the issuance of additional common units representing limited partner interests of the Partnership, other classes of units representing limited partners interests of the Partnership or debt securities.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required to do so.</w:t>
      </w:r>
    </w:p>
    <w:p>
      <w:pPr>
        <w:spacing w:after="0" w:line="124"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In order to fund non-annual turnaround expenditures, we cause OpCo to reserve approximately $30.0 million during each twelve-month period for turnaround activities. Each of OpCo's ethylene production facilities requires turnaround maintenance approximately every five years. By reserving additional cash annually, we intend to reduce the variability in OpCo's cash flow. Westlake's purchase price for ethylene purchased under the Ethylene Sales Agreement includes a component (adjusted annually) designed to cover, over the long term, substantially all of OpCo's turnaround expenditures.</w:t>
      </w:r>
    </w:p>
    <w:p>
      <w:pPr>
        <w:spacing w:after="0" w:line="117"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Our cash is generated from cash distributions from OpCo. OpCo was a restricted subsidiary and guarantor under Westlake's credit facility and the indentures governing its senior notes until August 2016. These guarantees were released during August 2016. The indentures governing Westlake's senior notes prevent OpCo from making distributions to us if any default or event of default (as defined in the indentures) exists. Westlake's credit facility does not prevent OpCo from making distributions to us.</w:t>
      </w:r>
    </w:p>
    <w:p>
      <w:pPr>
        <w:spacing w:after="0" w:line="133" w:lineRule="exact"/>
        <w:rPr>
          <w:sz w:val="20"/>
          <w:szCs w:val="20"/>
          <w:color w:val="auto"/>
        </w:rPr>
      </w:pPr>
    </w:p>
    <w:p>
      <w:pPr>
        <w:jc w:val="both"/>
        <w:ind w:right="40" w:firstLine="405"/>
        <w:spacing w:after="0" w:line="297" w:lineRule="auto"/>
        <w:rPr>
          <w:sz w:val="20"/>
          <w:szCs w:val="20"/>
          <w:color w:val="auto"/>
        </w:rPr>
      </w:pPr>
      <w:r>
        <w:rPr>
          <w:rFonts w:ascii="Arial" w:cs="Arial" w:eastAsia="Arial" w:hAnsi="Arial"/>
          <w:sz w:val="16"/>
          <w:szCs w:val="16"/>
          <w:color w:val="auto"/>
        </w:rPr>
        <w:t>On August 1, 2017, the board of directors of Westlake Chemical Partners GP LLC, our general partner, approved a quarterly distribution of $0.3650 per unit payable on August 29, 2017 to unitholders of record as of August 15, 2017 and a distribution to the incentive distribution rights holders ("IDR Holders"), which equates to a total amount of approximately $10.2 million per quarter, or approximately $40.8 million per year in aggregate (in each case, including the distribution to the IDR Holders), based on the number of common and subordinated units outstanding on June 30, 2017. We do not have a legal or contractual obligation to pay distributions on a quarterly basis or any other basis at our minimum quarterly distribution rate or any other rate.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90" w:lineRule="exact"/>
        <w:rPr>
          <w:sz w:val="20"/>
          <w:szCs w:val="20"/>
          <w:color w:val="auto"/>
        </w:rPr>
      </w:pPr>
    </w:p>
    <w:p>
      <w:pPr>
        <w:jc w:val="both"/>
        <w:ind w:right="100" w:firstLine="432"/>
        <w:spacing w:after="0" w:line="286" w:lineRule="auto"/>
        <w:rPr>
          <w:sz w:val="20"/>
          <w:szCs w:val="20"/>
          <w:color w:val="auto"/>
        </w:rPr>
      </w:pPr>
      <w:r>
        <w:rPr>
          <w:rFonts w:ascii="Arial" w:cs="Arial" w:eastAsia="Arial" w:hAnsi="Arial"/>
          <w:sz w:val="16"/>
          <w:szCs w:val="16"/>
          <w:color w:val="auto"/>
        </w:rPr>
        <w:t>Westlake has historically funded expansion capital expenditures related to Lake Charles Olefins and Calvert City Olefins. During the six months ended June 30, 2017 and 2016, Westlake loaned OpCo $20.4 million and $131.8 million, respectively, of which $20.4 million and $117.4 million was used to fund the expansion capital expenditures in the first six months of 2017 and 2016, respectively. The total capital expenditures, which include expansion and capital maintenance costs, for 2017 are expected to be approximately $71.2 million, of which $44.0 million was spent during the six months ended June 30, 2017.</w:t>
      </w:r>
    </w:p>
    <w:p>
      <w:pPr>
        <w:spacing w:after="0" w:line="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We expect that Westlake will loan additional cash to OpCo to fund its expansion capital expenditures in the future, but Westlake is under no obligation to do so.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260" w:firstLine="446"/>
        <w:spacing w:after="0" w:line="277" w:lineRule="auto"/>
        <w:rPr>
          <w:sz w:val="20"/>
          <w:szCs w:val="20"/>
          <w:color w:val="auto"/>
        </w:rPr>
      </w:pPr>
      <w:r>
        <w:rPr>
          <w:rFonts w:ascii="Arial" w:cs="Arial" w:eastAsia="Arial" w:hAnsi="Arial"/>
          <w:sz w:val="18"/>
          <w:szCs w:val="18"/>
          <w:color w:val="auto"/>
        </w:rPr>
        <w:t>As of June 30, 2017, our cash and cash equivalents totaled $104.9 million. In addition, we have a revolving credit facility with Westlake available to supplement cash if needed, as described under "Indebtedness"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August 2013 Promissory Notes</w:t>
      </w:r>
    </w:p>
    <w:p>
      <w:pPr>
        <w:spacing w:after="0" w:line="90"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In connection with the closing of the IPO, OpCo assumed $246.1 million of indebtedness under three intercompany promissory notes (the "August 2013 Promissory Notes"). As of June 30, 2017, $31.8 million of the principal amount of the August 2013 Promissory Notes was still outstanding. The August 2013 Promissory Notes have a ten-year term and bear interest at the prime rate plus a 1.5% margin, which is accrued in arrears quarterly. OpCo has the right at any time to prepay the August 2013 Promissory Notes, in whole or in part, without any premium or penalty. The August 2013 Promissory Notes mature in August 2023.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OpCo Revolver</w:t>
      </w:r>
    </w:p>
    <w:p>
      <w:pPr>
        <w:spacing w:after="0" w:line="90" w:lineRule="exact"/>
        <w:rPr>
          <w:sz w:val="20"/>
          <w:szCs w:val="20"/>
          <w:color w:val="auto"/>
        </w:rPr>
      </w:pPr>
    </w:p>
    <w:p>
      <w:pPr>
        <w:ind w:right="40" w:firstLine="392"/>
        <w:spacing w:after="0" w:line="264" w:lineRule="auto"/>
        <w:rPr>
          <w:sz w:val="20"/>
          <w:szCs w:val="20"/>
          <w:color w:val="auto"/>
        </w:rPr>
      </w:pPr>
      <w:r>
        <w:rPr>
          <w:rFonts w:ascii="Arial" w:cs="Arial" w:eastAsia="Arial" w:hAnsi="Arial"/>
          <w:sz w:val="18"/>
          <w:szCs w:val="18"/>
          <w:color w:val="auto"/>
        </w:rPr>
        <w:t>In connection with the IPO, OpCo entered into a $600.0 million revolving credit facility with Westlake (OpCo Revolver") that may be used to fund growth projects and working capital needs. As of June 30, 2017, outstanding borrowings under the OpCo Revolver totaled $421.2 million and bore interest at the LIBOR rate plus 3.0%, which is accrued in arrears quarterly. The OpCo Revolver matures in 2019.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MLP Revolver</w:t>
      </w:r>
    </w:p>
    <w:p>
      <w:pPr>
        <w:spacing w:after="0" w:line="9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In 2015, we entered into a $300.0 million senior, unsecured revolving credit agreement with Westlake Chemical Finance Corporation, an affiliate of Westlake ("MLP Revolver"). On August 1, 2017, the Partnership entered into an amendment to the MLP Revolver credit agreement, resulting in the extension of the maturity date from April 29, 2018 to April 29, 2021. Borrowings under the MLP Revolver bear interest at LIBOR plus a spread ranging from 2.0% to 3.0% (depending on our consolidated leverage ratio), payable quarterly.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 or less, or (2) during any other period, 4.50:1.0 or less. The MLP Revolver also contains certain other customary covenants. The repayment of borrowings under the MLP Revolver is subject to acceleration upon the occurrence of an event of default. As of June 30, 2017, outstanding borrowings under the MLP Revolver totaled $135.3 million. We intend to use the MLP Revolver to purchase additional limited partnership interests in OpCo in the future, in the event OpCo desires to sell such additional interests to us.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 "expects,"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23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of ethane that we are able to process, which could be adversely affected by, among other things, operating difficulties;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volume of ethylene that we are able to sell;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price at which we are able to sell ethylene;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industry market outlook, including prices and margins in third-party ethylene and co-products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parties to whom we will sell ethylene and on what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volumes of ethylene that Westlake may purchase, in addition to the minimum commitment under the Ethylene Sales Agreement;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3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timing, funding and results of capital projects, such as OpCo's plan to increase the ethylene capacity of the ethylene production facility at Calvert City Olefins;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intended minimum quarterly distributions and the manner of making such distributions;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meet our liquidity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timing of and amount of capital expenditures;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loans from Westlake to OpCo to fund OpCo's expansion capital expenditures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expected mitigation of exposure to commodity price fluctuations;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turnaround activities and the variability of OpCo's cash flow;</w:t>
      </w:r>
    </w:p>
    <w:p>
      <w:pPr>
        <w:spacing w:after="0" w:line="171" w:lineRule="exact"/>
        <w:rPr>
          <w:rFonts w:ascii="Arial" w:cs="Arial" w:eastAsia="Arial" w:hAnsi="Arial"/>
          <w:sz w:val="18"/>
          <w:szCs w:val="18"/>
          <w:color w:val="auto"/>
        </w:rPr>
      </w:pPr>
    </w:p>
    <w:p>
      <w:pPr>
        <w:ind w:left="660" w:right="32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 and</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effects of pending legal proceedings.</w:t>
      </w:r>
    </w:p>
    <w:p>
      <w:pPr>
        <w:spacing w:after="0" w:line="252"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in in "Risk Factors" in the 2016 Form 10-K and the following:</w:t>
      </w:r>
    </w:p>
    <w:p>
      <w:pPr>
        <w:spacing w:after="0" w:line="229" w:lineRule="exact"/>
        <w:rPr>
          <w:sz w:val="20"/>
          <w:szCs w:val="20"/>
          <w:color w:val="auto"/>
        </w:rPr>
      </w:pPr>
    </w:p>
    <w:p>
      <w:pPr>
        <w:ind w:left="900" w:hanging="325"/>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cyclical nature of the chemical industry;</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cost and volatility of raw materials and energy;</w:t>
      </w:r>
    </w:p>
    <w:p>
      <w:pPr>
        <w:spacing w:after="0" w:line="90" w:lineRule="exact"/>
        <w:rPr>
          <w:rFonts w:ascii="Arial" w:cs="Arial" w:eastAsia="Arial" w:hAnsi="Arial"/>
          <w:sz w:val="18"/>
          <w:szCs w:val="18"/>
          <w:color w:val="auto"/>
        </w:rPr>
      </w:pPr>
    </w:p>
    <w:p>
      <w:pPr>
        <w:ind w:left="880" w:right="100" w:hanging="359"/>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uncertainties associated with the United States and worldwide economies, including those due to political tensions and unrest in the Middle East, the Commonwealth of Independent States (including Ukraine) and elsewhere;</w:t>
      </w:r>
    </w:p>
    <w:p>
      <w:pPr>
        <w:spacing w:after="0" w:line="35"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current and potential governmental regulatory actions in the United States and regulatory actions and political unrest in other countries;</w:t>
      </w:r>
    </w:p>
    <w:p>
      <w:pPr>
        <w:spacing w:after="0" w:line="101" w:lineRule="exact"/>
        <w:rPr>
          <w:rFonts w:ascii="Arial" w:cs="Arial" w:eastAsia="Arial" w:hAnsi="Arial"/>
          <w:sz w:val="17"/>
          <w:szCs w:val="17"/>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industry production capacity and operating rates;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supply/demand balance for our product;</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competitive products and pricing pressures;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instability in the credit and financial markets;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access to capital markets;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90" w:lineRule="exact"/>
        <w:rPr>
          <w:rFonts w:ascii="Arial" w:cs="Arial" w:eastAsia="Arial" w:hAnsi="Arial"/>
          <w:sz w:val="18"/>
          <w:szCs w:val="18"/>
          <w:color w:val="auto"/>
        </w:rPr>
      </w:pPr>
    </w:p>
    <w:p>
      <w:pPr>
        <w:ind w:left="880" w:right="20" w:hanging="359"/>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35"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technological developments;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currency exchange risks;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implement our business strategies;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creditworthiness of our customers.</w:t>
      </w:r>
    </w:p>
    <w:p>
      <w:pPr>
        <w:spacing w:after="0" w:line="17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w:t>
      </w:r>
    </w:p>
    <w:p>
      <w:pPr>
        <w:sectPr>
          <w:pgSz w:w="11900" w:h="16838" w:orient="portrait"/>
          <w:cols w:equalWidth="0" w:num="1">
            <w:col w:w="11420"/>
          </w:cols>
          <w:pgMar w:left="240" w:top="125" w:right="2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Every forward-looking statement speaks only as of the date of the particular statement, and we undertake no obligation to publicly update or revise any forward-looking statements.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 substantial portion of the Partnership's products and raw materials are commodities whose prices fluctuate as market supply and demand fundamentals change. However, our direct exposure to commodity price risk is limited to approximately 5% of our total ethylene production, which is the portion sold to third parties. We believe we have substantially mitigated our indirect exposure to commodity price fluctuations during the term of the Ethylene Sales Agreement through the minimum commitment and the cost-plus based pricing.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are exposed to interest rate risk with respect to our outstanding debt, all of which is variable rate debt. At June 30, 2017, we had variable rate debt of $588.3 million outstanding, all of which was owed to wholly owned subsidiaries of Westlake, $31.8 million of which accrues interest at a variable rate of prime plus 150 basis points, $421.2 million of which accrues interest at a variable rate of LIBOR plus 300 basis points and the remaining $135.3 million of which accrues interest at a variable rate of LIBOR plus 200 basis points. During August 2015, the Partnership entered into an interest rate contract with Westlake to fix the LIBOR component of the interest rate for a portion of the debt. The weighted average variable interest rate of our debt, excluding the effectively fixed rate portion through the interest rate contract, as of June 30, 2017 was 4.1%. We will continue to be subject to interest rate risk with respect to our variable rate debt as well as the risk of higher interest cost if and when this debt is refinanced. A hypothetical increase in our average interest rate on variable rate debt (excluding the effectively fixed rate debt portion through the interest rate contract) by 100 basis points would increase our annual interest expense by approximately $5.2 million, based on the June 30, 2017 debt balance.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Securities Exchange Act of 1934, as amended (the "Exchange Act"), as of the end of the period covered by this report. Based upon that evaluation, our President and Chief Executive Officer and our Executive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43"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June 30, 2017 that have materially affected, or are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2016 Form 10-K, filed on March 7, 2017, contained a description of various legal proceedings in which we are involved, including environmental proceedings. See Note 15 to the unaudited consolidated financial statements within this Quarterly Report on Form 10-Q for a description of certain of those proceedings, which information is incorporated by reference herein. In addition, under the Omnibus Agreement, Westlake has agreed to indemnify the Partnership for certain environmental and other liabilities relating to OpCo's processing facilities and related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For a discussion of risk factors, please read Item IA, "Risk Factors" in the 2016 Form 10-K. There have been no material changes from those risk factors.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14"/>
                <w:szCs w:val="14"/>
                <w:color w:val="auto"/>
              </w:rPr>
            </w:pPr>
          </w:p>
        </w:tc>
        <w:tc>
          <w:tcPr>
            <w:tcW w:w="96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r>
      <w:tr>
        <w:trPr>
          <w:trHeight w:val="371"/>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w w:val="90"/>
              </w:rPr>
              <w:t>First Amendment to Senior Unsecured Revolving Credit Agreement by and between Westlake Chemical Partners LP, as borrower, and</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Westlake Chemical Finance Corporation, as lender, dated as of August 1, 2017</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31.1†</w:t>
            </w:r>
          </w:p>
        </w:tc>
        <w:tc>
          <w:tcPr>
            <w:tcW w:w="9680" w:type="dxa"/>
            <w:vAlign w:val="bottom"/>
            <w:gridSpan w:val="2"/>
          </w:tcPr>
          <w:p>
            <w:pPr>
              <w:spacing w:after="0"/>
              <w:rPr>
                <w:sz w:val="20"/>
                <w:szCs w:val="20"/>
                <w:color w:val="auto"/>
              </w:rPr>
            </w:pPr>
            <w:r>
              <w:rPr>
                <w:rFonts w:ascii="Arial" w:cs="Arial" w:eastAsia="Arial" w:hAnsi="Arial"/>
                <w:sz w:val="18"/>
                <w:szCs w:val="18"/>
                <w:color w:val="auto"/>
              </w:rPr>
              <w:t>Rule 13a – 14(a) / 15d – 14(a) Certification (Principal Executive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31.2†</w:t>
            </w:r>
          </w:p>
        </w:tc>
        <w:tc>
          <w:tcPr>
            <w:tcW w:w="9680" w:type="dxa"/>
            <w:vAlign w:val="bottom"/>
            <w:gridSpan w:val="2"/>
          </w:tcPr>
          <w:p>
            <w:pPr>
              <w:spacing w:after="0"/>
              <w:rPr>
                <w:sz w:val="20"/>
                <w:szCs w:val="20"/>
                <w:color w:val="auto"/>
              </w:rPr>
            </w:pPr>
            <w:r>
              <w:rPr>
                <w:rFonts w:ascii="Arial" w:cs="Arial" w:eastAsia="Arial" w:hAnsi="Arial"/>
                <w:sz w:val="18"/>
                <w:szCs w:val="18"/>
                <w:color w:val="auto"/>
              </w:rPr>
              <w:t>Rule 13a – 14(a) / 15d – 14(a) Certification (Principal Financial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32.1†</w:t>
            </w:r>
          </w:p>
        </w:tc>
        <w:tc>
          <w:tcPr>
            <w:tcW w:w="9680" w:type="dxa"/>
            <w:vAlign w:val="bottom"/>
            <w:gridSpan w:val="2"/>
          </w:tcPr>
          <w:p>
            <w:pPr>
              <w:spacing w:after="0"/>
              <w:rPr>
                <w:sz w:val="20"/>
                <w:szCs w:val="20"/>
                <w:color w:val="auto"/>
              </w:rPr>
            </w:pPr>
            <w:r>
              <w:rPr>
                <w:rFonts w:ascii="Arial" w:cs="Arial" w:eastAsia="Arial" w:hAnsi="Arial"/>
                <w:sz w:val="18"/>
                <w:szCs w:val="18"/>
                <w:color w:val="auto"/>
              </w:rPr>
              <w:t>Section 1350 Certification (Principal Executive Officer and Principal Financial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68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68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68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68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68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68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43"/>
        </w:trPr>
        <w:tc>
          <w:tcPr>
            <w:tcW w:w="142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_____________</w:t>
            </w:r>
          </w:p>
        </w:tc>
        <w:tc>
          <w:tcPr>
            <w:tcW w:w="700" w:type="dxa"/>
            <w:vAlign w:val="bottom"/>
          </w:tcPr>
          <w:p>
            <w:pPr>
              <w:spacing w:after="0"/>
              <w:rPr>
                <w:sz w:val="21"/>
                <w:szCs w:val="21"/>
                <w:color w:val="auto"/>
              </w:rPr>
            </w:pPr>
          </w:p>
        </w:tc>
        <w:tc>
          <w:tcPr>
            <w:tcW w:w="8980" w:type="dxa"/>
            <w:vAlign w:val="bottom"/>
          </w:tcPr>
          <w:p>
            <w:pPr>
              <w:spacing w:after="0"/>
              <w:rPr>
                <w:sz w:val="21"/>
                <w:szCs w:val="21"/>
                <w:color w:val="auto"/>
              </w:rPr>
            </w:pPr>
          </w:p>
        </w:tc>
      </w:tr>
    </w:tbl>
    <w:p>
      <w:pPr>
        <w:spacing w:after="0" w:line="40"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80"/>
          </w:cols>
          <w:pgMar w:left="240" w:top="125" w:right="3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WESTLAKE CHEMICAL PARTNERS LP</w:t>
      </w:r>
    </w:p>
    <w:p>
      <w:pPr>
        <w:spacing w:after="0" w:line="337" w:lineRule="exact"/>
        <w:rPr>
          <w:sz w:val="20"/>
          <w:szCs w:val="20"/>
          <w:color w:val="auto"/>
        </w:rPr>
      </w:pPr>
    </w:p>
    <w:p>
      <w:pPr>
        <w:ind w:left="40"/>
        <w:spacing w:after="0"/>
        <w:tabs>
          <w:tab w:leader="none" w:pos="600" w:val="left"/>
          <w:tab w:leader="none" w:pos="6540" w:val="left"/>
          <w:tab w:leader="none" w:pos="8500" w:val="left"/>
          <w:tab w:leader="none" w:pos="8860" w:val="left"/>
        </w:tabs>
        <w:rPr>
          <w:sz w:val="20"/>
          <w:szCs w:val="20"/>
          <w:color w:val="auto"/>
        </w:rPr>
      </w:pPr>
      <w:r>
        <w:rPr>
          <w:rFonts w:ascii="Arial" w:cs="Arial" w:eastAsia="Arial" w:hAnsi="Arial"/>
          <w:sz w:val="18"/>
          <w:szCs w:val="18"/>
          <w:color w:val="auto"/>
        </w:rPr>
        <w:t>Date:</w:t>
        <w:tab/>
        <w:t>August 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31750</wp:posOffset>
            </wp:positionV>
            <wp:extent cx="274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16"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820"/>
        <w:spacing w:after="0"/>
        <w:rPr>
          <w:sz w:val="20"/>
          <w:szCs w:val="20"/>
          <w:color w:val="auto"/>
        </w:rPr>
      </w:pPr>
      <w:r>
        <w:rPr>
          <w:rFonts w:ascii="Arial" w:cs="Arial" w:eastAsia="Arial" w:hAnsi="Arial"/>
          <w:sz w:val="13"/>
          <w:szCs w:val="13"/>
          <w:b w:val="1"/>
          <w:bCs w:val="1"/>
          <w:color w:val="auto"/>
        </w:rPr>
        <w:t>President, Chief Executive Officer and Director of</w:t>
      </w:r>
    </w:p>
    <w:p>
      <w:pPr>
        <w:spacing w:after="0" w:line="3"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Westlake Chemical Partners GP LLC</w:t>
      </w:r>
    </w:p>
    <w:p>
      <w:pPr>
        <w:jc w:val="center"/>
        <w:ind w:left="7300"/>
        <w:spacing w:after="0"/>
        <w:rPr>
          <w:sz w:val="20"/>
          <w:szCs w:val="20"/>
          <w:color w:val="auto"/>
        </w:rPr>
      </w:pPr>
      <w:r>
        <w:rPr>
          <w:rFonts w:ascii="Arial" w:cs="Arial" w:eastAsia="Arial" w:hAnsi="Arial"/>
          <w:sz w:val="14"/>
          <w:szCs w:val="14"/>
          <w:b w:val="1"/>
          <w:bCs w:val="1"/>
          <w:color w:val="auto"/>
        </w:rPr>
        <w:t>(Principal Executive Officer)</w:t>
      </w:r>
    </w:p>
    <w:p>
      <w:pPr>
        <w:spacing w:after="0" w:line="358" w:lineRule="exact"/>
        <w:rPr>
          <w:sz w:val="20"/>
          <w:szCs w:val="20"/>
          <w:color w:val="auto"/>
        </w:rPr>
      </w:pPr>
    </w:p>
    <w:p>
      <w:pPr>
        <w:ind w:left="40"/>
        <w:spacing w:after="0"/>
        <w:tabs>
          <w:tab w:leader="none" w:pos="600" w:val="left"/>
          <w:tab w:leader="none" w:pos="6540" w:val="left"/>
          <w:tab w:leader="none" w:pos="8300" w:val="left"/>
          <w:tab w:leader="none" w:pos="8660" w:val="left"/>
        </w:tabs>
        <w:rPr>
          <w:sz w:val="20"/>
          <w:szCs w:val="20"/>
          <w:color w:val="auto"/>
        </w:rPr>
      </w:pPr>
      <w:r>
        <w:rPr>
          <w:rFonts w:ascii="Arial" w:cs="Arial" w:eastAsia="Arial" w:hAnsi="Arial"/>
          <w:sz w:val="18"/>
          <w:szCs w:val="18"/>
          <w:color w:val="auto"/>
        </w:rPr>
        <w:t>Date:</w:t>
        <w:tab/>
        <w:t>August 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31750</wp:posOffset>
            </wp:positionV>
            <wp:extent cx="274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16"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Vice President, Chief Financial Officer and</w:t>
      </w:r>
    </w:p>
    <w:p>
      <w:pPr>
        <w:jc w:val="center"/>
        <w:ind w:left="7300"/>
        <w:spacing w:after="0" w:line="226" w:lineRule="auto"/>
        <w:rPr>
          <w:sz w:val="20"/>
          <w:szCs w:val="20"/>
          <w:color w:val="auto"/>
        </w:rPr>
      </w:pPr>
      <w:r>
        <w:rPr>
          <w:rFonts w:ascii="Arial" w:cs="Arial" w:eastAsia="Arial" w:hAnsi="Arial"/>
          <w:sz w:val="14"/>
          <w:szCs w:val="14"/>
          <w:b w:val="1"/>
          <w:bCs w:val="1"/>
          <w:color w:val="auto"/>
        </w:rPr>
        <w:t>Director of Westlake Chemical Partners GP LLC</w:t>
      </w:r>
    </w:p>
    <w:p>
      <w:pPr>
        <w:spacing w:after="0" w:line="1"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(Principal Financial Officer)</w:t>
      </w:r>
    </w:p>
    <w:p>
      <w:pPr>
        <w:spacing w:after="0" w:line="25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240" w:top="125" w:right="6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40" w:type="dxa"/>
            <w:vAlign w:val="bottom"/>
          </w:tcPr>
          <w:p>
            <w:pPr>
              <w:ind w:left="316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r>
      <w:tr>
        <w:trPr>
          <w:trHeight w:val="371"/>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w w:val="90"/>
              </w:rPr>
              <w:t>First Amendment to Senior Unsecured Revolving Credit Agreement by and between Westlake Chemical Partners LP, as borrower, and</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Westlake Chemical Finance Corporation, as lender, dated as of August 1, 2017</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31.1†</w:t>
            </w:r>
          </w:p>
        </w:tc>
        <w:tc>
          <w:tcPr>
            <w:tcW w:w="9680" w:type="dxa"/>
            <w:vAlign w:val="bottom"/>
            <w:gridSpan w:val="2"/>
          </w:tcPr>
          <w:p>
            <w:pPr>
              <w:spacing w:after="0"/>
              <w:rPr>
                <w:sz w:val="20"/>
                <w:szCs w:val="20"/>
                <w:color w:val="auto"/>
              </w:rPr>
            </w:pPr>
            <w:r>
              <w:rPr>
                <w:rFonts w:ascii="Arial" w:cs="Arial" w:eastAsia="Arial" w:hAnsi="Arial"/>
                <w:sz w:val="18"/>
                <w:szCs w:val="18"/>
                <w:color w:val="auto"/>
              </w:rPr>
              <w:t>Rule 13a – 14(a) / 15d – 14(a) Certification (Principal Executive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31.2†</w:t>
            </w:r>
          </w:p>
        </w:tc>
        <w:tc>
          <w:tcPr>
            <w:tcW w:w="9680" w:type="dxa"/>
            <w:vAlign w:val="bottom"/>
            <w:gridSpan w:val="2"/>
          </w:tcPr>
          <w:p>
            <w:pPr>
              <w:spacing w:after="0"/>
              <w:rPr>
                <w:sz w:val="20"/>
                <w:szCs w:val="20"/>
                <w:color w:val="auto"/>
              </w:rPr>
            </w:pPr>
            <w:r>
              <w:rPr>
                <w:rFonts w:ascii="Arial" w:cs="Arial" w:eastAsia="Arial" w:hAnsi="Arial"/>
                <w:sz w:val="18"/>
                <w:szCs w:val="18"/>
                <w:color w:val="auto"/>
              </w:rPr>
              <w:t>Rule 13a – 14(a) / 15d – 14(a) Certification (Principal Financial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32.1†</w:t>
            </w:r>
          </w:p>
        </w:tc>
        <w:tc>
          <w:tcPr>
            <w:tcW w:w="9680" w:type="dxa"/>
            <w:vAlign w:val="bottom"/>
            <w:gridSpan w:val="2"/>
          </w:tcPr>
          <w:p>
            <w:pPr>
              <w:spacing w:after="0"/>
              <w:rPr>
                <w:sz w:val="20"/>
                <w:szCs w:val="20"/>
                <w:color w:val="auto"/>
              </w:rPr>
            </w:pPr>
            <w:r>
              <w:rPr>
                <w:rFonts w:ascii="Arial" w:cs="Arial" w:eastAsia="Arial" w:hAnsi="Arial"/>
                <w:sz w:val="18"/>
                <w:szCs w:val="18"/>
                <w:color w:val="auto"/>
              </w:rPr>
              <w:t>Section 1350 Certification (Principal Executive Officer and Principal Financial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68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68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68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68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68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68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43"/>
        </w:trPr>
        <w:tc>
          <w:tcPr>
            <w:tcW w:w="142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_____________</w:t>
            </w:r>
          </w:p>
        </w:tc>
        <w:tc>
          <w:tcPr>
            <w:tcW w:w="440" w:type="dxa"/>
            <w:vAlign w:val="bottom"/>
          </w:tcPr>
          <w:p>
            <w:pPr>
              <w:spacing w:after="0"/>
              <w:rPr>
                <w:sz w:val="21"/>
                <w:szCs w:val="21"/>
                <w:color w:val="auto"/>
              </w:rPr>
            </w:pPr>
          </w:p>
        </w:tc>
        <w:tc>
          <w:tcPr>
            <w:tcW w:w="9240" w:type="dxa"/>
            <w:vAlign w:val="bottom"/>
          </w:tcPr>
          <w:p>
            <w:pPr>
              <w:spacing w:after="0"/>
              <w:rPr>
                <w:sz w:val="21"/>
                <w:szCs w:val="21"/>
                <w:color w:val="auto"/>
              </w:rPr>
            </w:pPr>
          </w:p>
        </w:tc>
      </w:tr>
    </w:tbl>
    <w:p>
      <w:pPr>
        <w:spacing w:after="0" w:line="40"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240" w:top="125" w:right="5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i w:val="1"/>
          <w:iCs w:val="1"/>
          <w:color w:val="auto"/>
        </w:rPr>
        <w:t>Exhibit 10.1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SENIOR UNSECURED REVOLVING CREDIT AGREEMENT</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FIRST AMENDMENT TO SENIOR UNSECURED REVOLVING CREDIT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is made and entered into as of August 1, 2017, by and among WESTLAKE CHEMICAL PARTNERS LP, a Delaware limited partnership (“</w:t>
      </w:r>
      <w:r>
        <w:rPr>
          <w:rFonts w:ascii="Arial" w:cs="Arial" w:eastAsia="Arial" w:hAnsi="Arial"/>
          <w:sz w:val="22"/>
          <w:szCs w:val="22"/>
          <w:u w:val="single" w:color="auto"/>
          <w:color w:val="auto"/>
        </w:rPr>
        <w:t>Borrower</w:t>
      </w:r>
      <w:r>
        <w:rPr>
          <w:rFonts w:ascii="Arial" w:cs="Arial" w:eastAsia="Arial" w:hAnsi="Arial"/>
          <w:sz w:val="22"/>
          <w:szCs w:val="22"/>
          <w:color w:val="auto"/>
        </w:rPr>
        <w:t>”), as borrower and WESTLAKE CHEMICAL FINANCE CORPORATION, a Delaware corporation (“</w:t>
      </w:r>
      <w:r>
        <w:rPr>
          <w:rFonts w:ascii="Arial" w:cs="Arial" w:eastAsia="Arial" w:hAnsi="Arial"/>
          <w:sz w:val="22"/>
          <w:szCs w:val="22"/>
          <w:u w:val="single" w:color="auto"/>
          <w:color w:val="auto"/>
        </w:rPr>
        <w:t>Lender</w:t>
      </w:r>
      <w:r>
        <w:rPr>
          <w:rFonts w:ascii="Arial" w:cs="Arial" w:eastAsia="Arial" w:hAnsi="Arial"/>
          <w:sz w:val="22"/>
          <w:szCs w:val="22"/>
          <w:color w:val="auto"/>
        </w:rPr>
        <w:t>”), as lender.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hereto entered into that certain Senior Unsecured Revolving Credit Agreement, dated as of April</w:t>
      </w:r>
      <w:r>
        <w:rPr>
          <w:rFonts w:ascii="Arial" w:cs="Arial" w:eastAsia="Arial" w:hAnsi="Arial"/>
          <w:sz w:val="22"/>
          <w:szCs w:val="22"/>
          <w:b w:val="1"/>
          <w:bCs w:val="1"/>
          <w:color w:val="auto"/>
        </w:rPr>
        <w:t xml:space="preserve"> </w:t>
      </w:r>
      <w:r>
        <w:rPr>
          <w:rFonts w:ascii="Arial" w:cs="Arial" w:eastAsia="Arial" w:hAnsi="Arial"/>
          <w:sz w:val="22"/>
          <w:szCs w:val="22"/>
          <w:color w:val="auto"/>
        </w:rPr>
        <w:t>29, 2015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pursuant to which the Lender has made certain financial accommodations available to the Borrower; and</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Lender desires to make certain modifications to the Credit Agreement to extend the maturity date thereof</w:t>
      </w:r>
      <w:r>
        <w:rPr>
          <w:rFonts w:ascii="Arial" w:cs="Arial" w:eastAsia="Arial" w:hAnsi="Arial"/>
          <w:sz w:val="22"/>
          <w:szCs w:val="22"/>
          <w:b w:val="1"/>
          <w:bCs w:val="1"/>
          <w:color w:val="auto"/>
        </w:rPr>
        <w:t xml:space="preserve"> </w:t>
      </w:r>
      <w:r>
        <w:rPr>
          <w:rFonts w:ascii="Arial" w:cs="Arial" w:eastAsia="Arial" w:hAnsi="Arial"/>
          <w:sz w:val="22"/>
          <w:szCs w:val="22"/>
          <w:color w:val="auto"/>
        </w:rPr>
        <w:t>as more fully set forth herein;</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NOW</w:t>
      </w:r>
      <w:r>
        <w:rPr>
          <w:rFonts w:ascii="Arial" w:cs="Arial" w:eastAsia="Arial" w:hAnsi="Arial"/>
          <w:sz w:val="22"/>
          <w:szCs w:val="22"/>
          <w:color w:val="auto"/>
        </w:rPr>
        <w:t>,</w:t>
      </w:r>
      <w:r>
        <w:rPr>
          <w:rFonts w:ascii="Arial" w:cs="Arial" w:eastAsia="Arial" w:hAnsi="Arial"/>
          <w:sz w:val="22"/>
          <w:szCs w:val="22"/>
          <w:b w:val="1"/>
          <w:bCs w:val="1"/>
          <w:color w:val="auto"/>
        </w:rPr>
        <w:t xml:space="preserve"> THEREFORE</w:t>
      </w:r>
      <w:r>
        <w:rPr>
          <w:rFonts w:ascii="Arial" w:cs="Arial" w:eastAsia="Arial" w:hAnsi="Arial"/>
          <w:sz w:val="22"/>
          <w:szCs w:val="22"/>
          <w:color w:val="auto"/>
        </w:rPr>
        <w:t>, in consideration of the mutual covenants and the payment contained herein, and subject to the terms</w:t>
      </w:r>
      <w:r>
        <w:rPr>
          <w:rFonts w:ascii="Arial" w:cs="Arial" w:eastAsia="Arial" w:hAnsi="Arial"/>
          <w:sz w:val="22"/>
          <w:szCs w:val="22"/>
          <w:b w:val="1"/>
          <w:bCs w:val="1"/>
          <w:color w:val="auto"/>
        </w:rPr>
        <w:t xml:space="preserve"> </w:t>
      </w:r>
      <w:r>
        <w:rPr>
          <w:rFonts w:ascii="Arial" w:cs="Arial" w:eastAsia="Arial" w:hAnsi="Arial"/>
          <w:sz w:val="22"/>
          <w:szCs w:val="22"/>
          <w:color w:val="auto"/>
        </w:rPr>
        <w:t>and conditions herein set forth, the parties hereby agree as follows:</w:t>
      </w:r>
    </w:p>
    <w:p>
      <w:pPr>
        <w:spacing w:after="0" w:line="168"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21"/>
          <w:szCs w:val="21"/>
          <w:u w:val="single" w:color="auto"/>
          <w:color w:val="auto"/>
        </w:rPr>
        <w:t>DEFINITIONS</w:t>
      </w:r>
    </w:p>
    <w:p>
      <w:pPr>
        <w:spacing w:after="0" w:line="26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1.1 Unless otherwise defined herein, including in the text of the preamble and recitals hereto, all capitalized terms used herein shall have the respective meanings given to such terms in Section 1.1 of the Credit Agreement, as amended hereby.</w:t>
      </w:r>
    </w:p>
    <w:p>
      <w:pPr>
        <w:spacing w:after="0" w:line="14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1.2 The rules of interpretation set forth in Sections 1.2 and 1.3 of the Credit Agreement shall apply to this Amendment in all respects.</w:t>
      </w:r>
    </w:p>
    <w:p>
      <w:pPr>
        <w:spacing w:after="0" w:line="215"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21"/>
          <w:szCs w:val="21"/>
          <w:u w:val="single" w:color="auto"/>
          <w:color w:val="auto"/>
        </w:rPr>
        <w:t>AMENDMENT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2.1 The defined term “Maturity Date” is hereby deleted in its entirety and replaced with the following:</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shall mean April 29, 2021.”</w:t>
      </w:r>
    </w:p>
    <w:p>
      <w:pPr>
        <w:spacing w:after="0" w:line="220"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EFFECTIVENESS</w:t>
      </w:r>
    </w:p>
    <w:p>
      <w:pPr>
        <w:spacing w:after="0" w:line="2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3.1 This Amendment shall become effective upon the execution and delivery of this Amendment by the Borrower and the Lender.</w:t>
      </w:r>
    </w:p>
    <w:p>
      <w:pPr>
        <w:spacing w:after="0" w:line="215"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21"/>
          <w:szCs w:val="21"/>
          <w:u w:val="single" w:color="auto"/>
          <w:color w:val="auto"/>
        </w:rPr>
        <w:t>MISCELLANEOUS</w:t>
      </w:r>
    </w:p>
    <w:p>
      <w:pPr>
        <w:spacing w:after="0" w:line="2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i w:val="1"/>
          <w:iCs w:val="1"/>
          <w:color w:val="auto"/>
        </w:rPr>
        <w:t>Full Force and Effect</w:t>
      </w:r>
      <w:r>
        <w:rPr>
          <w:rFonts w:ascii="Arial" w:cs="Arial" w:eastAsia="Arial" w:hAnsi="Arial"/>
          <w:sz w:val="22"/>
          <w:szCs w:val="22"/>
          <w:color w:val="auto"/>
        </w:rPr>
        <w:t>. Except as specifically amended hereby, all of the terms and conditions of the Credit Agreement are unaffected and shall continue to be in full force and effect and shall be binding on the parties hereto in accordance with their respective terms. Each reference to the Credit Agreement therein or in any other agreement, document or instrument executed and delivered pursuant to the Credit Agreement</w:t>
      </w:r>
    </w:p>
    <w:p>
      <w:pPr>
        <w:sectPr>
          <w:pgSz w:w="11900" w:h="16838" w:orient="portrait"/>
          <w:cols w:equalWidth="0" w:num="1">
            <w:col w:w="11420"/>
          </w:cols>
          <w:pgMar w:left="240" w:top="584" w:right="239" w:bottom="1440" w:gutter="0" w:footer="0" w:header="0"/>
        </w:sectPr>
      </w:pPr>
    </w:p>
    <w:bookmarkStart w:id="33" w:name="page34"/>
    <w:bookmarkEnd w:id="33"/>
    <w:p>
      <w:pPr>
        <w:jc w:val="both"/>
        <w:spacing w:after="0" w:line="250" w:lineRule="auto"/>
        <w:rPr>
          <w:sz w:val="20"/>
          <w:szCs w:val="20"/>
          <w:color w:val="auto"/>
        </w:rPr>
      </w:pPr>
      <w:r>
        <w:rPr>
          <w:rFonts w:ascii="Arial" w:cs="Arial" w:eastAsia="Arial" w:hAnsi="Arial"/>
          <w:sz w:val="22"/>
          <w:szCs w:val="22"/>
          <w:color w:val="auto"/>
        </w:rPr>
        <w:t>shall mean and constitute a reference to the Credit Agreement as amended hereby. Except as specifically set forth in this Amendment, nothing in this Amendment shall be construed as modifying any other term or condition of the Credit Agreement or operate as a waiver of, or in prejudice to, any right, power or remedy of the Lender under the Credit Agreement, any applicable law or any existing or future Default or Event of Default.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i w:val="1"/>
          <w:iCs w:val="1"/>
          <w:color w:val="auto"/>
        </w:rPr>
        <w:t>Headings</w:t>
      </w:r>
      <w:r>
        <w:rPr>
          <w:rFonts w:ascii="Arial" w:cs="Arial" w:eastAsia="Arial" w:hAnsi="Arial"/>
          <w:sz w:val="22"/>
          <w:szCs w:val="22"/>
          <w:color w:val="auto"/>
        </w:rPr>
        <w:t>. Section headings used herein are for convenience of reference only, are not part of this Amendment and shall not affect the construction of, or be taken into consideration in interpreting, this Amendment.</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i w:val="1"/>
          <w:iCs w:val="1"/>
          <w:color w:val="auto"/>
        </w:rPr>
        <w:t>Counterparts</w:t>
      </w:r>
      <w:r>
        <w:rPr>
          <w:rFonts w:ascii="Arial" w:cs="Arial" w:eastAsia="Arial" w:hAnsi="Arial"/>
          <w:sz w:val="22"/>
          <w:szCs w:val="22"/>
          <w:color w:val="auto"/>
        </w:rPr>
        <w:t>. This Amendment may be executed in any number of counterparts, each of which shall be enforceable against the party executing such counterpart, and all of which together shall constitute one instrument. Each counterpart may be delivered in original, facsimile or electronic (e.g., “.pdf”) form.</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i w:val="1"/>
          <w:iCs w:val="1"/>
          <w:color w:val="auto"/>
        </w:rPr>
        <w:t>Governing Law</w:t>
      </w:r>
      <w:r>
        <w:rPr>
          <w:rFonts w:ascii="Arial" w:cs="Arial" w:eastAsia="Arial" w:hAnsi="Arial"/>
          <w:sz w:val="19"/>
          <w:szCs w:val="19"/>
          <w:color w:val="auto"/>
        </w:rPr>
        <w:t>. This Amendment shall be construed in accordance with and governed by the law of the State of New</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York.</w:t>
      </w:r>
    </w:p>
    <w:p>
      <w:pPr>
        <w:spacing w:after="0" w:line="200" w:lineRule="exact"/>
        <w:rPr>
          <w:sz w:val="20"/>
          <w:szCs w:val="20"/>
          <w:color w:val="auto"/>
        </w:rPr>
      </w:pPr>
    </w:p>
    <w:p>
      <w:pPr>
        <w:spacing w:after="0" w:line="25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The remainder of this page is intentionally left blank.</w:t>
      </w:r>
      <w:r>
        <w:rPr>
          <w:rFonts w:ascii="Arial" w:cs="Arial" w:eastAsia="Arial" w:hAnsi="Arial"/>
          <w:sz w:val="22"/>
          <w:szCs w:val="22"/>
          <w:color w:val="auto"/>
        </w:rPr>
        <w:t>]</w:t>
      </w:r>
    </w:p>
    <w:p>
      <w:pPr>
        <w:sectPr>
          <w:pgSz w:w="11900" w:h="16838" w:orient="portrait"/>
          <w:cols w:equalWidth="0" w:num="1">
            <w:col w:w="11420"/>
          </w:cols>
          <w:pgMar w:left="240" w:top="591" w:right="239" w:bottom="1440" w:gutter="0" w:footer="0" w:header="0"/>
        </w:sectPr>
      </w:pPr>
    </w:p>
    <w:bookmarkStart w:id="34" w:name="page35"/>
    <w:bookmarkEnd w:id="34"/>
    <w:p>
      <w:pPr>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Amendment to be duly executed as of the day and year first</w:t>
      </w:r>
      <w:r>
        <w:rPr>
          <w:rFonts w:ascii="Arial" w:cs="Arial" w:eastAsia="Arial" w:hAnsi="Arial"/>
          <w:sz w:val="22"/>
          <w:szCs w:val="22"/>
          <w:b w:val="1"/>
          <w:bCs w:val="1"/>
          <w:color w:val="auto"/>
        </w:rPr>
        <w:t xml:space="preserve"> </w:t>
      </w:r>
      <w:r>
        <w:rPr>
          <w:rFonts w:ascii="Arial" w:cs="Arial" w:eastAsia="Arial" w:hAnsi="Arial"/>
          <w:sz w:val="22"/>
          <w:szCs w:val="22"/>
          <w:color w:val="auto"/>
        </w:rPr>
        <w:t>above written.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340"/>
        <w:spacing w:after="0"/>
        <w:rPr>
          <w:sz w:val="20"/>
          <w:szCs w:val="20"/>
          <w:color w:val="auto"/>
        </w:rPr>
      </w:pPr>
      <w:r>
        <w:rPr>
          <w:rFonts w:ascii="Arial" w:cs="Arial" w:eastAsia="Arial" w:hAnsi="Arial"/>
          <w:sz w:val="22"/>
          <w:szCs w:val="22"/>
          <w:b w:val="1"/>
          <w:bCs w:val="1"/>
          <w:color w:val="auto"/>
        </w:rPr>
        <w:t>WESTLAKE CHEMICAL PARTNERS LP</w:t>
      </w:r>
    </w:p>
    <w:p>
      <w:pPr>
        <w:spacing w:after="0" w:line="212"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By: Westlake Chemical Partners GP LLC, its general</w:t>
      </w:r>
    </w:p>
    <w:p>
      <w:pPr>
        <w:spacing w:after="0" w:line="8"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partner</w:t>
      </w:r>
    </w:p>
    <w:p>
      <w:pPr>
        <w:spacing w:after="0" w:line="188" w:lineRule="exact"/>
        <w:rPr>
          <w:sz w:val="20"/>
          <w:szCs w:val="20"/>
          <w:color w:val="auto"/>
        </w:rPr>
      </w:pPr>
    </w:p>
    <w:p>
      <w:pPr>
        <w:jc w:val="center"/>
        <w:ind w:left="320"/>
        <w:spacing w:after="0"/>
        <w:rPr>
          <w:sz w:val="20"/>
          <w:szCs w:val="20"/>
          <w:color w:val="auto"/>
        </w:rPr>
      </w:pPr>
      <w:r>
        <w:rPr>
          <w:rFonts w:ascii="Arial" w:cs="Arial" w:eastAsia="Arial" w:hAnsi="Arial"/>
          <w:sz w:val="22"/>
          <w:szCs w:val="22"/>
          <w:color w:val="auto"/>
        </w:rPr>
        <w:t>as Borrower</w:t>
      </w:r>
    </w:p>
    <w:p>
      <w:pPr>
        <w:spacing w:after="0" w:line="267" w:lineRule="exact"/>
        <w:rPr>
          <w:sz w:val="20"/>
          <w:szCs w:val="20"/>
          <w:color w:val="auto"/>
        </w:rPr>
      </w:pPr>
    </w:p>
    <w:p>
      <w:pPr>
        <w:ind w:left="5340"/>
        <w:spacing w:after="0"/>
        <w:tabs>
          <w:tab w:leader="none" w:pos="5800" w:val="left"/>
        </w:tabs>
        <w:rPr>
          <w:sz w:val="20"/>
          <w:szCs w:val="20"/>
          <w:color w:val="auto"/>
        </w:rPr>
      </w:pPr>
      <w:r>
        <w:rPr>
          <w:rFonts w:ascii="Arial" w:cs="Arial" w:eastAsia="Arial" w:hAnsi="Arial"/>
          <w:sz w:val="18"/>
          <w:szCs w:val="18"/>
          <w:color w:val="auto"/>
        </w:rPr>
        <w:t>By:</w:t>
        <w:tab/>
        <w:t>/s/ M. Steven Bender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-10160</wp:posOffset>
            </wp:positionV>
            <wp:extent cx="993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93775" cy="8890"/>
                    </a:xfrm>
                    <a:prstGeom prst="rect">
                      <a:avLst/>
                    </a:prstGeom>
                    <a:noFill/>
                  </pic:spPr>
                </pic:pic>
              </a:graphicData>
            </a:graphic>
          </wp:anchor>
        </w:drawing>
      </w:r>
    </w:p>
    <w:p>
      <w:pPr>
        <w:spacing w:after="0" w:line="4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M. Steven Bender</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Executive Vice President and Chief Financial</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68" w:lineRule="exact"/>
        <w:rPr>
          <w:sz w:val="20"/>
          <w:szCs w:val="20"/>
          <w:color w:val="auto"/>
        </w:rPr>
      </w:pPr>
    </w:p>
    <w:p>
      <w:pPr>
        <w:ind w:left="5340"/>
        <w:spacing w:after="0"/>
        <w:rPr>
          <w:sz w:val="20"/>
          <w:szCs w:val="20"/>
          <w:color w:val="auto"/>
        </w:rPr>
      </w:pPr>
      <w:r>
        <w:rPr>
          <w:rFonts w:ascii="Arial" w:cs="Arial" w:eastAsia="Arial" w:hAnsi="Arial"/>
          <w:sz w:val="22"/>
          <w:szCs w:val="22"/>
          <w:b w:val="1"/>
          <w:bCs w:val="1"/>
          <w:color w:val="auto"/>
        </w:rPr>
        <w:t>WESTLAKE CHEMICAL FINANCE</w:t>
      </w:r>
    </w:p>
    <w:p>
      <w:pPr>
        <w:spacing w:after="0" w:line="14" w:lineRule="exact"/>
        <w:rPr>
          <w:sz w:val="20"/>
          <w:szCs w:val="20"/>
          <w:color w:val="auto"/>
        </w:rPr>
      </w:pPr>
    </w:p>
    <w:p>
      <w:pPr>
        <w:ind w:left="5340"/>
        <w:spacing w:after="0"/>
        <w:rPr>
          <w:sz w:val="20"/>
          <w:szCs w:val="20"/>
          <w:color w:val="auto"/>
        </w:rPr>
      </w:pPr>
      <w:r>
        <w:rPr>
          <w:rFonts w:ascii="Arial" w:cs="Arial" w:eastAsia="Arial" w:hAnsi="Arial"/>
          <w:sz w:val="22"/>
          <w:szCs w:val="22"/>
          <w:b w:val="1"/>
          <w:bCs w:val="1"/>
          <w:color w:val="auto"/>
        </w:rPr>
        <w:t>CORPORATION</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as Lender</w:t>
      </w:r>
    </w:p>
    <w:p>
      <w:pPr>
        <w:spacing w:after="0" w:line="267" w:lineRule="exact"/>
        <w:rPr>
          <w:sz w:val="20"/>
          <w:szCs w:val="20"/>
          <w:color w:val="auto"/>
        </w:rPr>
      </w:pPr>
    </w:p>
    <w:p>
      <w:pPr>
        <w:ind w:left="534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 xml:space="preserve">_ </w:t>
      </w:r>
      <w:r>
        <w:rPr>
          <w:rFonts w:ascii="Arial" w:cs="Arial" w:eastAsia="Arial" w:hAnsi="Arial"/>
          <w:sz w:val="15"/>
          <w:szCs w:val="15"/>
          <w:u w:val="single" w:color="auto"/>
          <w:color w:val="auto"/>
        </w:rPr>
        <w:t>/s/ Bruce P. Robertson</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Bruce P. Robertson</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Assistant Treasurer</w:t>
      </w:r>
    </w:p>
    <w:p>
      <w:pPr>
        <w:sectPr>
          <w:pgSz w:w="11900" w:h="16838" w:orient="portrait"/>
          <w:cols w:equalWidth="0" w:num="1">
            <w:col w:w="11420"/>
          </w:cols>
          <w:pgMar w:left="240" w:top="1057"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i w:val="1"/>
          <w:i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Albert Chao, certify that:</w:t>
      </w:r>
    </w:p>
    <w:p>
      <w:pPr>
        <w:spacing w:after="0" w:line="171" w:lineRule="exact"/>
        <w:rPr>
          <w:sz w:val="20"/>
          <w:szCs w:val="20"/>
          <w:color w:val="auto"/>
        </w:rPr>
      </w:pPr>
    </w:p>
    <w:p>
      <w:pPr>
        <w:ind w:left="720" w:hanging="685"/>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w:t>
      </w:r>
    </w:p>
    <w:p>
      <w:pPr>
        <w:spacing w:after="0" w:line="198" w:lineRule="exact"/>
        <w:rPr>
          <w:rFonts w:ascii="Arial" w:cs="Arial" w:eastAsia="Arial" w:hAnsi="Arial"/>
          <w:sz w:val="18"/>
          <w:szCs w:val="18"/>
          <w:color w:val="auto"/>
        </w:rPr>
      </w:pPr>
    </w:p>
    <w:p>
      <w:pPr>
        <w:jc w:val="both"/>
        <w:ind w:left="720" w:right="220" w:hanging="685"/>
        <w:spacing w:after="0" w:line="264"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20" w:right="180" w:hanging="685"/>
        <w:spacing w:after="0" w:line="308" w:lineRule="auto"/>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220" w:hanging="685"/>
        <w:spacing w:after="0" w:line="264"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1420" w:right="180" w:hanging="696"/>
        <w:spacing w:after="0" w:line="264" w:lineRule="auto"/>
        <w:tabs>
          <w:tab w:leader="none" w:pos="14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1420" w:right="120" w:hanging="696"/>
        <w:spacing w:after="0" w:line="264" w:lineRule="auto"/>
        <w:tabs>
          <w:tab w:leader="none" w:pos="14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ind w:left="1420" w:right="280" w:hanging="696"/>
        <w:spacing w:after="0" w:line="342" w:lineRule="auto"/>
        <w:tabs>
          <w:tab w:leader="none" w:pos="14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420" w:right="360" w:hanging="696"/>
        <w:spacing w:after="0" w:line="264" w:lineRule="auto"/>
        <w:tabs>
          <w:tab w:leader="none" w:pos="14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720" w:right="140" w:hanging="685"/>
        <w:spacing w:after="0" w:line="308" w:lineRule="auto"/>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1420" w:right="580" w:hanging="696"/>
        <w:spacing w:after="0" w:line="342" w:lineRule="auto"/>
        <w:tabs>
          <w:tab w:leader="none" w:pos="14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420" w:right="280" w:hanging="696"/>
        <w:spacing w:after="0" w:line="277" w:lineRule="auto"/>
        <w:tabs>
          <w:tab w:leader="none" w:pos="14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tabs>
          <w:tab w:leader="none" w:pos="700" w:val="left"/>
          <w:tab w:leader="none" w:pos="8440" w:val="left"/>
          <w:tab w:leader="none" w:pos="8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2017</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31750</wp:posOffset>
            </wp:positionV>
            <wp:extent cx="28130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02"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7200"/>
        <w:spacing w:after="0" w:line="226" w:lineRule="auto"/>
        <w:rPr>
          <w:sz w:val="20"/>
          <w:szCs w:val="20"/>
          <w:color w:val="auto"/>
        </w:rPr>
      </w:pPr>
      <w:r>
        <w:rPr>
          <w:rFonts w:ascii="Arial" w:cs="Arial" w:eastAsia="Arial" w:hAnsi="Arial"/>
          <w:sz w:val="14"/>
          <w:szCs w:val="14"/>
          <w:b w:val="1"/>
          <w:bCs w:val="1"/>
          <w:color w:val="auto"/>
        </w:rPr>
        <w:t>Westlake Chemical Partners GP LLC</w:t>
      </w:r>
    </w:p>
    <w:p>
      <w:pPr>
        <w:spacing w:after="0" w:line="1"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584"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i w:val="1"/>
          <w:i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 Steven Bender, certify that:</w:t>
      </w:r>
    </w:p>
    <w:p>
      <w:pPr>
        <w:spacing w:after="0" w:line="171" w:lineRule="exact"/>
        <w:rPr>
          <w:sz w:val="20"/>
          <w:szCs w:val="20"/>
          <w:color w:val="auto"/>
        </w:rPr>
      </w:pPr>
    </w:p>
    <w:p>
      <w:pPr>
        <w:ind w:left="720" w:hanging="685"/>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w:t>
      </w:r>
    </w:p>
    <w:p>
      <w:pPr>
        <w:spacing w:after="0" w:line="198" w:lineRule="exact"/>
        <w:rPr>
          <w:rFonts w:ascii="Arial" w:cs="Arial" w:eastAsia="Arial" w:hAnsi="Arial"/>
          <w:sz w:val="18"/>
          <w:szCs w:val="18"/>
          <w:color w:val="auto"/>
        </w:rPr>
      </w:pPr>
    </w:p>
    <w:p>
      <w:pPr>
        <w:jc w:val="both"/>
        <w:ind w:left="720" w:right="220" w:hanging="685"/>
        <w:spacing w:after="0" w:line="264"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20" w:right="180" w:hanging="685"/>
        <w:spacing w:after="0" w:line="308" w:lineRule="auto"/>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220" w:hanging="685"/>
        <w:spacing w:after="0" w:line="264"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1420" w:right="180" w:hanging="696"/>
        <w:spacing w:after="0" w:line="264" w:lineRule="auto"/>
        <w:tabs>
          <w:tab w:leader="none" w:pos="1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1420" w:right="120" w:hanging="696"/>
        <w:spacing w:after="0" w:line="264" w:lineRule="auto"/>
        <w:tabs>
          <w:tab w:leader="none" w:pos="1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ind w:left="1420" w:right="280" w:hanging="696"/>
        <w:spacing w:after="0" w:line="342" w:lineRule="auto"/>
        <w:tabs>
          <w:tab w:leader="none" w:pos="14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420" w:right="360" w:hanging="696"/>
        <w:spacing w:after="0" w:line="264" w:lineRule="auto"/>
        <w:tabs>
          <w:tab w:leader="none" w:pos="1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720" w:right="140" w:hanging="685"/>
        <w:spacing w:after="0" w:line="308" w:lineRule="auto"/>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1420" w:right="580" w:hanging="696"/>
        <w:spacing w:after="0" w:line="342" w:lineRule="auto"/>
        <w:tabs>
          <w:tab w:leader="none" w:pos="14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420" w:right="280" w:hanging="696"/>
        <w:spacing w:after="0" w:line="277" w:lineRule="auto"/>
        <w:tabs>
          <w:tab w:leader="none" w:pos="1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tabs>
          <w:tab w:leader="none" w:pos="600" w:val="left"/>
          <w:tab w:leader="none" w:pos="8380" w:val="left"/>
        </w:tabs>
        <w:rPr>
          <w:sz w:val="20"/>
          <w:szCs w:val="20"/>
          <w:color w:val="auto"/>
        </w:rPr>
      </w:pPr>
      <w:r>
        <w:rPr>
          <w:rFonts w:ascii="Arial" w:cs="Arial" w:eastAsia="Arial" w:hAnsi="Arial"/>
          <w:sz w:val="18"/>
          <w:szCs w:val="18"/>
          <w:color w:val="auto"/>
        </w:rPr>
        <w:t>Date:</w:t>
        <w:tab/>
        <w:t>August 3, 2017</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2"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ind w:left="7260"/>
        <w:spacing w:after="0"/>
        <w:rPr>
          <w:sz w:val="20"/>
          <w:szCs w:val="20"/>
          <w:color w:val="auto"/>
        </w:rPr>
      </w:pPr>
      <w:r>
        <w:rPr>
          <w:rFonts w:ascii="Arial" w:cs="Arial" w:eastAsia="Arial" w:hAnsi="Arial"/>
          <w:sz w:val="13"/>
          <w:szCs w:val="13"/>
          <w:b w:val="1"/>
          <w:bCs w:val="1"/>
          <w:color w:val="auto"/>
        </w:rPr>
        <w:t>Executive Vice President, Chief Financial Officer and Director of</w:t>
      </w:r>
    </w:p>
    <w:p>
      <w:pPr>
        <w:spacing w:after="0" w:line="3"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Westlake Chemical Partners GP LLC</w:t>
      </w:r>
    </w:p>
    <w:p>
      <w:pPr>
        <w:jc w:val="center"/>
        <w:ind w:left="708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84"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i w:val="1"/>
          <w:iCs w:val="1"/>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In connection with the Quarterly Report of Westlake Chemical Partners LP (the "Partnership") on Form 10-Q for the fiscal quarter ended June 30, 2017 as filed with the Securities and Exchange Commission on the date hereof (the "Report"), I, Albert Chao, President, Chief Executive Officer and Director of the Partnership, and I, M. Steven Bender, Executive Vice President, Chief Financial Officer and Director of the Partnership, certify, to the best of our knowledge, pursuant to 18 U.S.C. §1350, as adopted pursuant to §906 of the Sarbanes-Oxley Act of 2002, that:</w:t>
      </w:r>
    </w:p>
    <w:p>
      <w:pPr>
        <w:spacing w:after="0" w:line="63" w:lineRule="exact"/>
        <w:rPr>
          <w:sz w:val="20"/>
          <w:szCs w:val="20"/>
          <w:color w:val="auto"/>
        </w:rPr>
      </w:pPr>
    </w:p>
    <w:p>
      <w:pPr>
        <w:ind w:left="540" w:hanging="316"/>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40" w:hanging="316"/>
        <w:spacing w:after="0"/>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aspects, the financial condition and results of operations of the Partnership.</w:t>
      </w:r>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600" w:val="left"/>
          <w:tab w:leader="none" w:pos="8380" w:val="left"/>
          <w:tab w:leader="none" w:pos="8740" w:val="left"/>
        </w:tabs>
        <w:rPr>
          <w:sz w:val="20"/>
          <w:szCs w:val="20"/>
          <w:color w:val="auto"/>
        </w:rPr>
      </w:pPr>
      <w:r>
        <w:rPr>
          <w:rFonts w:ascii="Arial" w:cs="Arial" w:eastAsia="Arial" w:hAnsi="Arial"/>
          <w:sz w:val="18"/>
          <w:szCs w:val="18"/>
          <w:color w:val="auto"/>
        </w:rPr>
        <w:t>Date:</w:t>
        <w:tab/>
        <w:t>August 3, 2017</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2"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7080"/>
        <w:spacing w:after="0" w:line="226" w:lineRule="auto"/>
        <w:rPr>
          <w:sz w:val="20"/>
          <w:szCs w:val="20"/>
          <w:color w:val="auto"/>
        </w:rPr>
      </w:pPr>
      <w:r>
        <w:rPr>
          <w:rFonts w:ascii="Arial" w:cs="Arial" w:eastAsia="Arial" w:hAnsi="Arial"/>
          <w:sz w:val="14"/>
          <w:szCs w:val="14"/>
          <w:b w:val="1"/>
          <w:bCs w:val="1"/>
          <w:color w:val="auto"/>
        </w:rPr>
        <w:t>Westlake Chemical Partners GP LLC</w:t>
      </w:r>
    </w:p>
    <w:p>
      <w:pPr>
        <w:spacing w:after="0" w:line="1"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(Principal Executive Officer)</w:t>
      </w:r>
    </w:p>
    <w:p>
      <w:pPr>
        <w:spacing w:after="0" w:line="385" w:lineRule="exact"/>
        <w:rPr>
          <w:sz w:val="20"/>
          <w:szCs w:val="20"/>
          <w:color w:val="auto"/>
        </w:rPr>
      </w:pPr>
    </w:p>
    <w:p>
      <w:pPr>
        <w:ind w:left="40"/>
        <w:spacing w:after="0"/>
        <w:tabs>
          <w:tab w:leader="none" w:pos="600" w:val="left"/>
          <w:tab w:leader="none" w:pos="8180" w:val="left"/>
          <w:tab w:leader="none" w:pos="8540" w:val="left"/>
        </w:tabs>
        <w:rPr>
          <w:sz w:val="20"/>
          <w:szCs w:val="20"/>
          <w:color w:val="auto"/>
        </w:rPr>
      </w:pPr>
      <w:r>
        <w:rPr>
          <w:rFonts w:ascii="Arial" w:cs="Arial" w:eastAsia="Arial" w:hAnsi="Arial"/>
          <w:sz w:val="18"/>
          <w:szCs w:val="18"/>
          <w:color w:val="auto"/>
        </w:rPr>
        <w:t>Date:</w:t>
        <w:tab/>
        <w:t>August 3, 2017</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2"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ind w:left="7620"/>
        <w:spacing w:after="0"/>
        <w:rPr>
          <w:sz w:val="20"/>
          <w:szCs w:val="20"/>
          <w:color w:val="auto"/>
        </w:rPr>
      </w:pPr>
      <w:r>
        <w:rPr>
          <w:rFonts w:ascii="Arial" w:cs="Arial" w:eastAsia="Arial" w:hAnsi="Arial"/>
          <w:sz w:val="14"/>
          <w:szCs w:val="14"/>
          <w:b w:val="1"/>
          <w:bCs w:val="1"/>
          <w:color w:val="auto"/>
        </w:rPr>
        <w:t>Executive Vice President, Chief Financial Officer and</w:t>
      </w:r>
    </w:p>
    <w:p>
      <w:pPr>
        <w:jc w:val="center"/>
        <w:ind w:left="7080"/>
        <w:spacing w:after="0" w:line="226" w:lineRule="auto"/>
        <w:rPr>
          <w:sz w:val="20"/>
          <w:szCs w:val="20"/>
          <w:color w:val="auto"/>
        </w:rPr>
      </w:pPr>
      <w:r>
        <w:rPr>
          <w:rFonts w:ascii="Arial" w:cs="Arial" w:eastAsia="Arial" w:hAnsi="Arial"/>
          <w:sz w:val="14"/>
          <w:szCs w:val="14"/>
          <w:b w:val="1"/>
          <w:bCs w:val="1"/>
          <w:color w:val="auto"/>
        </w:rPr>
        <w:t>Director of Westlake Chemical Partners GP LLC</w:t>
      </w:r>
    </w:p>
    <w:p>
      <w:pPr>
        <w:spacing w:after="0" w:line="1"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decimal"/>
      <w:start w:val="13"/>
    </w:lvl>
  </w:abstractNum>
  <w:abstractNum w:abstractNumId="5">
    <w:nsid w:val="66EF438D"/>
    <w:multiLevelType w:val="hybridMultilevel"/>
    <w:lvl w:ilvl="0">
      <w:lvlJc w:val="left"/>
      <w:lvlText w:val="%1."/>
      <w:numFmt w:val="decimal"/>
      <w:start w:val="16"/>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lvl w:ilvl="1">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2020-01-17T22:17:44Z</dcterms:created>
  <dcterms:modified xsi:type="dcterms:W3CDTF">2020-01-17T22:17:44Z</dcterms:modified>
</cp:coreProperties>
</file>