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June 30, 2025</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3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Wingdings" w:cs="Wingdings" w:eastAsia="Wingdings" w:hAnsi="Wingdings"/>
          <w:sz w:val="18"/>
          <w:szCs w:val="18"/>
          <w:b w:val="1"/>
          <w:bCs w:val="1"/>
          <w:color w:val="auto"/>
        </w:rPr>
        <w:t>x</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35,238,556 common units outstanding as of July 30, 2025.</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40" w:type="dxa"/>
            <w:vAlign w:val="bottom"/>
            <w:vMerge w:val="restart"/>
          </w:tcPr>
          <w:p>
            <w:pPr>
              <w:spacing w:after="0"/>
              <w:rPr>
                <w:sz w:val="2"/>
                <w:szCs w:val="2"/>
                <w:color w:val="auto"/>
              </w:rPr>
            </w:pPr>
          </w:p>
        </w:tc>
        <w:tc>
          <w:tcPr>
            <w:tcW w:w="980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1A)</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19"/>
                <w:szCs w:val="19"/>
                <w:color w:val="auto"/>
              </w:rPr>
            </w:pPr>
          </w:p>
        </w:tc>
        <w:tc>
          <w:tcPr>
            <w:tcW w:w="298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903,588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458,642</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(21,116,326 and 21,116,326 units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June 30, 2025 and December 31, 2024, respectively)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June 30, 2025 and December 31, 2024, respectively)</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72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269,076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459,857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474,736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568,841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148,412</w:t>
            </w:r>
          </w:p>
        </w:tc>
        <w:tc>
          <w:tcPr>
            <w:tcW w:w="0" w:type="dxa"/>
            <w:vAlign w:val="bottom"/>
          </w:tcPr>
          <w:p>
            <w:pPr>
              <w:spacing w:after="0"/>
              <w:rPr>
                <w:sz w:val="1"/>
                <w:szCs w:val="1"/>
                <w:color w:val="auto"/>
              </w:rPr>
            </w:pPr>
          </w:p>
        </w:tc>
      </w:tr>
      <w:tr>
        <w:trPr>
          <w:trHeight w:val="155"/>
        </w:trPr>
        <w:tc>
          <w:tcPr>
            <w:tcW w:w="5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14,558</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14,427</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19,506</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29,260</w:t>
            </w:r>
          </w:p>
        </w:tc>
        <w:tc>
          <w:tcPr>
            <w:tcW w:w="0" w:type="dxa"/>
            <w:vAlign w:val="bottom"/>
          </w:tcPr>
          <w:p>
            <w:pPr>
              <w:spacing w:after="0"/>
              <w:rPr>
                <w:sz w:val="1"/>
                <w:szCs w:val="1"/>
                <w:color w:val="auto"/>
              </w:rPr>
            </w:pPr>
          </w:p>
        </w:tc>
      </w:tr>
      <w:tr>
        <w:trPr>
          <w:trHeight w:val="221"/>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limited partners' interest in net income</w:t>
            </w: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limited partner unit attributable to Westlake Chemical</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 LP (basic and 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limited partner units outstanding (basic and</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21,116,326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21,107,299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21,116,326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21,106,602</w:t>
            </w:r>
          </w:p>
        </w:tc>
        <w:tc>
          <w:tcPr>
            <w:tcW w:w="0" w:type="dxa"/>
            <w:vAlign w:val="bottom"/>
          </w:tcPr>
          <w:p>
            <w:pPr>
              <w:spacing w:after="0"/>
              <w:rPr>
                <w:sz w:val="1"/>
                <w:szCs w:val="1"/>
                <w:color w:val="auto"/>
              </w:rPr>
            </w:pPr>
          </w:p>
        </w:tc>
      </w:tr>
      <w:tr>
        <w:trPr>
          <w:trHeight w:val="254"/>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8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6"/>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464,339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538,640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(41,125)</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831,165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472,450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570,085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848,245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471,199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834,847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56,309</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charges and other assets and others,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226,461</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(33,214)</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(199,130)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65,999</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(collectively, the "Contributed Assets").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2024 (the "2024 Form 10-K"), filed with the SEC on March 5, 2025. These financial statements have been prepared in conformity with the accounting principles and practices as disclosed in the notes to the consolidated financial statements of the Partnership for the fiscal year ended December 31, 2024.</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References to "Westlake" refer collectively to Westlake Corporation and its subsidiaries, other than the Partnership, OpCo and OpCo GP.</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spacing w:after="0" w:line="13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2025, its results of operations for the three and six months ended June 30, 2025 and 2024 and the changes in its cash position for the six months ended June 30, 2025 and 2024.</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2025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No. 2023-09)</w:t>
      </w:r>
    </w:p>
    <w:p>
      <w:pPr>
        <w:spacing w:after="0" w:line="106"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an accounting standards update requiring additional tax disclosures under Topic 740 primarily related to the rate reconciliation and income taxes paid disclosures. The amendments in this update will be effective for annual periods beginning after December 15, 2024 and are to be applied on a prospective basis. Retrospective application is also permitted. The update is not expected to have a material impact on the Partnership's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No. 2024-03)</w:t>
      </w:r>
    </w:p>
    <w:p>
      <w:pPr>
        <w:spacing w:after="0" w:line="10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Early adoption is permitted. The Partnership is currently evaluating the impact of the update on the disclosures in the Partnership's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No. 2023-07)</w:t>
      </w:r>
    </w:p>
    <w:p>
      <w:pPr>
        <w:spacing w:after="0" w:line="10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an accounting standards update requiring public entities to disclose on an annual and interim basis, significant segment expenses that are regularly provided to the chief operating decision maker ("CODM") and on an annual basis, the title and position of the CODM and an explanation of how the CODM uses the reported measure(s) of segment profit or loss in assessing segment performance and deciding how to allocate resources. The update also requires that a public entity that has a single reportable segment provide all disclosures required by the update as well as all existing segment disclosures in Topic 280. The amendments in this update are effective for fiscal years beginning after December 15, 2023, and interim periods within fiscal years beginning after December 15, 2024 and are to be applied retrospectively to all prior periods presented in the financial statements. Early adoption is permitted. The Partnership adopted this accounting standard effective for the annual 2024 financial statements and interim period financial statements thereafter, and the adoption resulted in additional segment disclosures (see Note 13).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39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9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300" w:type="dxa"/>
            <w:vAlign w:val="bottom"/>
            <w:vMerge w:val="continue"/>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9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39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94"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Depreciation expense on property, plant and equipment of $21,587 and $21,830 is included in cost of sales in the consolidated statements of operations for the three months ended June 30, 2025 and 2024, respectively. Depreciation expense on property, plant and equipment of $42,423 and $43,367 is included in cost of sales in the consolidated statements of operations for the six months ended June 30, 2025 and 2024,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108"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on deferred charges and other assets of $10,897 and $6,485 is included in cost of sales in the consolidated statements of operations for the three months ended June 30, 2025 and 2024, respectively. Amortization expense on deferred charges and other assets of $17,129 and $12,942 is included in cost of sales in the consolidated statements of operations for the six months ended June 30, 2025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108" w:lineRule="exact"/>
        <w:rPr>
          <w:sz w:val="20"/>
          <w:szCs w:val="20"/>
          <w:color w:val="auto"/>
        </w:rPr>
      </w:pPr>
    </w:p>
    <w:p>
      <w:pPr>
        <w:jc w:val="both"/>
        <w:ind w:right="520" w:firstLine="405"/>
        <w:spacing w:after="0" w:line="266" w:lineRule="auto"/>
        <w:rPr>
          <w:sz w:val="20"/>
          <w:szCs w:val="20"/>
          <w:color w:val="auto"/>
        </w:rPr>
      </w:pPr>
      <w:r>
        <w:rPr>
          <w:rFonts w:ascii="Times New Roman" w:cs="Times New Roman" w:eastAsia="Times New Roman" w:hAnsi="Times New Roman"/>
          <w:sz w:val="18"/>
          <w:szCs w:val="18"/>
          <w:color w:val="auto"/>
        </w:rPr>
        <w:t>On July 30, 2025, the board of directors of Westlake Chemical Partners GP LLC ("Westlake GP"), the Partnership's general partner, declared a quarterly cash distribution for the three months ended June 30, 2025 of $0.4714 per common unit. This distribution is payable on August 27, 2025 to unitholders of record as of August 12, 2025.</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14,558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14,427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29,260</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16,612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16,608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rPr>
              <w:t>33,223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33,215</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(2,054)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8"/>
              </w:rPr>
              <w:t>(2,181)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w w:val="97"/>
              </w:rPr>
              <w:t>(13,717)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(3,955)</w:t>
            </w: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6"/>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35,238,556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00" w:type="dxa"/>
            <w:vAlign w:val="bottom"/>
          </w:tcPr>
          <w:p>
            <w:pPr>
              <w:spacing w:after="0"/>
              <w:rPr>
                <w:sz w:val="11"/>
                <w:szCs w:val="11"/>
                <w:color w:val="auto"/>
              </w:rPr>
            </w:pPr>
          </w:p>
        </w:tc>
        <w:tc>
          <w:tcPr>
            <w:tcW w:w="10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35,229,529</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gridSpan w:val="6"/>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00" w:type="dxa"/>
            <w:vAlign w:val="bottom"/>
          </w:tcPr>
          <w:p>
            <w:pPr>
              <w:spacing w:after="0"/>
              <w:rPr>
                <w:sz w:val="11"/>
                <w:szCs w:val="11"/>
                <w:color w:val="auto"/>
              </w:rPr>
            </w:pPr>
          </w:p>
        </w:tc>
        <w:tc>
          <w:tcPr>
            <w:tcW w:w="10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0" w:type="dxa"/>
            <w:vAlign w:val="bottom"/>
          </w:tcPr>
          <w:p>
            <w:pPr>
              <w:spacing w:after="0"/>
              <w:rPr>
                <w:sz w:val="1"/>
                <w:szCs w:val="1"/>
                <w:color w:val="auto"/>
              </w:rPr>
            </w:pP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35,238,556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gridSpan w:val="6"/>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00" w:type="dxa"/>
            <w:vAlign w:val="bottom"/>
          </w:tcPr>
          <w:p>
            <w:pPr>
              <w:spacing w:after="0"/>
              <w:rPr>
                <w:sz w:val="11"/>
                <w:szCs w:val="11"/>
                <w:color w:val="auto"/>
              </w:rPr>
            </w:pPr>
          </w:p>
        </w:tc>
        <w:tc>
          <w:tcPr>
            <w:tcW w:w="10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35,228,832</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3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5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5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3960" w:type="dxa"/>
            <w:vAlign w:val="bottom"/>
          </w:tcPr>
          <w:p>
            <w:pPr>
              <w:spacing w:after="0"/>
              <w:rPr>
                <w:sz w:val="24"/>
                <w:szCs w:val="24"/>
                <w:color w:val="auto"/>
              </w:rPr>
            </w:pPr>
          </w:p>
        </w:tc>
        <w:tc>
          <w:tcPr>
            <w:tcW w:w="392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The Partnership's distribution for the three months ended June 30, 2025 did not exceed the $1.2938 per unit threshold, and, as a result, no distribution was made with respect to the Partnership's incentive distribution rights to Westlake, as the holder of the Partnership's incentive distribution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Per Common Unit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and six months ended June 30, 2025 and 2024 were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0.9428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No common units were issued under this program as of June 30, 2025.</w:t>
      </w:r>
    </w:p>
    <w:p>
      <w:pPr>
        <w:spacing w:after="0" w:line="133"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the Partnership's 2024 consolidated financial statements included in the 2024 Form 10-K filed on March 5, 2025,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sells a significant portion of its ethylene production to Westlake. Sales to related parties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269,076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474,736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2025, OpCo forecasted an annual production deficiency under the Ethylene Sales Agreement for the full year 2025 primarily due to the Petro 1 turnaround extending into April 2025, which was later than the planned completion in March 2025. As a result, the Partnership recognized buyer deficiency fees of $13,613 during the three and six months ended June 30, 2025. The buyer deficiency fee is measured based upon the lower of the actual production deficiency at period end or the estimated annual production deficiency. The buyer deficiency fees are classified as a component of net sales— Westlake.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 significant portion of the Partnership's inputs included in cost of sales are supplied by Westlake. Charges from related parties for significant inputs included in cost of sales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90,567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155,544</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33,729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61,666</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11,707</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10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0"/>
        </w:trPr>
        <w:tc>
          <w:tcPr>
            <w:tcW w:w="52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Goods and services purchased from Westlake and capitalized as</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7"/>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$752 and $1,385 was included in the receivable under the Investment Management Agreement balance at June 30, 2025 and December 31, 2024, respectively. Total interest earned related to the Investment Management Agreement was $752 and $1,306 for the three months ended June 30, 2025 and 2024, respectively, and $2,109 and $2,611 for the six months ended June 30, 2025 and 2024, respectively.</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134,557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9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any buyer deficiency fee and shortfall fee recognized under the Ethylene Sales Agreement.</w:t>
      </w:r>
    </w:p>
    <w:p>
      <w:pPr>
        <w:spacing w:after="0" w:line="10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buyer deficiency fees discussed above under "Sales to Related Parties" recognized in the six months ended June 30, 2025 are scheduled to be received by the Partnership after December 31, 2025.</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Partnership's decision to postpone the maintenance turnaround at the Petro 1 facility from the third quarter of 2024 to the first quarter of 2025, OpCo's production resulted in "excess quantities" of ethylene for the contract year ended December 31, 2024. Pursuant to the terms of the Ethylene Sales Agreement, the excess quantities produced were sold to Westlake at prices that excluded certain non-variable costs of production. As of December 31, 2024, accounts receivable included sales associated with the excess quantities, which were at a lower sales price.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20,744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OpCo is obligated to Westlake under various long-term and short-term noncancelable operating leases, primarily related to rail cars and land. Operating lease rentals paid to Westlake for such leases were $440 and $430 for the three months ended June 30, 2025 and 2024, respectively, and $778 and $855 for the six months ended June 30, 2025 and 2024 respectively, and are reflected in other charges from Westlake that are included in cost of sales.</w:t>
      </w:r>
    </w:p>
    <w:p>
      <w:pPr>
        <w:spacing w:after="0" w:line="10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three months ended June 30, 2025 and 2024 was $5,907 and $6,651, respectively. Interest on related party debt payable balances, net of capitalized interest, for the six months ended June 30, 2025 and 2024 was $11,444 and $13,232, respectively. Interest on related party debt payable is presented as interest expense—Westlake in the consolidated statements of operations. At June 30, 2025 and December 31, 2024, accrued interest on related party debt was $5,907 and $5,848, respectively, and is reflected as a component of accrued and other liabilities in the consolidated balance sheets.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and 2024, Westlake accounted for approximately 90.6% and 84.3%, respectively, of the Partnership's net sales. During the six months ended June 30, 2025 and 2024, Westlake accounted for approximately 86.0% and 83.5%, respectively, of the Partnership's net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As of June 30, 2025,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6.1% and 6.4% at June 30, 2025 and December 31, 2024,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2025, the Partnership was in compliance with all of the covenants under the OpCo Revolver and the MLP Revolver.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Partnership's long-term debt at June 30, 2025 and December 31, 2024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36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8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Pr>
          <w:p>
            <w:pPr>
              <w:spacing w:after="0"/>
              <w:rPr>
                <w:sz w:val="17"/>
                <w:szCs w:val="17"/>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7"/>
                <w:szCs w:val="17"/>
                <w:color w:val="auto"/>
              </w:rPr>
            </w:pPr>
          </w:p>
        </w:tc>
        <w:tc>
          <w:tcPr>
            <w:tcW w:w="90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409,171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411,489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890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$36,263 and $16,920 at June 30, 2025 and December 31, 2024, respectively. Accrued taxes, accrued maintenance expense, accrued turnaround costs, accrued capital expenditures and accrued interest on related party debt, which are components of accrued and other liabilities, were $5,696, $4,002, $12,031, $4,303 and $5,907, respectively, at June 30, 2025 and $2,415, $1,458, $933, $2,102 and $5,848, respectively, at December 31, 2024. No other component of accrued and other liabilities was more than five percent of total 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$10,915 and $4,640 at June 30,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paid by the Partnership, net of interest capitalized, was $11,386 and $13,228 for the six months ended June 30, 2025 and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$173 and $616 for the six months ended June 30, 2025 and 2024,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94"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certain environmental and other liabilities that occurred or existed prior to August 4, 2014. Pursuant to the Services and Secondment Agreement, certain subsidiaries of Westlake will indemnify the Partnership for certain liabilities incurred in connection with the performance of Westlake's services under such agreement.</w:t>
      </w:r>
    </w:p>
    <w:p>
      <w:pPr>
        <w:spacing w:after="0" w:line="140"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08"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Partnership has one operating segment, which is the Partnership's reportable segment, OpCo. Consolidated net sales and provision for income taxes as disclosed in the consolidated statements of operations and depreciation and amortization and additions to property, plant and equipment as disclosed in the consolidated statements of cash flows are fully attributed to the OpCo segment, and as such, separate OpCo segment amounts are not repeated in the tables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 and other segment items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expense—Westlake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segment net income to consolidated net income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70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OpCo</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92,247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95,307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192,185</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net loss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(6,452)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85,795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88,026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392"/>
        </w:trPr>
        <w:tc>
          <w:tcPr>
            <w:tcW w:w="5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1,238,420</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49,536</w:t>
            </w:r>
          </w:p>
        </w:tc>
      </w:tr>
      <w:tr>
        <w:trPr>
          <w:trHeight w:val="223"/>
        </w:trPr>
        <w:tc>
          <w:tcPr>
            <w:tcW w:w="5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r>
      <w:tr>
        <w:trPr>
          <w:trHeight w:val="21"/>
        </w:trPr>
        <w:tc>
          <w:tcPr>
            <w:tcW w:w="5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98" w:lineRule="exact"/>
        <w:rPr>
          <w:sz w:val="20"/>
          <w:szCs w:val="20"/>
          <w:color w:val="auto"/>
        </w:rPr>
      </w:pPr>
    </w:p>
    <w:p>
      <w:pPr>
        <w:ind w:left="5540" w:right="2980" w:hanging="5532"/>
        <w:spacing w:after="0" w:line="970" w:lineRule="auto"/>
        <w:tabs>
          <w:tab w:leader="none" w:pos="4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interest expense—Westlake, other income, net and provision for income taxes.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2024 (the "2024 Form 10-K"), as filed with the SEC on March 5, 2025.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13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Neither we nor OpCo has any employees. OpCo and Westlake are parties to the Services and Secondment Agreement, pursuant to which Westlake provides OpCo with various utility services, comprehensive operating services for OpCo's units, services for the maintenance and operation of the common facilities and seconded employees to perform all services required under the agreement. Pursuant to the terms of the Services and Secondment Agreement, OpCo and Westlake have agreed to negotiate in good faith to reach agreement upon terms for the renewal of the agreement prior to the expiration of the initial term in August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2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94"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 1 Turnaround</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January 2025, we commenced our planned maintenance turnaround of the Petro 1 production facility. The turnaround concluded in April 2025.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459,857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474,736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568,841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29,260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124,391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123,199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199,412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247,630</w:t>
            </w:r>
          </w:p>
        </w:tc>
        <w:tc>
          <w:tcPr>
            <w:tcW w:w="0" w:type="dxa"/>
            <w:vAlign w:val="bottom"/>
          </w:tcPr>
          <w:p>
            <w:pPr>
              <w:spacing w:after="0"/>
              <w:rPr>
                <w:sz w:val="1"/>
                <w:szCs w:val="1"/>
                <w:color w:val="auto"/>
              </w:rPr>
            </w:pPr>
          </w:p>
        </w:tc>
      </w:tr>
      <w:tr>
        <w:trPr>
          <w:trHeight w:val="2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hanging="261"/>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300" w:hanging="261"/>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2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316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6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5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20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160" w:type="dxa"/>
            <w:vAlign w:val="bottom"/>
            <w:gridSpan w:val="3"/>
            <w:vMerge w:val="continue"/>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Net sales percentage change from prior-year period due to</w:t>
            </w: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average sales price and volume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5"/>
        </w:trPr>
        <w:tc>
          <w:tcPr>
            <w:tcW w:w="4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2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0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4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8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226,461</w:t>
            </w:r>
          </w:p>
        </w:tc>
      </w:tr>
      <w:tr>
        <w:trPr>
          <w:trHeight w:val="229"/>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(46,964)</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177,672</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6"/>
        </w:trPr>
        <w:tc>
          <w:tcPr>
            <w:tcW w:w="52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Depreciation, amortization and disposition of property, plant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w:t>
            </w: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w:t>
            </w:r>
          </w:p>
        </w:tc>
      </w:tr>
      <w:tr>
        <w:trPr>
          <w:trHeight w:val="175"/>
        </w:trPr>
        <w:tc>
          <w:tcPr>
            <w:tcW w:w="52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 in</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OpCo</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(109,325)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(164,576)</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
        </w:trPr>
        <w:tc>
          <w:tcPr>
            <w:tcW w:w="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177,672</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188,730</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For the quarter ended June 30, 2025, net income was $85.8 million on net sales of $297.1 million. This represents a decrease in net income of $2.2 million as compared to net income of $88.0 million on net sales of $284.2 million for the quarter ended June 30, 2024. Net income attributable to the Partnership for the second quarter of 2025 was $14.6 million as compared to $14.4 million for the second quarter of 2024, an increase of $0.2 million. Income from operations was $91.2 million for the second quarter of 2025 as compared to $93.6 million for the second quarter of 2024, a decrease of $2.4 million. Net sales for the second quarter of 2025 increased by $12.9 million as compared to the second quarter of 2024 primarily due to higher ethylene sales prices to Westlake, partially offset by lower ethylene and co-products sales volumes to Westlake and third parties primarily as a result of lower production volumes attributable to the Petro 1 turnaround, which concluded in April 2025. Net sales for the second quarter of 2025 also included a buyer deficiency fee of $13.6 million recognized as a result of a forecasted annual production deficiency due to the Petro 1 turnaround extending into April 2025, which was later than the planned completion in March 2025. Income from operations and net income for the second quarter of 2025 as compared to the second quarter of 2024 were lower due to higher ethane feedstock and natural gas costs in the second quarter of 2025 compared to the second quarter of 2024. Despite lower net income, net income attributable to the Partnership for the second quarter of 2025 as compared to the second quarter of 2024 increased due to lower interest expense.</w:t>
      </w:r>
    </w:p>
    <w:p>
      <w:pPr>
        <w:spacing w:after="0" w:line="13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2025, net income was $128.1 million on net sales of $534.7 million. This represents a decrease in net income of $49.6 million as compared to net income of $177.7 million on net sales of $568.8 million for the six months ended June 30, 2024. Net income attributable to the Partnership for the six months ended June 30, 2025 was $19.5 million as compared to $29.3 million for the six months ended June 30, 2024, a decrease of $9.8 million. Income from operations was $137.8 million for the six months ended June 30, 2025 as compared to $188.7 million for the six months ended June 30, 2024, a decrease of $50.9 million. Net sales for the six months ended June 30, 2025 decreased by $34.1 million as compared to net sales for the six months ended June 30, 2024, mainly due to lower ethylene and co-products sales volumes to Westlake and third parties as a result of lower production volumes attributable to the Petro 1 turnaround, partially offset by higher ethylene sales prices to Westlake and third parties as well as a buyer deficiency fee of $13.6 million recognized during the six months ended June 30, 2025 as a result of a forecasted annual production deficiency due to the Petro 1 turnaround extending into April 2025, which was later than the planned completion in March 2025. Income from operations, net income and net income attributable to the Partnership for the six months ended June 30, 2025 as compared to the six months ended June 30, 2024 were lower primarily due to the lower net sales and higher ethane feedstock and natural gas costs during the six months ended June 30, 2025 as compared to the six months ended June 30,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2025 Compared with Second Quarter 2024</w:t>
      </w:r>
    </w:p>
    <w:p>
      <w:pPr>
        <w:spacing w:after="0" w:line="92"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by $12.9 million, or 4.5%, to $297.1 million in the second quarter of 2025 from $284.2 million in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increase in net sales in the second quarter of 2025 was primarily due to higher ethylene sales prices to Westlake and the buyer deficiency fee of $13.6 million recognized during the second quarter of 2025, partially offset by lower sales volumes to Westlake and third parties as a result of lower production volumes attributable to the Petro 1 turnaround. Higher average sales prices in the second quarter of 2025 contributed to a 9.1% increase in net sales compared to the second quarter of 2024. Lower sales volumes in the second quarter of 2025 contributed to a 9.3% decrease in net sales compared to the second quarter of 2024.</w:t>
      </w:r>
    </w:p>
    <w:p>
      <w:pPr>
        <w:spacing w:after="0" w:line="128"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to $97.5 million in the second quarter of 2025 from $101.2 million in the second quarter of 2024.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in the second quarter of 2025 was 32.8%, as compared to 35.6% in the second quarter of 2024. The lower gross profit margin was primarily due to higher ethane feedstock and natural gas costs in the second quarter of 2025 compared to the second quarter of 2024.</w:t>
      </w:r>
    </w:p>
    <w:p>
      <w:pPr>
        <w:spacing w:after="0" w:line="119" w:lineRule="exact"/>
        <w:rPr>
          <w:sz w:val="20"/>
          <w:szCs w:val="20"/>
          <w:color w:val="auto"/>
        </w:rPr>
      </w:pPr>
    </w:p>
    <w:p>
      <w:pPr>
        <w:jc w:val="both"/>
        <w:ind w:right="2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$1.3 million, or 17.1%, to $6.3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quarter of 2025 as compared to $7.6 million in the second quarter of 2024. The decrease was mainly attributable to lower service costs in the second quarter of 2025 as compared to the second quarter of 2024.</w:t>
      </w:r>
    </w:p>
    <w:p>
      <w:pPr>
        <w:spacing w:after="0" w:line="119" w:lineRule="exact"/>
        <w:rPr>
          <w:sz w:val="20"/>
          <w:szCs w:val="20"/>
          <w:color w:val="auto"/>
        </w:rPr>
      </w:pPr>
    </w:p>
    <w:p>
      <w:pPr>
        <w:ind w:right="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$5.9 million in the second quarter of 2025 decreased from $6.7 million in the second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lower interest rates on the outstanding debt in the second quarter of 2025 as compared to the second quarter of 2024.</w:t>
      </w:r>
    </w:p>
    <w:p>
      <w:pPr>
        <w:spacing w:after="0" w:line="104" w:lineRule="exact"/>
        <w:rPr>
          <w:sz w:val="20"/>
          <w:szCs w:val="20"/>
          <w:color w:val="auto"/>
        </w:rPr>
      </w:pPr>
    </w:p>
    <w:p>
      <w:pPr>
        <w:ind w:right="1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decreased to $0.7 million in the second quarter of 2025 from $1.3 million in the second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decrease in interest earned on investments with Westlake under the Investment Management Agreement due to a lower average amount of cash invested and lower interest rates in the second quarter of 2025 as compared to the second quarter of 2024.</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$2.1 million to $15.0 million in the second quarter of 2025 from $17.1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second quarter of 2024. The decrease in the second quarter of 2025, as compared to the prior-year period, was primarily attributable to higher maintenance capital expenditures due to the Petro 1 turnaround.</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$1.2 million to $124.4 million in the second quarter of 2025 from $123.2 million in the second quarter of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ethylene sales prices to Westlake and the buyer deficiency fee recognized in the second quarter of 2025 compared to the second quarter of 2024, partially offset by lower ethylene and co-products sales volumes to Westlake and third parties as a result of lower production volumes attributable to the Petro 1 turnaround and higher ethane feedstock and natural gas costs.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with Six Months Ended June 30, 2024</w:t>
      </w:r>
    </w:p>
    <w:p>
      <w:pPr>
        <w:spacing w:after="0" w:line="92"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by $34.1 million, or 6.0%, to $534.7 million in the six months ended June 30, 2025 from $568.8 million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The decrease in net sales in the six months ended June 30, 2025 was primarily due to lower sales volumes to Westlake and third parties as a result of lower production volumes attributable to the Petro 1 turnaround, partially offset by higher ethylene sales prices to Westlake and the buyer deficiency fee of $13.6 million recognized during the six months ended June 30, 2025 as compared to the six months ended June 30, 2024. The higher average sales prices in the six months ended June 30, 2025 contributed to a 10.0% increase in net sales compared to the six months ended June 30, 2024. The lower sales volumes in the six months ended June 30, 2025 contributed to an 18.4% decrease in net sales as compared to the six months ended June 30, 2024.</w:t>
      </w:r>
    </w:p>
    <w:p>
      <w:pPr>
        <w:spacing w:after="0" w:line="12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to $151.6 million in the six months ended June 30, 2025 from $203.4 million in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Gross profit margin in the six months ended June 30, 2025 was 28.4%, as compared to 35.8% for the six months ended June 30, 2024. The decrease in gross profit margin was primarily due to higher ethane feedstock and natural gas costs in the six months ended June 30, 2025 as compared to the six months ended June 30, 2024.</w:t>
      </w:r>
    </w:p>
    <w:p>
      <w:pPr>
        <w:spacing w:after="0" w:line="126" w:lineRule="exact"/>
        <w:rPr>
          <w:sz w:val="20"/>
          <w:szCs w:val="20"/>
          <w:color w:val="auto"/>
        </w:rPr>
      </w:pPr>
    </w:p>
    <w:p>
      <w:pPr>
        <w:jc w:val="both"/>
        <w:ind w:right="1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$0.9 million, or 6.1%, to $13.8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2025 as compared to $14.7 million in the six months ended June 30, 2024. The decrease was mainly attributable to lower service costs in the six months ended June 30, 2025 as compared to the six months ended June 30, 2024.</w:t>
      </w:r>
    </w:p>
    <w:p>
      <w:pPr>
        <w:spacing w:after="0" w:line="119"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$11.4 million in the six months ended June 30, 2025 decreased by $1.8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of $13.2 million in the six months ended June 30, 2024. The decrease was primarily attributable to lower interest rates on the outstanding debt in the six months ended June 30, 2025 as compared to the six months ended June 30, 2024.</w:t>
      </w:r>
    </w:p>
    <w:p>
      <w:pPr>
        <w:spacing w:after="0" w:line="119" w:lineRule="exact"/>
        <w:rPr>
          <w:sz w:val="20"/>
          <w:szCs w:val="20"/>
          <w:color w:val="auto"/>
        </w:rPr>
      </w:pPr>
    </w:p>
    <w:p>
      <w:pPr>
        <w:jc w:val="both"/>
        <w:ind w:right="1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decreased by $0.6 million to $2.0 million in the six months ended June 30, 2025 from $2.6 million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primarily due to a decrease in interest earned on investments with Westlake under the Investment Management Agreement due to a lower average amount of cash invested and lower interest rates in the six months ended June 30, 2025 as compared to the six months ended June 30, 2024.</w:t>
      </w:r>
    </w:p>
    <w:p>
      <w:pPr>
        <w:spacing w:after="0" w:line="126"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$14.3 million to $19.7 million in the six months ended June 30,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$34.0 million in the six months ended June 30, 2024. The decrease in the six months ended June 30, 2025, as compared to the prior-year period, was primarily attributable to decreased earnings at OpCo and higher maintenance capital expenditures due to the Petro 1 turnaround.</w:t>
      </w:r>
    </w:p>
    <w:p>
      <w:pPr>
        <w:spacing w:after="0" w:line="119" w:lineRule="exact"/>
        <w:rPr>
          <w:sz w:val="20"/>
          <w:szCs w:val="20"/>
          <w:color w:val="auto"/>
        </w:rPr>
      </w:pPr>
    </w:p>
    <w:p>
      <w:pPr>
        <w:jc w:val="both"/>
        <w:ind w:right="80" w:firstLine="405"/>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EBITDA. </w:t>
      </w:r>
      <w:r>
        <w:rPr>
          <w:rFonts w:ascii="Times New Roman" w:cs="Times New Roman" w:eastAsia="Times New Roman" w:hAnsi="Times New Roman"/>
          <w:sz w:val="17"/>
          <w:szCs w:val="17"/>
          <w:color w:val="auto"/>
        </w:rPr>
        <w:t>EBITDA decreased by $48.2 million to $199.4 million in the six months ended June 30, 2025 from $247.6 million in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2024. The decrease was primarily due to higher ethane feedstock and natural gas costs and lower sales volumes to Westlake and third parties as a result of lower production volumes attributable to the Petro 1 turnaround in the six months ended June 30, 2025 as compared to the six months ended June 30, 2024, partially offset by higher ethylene sales prices to Westlake and the buyer deficiency fee recognized during the six months ended June 30, 2025.</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2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SIX MONTHS ENDED JUNE 30, 2025 AND 2024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Operating activities provided cash of $54.9 million in the first six months of 2025 compared to cash provided by operating activities of $226.5 million in the first six months of 2024. The $171.6 million decrease in cash flows from operating activities was mainly due to cash used in connection with the Petro 1 turnaround and lower income from operations in the first six months of 2025 as compared to the first six months of 2024 as well as a decrease in cash provided by working capital.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and other liabilities, used cash of $10.6 million in the first six months of 2025 as compared to $0.3 million of cash provided in the first six months of 2024, resulting in an overall unfavorable change of $10.9 million. The unfavorable change in working capital was mainly attributable to an unfavorable change in net accounts receivable—Westlake due to the buyer deficiency recognized in the first six months of 2025 and lower receivables with Westlake outstanding as of the fourth quarter of 2024 due to sales of excess quantities of ethylene at a lower sales price. This unfavorable change was partially offset by favorable changes in accounts payable—third parties and accrued and other liabilities due to the impact of the Petro 1 turnaround activities and the timing of payments in the first six months of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provided by investing activities in the first six months of 2025 was $49.7 million as compared to net cash used for investing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in the first six months of 2024, resulting in an overall favorable change of $69.7 million in investing cash flows. During the first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2025, there were maturities of investments with Westlake of $90.0 million under the Investment Management Agreement, whereas during the first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2024, there were no investing activities under the Investment Management Agreement. Capital expenditures increased to $40.3 million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six months of 2025 as compared to $20.0 million in the first six months of 2024 due to the Petro 1 turnaround. Capital expenditures in the first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2025 and 2024 were primarily related to projects to increase production capacity or reduce costs, maintenance costs and safety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projects at our facilities.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in the first six months of 2025 was $126.3 million as compared to net cash used for financing activities of $199.1 million in the first six months of 2024. The cash outflows in the first six months of 2025 were related to distributions of $93.0 million to the noncontrolling interest retained in OpCo by Westlake and of $33.2 million to unitholders by the Partnership. The cash outflows in the first six months of 2024 were related to distributions of $165.9 million to the noncontrolling interest retained in OpCo by Westlake and of $33.2 million to unitholders by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June 30, 2025.</w:t>
      </w:r>
    </w:p>
    <w:p>
      <w:pPr>
        <w:spacing w:after="0" w:line="12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its minimum commitment of ethylene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among other things, incur additional debt. Westlake's credit facility and various indentures do not prevent OpCo from making distributions to us.</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On July 30, 2025, the board of directors of Westlake Chemical Partners GP LLC, our general partner, approved a quarterly distribution of $0.4714 per common unit payable on August 27, 2025 to unitholders of record as of August 12, 2025, which equates to a total amount of approximately $16.6 million per quarter, or approximately $66.4 million per year in aggregate, based on the number of common units outstanding on June 30, 2025. We do not have a legal or contractual obligation to pay distributions on a quarterly basis or any other basis at our minimum quarterly distribution rate or any other 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the six months ended June 30, 2025 and 2024. Total capital expenditures for the six months ended June 30, 2025 and 2024 were $40.3 million and $20.0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As of June 30, 2025, our cash and cash equivalents totaled $36.6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180" w:firstLine="405"/>
        <w:spacing w:after="0" w:line="281" w:lineRule="auto"/>
        <w:rPr>
          <w:sz w:val="20"/>
          <w:szCs w:val="20"/>
          <w:color w:val="auto"/>
        </w:rPr>
      </w:pPr>
      <w:r>
        <w:rPr>
          <w:rFonts w:ascii="Times New Roman" w:cs="Times New Roman" w:eastAsia="Times New Roman" w:hAnsi="Times New Roman"/>
          <w:sz w:val="17"/>
          <w:szCs w:val="17"/>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$43.9 million of cash invested under the Investment Management Agreement at June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June 30, 2025,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June 30, 2025,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included in Item 1 of this Form 10-Q for a full description of recent accounting pronouncements, including expected date of adoption and estimated effect on 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(such as the Petro 1 turnaround)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2024 Form 10-K and the following:</w:t>
      </w:r>
    </w:p>
    <w:p>
      <w:pPr>
        <w:spacing w:after="0" w:line="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Westlake, including the renewal or renegotiation of, or determinations made pursuant to, our contractual arrangements with Westlake;</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delays in turnaround activities,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June 30,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June 30, 2025,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June 30, 2025 was 6.1%.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June 30, 2025 debt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2024 Form 10-K, filed on March 5, 2025, contained a description of various legal proceedings in which we are involved, including environmental proceedings. See Note 12 to the unaudited consolidated financial statements within this Quarterly Report on Form 10-Q for an updated discussion on legal proceedings, which information is incorporated by reference herein.</w:t>
      </w:r>
    </w:p>
    <w:p>
      <w:pPr>
        <w:spacing w:after="0" w:line="5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 Pursuant to the Services and Secondment Agreement, certain subsidiaries of Westlake have agreed to indemnify the Partnership for certain liabilities incurred in connection with the performance of Westlake's services under such agreement.</w:t>
      </w:r>
    </w:p>
    <w:p>
      <w:pPr>
        <w:spacing w:after="0" w:line="4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2024 Form 10-K. There have been no material changes from those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60" w:firstLine="40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Rule 10b5-1 Trading Arrangements. </w:t>
      </w:r>
      <w:r>
        <w:rPr>
          <w:rFonts w:ascii="Times New Roman" w:cs="Times New Roman" w:eastAsia="Times New Roman" w:hAnsi="Times New Roman"/>
          <w:sz w:val="17"/>
          <w:szCs w:val="17"/>
          <w:color w:val="auto"/>
        </w:rPr>
        <w:t>During the three months ended June 30, 2025, no director or officer of the Partnership's general partner adopted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920" w:type="dxa"/>
            <w:vAlign w:val="bottom"/>
            <w:gridSpan w:val="18"/>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8"/>
          </w:tcPr>
          <w:p>
            <w:pPr>
              <w:ind w:left="20"/>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2018 (File</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4">
              <w:r>
                <w:rPr>
                  <w:rFonts w:ascii="Times New Roman" w:cs="Times New Roman" w:eastAsia="Times New Roman" w:hAnsi="Times New Roman"/>
                  <w:sz w:val="18"/>
                  <w:szCs w:val="18"/>
                  <w:color w:val="0000FF"/>
                  <w:w w:val="97"/>
                </w:rPr>
                <w:t>No. 01-36567)).</w:t>
              </w:r>
            </w:hyperlink>
          </w:p>
        </w:tc>
        <w:tc>
          <w:tcPr>
            <w:tcW w:w="8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6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2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660" w:type="dxa"/>
            <w:vAlign w:val="bottom"/>
            <w:gridSpan w:val="7"/>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December 1, 2017 (File No. 01-36567) (incorporated by reference to Exhibit 3.4 to Westlake Chemical Partners LP's Annual Report on</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4"/>
          </w:tcPr>
          <w:p>
            <w:pPr>
              <w:spacing w:after="0"/>
              <w:rPr>
                <w:sz w:val="13"/>
                <w:szCs w:val="13"/>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2960" w:type="dxa"/>
            <w:vAlign w:val="bottom"/>
            <w:gridSpan w:val="12"/>
          </w:tcPr>
          <w:p>
            <w:pPr>
              <w:spacing w:after="0"/>
              <w:rPr>
                <w:sz w:val="22"/>
                <w:szCs w:val="22"/>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4"/>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20"/>
          </w:cols>
          <w:pgMar w:left="320" w:top="118" w:right="8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June 30, 2025 as filed with the Securities and Exchange Commission on the date hereof (the "Report"), I, Jean-Marc Gilson, President, Chief Executive Officer and Director of the general partner of the Partnership, and I, M. Steven Bender, Executive Vice President, Chief Financial Officer and Director of the general partner of the Partnership, certify, to the best of our knowledge, pursuant to 18 U.S.C. §1350, as adopted pursuant to §906 of the Sarbanes-Oxley Act of 2002, that:</w:t>
      </w:r>
    </w:p>
    <w:p>
      <w:pPr>
        <w:spacing w:after="0" w:line="75"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51" Type="http://schemas.openxmlformats.org/officeDocument/2006/relationships/hyperlink" Target="https://www.sec.gov/Archives/edgar/data/1604665/000119312514164760/d715499dex31.htm" TargetMode="External"/><Relationship Id="rId52" Type="http://schemas.openxmlformats.org/officeDocument/2006/relationships/hyperlink" Target="https://www.sec.gov/Archives/edgar/data/1604665/000119312514303305/d756630dex31.htm" TargetMode="External"/><Relationship Id="rId53" Type="http://schemas.openxmlformats.org/officeDocument/2006/relationships/hyperlink" Target="https://www.sec.gov/Archives/edgar/data/1604665/000119312517345554/d493400dex31.htm" TargetMode="External"/><Relationship Id="rId54" Type="http://schemas.openxmlformats.org/officeDocument/2006/relationships/hyperlink" Target="https://www.sec.gov/Archives/edgar/data/1604665/000119312518231463/d583758dex31.htm" TargetMode="External"/><Relationship Id="rId55" Type="http://schemas.openxmlformats.org/officeDocument/2006/relationships/hyperlink" Target="https://www.sec.gov/Archives/edgar/data/1604665/000119312514303305/d756630dex107.htm" TargetMode="External"/><Relationship Id="rId56" Type="http://schemas.openxmlformats.org/officeDocument/2006/relationships/hyperlink" Target="https://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2025-08-06T16:09:23Z</dcterms:created>
  <dcterms:modified xsi:type="dcterms:W3CDTF">2025-08-06T16:09:23Z</dcterms:modified>
</cp:coreProperties>
</file>