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30"/>
        </w:rPr>
      </w:pPr>
      <w:bookmarkStart w:id="0" w:name="s1FACAD9046D058FAAB8E9B16C70FFFA5"/>
      <w:bookmarkStart w:id="1" w:name="a2019063010qwlkp.htm"/>
      <w:bookmarkStart w:id="2" w:name="ksa2019063010qwlkp"/>
      <w:bookmarkEnd w:id="0"/>
      <w:bookmarkEnd w:id="1"/>
      <w:bookmarkEnd w:id="2"/>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sz w:val="30"/>
        </w:rPr>
      </w:pPr>
      <w:r>
        <w:rPr>
          <w:rFonts w:ascii="inherit" w:hAnsi="inherit"/>
          <w:b/>
          <w:sz w:val="30"/>
        </w:rPr>
        <w:t xml:space="preserve">Form </w:t>
      </w:r>
      <w:r>
        <w:rPr>
          <w:b/>
          <w:sz w:val="30"/>
        </w:rPr>
        <w:t>10-Q</w:t>
      </w:r>
      <w:r>
        <w:rPr>
          <w:sz w:val="30"/>
        </w:rPr>
        <w:t xml:space="preserve"> </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75"/>
        <w:gridCol w:w="6844"/>
        <w:gridCol w:w="308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6844" w:type="dxa"/>
            <w:tcBorders/>
            <w:shd w:fill="auto" w:val="clear"/>
            <w:vAlign w:val="center"/>
          </w:tcPr>
          <w:p>
            <w:pPr>
              <w:pStyle w:val="TableContents"/>
              <w:spacing w:before="0" w:after="283"/>
              <w:rPr>
                <w:sz w:val="4"/>
                <w:szCs w:val="4"/>
              </w:rPr>
            </w:pPr>
            <w:r>
              <w:rPr>
                <w:sz w:val="4"/>
                <w:szCs w:val="4"/>
              </w:rPr>
            </w:r>
          </w:p>
        </w:tc>
        <w:tc>
          <w:tcPr>
            <w:tcW w:w="30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pPr>
            <w:r>
              <w:rPr/>
              <w:t>☒</w:t>
            </w:r>
          </w:p>
        </w:tc>
        <w:tc>
          <w:tcPr>
            <w:tcW w:w="9930" w:type="dxa"/>
            <w:gridSpan w:val="2"/>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QUARTERLY REPORT PURSUANT TO SECTION 13 OR 15(d) OF THE SECURITIES EXCHANGE ACT OF 1934</w:t>
            </w:r>
          </w:p>
        </w:tc>
      </w:tr>
      <w:tr>
        <w:trPr/>
        <w:tc>
          <w:tcPr>
            <w:tcW w:w="275" w:type="dxa"/>
            <w:tcBorders/>
            <w:shd w:fill="auto" w:val="clear"/>
            <w:vAlign w:val="center"/>
          </w:tcPr>
          <w:p>
            <w:pPr>
              <w:pStyle w:val="TableContents"/>
              <w:spacing w:before="0" w:after="0"/>
              <w:ind w:left="0" w:right="0" w:firstLine="30"/>
              <w:rPr/>
            </w:pPr>
            <w:r>
              <w:rPr/>
              <w:t> </w:t>
            </w:r>
          </w:p>
        </w:tc>
        <w:tc>
          <w:tcPr>
            <w:tcW w:w="684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For the quarterly period ended </w:t>
            </w:r>
          </w:p>
        </w:tc>
        <w:tc>
          <w:tcPr>
            <w:tcW w:w="3086" w:type="dxa"/>
            <w:tcBorders/>
            <w:shd w:fill="auto" w:val="clear"/>
            <w:vAlign w:val="center"/>
          </w:tcPr>
          <w:p>
            <w:pPr>
              <w:pStyle w:val="TableContents"/>
              <w:spacing w:before="0" w:after="0"/>
              <w:jc w:val="left"/>
              <w:rPr>
                <w:rFonts w:ascii="inherit" w:hAnsi="inherit"/>
                <w:b/>
                <w:sz w:val="17"/>
              </w:rPr>
            </w:pPr>
            <w:r>
              <w:rPr>
                <w:rFonts w:ascii="inherit" w:hAnsi="inherit"/>
                <w:b/>
                <w:sz w:val="17"/>
              </w:rPr>
              <w:t>June 30, 2019</w:t>
            </w:r>
          </w:p>
        </w:tc>
      </w:tr>
    </w:tbl>
    <w:p>
      <w:pPr>
        <w:pStyle w:val="TextBody"/>
        <w:spacing w:lineRule="auto" w:line="288" w:before="0" w:after="0"/>
        <w:jc w:val="center"/>
        <w:rPr>
          <w:rFonts w:ascii="inherit" w:hAnsi="inherit"/>
          <w:b/>
          <w:sz w:val="17"/>
        </w:rPr>
      </w:pPr>
      <w:r>
        <w:rPr>
          <w:rFonts w:ascii="inherit" w:hAnsi="inherit"/>
          <w:b/>
          <w:sz w:val="17"/>
        </w:rPr>
        <w:t>or</w:t>
      </w:r>
    </w:p>
    <w:tbl>
      <w:tblPr>
        <w:tblW w:w="10205" w:type="dxa"/>
        <w:jc w:val="center"/>
        <w:tblInd w:w="0" w:type="dxa"/>
        <w:tblCellMar>
          <w:top w:w="0" w:type="dxa"/>
          <w:left w:w="0" w:type="dxa"/>
          <w:bottom w:w="0" w:type="dxa"/>
          <w:right w:w="0" w:type="dxa"/>
        </w:tblCellMar>
      </w:tblPr>
      <w:tblGrid>
        <w:gridCol w:w="275"/>
        <w:gridCol w:w="993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99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pPr>
            <w:r>
              <w:rPr/>
              <w:t>☐</w:t>
            </w:r>
          </w:p>
        </w:tc>
        <w:tc>
          <w:tcPr>
            <w:tcW w:w="9930" w:type="dxa"/>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TRANSITION REPORT PURSUANT TO SECTION 13 OR 15(d) OF THE SECURITIES EXCHANGE ACT OF 1934</w:t>
            </w:r>
          </w:p>
        </w:tc>
      </w:tr>
      <w:tr>
        <w:trPr/>
        <w:tc>
          <w:tcPr>
            <w:tcW w:w="275" w:type="dxa"/>
            <w:tcBorders/>
            <w:shd w:fill="auto" w:val="clear"/>
            <w:vAlign w:val="center"/>
          </w:tcPr>
          <w:p>
            <w:pPr>
              <w:pStyle w:val="TableContents"/>
              <w:spacing w:before="0" w:after="0"/>
              <w:ind w:left="0" w:right="0" w:firstLine="30"/>
              <w:rPr/>
            </w:pPr>
            <w:r>
              <w:rPr/>
              <w:t> </w:t>
            </w:r>
          </w:p>
        </w:tc>
        <w:tc>
          <w:tcPr>
            <w:tcW w:w="9930" w:type="dxa"/>
            <w:tcBorders/>
            <w:shd w:fill="auto" w:val="clear"/>
            <w:vAlign w:val="center"/>
          </w:tcPr>
          <w:p>
            <w:pPr>
              <w:pStyle w:val="TableContents"/>
              <w:spacing w:before="0" w:after="0"/>
              <w:jc w:val="left"/>
              <w:rPr>
                <w:rFonts w:ascii="inherit" w:hAnsi="inherit"/>
                <w:b/>
                <w:sz w:val="17"/>
              </w:rPr>
            </w:pPr>
            <w:r>
              <w:rPr>
                <w:rFonts w:ascii="inherit" w:hAnsi="inherit"/>
                <w:b/>
                <w:sz w:val="17"/>
              </w:rPr>
              <w:t>For the Transition Period from                    to                    </w:t>
            </w:r>
          </w:p>
        </w:tc>
      </w:tr>
    </w:tbl>
    <w:p>
      <w:pPr>
        <w:pStyle w:val="TextBody"/>
        <w:spacing w:lineRule="auto" w:line="288" w:before="0" w:after="0"/>
        <w:jc w:val="center"/>
        <w:rPr>
          <w:sz w:val="17"/>
        </w:rPr>
      </w:pPr>
      <w:r>
        <w:rPr>
          <w:rFonts w:ascii="inherit" w:hAnsi="inherit"/>
          <w:b/>
          <w:sz w:val="17"/>
        </w:rPr>
        <w:t>Commission File No. </w:t>
      </w:r>
      <w:r>
        <w:rPr>
          <w:b/>
          <w:sz w:val="17"/>
        </w:rPr>
        <w:t>001-36567</w:t>
      </w:r>
      <w:r>
        <w:rPr>
          <w:sz w:val="17"/>
        </w:rPr>
        <w:t xml:space="preserve"> </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sz w:val="40"/>
        </w:rPr>
      </w:pPr>
      <w:r>
        <w:rPr>
          <w:b/>
          <w:sz w:val="40"/>
        </w:rPr>
        <w:t>Westlake Chemical Partners LP</w:t>
      </w:r>
      <w:r>
        <w:rPr>
          <w:sz w:val="40"/>
        </w:rPr>
        <w:t xml:space="preserve"> </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4045" w:type="dxa"/>
        <w:jc w:val="left"/>
        <w:tblInd w:w="0" w:type="dxa"/>
        <w:tblCellMar>
          <w:top w:w="0" w:type="dxa"/>
          <w:left w:w="0" w:type="dxa"/>
          <w:bottom w:w="0" w:type="dxa"/>
          <w:right w:w="0" w:type="dxa"/>
        </w:tblCellMar>
      </w:tblPr>
      <w:tblGrid>
        <w:gridCol w:w="2255"/>
        <w:gridCol w:w="90"/>
        <w:gridCol w:w="1700"/>
      </w:tblGrid>
      <w:tr>
        <w:trPr/>
        <w:tc>
          <w:tcPr>
            <w:tcW w:w="4045" w:type="dxa"/>
            <w:gridSpan w:val="3"/>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5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170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32-0436529</w:t>
            </w:r>
          </w:p>
        </w:tc>
      </w:tr>
      <w:tr>
        <w:trPr/>
        <w:tc>
          <w:tcPr>
            <w:tcW w:w="2255"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90" w:type="dxa"/>
            <w:tcBorders/>
            <w:shd w:fill="auto" w:val="clear"/>
            <w:vAlign w:val="center"/>
          </w:tcPr>
          <w:p>
            <w:pPr>
              <w:pStyle w:val="TableContents"/>
              <w:spacing w:before="0" w:after="0"/>
              <w:ind w:left="0" w:right="0" w:firstLine="30"/>
              <w:jc w:val="left"/>
              <w:rPr/>
            </w:pPr>
            <w:r>
              <w:rPr/>
              <w:t> </w:t>
            </w:r>
          </w:p>
        </w:tc>
        <w:tc>
          <w:tcPr>
            <w:tcW w:w="1700"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Number)</w:t>
            </w:r>
          </w:p>
        </w:tc>
      </w:tr>
    </w:tbl>
    <w:p>
      <w:pPr>
        <w:pStyle w:val="TextBody"/>
        <w:spacing w:lineRule="auto" w:line="288" w:before="0" w:after="0"/>
        <w:jc w:val="center"/>
        <w:rPr>
          <w:sz w:val="17"/>
        </w:rPr>
      </w:pPr>
      <w:r>
        <w:rPr>
          <w:b/>
          <w:sz w:val="17"/>
        </w:rPr>
        <w:t>2801 Post Oak Boulevard</w:t>
      </w:r>
      <w:r>
        <w:rPr>
          <w:rFonts w:ascii="inherit" w:hAnsi="inherit"/>
          <w:b/>
          <w:sz w:val="17"/>
        </w:rPr>
        <w:t xml:space="preserve">, </w:t>
      </w:r>
      <w:r>
        <w:rPr>
          <w:b/>
          <w:sz w:val="17"/>
        </w:rPr>
        <w:t>Suite 600</w:t>
      </w:r>
      <w:r>
        <w:rPr>
          <w:sz w:val="17"/>
        </w:rPr>
        <w:t xml:space="preserve"> </w:t>
      </w:r>
    </w:p>
    <w:p>
      <w:pPr>
        <w:pStyle w:val="TextBody"/>
        <w:spacing w:lineRule="auto" w:line="288" w:before="0" w:after="0"/>
        <w:jc w:val="center"/>
        <w:rPr>
          <w:sz w:val="17"/>
        </w:rPr>
      </w:pPr>
      <w:r>
        <w:rPr>
          <w:b/>
          <w:sz w:val="17"/>
        </w:rPr>
        <w:t>Houston</w:t>
      </w:r>
      <w:r>
        <w:rPr>
          <w:rFonts w:ascii="inherit" w:hAnsi="inherit"/>
          <w:b/>
          <w:sz w:val="17"/>
        </w:rPr>
        <w:t xml:space="preserve">, </w:t>
      </w:r>
      <w:r>
        <w:rPr>
          <w:b/>
          <w:sz w:val="17"/>
        </w:rPr>
        <w:t>Texas</w:t>
      </w:r>
      <w:r>
        <w:rPr>
          <w:sz w:val="17"/>
        </w:rPr>
        <w:t xml:space="preserve"> </w:t>
      </w:r>
      <w:r>
        <w:rPr>
          <w:b/>
          <w:sz w:val="17"/>
        </w:rPr>
        <w:t>77056</w:t>
      </w:r>
      <w:r>
        <w:rPr>
          <w:sz w:val="17"/>
        </w:rPr>
        <w:t xml:space="preserve"> </w:t>
      </w:r>
    </w:p>
    <w:p>
      <w:pPr>
        <w:pStyle w:val="TextBody"/>
        <w:spacing w:lineRule="auto" w:line="288" w:before="0" w:after="0"/>
        <w:jc w:val="center"/>
        <w:rPr>
          <w:rFonts w:ascii="inherit" w:hAnsi="inherit"/>
          <w:b/>
          <w:sz w:val="13"/>
        </w:rPr>
      </w:pPr>
      <w:r>
        <w:rPr>
          <w:rFonts w:ascii="inherit" w:hAnsi="inherit"/>
          <w:b/>
          <w:sz w:val="13"/>
        </w:rPr>
        <w:t>(Address of principal executive offices, including zip code)</w:t>
      </w:r>
    </w:p>
    <w:p>
      <w:pPr>
        <w:pStyle w:val="TextBody"/>
        <w:spacing w:lineRule="auto" w:line="288" w:before="0" w:after="0"/>
        <w:jc w:val="center"/>
        <w:rPr>
          <w:sz w:val="17"/>
        </w:rPr>
      </w:pPr>
      <w:r>
        <w:rPr>
          <w:rFonts w:ascii="inherit" w:hAnsi="inherit"/>
          <w:b/>
          <w:sz w:val="17"/>
        </w:rPr>
        <w:t>(</w:t>
      </w:r>
      <w:r>
        <w:rPr>
          <w:b/>
          <w:sz w:val="17"/>
        </w:rPr>
        <w:t>713</w:t>
      </w:r>
      <w:r>
        <w:rPr>
          <w:rFonts w:ascii="inherit" w:hAnsi="inherit"/>
          <w:b/>
          <w:sz w:val="17"/>
        </w:rPr>
        <w:t xml:space="preserve">) </w:t>
      </w:r>
      <w:r>
        <w:rPr>
          <w:b/>
          <w:sz w:val="17"/>
        </w:rPr>
        <w:t>585-2900</w:t>
      </w:r>
      <w:r>
        <w:rPr>
          <w:sz w:val="17"/>
        </w:rPr>
        <w:t xml:space="preserve"> </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p>
      <w:pPr>
        <w:pStyle w:val="TextBody"/>
        <w:spacing w:lineRule="auto" w:line="288" w:before="0" w:after="0"/>
        <w:jc w:val="center"/>
        <w:rPr>
          <w:rFonts w:ascii="inherit" w:hAnsi="inherit"/>
          <w:sz w:val="13"/>
        </w:rPr>
      </w:pPr>
      <w:r>
        <w:rPr>
          <w:rFonts w:ascii="inherit" w:hAnsi="inherit"/>
          <w:sz w:val="13"/>
        </w:rPr>
      </w:r>
    </w:p>
    <w:p>
      <w:pPr>
        <w:pStyle w:val="TextBody"/>
        <w:spacing w:lineRule="auto" w:line="288" w:before="0" w:after="0"/>
        <w:jc w:val="left"/>
        <w:rPr>
          <w:rFonts w:ascii="inherit" w:hAnsi="inherit"/>
          <w:sz w:val="17"/>
        </w:rPr>
      </w:pPr>
      <w:r>
        <w:rPr>
          <w:rFonts w:ascii="inherit" w:hAnsi="inherit"/>
          <w:sz w:val="17"/>
        </w:rPr>
        <w:t>Securities registered pursuant to Section 12(b) of the Act:</w:t>
      </w:r>
    </w:p>
    <w:tbl>
      <w:tblPr>
        <w:tblW w:w="10205" w:type="dxa"/>
        <w:jc w:val="center"/>
        <w:tblInd w:w="0" w:type="dxa"/>
        <w:tblCellMar>
          <w:top w:w="0" w:type="dxa"/>
          <w:left w:w="0" w:type="dxa"/>
          <w:bottom w:w="0" w:type="dxa"/>
          <w:right w:w="0" w:type="dxa"/>
        </w:tblCellMar>
      </w:tblPr>
      <w:tblGrid>
        <w:gridCol w:w="4547"/>
        <w:gridCol w:w="1703"/>
        <w:gridCol w:w="395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547"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39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47"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 of each class</w:t>
            </w:r>
          </w:p>
        </w:tc>
        <w:tc>
          <w:tcPr>
            <w:tcW w:w="1703"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Trading Symbol(s)</w:t>
            </w:r>
          </w:p>
        </w:tc>
        <w:tc>
          <w:tcPr>
            <w:tcW w:w="3955" w:type="dxa"/>
            <w:tcBorders>
              <w:top w:val="single" w:sz="2" w:space="0" w:color="000000"/>
              <w:left w:val="single" w:sz="2" w:space="0" w:color="000000"/>
              <w:right w:val="single" w:sz="2" w:space="0" w:color="000000"/>
            </w:tcBorders>
            <w:shd w:fill="auto" w:val="clear"/>
            <w:tcMar>
              <w:top w:w="30" w:type="dxa"/>
              <w:left w:w="28" w:type="dxa"/>
              <w:right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Name of each exchange on which registered</w:t>
            </w:r>
          </w:p>
        </w:tc>
      </w:tr>
      <w:tr>
        <w:trPr/>
        <w:tc>
          <w:tcPr>
            <w:tcW w:w="4547"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Common units representing limited partnership interests</w:t>
            </w:r>
          </w:p>
        </w:tc>
        <w:tc>
          <w:tcPr>
            <w:tcW w:w="1703"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WLKP</w:t>
            </w:r>
          </w:p>
        </w:tc>
        <w:tc>
          <w:tcPr>
            <w:tcW w:w="3955"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jc w:val="center"/>
              <w:rPr>
                <w:rFonts w:ascii="inherit" w:hAnsi="inherit"/>
                <w:sz w:val="17"/>
              </w:rPr>
            </w:pPr>
            <w:r>
              <w:rPr>
                <w:rFonts w:ascii="inherit" w:hAnsi="inherit"/>
                <w:sz w:val="17"/>
              </w:rPr>
              <w:t>The New York Stock Exchange</w:t>
            </w:r>
          </w:p>
        </w:tc>
      </w:tr>
    </w:tbl>
    <w:p>
      <w:pPr>
        <w:pStyle w:val="TextBody"/>
        <w:spacing w:lineRule="auto" w:line="288" w:before="0" w:after="0"/>
        <w:rPr>
          <w:sz w:val="17"/>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sz w:val="17"/>
        </w:rPr>
      </w:pPr>
      <w:r>
        <w:rPr>
          <w:rFonts w:ascii="inherit" w:hAnsi="inherit"/>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tbl>
      <w:tblPr>
        <w:tblW w:w="5555" w:type="dxa"/>
        <w:jc w:val="left"/>
        <w:tblInd w:w="0" w:type="dxa"/>
        <w:tblCellMar>
          <w:top w:w="0" w:type="dxa"/>
          <w:left w:w="0" w:type="dxa"/>
          <w:bottom w:w="0" w:type="dxa"/>
          <w:right w:w="0" w:type="dxa"/>
        </w:tblCellMar>
      </w:tblPr>
      <w:tblGrid>
        <w:gridCol w:w="2120"/>
        <w:gridCol w:w="90"/>
        <w:gridCol w:w="320"/>
        <w:gridCol w:w="90"/>
        <w:gridCol w:w="2570"/>
        <w:gridCol w:w="90"/>
        <w:gridCol w:w="275"/>
      </w:tblGrid>
      <w:tr>
        <w:trPr/>
        <w:tc>
          <w:tcPr>
            <w:tcW w:w="5555" w:type="dxa"/>
            <w:gridSpan w:val="7"/>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2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Large accelerated filer</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jc w:val="left"/>
              <w:rPr/>
            </w:pPr>
            <w:r>
              <w:rPr/>
              <w:t>☐</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Accelerated filer</w:t>
            </w:r>
          </w:p>
        </w:tc>
        <w:tc>
          <w:tcPr>
            <w:tcW w:w="90" w:type="dxa"/>
            <w:tcBorders/>
            <w:shd w:fill="auto" w:val="clear"/>
            <w:vAlign w:val="center"/>
          </w:tcPr>
          <w:p>
            <w:pPr>
              <w:pStyle w:val="TableContents"/>
              <w:spacing w:before="0" w:after="0"/>
              <w:ind w:left="0" w:right="0" w:firstLine="30"/>
              <w:jc w:val="left"/>
              <w:rPr/>
            </w:pPr>
            <w:r>
              <w:rPr/>
              <w:t> </w:t>
            </w:r>
          </w:p>
        </w:tc>
        <w:tc>
          <w:tcPr>
            <w:tcW w:w="275"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r>
      <w:tr>
        <w:trPr/>
        <w:tc>
          <w:tcPr>
            <w:tcW w:w="212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Non-accelerated filer</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Smaller reporting company</w:t>
            </w:r>
          </w:p>
        </w:tc>
        <w:tc>
          <w:tcPr>
            <w:tcW w:w="90" w:type="dxa"/>
            <w:tcBorders/>
            <w:shd w:fill="auto" w:val="clear"/>
            <w:vAlign w:val="center"/>
          </w:tcPr>
          <w:p>
            <w:pPr>
              <w:pStyle w:val="TableContents"/>
              <w:spacing w:before="0" w:after="0"/>
              <w:ind w:left="0" w:right="0" w:firstLine="30"/>
              <w:jc w:val="left"/>
              <w:rPr/>
            </w:pPr>
            <w:r>
              <w:rPr/>
              <w:t> </w:t>
            </w:r>
          </w:p>
        </w:tc>
        <w:tc>
          <w:tcPr>
            <w:tcW w:w="275" w:type="dxa"/>
            <w:tcBorders/>
            <w:shd w:fill="auto" w:val="clear"/>
            <w:vAlign w:val="center"/>
          </w:tcPr>
          <w:p>
            <w:pPr>
              <w:pStyle w:val="TableContents"/>
              <w:spacing w:before="0" w:after="0"/>
              <w:ind w:left="0" w:right="0" w:firstLine="30"/>
              <w:rPr/>
            </w:pPr>
            <w:r>
              <w:rPr/>
              <w:t>☐</w:t>
            </w:r>
          </w:p>
        </w:tc>
      </w:tr>
      <w:tr>
        <w:trPr/>
        <w:tc>
          <w:tcPr>
            <w:tcW w:w="21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Emerging growth company</w:t>
            </w:r>
          </w:p>
        </w:tc>
        <w:tc>
          <w:tcPr>
            <w:tcW w:w="90" w:type="dxa"/>
            <w:tcBorders/>
            <w:shd w:fill="auto" w:val="clear"/>
            <w:vAlign w:val="center"/>
          </w:tcPr>
          <w:p>
            <w:pPr>
              <w:pStyle w:val="TableContents"/>
              <w:spacing w:before="0" w:after="0"/>
              <w:ind w:left="0" w:right="0" w:firstLine="30"/>
              <w:rPr/>
            </w:pPr>
            <w:r>
              <w:rPr/>
              <w:t> </w:t>
            </w:r>
          </w:p>
        </w:tc>
        <w:tc>
          <w:tcPr>
            <w:tcW w:w="275" w:type="dxa"/>
            <w:tcBorders/>
            <w:shd w:fill="auto" w:val="clear"/>
            <w:vAlign w:val="center"/>
          </w:tcPr>
          <w:p>
            <w:pPr>
              <w:pStyle w:val="TableContents"/>
              <w:spacing w:before="0" w:after="0"/>
              <w:rPr/>
            </w:pPr>
            <w:r>
              <w:rPr/>
              <w:t>☐</w:t>
            </w:r>
          </w:p>
        </w:tc>
      </w:tr>
    </w:tbl>
    <w:p>
      <w:pPr>
        <w:pStyle w:val="TextBody"/>
        <w:spacing w:lineRule="auto" w:line="288" w:before="0" w:after="0"/>
        <w:rPr>
          <w:sz w:val="17"/>
        </w:rPr>
      </w:pPr>
      <w:r>
        <w:rPr>
          <w:rFonts w:ascii="inherit" w:hAnsi="inherit"/>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sz w:val="17"/>
        </w:rPr>
        <w:t>☐  </w:t>
      </w:r>
    </w:p>
    <w:p>
      <w:pPr>
        <w:pStyle w:val="TextBody"/>
        <w:spacing w:lineRule="auto" w:line="288" w:before="0" w:after="0"/>
        <w:rPr>
          <w:sz w:val="17"/>
        </w:rPr>
      </w:pPr>
      <w:r>
        <w:rPr>
          <w:rFonts w:ascii="inherit" w:hAnsi="inherit"/>
          <w:sz w:val="17"/>
        </w:rPr>
        <w:t>Indicate by check mark whether the registrant is a shell company (as defined in Rule 12b-2 of the Exchange Act)     </w:t>
      </w:r>
      <w:r>
        <w:rPr>
          <w:rFonts w:ascii="inherit" w:hAnsi="inherit"/>
          <w:b/>
          <w:sz w:val="17"/>
        </w:rPr>
        <w:t>Yes</w:t>
      </w:r>
      <w:r>
        <w:rPr>
          <w:sz w:val="17"/>
        </w:rPr>
        <w:t>   ☐     </w:t>
      </w:r>
      <w:r>
        <w:rPr>
          <w:rFonts w:ascii="inherit" w:hAnsi="inherit"/>
          <w:b/>
          <w:sz w:val="17"/>
        </w:rPr>
        <w:t>No</w:t>
      </w:r>
      <w:r>
        <w:rPr>
          <w:sz w:val="17"/>
        </w:rPr>
        <w:t>   </w:t>
      </w:r>
      <w:r>
        <w:rPr>
          <w:rFonts w:ascii="Wingdings" w:hAnsi="Wingdings"/>
          <w:sz w:val="17"/>
        </w:rPr>
        <w:t>x</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registrant had 35,188,189</w:t>
      </w:r>
      <w:r>
        <w:rPr>
          <w:sz w:val="17"/>
        </w:rPr>
        <w:t xml:space="preserve"> </w:t>
      </w:r>
      <w:r>
        <w:rPr>
          <w:rFonts w:ascii="inherit" w:hAnsi="inherit"/>
          <w:sz w:val="17"/>
        </w:rPr>
        <w:t>common units outstanding as of July 30, 2019.</w:t>
      </w:r>
    </w:p>
    <w:p>
      <w:pPr>
        <w:pStyle w:val="TextBody"/>
        <w:rPr/>
      </w:pPr>
      <w:r>
        <w:rPr/>
      </w:r>
      <w:r>
        <w:br w:type="page"/>
      </w:r>
    </w:p>
    <w:p>
      <w:pPr>
        <w:pStyle w:val="TextBody"/>
        <w:spacing w:before="0" w:after="0"/>
        <w:rPr/>
      </w:pPr>
      <w:r>
        <w:rPr/>
      </w:r>
      <w:bookmarkStart w:id="3" w:name="s0D5445E028A35494AA9A1154E3029470"/>
      <w:bookmarkStart w:id="4" w:name="s0D5445E028A35494AA9A1154E3029470"/>
      <w:bookmarkEnd w:id="4"/>
    </w:p>
    <w:p>
      <w:pPr>
        <w:pStyle w:val="TextBody"/>
        <w:spacing w:lineRule="auto" w:line="288" w:before="0" w:after="0"/>
        <w:jc w:val="center"/>
        <w:rPr>
          <w:rFonts w:ascii="inherit" w:hAnsi="inherit"/>
          <w:b/>
          <w:sz w:val="17"/>
        </w:rPr>
      </w:pPr>
      <w:r>
        <w:rPr>
          <w:rFonts w:ascii="inherit" w:hAnsi="inherit"/>
          <w:b/>
          <w:sz w:val="17"/>
        </w:rPr>
        <w:t>INDEX</w:t>
      </w:r>
    </w:p>
    <w:p>
      <w:pPr>
        <w:pStyle w:val="TextBody"/>
        <w:spacing w:lineRule="auto" w:line="288" w:before="0" w:after="0"/>
        <w:rPr>
          <w:rFonts w:ascii="inherit" w:hAnsi="inherit"/>
          <w:sz w:val="15"/>
        </w:rPr>
      </w:pPr>
      <w:r>
        <w:rPr>
          <w:rFonts w:ascii="inherit" w:hAnsi="inherit"/>
          <w:sz w:val="15"/>
        </w:rPr>
      </w:r>
    </w:p>
    <w:tbl>
      <w:tblPr>
        <w:tblW w:w="8245" w:type="dxa"/>
        <w:jc w:val="left"/>
        <w:tblInd w:w="0" w:type="dxa"/>
        <w:tblCellMar>
          <w:top w:w="0" w:type="dxa"/>
          <w:left w:w="0" w:type="dxa"/>
          <w:bottom w:w="0" w:type="dxa"/>
          <w:right w:w="0" w:type="dxa"/>
        </w:tblCellMar>
      </w:tblPr>
      <w:tblGrid>
        <w:gridCol w:w="7580"/>
        <w:gridCol w:w="665"/>
      </w:tblGrid>
      <w:tr>
        <w:trPr/>
        <w:tc>
          <w:tcPr>
            <w:tcW w:w="8245" w:type="dxa"/>
            <w:gridSpan w:val="2"/>
            <w:tcBorders/>
            <w:shd w:fill="auto" w:val="clear"/>
            <w:vAlign w:val="center"/>
          </w:tcPr>
          <w:p>
            <w:pPr>
              <w:pStyle w:val="TableContents"/>
              <w:spacing w:before="0" w:after="283"/>
              <w:rPr>
                <w:sz w:val="4"/>
                <w:szCs w:val="4"/>
              </w:rPr>
            </w:pPr>
            <w:r>
              <w:rPr>
                <w:sz w:val="4"/>
                <w:szCs w:val="4"/>
              </w:rPr>
            </w:r>
          </w:p>
        </w:tc>
      </w:tr>
      <w:tr>
        <w:trPr/>
        <w:tc>
          <w:tcPr>
            <w:tcW w:w="758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80" w:type="dxa"/>
            <w:tcBorders/>
            <w:shd w:fill="auto" w:val="clear"/>
            <w:vAlign w:val="center"/>
          </w:tcPr>
          <w:p>
            <w:pPr>
              <w:pStyle w:val="TableContents"/>
              <w:spacing w:before="0" w:after="0"/>
              <w:ind w:left="0" w:right="0" w:firstLine="30"/>
              <w:rPr/>
            </w:pPr>
            <w:r>
              <w:rPr/>
              <w:t> </w:t>
            </w:r>
          </w:p>
        </w:tc>
        <w:tc>
          <w:tcPr>
            <w:tcW w:w="665" w:type="dxa"/>
            <w:tcBorders/>
            <w:shd w:fill="auto" w:val="clear"/>
            <w:vAlign w:val="center"/>
          </w:tcPr>
          <w:p>
            <w:pPr>
              <w:pStyle w:val="TableContents"/>
              <w:spacing w:before="0" w:after="0"/>
              <w:ind w:left="0" w:right="0" w:firstLine="30"/>
              <w:rPr/>
            </w:pPr>
            <w:r>
              <w:rPr/>
              <w:t> </w:t>
            </w:r>
          </w:p>
        </w:tc>
      </w:tr>
      <w:tr>
        <w:trPr/>
        <w:tc>
          <w:tcPr>
            <w:tcW w:w="7580"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 xml:space="preserve">Item </w:t>
            </w:r>
          </w:p>
        </w:tc>
        <w:tc>
          <w:tcPr>
            <w:tcW w:w="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Page</w:t>
            </w:r>
          </w:p>
        </w:tc>
      </w:tr>
      <w:tr>
        <w:trPr/>
        <w:tc>
          <w:tcPr>
            <w:tcW w:w="7580" w:type="dxa"/>
            <w:tcBorders/>
            <w:shd w:fill="auto" w:val="clear"/>
            <w:vAlign w:val="center"/>
          </w:tcPr>
          <w:p>
            <w:pPr>
              <w:pStyle w:val="TableContents"/>
              <w:spacing w:before="0" w:after="0"/>
              <w:ind w:left="0" w:right="0" w:firstLine="30"/>
              <w:rPr/>
            </w:pPr>
            <w:hyperlink w:anchor="s2AF21F60ABAA50B6B8E3A890212CC39F">
              <w:r>
                <w:rPr>
                  <w:rStyle w:val="InternetLink"/>
                  <w:rFonts w:ascii="inherit" w:hAnsi="inherit"/>
                  <w:b/>
                  <w:strike w:val="false"/>
                  <w:dstrike w:val="false"/>
                  <w:color w:val="000000"/>
                  <w:sz w:val="17"/>
                  <w:u w:val="none"/>
                  <w:effect w:val="none"/>
                </w:rPr>
                <w:t>PART I. FINANCIAL INFORMATION</w:t>
              </w:r>
            </w:hyperlink>
          </w:p>
        </w:tc>
        <w:tc>
          <w:tcPr>
            <w:tcW w:w="665" w:type="dxa"/>
            <w:tcBorders/>
            <w:shd w:fill="auto" w:val="clear"/>
            <w:vAlign w:val="center"/>
          </w:tcPr>
          <w:p>
            <w:pPr>
              <w:pStyle w:val="TableContents"/>
              <w:spacing w:before="0" w:after="0"/>
              <w:ind w:left="0" w:right="0" w:firstLine="420"/>
              <w:rPr/>
            </w:pPr>
            <w:r>
              <w:rPr/>
              <w:t> </w:t>
            </w:r>
          </w:p>
        </w:tc>
      </w:tr>
      <w:tr>
        <w:trPr/>
        <w:tc>
          <w:tcPr>
            <w:tcW w:w="7580" w:type="dxa"/>
            <w:tcBorders/>
            <w:shd w:fill="auto" w:val="clear"/>
            <w:vAlign w:val="center"/>
          </w:tcPr>
          <w:p>
            <w:pPr>
              <w:pStyle w:val="TableContents"/>
              <w:spacing w:before="0" w:after="0"/>
              <w:ind w:left="0" w:right="0" w:firstLine="30"/>
              <w:rPr/>
            </w:pPr>
            <w:hyperlink w:anchor="s21298FBDAC9C5F5B908ED4CED6B29D40">
              <w:r>
                <w:rPr>
                  <w:rStyle w:val="InternetLink"/>
                  <w:rFonts w:ascii="inherit" w:hAnsi="inherit"/>
                  <w:strike w:val="false"/>
                  <w:dstrike w:val="false"/>
                  <w:color w:val="000000"/>
                  <w:sz w:val="17"/>
                  <w:u w:val="none"/>
                  <w:effect w:val="none"/>
                </w:rPr>
                <w:t>1) Financial Statements</w:t>
              </w:r>
            </w:hyperlink>
          </w:p>
        </w:tc>
        <w:tc>
          <w:tcPr>
            <w:tcW w:w="665" w:type="dxa"/>
            <w:tcBorders/>
            <w:shd w:fill="auto" w:val="clear"/>
            <w:vAlign w:val="center"/>
          </w:tcPr>
          <w:p>
            <w:pPr>
              <w:pStyle w:val="TableContents"/>
              <w:spacing w:before="0" w:after="0"/>
              <w:ind w:left="0" w:right="0" w:firstLine="420"/>
              <w:jc w:val="right"/>
              <w:rPr/>
            </w:pPr>
            <w:hyperlink w:anchor="s21298FBDAC9C5F5B908ED4CED6B29D40">
              <w:r>
                <w:rPr>
                  <w:rStyle w:val="InternetLink"/>
                  <w:rFonts w:ascii="inherit" w:hAnsi="inherit"/>
                  <w:strike w:val="false"/>
                  <w:dstrike w:val="false"/>
                  <w:color w:val="000000"/>
                  <w:sz w:val="17"/>
                  <w:u w:val="none"/>
                  <w:effect w:val="none"/>
                </w:rPr>
                <w:t>1</w:t>
              </w:r>
            </w:hyperlink>
          </w:p>
        </w:tc>
      </w:tr>
      <w:tr>
        <w:trPr/>
        <w:tc>
          <w:tcPr>
            <w:tcW w:w="7580" w:type="dxa"/>
            <w:tcBorders/>
            <w:shd w:fill="auto" w:val="clear"/>
            <w:vAlign w:val="center"/>
          </w:tcPr>
          <w:p>
            <w:pPr>
              <w:pStyle w:val="TableContents"/>
              <w:spacing w:before="0" w:after="0"/>
              <w:ind w:left="0" w:right="0" w:firstLine="30"/>
              <w:rPr/>
            </w:pPr>
            <w:hyperlink w:anchor="sFFFBD8234C7B57999124CF443979C3AD">
              <w:r>
                <w:rPr>
                  <w:rStyle w:val="InternetLink"/>
                  <w:rFonts w:ascii="inherit" w:hAnsi="inherit"/>
                  <w:strike w:val="false"/>
                  <w:dstrike w:val="false"/>
                  <w:color w:val="000000"/>
                  <w:sz w:val="17"/>
                  <w:u w:val="none"/>
                  <w:effect w:val="none"/>
                </w:rPr>
                <w:t>2) Management's Discussion and Analysis of Financial Condition and Results of Operations</w:t>
              </w:r>
            </w:hyperlink>
          </w:p>
        </w:tc>
        <w:tc>
          <w:tcPr>
            <w:tcW w:w="665" w:type="dxa"/>
            <w:tcBorders/>
            <w:shd w:fill="auto" w:val="clear"/>
            <w:vAlign w:val="center"/>
          </w:tcPr>
          <w:p>
            <w:pPr>
              <w:pStyle w:val="TableContents"/>
              <w:spacing w:before="0" w:after="0"/>
              <w:ind w:left="0" w:right="0" w:firstLine="420"/>
              <w:jc w:val="right"/>
              <w:rPr/>
            </w:pPr>
            <w:hyperlink w:anchor="sFFFBD8234C7B57999124CF443979C3AD">
              <w:r>
                <w:rPr>
                  <w:rStyle w:val="InternetLink"/>
                  <w:rFonts w:ascii="inherit" w:hAnsi="inherit"/>
                  <w:strike w:val="false"/>
                  <w:dstrike w:val="false"/>
                  <w:color w:val="000000"/>
                  <w:sz w:val="17"/>
                  <w:u w:val="none"/>
                  <w:effect w:val="none"/>
                </w:rPr>
                <w:t>15</w:t>
              </w:r>
            </w:hyperlink>
          </w:p>
        </w:tc>
      </w:tr>
      <w:tr>
        <w:trPr/>
        <w:tc>
          <w:tcPr>
            <w:tcW w:w="7580" w:type="dxa"/>
            <w:tcBorders/>
            <w:shd w:fill="auto" w:val="clear"/>
            <w:vAlign w:val="center"/>
          </w:tcPr>
          <w:p>
            <w:pPr>
              <w:pStyle w:val="TableContents"/>
              <w:spacing w:before="0" w:after="0"/>
              <w:ind w:left="0" w:right="0" w:firstLine="30"/>
              <w:rPr/>
            </w:pPr>
            <w:hyperlink w:anchor="s06457468FE0A5644896E4EC08341E680">
              <w:r>
                <w:rPr>
                  <w:rStyle w:val="InternetLink"/>
                  <w:rFonts w:ascii="inherit" w:hAnsi="inherit"/>
                  <w:strike w:val="false"/>
                  <w:dstrike w:val="false"/>
                  <w:color w:val="000000"/>
                  <w:sz w:val="17"/>
                  <w:u w:val="none"/>
                  <w:effect w:val="none"/>
                </w:rPr>
                <w:t>3) Quantitative and Qualitative Disclosures about Market Risk</w:t>
              </w:r>
            </w:hyperlink>
          </w:p>
        </w:tc>
        <w:tc>
          <w:tcPr>
            <w:tcW w:w="665" w:type="dxa"/>
            <w:tcBorders/>
            <w:shd w:fill="auto" w:val="clear"/>
            <w:vAlign w:val="center"/>
          </w:tcPr>
          <w:p>
            <w:pPr>
              <w:pStyle w:val="TableContents"/>
              <w:spacing w:before="0" w:after="0"/>
              <w:ind w:left="0" w:right="0" w:firstLine="420"/>
              <w:jc w:val="right"/>
              <w:rPr/>
            </w:pPr>
            <w:hyperlink w:anchor="s06457468FE0A5644896E4EC08341E680">
              <w:r>
                <w:rPr>
                  <w:rStyle w:val="InternetLink"/>
                  <w:rFonts w:ascii="inherit" w:hAnsi="inherit"/>
                  <w:strike w:val="false"/>
                  <w:dstrike w:val="false"/>
                  <w:color w:val="000000"/>
                  <w:sz w:val="17"/>
                  <w:u w:val="none"/>
                  <w:effect w:val="none"/>
                </w:rPr>
                <w:t>26</w:t>
              </w:r>
            </w:hyperlink>
          </w:p>
        </w:tc>
      </w:tr>
      <w:tr>
        <w:trPr/>
        <w:tc>
          <w:tcPr>
            <w:tcW w:w="7580" w:type="dxa"/>
            <w:tcBorders/>
            <w:shd w:fill="auto" w:val="clear"/>
            <w:vAlign w:val="center"/>
          </w:tcPr>
          <w:p>
            <w:pPr>
              <w:pStyle w:val="TableContents"/>
              <w:spacing w:before="0" w:after="0"/>
              <w:ind w:left="0" w:right="0" w:firstLine="30"/>
              <w:rPr/>
            </w:pPr>
            <w:hyperlink w:anchor="s3FEAB98DEAFD51ECA52D5E3DB6DEA12E">
              <w:r>
                <w:rPr>
                  <w:rStyle w:val="InternetLink"/>
                  <w:rFonts w:ascii="inherit" w:hAnsi="inherit"/>
                  <w:strike w:val="false"/>
                  <w:dstrike w:val="false"/>
                  <w:color w:val="000000"/>
                  <w:sz w:val="17"/>
                  <w:u w:val="none"/>
                  <w:effect w:val="none"/>
                </w:rPr>
                <w:t>4) Controls and Procedures</w:t>
              </w:r>
            </w:hyperlink>
          </w:p>
        </w:tc>
        <w:tc>
          <w:tcPr>
            <w:tcW w:w="665" w:type="dxa"/>
            <w:tcBorders/>
            <w:shd w:fill="auto" w:val="clear"/>
            <w:vAlign w:val="center"/>
          </w:tcPr>
          <w:p>
            <w:pPr>
              <w:pStyle w:val="TableContents"/>
              <w:spacing w:before="0" w:after="0"/>
              <w:ind w:left="0" w:right="0" w:firstLine="30"/>
              <w:jc w:val="right"/>
              <w:rPr/>
            </w:pPr>
            <w:hyperlink w:anchor="s3FEAB98DEAFD51ECA52D5E3DB6DEA12E">
              <w:r>
                <w:rPr>
                  <w:rStyle w:val="InternetLink"/>
                  <w:rFonts w:ascii="inherit" w:hAnsi="inherit"/>
                  <w:strike w:val="false"/>
                  <w:dstrike w:val="false"/>
                  <w:color w:val="000000"/>
                  <w:sz w:val="17"/>
                  <w:u w:val="none"/>
                  <w:effect w:val="none"/>
                </w:rPr>
                <w:t>26</w:t>
              </w:r>
            </w:hyperlink>
          </w:p>
        </w:tc>
      </w:tr>
      <w:tr>
        <w:trPr/>
        <w:tc>
          <w:tcPr>
            <w:tcW w:w="7580" w:type="dxa"/>
            <w:tcBorders/>
            <w:shd w:fill="auto" w:val="clear"/>
            <w:vAlign w:val="center"/>
          </w:tcPr>
          <w:p>
            <w:pPr>
              <w:pStyle w:val="TableContents"/>
              <w:spacing w:before="0" w:after="0"/>
              <w:ind w:left="0" w:right="0" w:firstLine="30"/>
              <w:rPr/>
            </w:pPr>
            <w:r>
              <w:rPr/>
              <w:t> </w:t>
            </w:r>
          </w:p>
        </w:tc>
        <w:tc>
          <w:tcPr>
            <w:tcW w:w="665" w:type="dxa"/>
            <w:tcBorders/>
            <w:shd w:fill="auto" w:val="clear"/>
            <w:vAlign w:val="center"/>
          </w:tcPr>
          <w:p>
            <w:pPr>
              <w:pStyle w:val="TableContents"/>
              <w:spacing w:before="0" w:after="0"/>
              <w:ind w:left="0" w:right="0" w:firstLine="30"/>
              <w:rPr/>
            </w:pPr>
            <w:r>
              <w:rPr/>
              <w:t> </w:t>
            </w:r>
          </w:p>
        </w:tc>
      </w:tr>
      <w:tr>
        <w:trPr/>
        <w:tc>
          <w:tcPr>
            <w:tcW w:w="7580" w:type="dxa"/>
            <w:tcBorders/>
            <w:shd w:fill="auto" w:val="clear"/>
            <w:vAlign w:val="center"/>
          </w:tcPr>
          <w:p>
            <w:pPr>
              <w:pStyle w:val="TableContents"/>
              <w:spacing w:before="0" w:after="0"/>
              <w:ind w:left="0" w:right="0" w:firstLine="30"/>
              <w:rPr/>
            </w:pPr>
            <w:hyperlink w:anchor="sD1C8B659BB305B58A3DF051337842FEF">
              <w:r>
                <w:rPr>
                  <w:rStyle w:val="InternetLink"/>
                  <w:rFonts w:ascii="inherit" w:hAnsi="inherit"/>
                  <w:b/>
                  <w:strike w:val="false"/>
                  <w:dstrike w:val="false"/>
                  <w:color w:val="000000"/>
                  <w:sz w:val="17"/>
                  <w:u w:val="none"/>
                  <w:effect w:val="none"/>
                </w:rPr>
                <w:t>PART II. OTHER INFORMATION</w:t>
              </w:r>
            </w:hyperlink>
          </w:p>
        </w:tc>
        <w:tc>
          <w:tcPr>
            <w:tcW w:w="665" w:type="dxa"/>
            <w:tcBorders/>
            <w:shd w:fill="auto" w:val="clear"/>
            <w:vAlign w:val="center"/>
          </w:tcPr>
          <w:p>
            <w:pPr>
              <w:pStyle w:val="TableContents"/>
              <w:spacing w:before="0" w:after="0"/>
              <w:ind w:left="0" w:right="0" w:firstLine="420"/>
              <w:rPr/>
            </w:pPr>
            <w:r>
              <w:rPr/>
              <w:t> </w:t>
            </w:r>
          </w:p>
        </w:tc>
      </w:tr>
      <w:tr>
        <w:trPr/>
        <w:tc>
          <w:tcPr>
            <w:tcW w:w="7580" w:type="dxa"/>
            <w:tcBorders/>
            <w:shd w:fill="auto" w:val="clear"/>
            <w:vAlign w:val="center"/>
          </w:tcPr>
          <w:p>
            <w:pPr>
              <w:pStyle w:val="TableContents"/>
              <w:spacing w:before="0" w:after="0"/>
              <w:ind w:left="0" w:right="0" w:firstLine="30"/>
              <w:rPr/>
            </w:pPr>
            <w:hyperlink w:anchor="sC170804F649D5E388DBD72B6764A044A">
              <w:r>
                <w:rPr>
                  <w:rStyle w:val="InternetLink"/>
                  <w:rFonts w:ascii="inherit" w:hAnsi="inherit"/>
                  <w:strike w:val="false"/>
                  <w:dstrike w:val="false"/>
                  <w:color w:val="000000"/>
                  <w:sz w:val="17"/>
                  <w:u w:val="none"/>
                  <w:effect w:val="none"/>
                </w:rPr>
                <w:t>1) Legal Proceedings</w:t>
              </w:r>
            </w:hyperlink>
          </w:p>
        </w:tc>
        <w:tc>
          <w:tcPr>
            <w:tcW w:w="665" w:type="dxa"/>
            <w:tcBorders/>
            <w:shd w:fill="auto" w:val="clear"/>
            <w:vAlign w:val="center"/>
          </w:tcPr>
          <w:p>
            <w:pPr>
              <w:pStyle w:val="TableContents"/>
              <w:spacing w:before="0" w:after="0"/>
              <w:ind w:left="0" w:right="0" w:firstLine="420"/>
              <w:jc w:val="right"/>
              <w:rPr/>
            </w:pPr>
            <w:hyperlink w:anchor="sC170804F649D5E388DBD72B6764A044A">
              <w:r>
                <w:rPr>
                  <w:rStyle w:val="InternetLink"/>
                  <w:rFonts w:ascii="inherit" w:hAnsi="inherit"/>
                  <w:strike w:val="false"/>
                  <w:dstrike w:val="false"/>
                  <w:color w:val="000000"/>
                  <w:sz w:val="17"/>
                  <w:u w:val="none"/>
                  <w:effect w:val="none"/>
                </w:rPr>
                <w:t>26</w:t>
              </w:r>
            </w:hyperlink>
          </w:p>
        </w:tc>
      </w:tr>
      <w:tr>
        <w:trPr/>
        <w:tc>
          <w:tcPr>
            <w:tcW w:w="7580" w:type="dxa"/>
            <w:tcBorders/>
            <w:shd w:fill="auto" w:val="clear"/>
            <w:vAlign w:val="center"/>
          </w:tcPr>
          <w:p>
            <w:pPr>
              <w:pStyle w:val="TableContents"/>
              <w:spacing w:before="0" w:after="0"/>
              <w:ind w:left="0" w:right="0" w:firstLine="30"/>
              <w:rPr/>
            </w:pPr>
            <w:hyperlink w:anchor="sE87FF630FAC6520FAE199D6FD570664C">
              <w:r>
                <w:rPr>
                  <w:rStyle w:val="InternetLink"/>
                  <w:rFonts w:ascii="inherit" w:hAnsi="inherit"/>
                  <w:strike w:val="false"/>
                  <w:dstrike w:val="false"/>
                  <w:color w:val="000000"/>
                  <w:sz w:val="17"/>
                  <w:u w:val="none"/>
                  <w:effect w:val="none"/>
                </w:rPr>
                <w:t>1A) Risk Factors</w:t>
              </w:r>
            </w:hyperlink>
          </w:p>
        </w:tc>
        <w:tc>
          <w:tcPr>
            <w:tcW w:w="665" w:type="dxa"/>
            <w:tcBorders/>
            <w:shd w:fill="auto" w:val="clear"/>
            <w:vAlign w:val="center"/>
          </w:tcPr>
          <w:p>
            <w:pPr>
              <w:pStyle w:val="TableContents"/>
              <w:spacing w:before="0" w:after="0"/>
              <w:ind w:left="0" w:right="0" w:firstLine="420"/>
              <w:jc w:val="right"/>
              <w:rPr/>
            </w:pPr>
            <w:hyperlink w:anchor="sE87FF630FAC6520FAE199D6FD570664C">
              <w:r>
                <w:rPr>
                  <w:rStyle w:val="InternetLink"/>
                  <w:rFonts w:ascii="inherit" w:hAnsi="inherit"/>
                  <w:strike w:val="false"/>
                  <w:dstrike w:val="false"/>
                  <w:color w:val="000000"/>
                  <w:sz w:val="17"/>
                  <w:u w:val="none"/>
                  <w:effect w:val="none"/>
                </w:rPr>
                <w:t>27</w:t>
              </w:r>
            </w:hyperlink>
          </w:p>
        </w:tc>
      </w:tr>
      <w:tr>
        <w:trPr/>
        <w:tc>
          <w:tcPr>
            <w:tcW w:w="7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 Other Information</w:t>
            </w:r>
          </w:p>
        </w:tc>
        <w:tc>
          <w:tcPr>
            <w:tcW w:w="665" w:type="dxa"/>
            <w:tcBorders/>
            <w:shd w:fill="auto" w:val="clear"/>
            <w:vAlign w:val="center"/>
          </w:tcPr>
          <w:p>
            <w:pPr>
              <w:pStyle w:val="TableContents"/>
              <w:spacing w:before="0" w:after="0"/>
              <w:ind w:left="0" w:right="0" w:firstLine="420"/>
              <w:jc w:val="right"/>
              <w:rPr/>
            </w:pPr>
            <w:hyperlink w:anchor="s3FE457B54E3D5745861EBEA591FE8D79">
              <w:r>
                <w:rPr>
                  <w:rStyle w:val="InternetLink"/>
                  <w:rFonts w:ascii="inherit" w:hAnsi="inherit"/>
                  <w:strike w:val="false"/>
                  <w:dstrike w:val="false"/>
                  <w:color w:val="000000"/>
                  <w:sz w:val="17"/>
                  <w:u w:val="none"/>
                  <w:effect w:val="none"/>
                </w:rPr>
                <w:t>27</w:t>
              </w:r>
            </w:hyperlink>
          </w:p>
        </w:tc>
      </w:tr>
      <w:tr>
        <w:trPr/>
        <w:tc>
          <w:tcPr>
            <w:tcW w:w="7580" w:type="dxa"/>
            <w:tcBorders/>
            <w:shd w:fill="auto" w:val="clear"/>
            <w:vAlign w:val="center"/>
          </w:tcPr>
          <w:p>
            <w:pPr>
              <w:pStyle w:val="TableContents"/>
              <w:spacing w:before="0" w:after="0"/>
              <w:ind w:left="0" w:right="0" w:firstLine="30"/>
              <w:rPr/>
            </w:pPr>
            <w:hyperlink w:anchor="s8954B8E61DF85D94A4AB015089EE0741">
              <w:r>
                <w:rPr>
                  <w:rStyle w:val="InternetLink"/>
                  <w:rFonts w:ascii="inherit" w:hAnsi="inherit"/>
                  <w:strike w:val="false"/>
                  <w:dstrike w:val="false"/>
                  <w:color w:val="000000"/>
                  <w:sz w:val="17"/>
                  <w:u w:val="none"/>
                  <w:effect w:val="none"/>
                </w:rPr>
                <w:t>6) Exhibits</w:t>
              </w:r>
            </w:hyperlink>
          </w:p>
        </w:tc>
        <w:tc>
          <w:tcPr>
            <w:tcW w:w="665" w:type="dxa"/>
            <w:tcBorders/>
            <w:shd w:fill="auto" w:val="clear"/>
            <w:vAlign w:val="center"/>
          </w:tcPr>
          <w:p>
            <w:pPr>
              <w:pStyle w:val="TableContents"/>
              <w:spacing w:before="0" w:after="0"/>
              <w:jc w:val="right"/>
              <w:rPr/>
            </w:pPr>
            <w:hyperlink w:anchor="s8954B8E61DF85D94A4AB015089EE0741">
              <w:r>
                <w:rPr>
                  <w:rStyle w:val="InternetLink"/>
                  <w:rFonts w:ascii="inherit" w:hAnsi="inherit"/>
                  <w:strike w:val="false"/>
                  <w:dstrike w:val="false"/>
                  <w:color w:val="000000"/>
                  <w:sz w:val="17"/>
                  <w:u w:val="none"/>
                  <w:effect w:val="none"/>
                </w:rPr>
                <w:t>28</w:t>
              </w:r>
            </w:hyperlink>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5" w:name="s2AF21F60ABAA50B6B8E3A890212CC39F"/>
      <w:bookmarkStart w:id="6" w:name="s2AF21F60ABAA50B6B8E3A890212CC39F"/>
      <w:bookmarkEnd w:id="6"/>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 FINANCIAL INFORMATION</w:t>
      </w:r>
    </w:p>
    <w:p>
      <w:pPr>
        <w:pStyle w:val="TextBody"/>
        <w:spacing w:lineRule="auto" w:line="288" w:before="0" w:after="0"/>
        <w:rPr>
          <w:rFonts w:ascii="inherit" w:hAnsi="inherit"/>
          <w:b/>
          <w:sz w:val="17"/>
        </w:rPr>
      </w:pPr>
      <w:bookmarkStart w:id="7" w:name="s21298FBDAC9C5F5B908ED4CED6B29D40"/>
      <w:bookmarkEnd w:id="7"/>
      <w:r>
        <w:rPr>
          <w:rFonts w:ascii="inherit" w:hAnsi="inherit"/>
          <w:b/>
          <w:sz w:val="17"/>
        </w:rPr>
        <w:t>Item 1. Financial Statements</w:t>
      </w:r>
    </w:p>
    <w:p>
      <w:pPr>
        <w:pStyle w:val="TextBody"/>
        <w:spacing w:lineRule="auto" w:line="288" w:before="0" w:after="0"/>
        <w:jc w:val="center"/>
        <w:rPr>
          <w:rFonts w:ascii="inherit" w:hAnsi="inherit"/>
          <w:b/>
          <w:sz w:val="17"/>
        </w:rPr>
      </w:pPr>
      <w:bookmarkStart w:id="8" w:name="s18EB77078E995B9CB1A22D47E9F35AF5"/>
      <w:bookmarkEnd w:id="8"/>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BALANCE SHEETS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6907"/>
        <w:gridCol w:w="90"/>
        <w:gridCol w:w="132"/>
        <w:gridCol w:w="899"/>
        <w:gridCol w:w="116"/>
        <w:gridCol w:w="95"/>
        <w:gridCol w:w="132"/>
        <w:gridCol w:w="899"/>
        <w:gridCol w:w="935"/>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90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07"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5" w:type="dxa"/>
            <w:tcBorders/>
            <w:shd w:fill="auto" w:val="clear"/>
            <w:vAlign w:val="center"/>
          </w:tcPr>
          <w:p>
            <w:pPr>
              <w:pStyle w:val="TableContents"/>
              <w:spacing w:before="0" w:after="0"/>
              <w:ind w:left="0" w:right="0" w:firstLine="30"/>
              <w:rPr/>
            </w:pPr>
            <w:r>
              <w:rPr/>
              <w:t> </w:t>
            </w:r>
          </w:p>
        </w:tc>
        <w:tc>
          <w:tcPr>
            <w:tcW w:w="1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6907"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7"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6" w:type="dxa"/>
            <w:gridSpan w:val="3"/>
            <w:tcBorders/>
            <w:shd w:fill="auto" w:val="clear"/>
            <w:vAlign w:val="center"/>
          </w:tcPr>
          <w:p>
            <w:pPr>
              <w:pStyle w:val="TableContents"/>
              <w:spacing w:before="0" w:after="0"/>
              <w:ind w:left="0" w:right="0" w:firstLine="30"/>
              <w:rPr/>
            </w:pPr>
            <w:r>
              <w:rPr/>
              <w:t> </w:t>
            </w:r>
          </w:p>
        </w:tc>
      </w:tr>
      <w:tr>
        <w:trPr/>
        <w:tc>
          <w:tcPr>
            <w:tcW w:w="6907"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208"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 except unit amounts)</w:t>
            </w:r>
          </w:p>
        </w:tc>
      </w:tr>
      <w:tr>
        <w:trPr/>
        <w:tc>
          <w:tcPr>
            <w:tcW w:w="6907"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ASSETS</w:t>
            </w:r>
          </w:p>
        </w:tc>
        <w:tc>
          <w:tcPr>
            <w:tcW w:w="90" w:type="dxa"/>
            <w:tcBorders/>
            <w:shd w:fill="CCEEFF" w:val="clear"/>
            <w:vAlign w:val="center"/>
          </w:tcPr>
          <w:p>
            <w:pPr>
              <w:pStyle w:val="TableContents"/>
              <w:spacing w:before="0" w:after="0"/>
              <w:ind w:left="0" w:right="0" w:firstLine="30"/>
              <w:rPr/>
            </w:pPr>
            <w:r>
              <w:rPr/>
              <w:t> </w:t>
            </w:r>
          </w:p>
        </w:tc>
        <w:tc>
          <w:tcPr>
            <w:tcW w:w="1147"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6" w:type="dxa"/>
            <w:gridSpan w:val="3"/>
            <w:tcBorders/>
            <w:shd w:fill="CCEEFF" w:val="clear"/>
            <w:vAlign w:val="center"/>
          </w:tcPr>
          <w:p>
            <w:pPr>
              <w:pStyle w:val="TableContents"/>
              <w:spacing w:before="0" w:after="0"/>
              <w:ind w:left="0" w:right="0" w:firstLine="30"/>
              <w:rPr/>
            </w:pPr>
            <w:r>
              <w:rPr/>
              <w:t> </w:t>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90" w:type="dxa"/>
            <w:tcBorders/>
            <w:shd w:fill="auto" w:val="clear"/>
            <w:vAlign w:val="center"/>
          </w:tcPr>
          <w:p>
            <w:pPr>
              <w:pStyle w:val="TableContents"/>
              <w:spacing w:before="0" w:after="0"/>
              <w:ind w:left="0" w:right="0" w:firstLine="30"/>
              <w:rPr/>
            </w:pPr>
            <w:r>
              <w:rPr/>
              <w:t> </w:t>
            </w:r>
          </w:p>
        </w:tc>
        <w:tc>
          <w:tcPr>
            <w:tcW w:w="1147"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6" w:type="dxa"/>
            <w:gridSpan w:val="3"/>
            <w:tcBorders/>
            <w:shd w:fill="auto" w:val="clear"/>
            <w:vAlign w:val="center"/>
          </w:tcPr>
          <w:p>
            <w:pPr>
              <w:pStyle w:val="TableContents"/>
              <w:spacing w:before="0" w:after="0"/>
              <w:ind w:left="0" w:right="0" w:firstLine="420"/>
              <w:rPr/>
            </w:pPr>
            <w:r>
              <w:rPr/>
              <w:t> </w:t>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9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CCEEFF" w:val="clear"/>
            <w:vAlign w:val="center"/>
          </w:tcPr>
          <w:p>
            <w:pPr>
              <w:pStyle w:val="TableContents"/>
              <w:spacing w:before="0" w:after="0"/>
              <w:jc w:val="right"/>
              <w:rPr>
                <w:rFonts w:ascii="inherit" w:hAnsi="inherit"/>
                <w:sz w:val="17"/>
              </w:rPr>
            </w:pPr>
            <w:r>
              <w:rPr>
                <w:rFonts w:ascii="inherit" w:hAnsi="inherit"/>
                <w:sz w:val="17"/>
              </w:rPr>
              <w:t>17,473</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CCEEFF" w:val="clear"/>
            <w:vAlign w:val="center"/>
          </w:tcPr>
          <w:p>
            <w:pPr>
              <w:pStyle w:val="TableContents"/>
              <w:spacing w:before="0" w:after="0"/>
              <w:jc w:val="right"/>
              <w:rPr>
                <w:rFonts w:ascii="inherit" w:hAnsi="inherit"/>
                <w:sz w:val="17"/>
              </w:rPr>
            </w:pPr>
            <w:r>
              <w:rPr>
                <w:rFonts w:ascii="inherit" w:hAnsi="inherit"/>
                <w:sz w:val="17"/>
              </w:rPr>
              <w:t>19,744</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Receivable under the Investment Management Agreement—Westlake Chemical Corporation ("Westlake")</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141,327</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148,956</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net—Westlake</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38,995</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57,280</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20,435</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16,404</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4,029</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4,388</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370</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222,354</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247,142</w:t>
            </w:r>
          </w:p>
        </w:tc>
        <w:tc>
          <w:tcPr>
            <w:tcW w:w="9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1,129,083</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1,148,265</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5,814</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charges and other assets, net</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53,653</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60,904</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assets</w:t>
            </w:r>
          </w:p>
        </w:tc>
        <w:tc>
          <w:tcPr>
            <w:tcW w:w="90" w:type="dxa"/>
            <w:tcBorders/>
            <w:shd w:fill="CCEEFF" w:val="clear"/>
            <w:vAlign w:val="center"/>
          </w:tcPr>
          <w:p>
            <w:pPr>
              <w:pStyle w:val="TableContents"/>
              <w:spacing w:before="0" w:after="0"/>
              <w:ind w:left="0" w:right="0" w:firstLine="30"/>
              <w:rPr/>
            </w:pPr>
            <w:r>
              <w:rPr/>
              <w:t> </w:t>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1,410,904</w:t>
            </w:r>
          </w:p>
        </w:tc>
        <w:tc>
          <w:tcPr>
            <w:tcW w:w="11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1,462,125</w:t>
            </w:r>
          </w:p>
        </w:tc>
        <w:tc>
          <w:tcPr>
            <w:tcW w:w="9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LIABILITIES</w:t>
            </w:r>
          </w:p>
        </w:tc>
        <w:tc>
          <w:tcPr>
            <w:tcW w:w="90" w:type="dxa"/>
            <w:tcBorders/>
            <w:shd w:fill="auto" w:val="clear"/>
            <w:vAlign w:val="center"/>
          </w:tcPr>
          <w:p>
            <w:pPr>
              <w:pStyle w:val="TableContents"/>
              <w:spacing w:before="0" w:after="0"/>
              <w:ind w:left="0" w:right="0" w:firstLine="30"/>
              <w:rPr/>
            </w:pPr>
            <w:r>
              <w:rPr/>
              <w:t> </w:t>
            </w:r>
          </w:p>
        </w:tc>
        <w:tc>
          <w:tcPr>
            <w:tcW w:w="1147"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6" w:type="dxa"/>
            <w:gridSpan w:val="3"/>
            <w:tcBorders/>
            <w:shd w:fill="auto" w:val="clear"/>
            <w:vAlign w:val="center"/>
          </w:tcPr>
          <w:p>
            <w:pPr>
              <w:pStyle w:val="TableContents"/>
              <w:spacing w:before="0" w:after="0"/>
              <w:ind w:left="0" w:right="0" w:firstLine="30"/>
              <w:rPr/>
            </w:pPr>
            <w:r>
              <w:rPr/>
              <w:t> </w:t>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90" w:type="dxa"/>
            <w:tcBorders/>
            <w:shd w:fill="CCEEFF" w:val="clear"/>
            <w:vAlign w:val="center"/>
          </w:tcPr>
          <w:p>
            <w:pPr>
              <w:pStyle w:val="TableContents"/>
              <w:spacing w:before="0" w:after="0"/>
              <w:ind w:left="0" w:right="0" w:firstLine="30"/>
              <w:rPr/>
            </w:pPr>
            <w:r>
              <w:rPr/>
              <w:t> </w:t>
            </w:r>
          </w:p>
        </w:tc>
        <w:tc>
          <w:tcPr>
            <w:tcW w:w="1147"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6" w:type="dxa"/>
            <w:gridSpan w:val="3"/>
            <w:tcBorders/>
            <w:shd w:fill="CCEEFF" w:val="clear"/>
            <w:vAlign w:val="center"/>
          </w:tcPr>
          <w:p>
            <w:pPr>
              <w:pStyle w:val="TableContents"/>
              <w:spacing w:before="0" w:after="0"/>
              <w:ind w:left="0" w:right="0" w:firstLine="420"/>
              <w:rPr/>
            </w:pPr>
            <w:r>
              <w:rPr/>
              <w:t> </w:t>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9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auto" w:val="clear"/>
            <w:vAlign w:val="center"/>
          </w:tcPr>
          <w:p>
            <w:pPr>
              <w:pStyle w:val="TableContents"/>
              <w:spacing w:before="0" w:after="0"/>
              <w:jc w:val="right"/>
              <w:rPr>
                <w:rFonts w:ascii="inherit" w:hAnsi="inherit"/>
                <w:sz w:val="17"/>
              </w:rPr>
            </w:pPr>
            <w:r>
              <w:rPr>
                <w:rFonts w:ascii="inherit" w:hAnsi="inherit"/>
                <w:sz w:val="17"/>
              </w:rPr>
              <w:t>9,996</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auto" w:val="clear"/>
            <w:vAlign w:val="center"/>
          </w:tcPr>
          <w:p>
            <w:pPr>
              <w:pStyle w:val="TableContents"/>
              <w:spacing w:before="0" w:after="0"/>
              <w:jc w:val="right"/>
              <w:rPr>
                <w:rFonts w:ascii="inherit" w:hAnsi="inherit"/>
                <w:sz w:val="17"/>
              </w:rPr>
            </w:pPr>
            <w:r>
              <w:rPr>
                <w:rFonts w:ascii="inherit" w:hAnsi="inherit"/>
                <w:sz w:val="17"/>
              </w:rPr>
              <w:t>27,477</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payable—third parties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8,030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5,045</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Accrued and other liabilities </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18,287</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16,250</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36,313</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48,772</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399,674</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477,608</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1,693</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1,110</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438,790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528,044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 (Note 12)</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EQUITY</w:t>
            </w:r>
          </w:p>
        </w:tc>
        <w:tc>
          <w:tcPr>
            <w:tcW w:w="90" w:type="dxa"/>
            <w:tcBorders/>
            <w:shd w:fill="CCEEFF" w:val="clear"/>
            <w:vAlign w:val="center"/>
          </w:tcPr>
          <w:p>
            <w:pPr>
              <w:pStyle w:val="TableContents"/>
              <w:spacing w:before="0" w:after="0"/>
              <w:ind w:left="0" w:right="0" w:firstLine="30"/>
              <w:rPr/>
            </w:pPr>
            <w:r>
              <w:rPr/>
              <w:t> </w:t>
            </w:r>
          </w:p>
        </w:tc>
        <w:tc>
          <w:tcPr>
            <w:tcW w:w="1147"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6" w:type="dxa"/>
            <w:gridSpan w:val="3"/>
            <w:tcBorders/>
            <w:shd w:fill="CCEEFF" w:val="clear"/>
            <w:vAlign w:val="center"/>
          </w:tcPr>
          <w:p>
            <w:pPr>
              <w:pStyle w:val="TableContents"/>
              <w:spacing w:before="0" w:after="0"/>
              <w:ind w:left="0" w:right="0" w:firstLine="30"/>
              <w:rPr/>
            </w:pPr>
            <w:r>
              <w:rPr/>
              <w:t> </w:t>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unitholders—publicly and privately held (21,065,959 and 18,125,141 units issued and outstanding at June 30, 2019 and December 31, 2018, respectively)</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471,944</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409,608</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unitholder—Westlake (14,122,230 and 14,122,230 units issued and outstanding at June 30, 2019 and December 31, 2018, respectively)</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48,419</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48,774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partner—Westlake</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(242,572</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(242,572</w:t>
            </w:r>
          </w:p>
        </w:tc>
        <w:tc>
          <w:tcPr>
            <w:tcW w:w="93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Westlake Chemical Partners LP partners' capital</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277,791</w:t>
            </w:r>
          </w:p>
        </w:tc>
        <w:tc>
          <w:tcPr>
            <w:tcW w:w="11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215,810</w:t>
            </w:r>
          </w:p>
        </w:tc>
        <w:tc>
          <w:tcPr>
            <w:tcW w:w="9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 in Westlake Chemical OpCo LP ("OpCo")</w:t>
            </w:r>
          </w:p>
        </w:tc>
        <w:tc>
          <w:tcPr>
            <w:tcW w:w="90"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694,323</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718,271</w:t>
            </w:r>
          </w:p>
        </w:tc>
        <w:tc>
          <w:tcPr>
            <w:tcW w:w="93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equity</w:t>
            </w:r>
          </w:p>
        </w:tc>
        <w:tc>
          <w:tcPr>
            <w:tcW w:w="90" w:type="dxa"/>
            <w:tcBorders/>
            <w:shd w:fill="CCEEFF" w:val="clear"/>
            <w:vAlign w:val="center"/>
          </w:tcPr>
          <w:p>
            <w:pPr>
              <w:pStyle w:val="TableContents"/>
              <w:spacing w:before="0" w:after="0"/>
              <w:ind w:left="0" w:right="0" w:firstLine="30"/>
              <w:rPr/>
            </w:pPr>
            <w:r>
              <w:rPr/>
              <w:t> </w:t>
            </w:r>
          </w:p>
        </w:tc>
        <w:tc>
          <w:tcPr>
            <w:tcW w:w="103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972,114</w:t>
            </w:r>
          </w:p>
        </w:tc>
        <w:tc>
          <w:tcPr>
            <w:tcW w:w="11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934,081</w:t>
            </w:r>
          </w:p>
        </w:tc>
        <w:tc>
          <w:tcPr>
            <w:tcW w:w="9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 and equity</w:t>
            </w:r>
          </w:p>
        </w:tc>
        <w:tc>
          <w:tcPr>
            <w:tcW w:w="90"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1,410,904</w:t>
            </w:r>
          </w:p>
        </w:tc>
        <w:tc>
          <w:tcPr>
            <w:tcW w:w="11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1,462,125</w:t>
            </w:r>
          </w:p>
        </w:tc>
        <w:tc>
          <w:tcPr>
            <w:tcW w:w="93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rFonts w:ascii="inherit" w:hAnsi="inherit"/>
          <w:sz w:val="17"/>
        </w:rPr>
      </w:pPr>
      <w:r>
        <w:rPr>
          <w:rFonts w:ascii="inherit" w:hAnsi="inherit"/>
          <w:sz w:val="17"/>
        </w:rPr>
      </w:r>
      <w:bookmarkStart w:id="9" w:name="s9ADECD9B2D3E525E9E24B45485A318E6"/>
      <w:bookmarkStart w:id="10" w:name="s9ADECD9B2D3E525E9E24B45485A318E6"/>
      <w:bookmarkEnd w:id="10"/>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OPERATIONS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center"/>
        <w:tblInd w:w="0" w:type="dxa"/>
        <w:tblCellMar>
          <w:top w:w="0" w:type="dxa"/>
          <w:left w:w="0" w:type="dxa"/>
          <w:bottom w:w="0" w:type="dxa"/>
          <w:right w:w="0" w:type="dxa"/>
        </w:tblCellMar>
      </w:tblPr>
      <w:tblGrid>
        <w:gridCol w:w="5272"/>
        <w:gridCol w:w="90"/>
        <w:gridCol w:w="161"/>
        <w:gridCol w:w="794"/>
        <w:gridCol w:w="117"/>
        <w:gridCol w:w="96"/>
        <w:gridCol w:w="161"/>
        <w:gridCol w:w="794"/>
        <w:gridCol w:w="117"/>
        <w:gridCol w:w="91"/>
        <w:gridCol w:w="159"/>
        <w:gridCol w:w="791"/>
        <w:gridCol w:w="112"/>
        <w:gridCol w:w="91"/>
        <w:gridCol w:w="159"/>
        <w:gridCol w:w="791"/>
        <w:gridCol w:w="409"/>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527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1" w:type="dxa"/>
            <w:tcBorders/>
            <w:shd w:fill="auto" w:val="clear"/>
            <w:vAlign w:val="center"/>
          </w:tcPr>
          <w:p>
            <w:pPr>
              <w:pStyle w:val="TableContents"/>
              <w:spacing w:before="0" w:after="0"/>
              <w:ind w:left="0" w:right="0" w:firstLine="30"/>
              <w:rPr/>
            </w:pPr>
            <w:r>
              <w:rPr/>
              <w:t> </w:t>
            </w:r>
          </w:p>
        </w:tc>
        <w:tc>
          <w:tcPr>
            <w:tcW w:w="25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2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6"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0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1"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1" w:type="dxa"/>
            <w:tcBorders/>
            <w:shd w:fill="auto" w:val="clear"/>
            <w:vAlign w:val="center"/>
          </w:tcPr>
          <w:p>
            <w:pPr>
              <w:pStyle w:val="TableContents"/>
              <w:spacing w:before="0" w:after="0"/>
              <w:ind w:left="0" w:right="0" w:firstLine="30"/>
              <w:rPr/>
            </w:pPr>
            <w:r>
              <w:rPr/>
              <w:t> </w:t>
            </w:r>
          </w:p>
        </w:tc>
        <w:tc>
          <w:tcPr>
            <w:tcW w:w="13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2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2" w:type="dxa"/>
            <w:gridSpan w:val="3"/>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1072"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1062"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1359" w:type="dxa"/>
            <w:gridSpan w:val="3"/>
            <w:tcBorders/>
            <w:shd w:fill="auto" w:val="clear"/>
            <w:vAlign w:val="center"/>
          </w:tcPr>
          <w:p>
            <w:pPr>
              <w:pStyle w:val="TableContents"/>
              <w:spacing w:before="0" w:after="0"/>
              <w:ind w:left="0" w:right="0" w:firstLine="30"/>
              <w:rPr/>
            </w:pPr>
            <w:r>
              <w:rPr/>
              <w:t> </w:t>
            </w:r>
          </w:p>
        </w:tc>
      </w:tr>
      <w:tr>
        <w:trPr/>
        <w:tc>
          <w:tcPr>
            <w:tcW w:w="52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43"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 except unit amounts and per unit data)</w:t>
            </w:r>
          </w:p>
        </w:tc>
      </w:tr>
      <w:tr>
        <w:trPr/>
        <w:tc>
          <w:tcPr>
            <w:tcW w:w="527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90"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6"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359" w:type="dxa"/>
            <w:gridSpan w:val="3"/>
            <w:tcBorders/>
            <w:shd w:fill="CCEEFF" w:val="clear"/>
            <w:vAlign w:val="center"/>
          </w:tcPr>
          <w:p>
            <w:pPr>
              <w:pStyle w:val="TableContents"/>
              <w:spacing w:before="0" w:after="0"/>
              <w:ind w:left="0" w:right="0" w:firstLine="300"/>
              <w:rPr/>
            </w:pPr>
            <w:r>
              <w:rPr/>
              <w:t> </w:t>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90"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4" w:type="dxa"/>
            <w:tcBorders/>
            <w:shd w:fill="auto" w:val="clear"/>
            <w:vAlign w:val="center"/>
          </w:tcPr>
          <w:p>
            <w:pPr>
              <w:pStyle w:val="TableContents"/>
              <w:spacing w:before="0" w:after="0"/>
              <w:jc w:val="right"/>
              <w:rPr>
                <w:rFonts w:ascii="inherit" w:hAnsi="inherit"/>
                <w:sz w:val="17"/>
              </w:rPr>
            </w:pPr>
            <w:r>
              <w:rPr>
                <w:rFonts w:ascii="inherit" w:hAnsi="inherit"/>
                <w:sz w:val="17"/>
              </w:rPr>
              <w:t>230,047</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4" w:type="dxa"/>
            <w:tcBorders/>
            <w:shd w:fill="auto" w:val="clear"/>
            <w:vAlign w:val="center"/>
          </w:tcPr>
          <w:p>
            <w:pPr>
              <w:pStyle w:val="TableContents"/>
              <w:spacing w:before="0" w:after="0"/>
              <w:jc w:val="right"/>
              <w:rPr>
                <w:rFonts w:ascii="inherit" w:hAnsi="inherit"/>
                <w:sz w:val="17"/>
              </w:rPr>
            </w:pPr>
            <w:r>
              <w:rPr>
                <w:rFonts w:ascii="inherit" w:hAnsi="inherit"/>
                <w:sz w:val="17"/>
              </w:rPr>
              <w:t>253,673</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1" w:type="dxa"/>
            <w:tcBorders/>
            <w:shd w:fill="auto" w:val="clear"/>
            <w:vAlign w:val="center"/>
          </w:tcPr>
          <w:p>
            <w:pPr>
              <w:pStyle w:val="TableContents"/>
              <w:spacing w:before="0" w:after="0"/>
              <w:jc w:val="right"/>
              <w:rPr>
                <w:rFonts w:ascii="inherit" w:hAnsi="inherit"/>
                <w:sz w:val="17"/>
              </w:rPr>
            </w:pPr>
            <w:r>
              <w:rPr>
                <w:rFonts w:ascii="inherit" w:hAnsi="inherit"/>
                <w:sz w:val="17"/>
              </w:rPr>
              <w:t>487,087</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1" w:type="dxa"/>
            <w:tcBorders/>
            <w:shd w:fill="auto" w:val="clear"/>
            <w:vAlign w:val="center"/>
          </w:tcPr>
          <w:p>
            <w:pPr>
              <w:pStyle w:val="TableContents"/>
              <w:spacing w:before="0" w:after="0"/>
              <w:jc w:val="right"/>
              <w:rPr>
                <w:rFonts w:ascii="inherit" w:hAnsi="inherit"/>
                <w:sz w:val="17"/>
              </w:rPr>
            </w:pPr>
            <w:r>
              <w:rPr>
                <w:rFonts w:ascii="inherit" w:hAnsi="inherit"/>
                <w:sz w:val="17"/>
              </w:rPr>
              <w:t>488,704</w:t>
            </w:r>
          </w:p>
        </w:tc>
        <w:tc>
          <w:tcPr>
            <w:tcW w:w="4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co-product, ethylene and other sales—third parties</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40,015</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48,302</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82,061</w:t>
            </w:r>
          </w:p>
        </w:tc>
        <w:tc>
          <w:tcPr>
            <w:tcW w:w="1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97,543</w:t>
            </w:r>
          </w:p>
        </w:tc>
        <w:tc>
          <w:tcPr>
            <w:tcW w:w="40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270,062</w:t>
            </w:r>
          </w:p>
        </w:tc>
        <w:tc>
          <w:tcPr>
            <w:tcW w:w="11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301,975</w:t>
            </w:r>
          </w:p>
        </w:tc>
        <w:tc>
          <w:tcPr>
            <w:tcW w:w="11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569,148</w:t>
            </w:r>
          </w:p>
        </w:tc>
        <w:tc>
          <w:tcPr>
            <w:tcW w:w="11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586,247</w:t>
            </w:r>
          </w:p>
        </w:tc>
        <w:tc>
          <w:tcPr>
            <w:tcW w:w="40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178,104</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204,857</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386,536</w:t>
            </w:r>
          </w:p>
        </w:tc>
        <w:tc>
          <w:tcPr>
            <w:tcW w:w="1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396,624</w:t>
            </w:r>
          </w:p>
        </w:tc>
        <w:tc>
          <w:tcPr>
            <w:tcW w:w="40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91,958</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97,118</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182,612</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189,623</w:t>
            </w:r>
          </w:p>
        </w:tc>
        <w:tc>
          <w:tcPr>
            <w:tcW w:w="4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7,639</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7,375</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14,612</w:t>
            </w:r>
          </w:p>
        </w:tc>
        <w:tc>
          <w:tcPr>
            <w:tcW w:w="1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14,508</w:t>
            </w:r>
          </w:p>
        </w:tc>
        <w:tc>
          <w:tcPr>
            <w:tcW w:w="40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84,319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89,743</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168,000</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175,115</w:t>
            </w:r>
          </w:p>
        </w:tc>
        <w:tc>
          <w:tcPr>
            <w:tcW w:w="4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Other income (expense)</w:t>
            </w:r>
          </w:p>
        </w:tc>
        <w:tc>
          <w:tcPr>
            <w:tcW w:w="90"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6"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359" w:type="dxa"/>
            <w:gridSpan w:val="3"/>
            <w:tcBorders/>
            <w:shd w:fill="CCEEFF" w:val="clear"/>
            <w:vAlign w:val="center"/>
          </w:tcPr>
          <w:p>
            <w:pPr>
              <w:pStyle w:val="TableContents"/>
              <w:spacing w:before="0" w:after="0"/>
              <w:ind w:left="0" w:right="0" w:firstLine="300"/>
              <w:rPr/>
            </w:pPr>
            <w:r>
              <w:rPr/>
              <w:t> </w:t>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(5,547</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(11,025</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(10,413</w:t>
            </w:r>
          </w:p>
        </w:tc>
        <w:tc>
          <w:tcPr>
            <w:tcW w:w="4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1,153</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583</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1,968</w:t>
            </w:r>
          </w:p>
        </w:tc>
        <w:tc>
          <w:tcPr>
            <w:tcW w:w="1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1,074</w:t>
            </w:r>
          </w:p>
        </w:tc>
        <w:tc>
          <w:tcPr>
            <w:tcW w:w="40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80,347</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84,779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158,943</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165,776</w:t>
            </w:r>
          </w:p>
        </w:tc>
        <w:tc>
          <w:tcPr>
            <w:tcW w:w="4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437</w:t>
            </w:r>
          </w:p>
        </w:tc>
        <w:tc>
          <w:tcPr>
            <w:tcW w:w="1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586</w:t>
            </w:r>
          </w:p>
        </w:tc>
        <w:tc>
          <w:tcPr>
            <w:tcW w:w="4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80,110</w:t>
            </w:r>
          </w:p>
        </w:tc>
        <w:tc>
          <w:tcPr>
            <w:tcW w:w="11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84,476</w:t>
            </w:r>
          </w:p>
        </w:tc>
        <w:tc>
          <w:tcPr>
            <w:tcW w:w="11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158,506</w:t>
            </w:r>
          </w:p>
        </w:tc>
        <w:tc>
          <w:tcPr>
            <w:tcW w:w="11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165,190</w:t>
            </w:r>
          </w:p>
        </w:tc>
        <w:tc>
          <w:tcPr>
            <w:tcW w:w="409"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 in OpCo</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66,377</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71,719</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129,818</w:t>
            </w:r>
          </w:p>
        </w:tc>
        <w:tc>
          <w:tcPr>
            <w:tcW w:w="1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140,138</w:t>
            </w:r>
          </w:p>
        </w:tc>
        <w:tc>
          <w:tcPr>
            <w:tcW w:w="4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Westlake Chemical Partners LP</w:t>
            </w:r>
          </w:p>
        </w:tc>
        <w:tc>
          <w:tcPr>
            <w:tcW w:w="90"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13,733</w:t>
            </w:r>
          </w:p>
        </w:tc>
        <w:tc>
          <w:tcPr>
            <w:tcW w:w="11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12,757</w:t>
            </w:r>
          </w:p>
        </w:tc>
        <w:tc>
          <w:tcPr>
            <w:tcW w:w="11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28,688</w:t>
            </w:r>
          </w:p>
        </w:tc>
        <w:tc>
          <w:tcPr>
            <w:tcW w:w="11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25,052</w:t>
            </w:r>
          </w:p>
        </w:tc>
        <w:tc>
          <w:tcPr>
            <w:tcW w:w="40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per limited partner unit attributable to Westlake Chemical Partners LP (basic and diluted)</w:t>
            </w:r>
          </w:p>
        </w:tc>
        <w:tc>
          <w:tcPr>
            <w:tcW w:w="90"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6"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359" w:type="dxa"/>
            <w:gridSpan w:val="3"/>
            <w:tcBorders/>
            <w:shd w:fill="CCEEFF" w:val="clear"/>
            <w:vAlign w:val="center"/>
          </w:tcPr>
          <w:p>
            <w:pPr>
              <w:pStyle w:val="TableContents"/>
              <w:spacing w:before="0" w:after="0"/>
              <w:ind w:left="0" w:right="0" w:firstLine="300"/>
              <w:rPr/>
            </w:pPr>
            <w:r>
              <w:rPr/>
              <w:t> </w:t>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w:t>
            </w:r>
          </w:p>
        </w:tc>
        <w:tc>
          <w:tcPr>
            <w:tcW w:w="90"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4" w:type="dxa"/>
            <w:tcBorders/>
            <w:shd w:fill="auto" w:val="clear"/>
            <w:vAlign w:val="center"/>
          </w:tcPr>
          <w:p>
            <w:pPr>
              <w:pStyle w:val="TableContents"/>
              <w:spacing w:before="0" w:after="0"/>
              <w:jc w:val="right"/>
              <w:rPr>
                <w:rFonts w:ascii="inherit" w:hAnsi="inherit"/>
                <w:sz w:val="17"/>
              </w:rPr>
            </w:pPr>
            <w:r>
              <w:rPr>
                <w:rFonts w:ascii="inherit" w:hAnsi="inherit"/>
                <w:sz w:val="17"/>
              </w:rPr>
              <w:t>0.39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4" w:type="dxa"/>
            <w:tcBorders/>
            <w:shd w:fill="auto" w:val="clear"/>
            <w:vAlign w:val="center"/>
          </w:tcPr>
          <w:p>
            <w:pPr>
              <w:pStyle w:val="TableContents"/>
              <w:spacing w:before="0" w:after="0"/>
              <w:jc w:val="right"/>
              <w:rPr>
                <w:rFonts w:ascii="inherit" w:hAnsi="inherit"/>
                <w:sz w:val="17"/>
              </w:rPr>
            </w:pPr>
            <w:r>
              <w:rPr>
                <w:rFonts w:ascii="inherit" w:hAnsi="inherit"/>
                <w:sz w:val="17"/>
              </w:rPr>
              <w:t>0.40</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1" w:type="dxa"/>
            <w:tcBorders/>
            <w:shd w:fill="auto" w:val="clear"/>
            <w:vAlign w:val="center"/>
          </w:tcPr>
          <w:p>
            <w:pPr>
              <w:pStyle w:val="TableContents"/>
              <w:spacing w:before="0" w:after="0"/>
              <w:jc w:val="right"/>
              <w:rPr>
                <w:rFonts w:ascii="inherit" w:hAnsi="inherit"/>
                <w:sz w:val="17"/>
              </w:rPr>
            </w:pPr>
            <w:r>
              <w:rPr>
                <w:rFonts w:ascii="inherit" w:hAnsi="inherit"/>
                <w:sz w:val="17"/>
              </w:rPr>
              <w:t>0.85</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1" w:type="dxa"/>
            <w:tcBorders/>
            <w:shd w:fill="auto" w:val="clear"/>
            <w:vAlign w:val="center"/>
          </w:tcPr>
          <w:p>
            <w:pPr>
              <w:pStyle w:val="TableContents"/>
              <w:spacing w:before="0" w:after="0"/>
              <w:jc w:val="right"/>
              <w:rPr>
                <w:rFonts w:ascii="inherit" w:hAnsi="inherit"/>
                <w:sz w:val="17"/>
              </w:rPr>
            </w:pPr>
            <w:r>
              <w:rPr>
                <w:rFonts w:ascii="inherit" w:hAnsi="inherit"/>
                <w:sz w:val="17"/>
              </w:rPr>
              <w:t>0.75</w:t>
            </w:r>
          </w:p>
        </w:tc>
        <w:tc>
          <w:tcPr>
            <w:tcW w:w="4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Weighted average limited partner units outstanding (basic and diluted)</w:t>
            </w:r>
          </w:p>
        </w:tc>
        <w:tc>
          <w:tcPr>
            <w:tcW w:w="90"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6" w:type="dxa"/>
            <w:tcBorders/>
            <w:shd w:fill="CCEEFF" w:val="clear"/>
            <w:vAlign w:val="center"/>
          </w:tcPr>
          <w:p>
            <w:pPr>
              <w:pStyle w:val="TableContents"/>
              <w:spacing w:before="0" w:after="0"/>
              <w:ind w:left="0" w:right="0" w:firstLine="30"/>
              <w:rPr/>
            </w:pPr>
            <w:r>
              <w:rPr/>
              <w:t> </w:t>
            </w:r>
          </w:p>
        </w:tc>
        <w:tc>
          <w:tcPr>
            <w:tcW w:w="107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359" w:type="dxa"/>
            <w:gridSpan w:val="3"/>
            <w:tcBorders/>
            <w:shd w:fill="CCEEFF" w:val="clear"/>
            <w:vAlign w:val="center"/>
          </w:tcPr>
          <w:p>
            <w:pPr>
              <w:pStyle w:val="TableContents"/>
              <w:spacing w:before="0" w:after="0"/>
              <w:ind w:left="0" w:right="0" w:firstLine="300"/>
              <w:rPr/>
            </w:pPr>
            <w:r>
              <w:rPr/>
              <w:t> </w:t>
            </w:r>
          </w:p>
        </w:tc>
      </w:tr>
      <w:tr>
        <w:trPr/>
        <w:tc>
          <w:tcPr>
            <w:tcW w:w="52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units—publicly and privately held</w:t>
            </w:r>
          </w:p>
        </w:tc>
        <w:tc>
          <w:tcPr>
            <w:tcW w:w="9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21,065,959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18,115,036</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19,652,417</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18,114,630</w:t>
            </w:r>
          </w:p>
        </w:tc>
        <w:tc>
          <w:tcPr>
            <w:tcW w:w="4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2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units—Westlake</w:t>
            </w:r>
          </w:p>
        </w:tc>
        <w:tc>
          <w:tcPr>
            <w:tcW w:w="9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1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4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11" w:name="s08C9DB2904495DD2848F23A6320BCEC2"/>
      <w:bookmarkStart w:id="12" w:name="s08C9DB2904495DD2848F23A6320BCEC2"/>
      <w:bookmarkEnd w:id="12"/>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CHANGES IN EQUITY</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center"/>
        <w:tblInd w:w="0" w:type="dxa"/>
        <w:tblCellMar>
          <w:top w:w="0" w:type="dxa"/>
          <w:left w:w="0" w:type="dxa"/>
          <w:bottom w:w="0" w:type="dxa"/>
          <w:right w:w="0" w:type="dxa"/>
        </w:tblCellMar>
      </w:tblPr>
      <w:tblGrid>
        <w:gridCol w:w="2730"/>
        <w:gridCol w:w="90"/>
        <w:gridCol w:w="172"/>
        <w:gridCol w:w="985"/>
        <w:gridCol w:w="135"/>
        <w:gridCol w:w="90"/>
        <w:gridCol w:w="168"/>
        <w:gridCol w:w="818"/>
        <w:gridCol w:w="132"/>
        <w:gridCol w:w="90"/>
        <w:gridCol w:w="140"/>
        <w:gridCol w:w="875"/>
        <w:gridCol w:w="125"/>
        <w:gridCol w:w="90"/>
        <w:gridCol w:w="392"/>
        <w:gridCol w:w="728"/>
        <w:gridCol w:w="85"/>
        <w:gridCol w:w="90"/>
        <w:gridCol w:w="147"/>
        <w:gridCol w:w="847"/>
        <w:gridCol w:w="117"/>
        <w:gridCol w:w="90"/>
        <w:gridCol w:w="140"/>
        <w:gridCol w:w="800"/>
        <w:gridCol w:w="129"/>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27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2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Partnership</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bottom w:val="single" w:sz="2" w:space="0" w:color="000000"/>
            </w:tcBorders>
            <w:shd w:fill="auto" w:val="clear"/>
            <w:tcMar>
              <w:bottom w:w="30" w:type="dxa"/>
            </w:tcMar>
            <w:vAlign w:val="center"/>
          </w:tcPr>
          <w:p>
            <w:pPr>
              <w:pStyle w:val="TableContents"/>
              <w:spacing w:before="0" w:after="0"/>
              <w:jc w:val="center"/>
              <w:rPr>
                <w:sz w:val="13"/>
              </w:rPr>
            </w:pPr>
            <w:r>
              <w:rPr>
                <w:rFonts w:ascii="inherit" w:hAnsi="inherit"/>
                <w:b/>
                <w:sz w:val="13"/>
              </w:rPr>
              <w:t>Common Unitholders</w:t>
            </w:r>
            <w:r>
              <w:rPr>
                <w:sz w:val="13"/>
              </w:rPr>
              <w:t>—</w:t>
            </w:r>
          </w:p>
          <w:p>
            <w:pPr>
              <w:pStyle w:val="TableContents"/>
              <w:spacing w:before="0" w:after="0"/>
              <w:ind w:left="0" w:right="0" w:firstLine="30"/>
              <w:jc w:val="center"/>
              <w:rPr>
                <w:rFonts w:ascii="inherit" w:hAnsi="inherit"/>
                <w:b/>
                <w:sz w:val="13"/>
              </w:rPr>
            </w:pPr>
            <w:r>
              <w:rPr>
                <w:rFonts w:ascii="inherit" w:hAnsi="inherit"/>
                <w:b/>
                <w:sz w:val="13"/>
              </w:rPr>
              <w:t>Public and Privately Held</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bottom w:val="single" w:sz="2" w:space="0" w:color="000000"/>
            </w:tcBorders>
            <w:shd w:fill="auto" w:val="clear"/>
            <w:tcMar>
              <w:bottom w:w="30" w:type="dxa"/>
            </w:tcMar>
            <w:vAlign w:val="center"/>
          </w:tcPr>
          <w:p>
            <w:pPr>
              <w:pStyle w:val="TableContents"/>
              <w:spacing w:before="0" w:after="0"/>
              <w:jc w:val="center"/>
              <w:rPr>
                <w:sz w:val="13"/>
              </w:rPr>
            </w:pPr>
            <w:r>
              <w:rPr>
                <w:rFonts w:ascii="inherit" w:hAnsi="inherit"/>
                <w:b/>
                <w:sz w:val="13"/>
              </w:rPr>
              <w:t>Common Unitholder</w:t>
            </w:r>
            <w:r>
              <w:rPr>
                <w:sz w:val="13"/>
              </w:rPr>
              <w:t>—</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General </w:t>
            </w:r>
          </w:p>
          <w:p>
            <w:pPr>
              <w:pStyle w:val="TableContents"/>
              <w:spacing w:before="0" w:after="0"/>
              <w:jc w:val="center"/>
              <w:rPr>
                <w:sz w:val="13"/>
              </w:rPr>
            </w:pPr>
            <w:r>
              <w:rPr>
                <w:rFonts w:ascii="inherit" w:hAnsi="inherit"/>
                <w:b/>
                <w:sz w:val="13"/>
              </w:rPr>
              <w:t>Partner</w:t>
            </w:r>
            <w:r>
              <w:rPr>
                <w:sz w:val="13"/>
              </w:rPr>
              <w:t>—</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Accumulated </w:t>
            </w:r>
          </w:p>
          <w:p>
            <w:pPr>
              <w:pStyle w:val="TableContents"/>
              <w:spacing w:before="0" w:after="0"/>
              <w:jc w:val="center"/>
              <w:rPr>
                <w:rFonts w:ascii="inherit" w:hAnsi="inherit"/>
                <w:b/>
                <w:sz w:val="13"/>
              </w:rPr>
            </w:pPr>
            <w:r>
              <w:rPr>
                <w:rFonts w:ascii="inherit" w:hAnsi="inherit"/>
                <w:b/>
                <w:sz w:val="13"/>
              </w:rPr>
              <w:t xml:space="preserve">Other </w:t>
            </w:r>
          </w:p>
          <w:p>
            <w:pPr>
              <w:pStyle w:val="TableContents"/>
              <w:spacing w:before="0" w:after="0"/>
              <w:jc w:val="center"/>
              <w:rPr>
                <w:rFonts w:ascii="inherit" w:hAnsi="inherit"/>
                <w:b/>
                <w:sz w:val="13"/>
              </w:rPr>
            </w:pPr>
            <w:r>
              <w:rPr>
                <w:rFonts w:ascii="inherit" w:hAnsi="inherit"/>
                <w:b/>
                <w:sz w:val="13"/>
              </w:rPr>
              <w:t>Comprehensive </w:t>
            </w:r>
          </w:p>
          <w:p>
            <w:pPr>
              <w:pStyle w:val="TableContents"/>
              <w:spacing w:before="0" w:after="0"/>
              <w:ind w:left="0" w:right="0" w:firstLine="30"/>
              <w:jc w:val="center"/>
              <w:rPr>
                <w:rFonts w:ascii="inherit" w:hAnsi="inherit"/>
                <w:b/>
                <w:sz w:val="13"/>
              </w:rPr>
            </w:pPr>
            <w:r>
              <w:rPr>
                <w:rFonts w:ascii="inherit" w:hAnsi="inherit"/>
                <w:b/>
                <w:sz w:val="13"/>
              </w:rPr>
              <w:t>Income (Loss)</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Noncontrolling </w:t>
            </w:r>
          </w:p>
          <w:p>
            <w:pPr>
              <w:pStyle w:val="TableContents"/>
              <w:spacing w:before="0" w:after="0"/>
              <w:jc w:val="center"/>
              <w:rPr>
                <w:rFonts w:ascii="inherit" w:hAnsi="inherit"/>
                <w:b/>
                <w:sz w:val="13"/>
              </w:rPr>
            </w:pPr>
            <w:r>
              <w:rPr>
                <w:rFonts w:ascii="inherit" w:hAnsi="inherit"/>
                <w:b/>
                <w:sz w:val="13"/>
              </w:rPr>
              <w:t>Interests</w:t>
            </w:r>
          </w:p>
          <w:p>
            <w:pPr>
              <w:pStyle w:val="TableContents"/>
              <w:spacing w:before="0" w:after="0"/>
              <w:ind w:left="0" w:right="0" w:firstLine="30"/>
              <w:jc w:val="center"/>
              <w:rPr>
                <w:rFonts w:ascii="inherit" w:hAnsi="inherit"/>
                <w:b/>
                <w:sz w:val="13"/>
              </w:rPr>
            </w:pPr>
            <w:r>
              <w:rPr>
                <w:rFonts w:ascii="inherit" w:hAnsi="inherit"/>
                <w:b/>
                <w:sz w:val="13"/>
              </w:rPr>
              <w:t>in OpCo</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auto" w:val="clear"/>
            <w:vAlign w:val="center"/>
          </w:tcPr>
          <w:p>
            <w:pPr>
              <w:pStyle w:val="TableContents"/>
              <w:spacing w:before="0" w:after="0"/>
              <w:ind w:left="0" w:right="0" w:firstLine="30"/>
              <w:rPr/>
            </w:pPr>
            <w:r>
              <w:rPr/>
              <w:t> </w:t>
            </w:r>
          </w:p>
        </w:tc>
        <w:tc>
          <w:tcPr>
            <w:tcW w:w="7475" w:type="dxa"/>
            <w:gridSpan w:val="2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2730" w:type="dxa"/>
            <w:tcBorders/>
            <w:shd w:fill="CCEEFF" w:val="clear"/>
            <w:vAlign w:val="center"/>
          </w:tcPr>
          <w:p>
            <w:pPr>
              <w:pStyle w:val="TableContents"/>
              <w:spacing w:before="0" w:after="0"/>
              <w:ind w:left="0" w:right="0" w:firstLine="30"/>
              <w:rPr>
                <w:rFonts w:ascii="inherit" w:hAnsi="inherit"/>
                <w:b/>
                <w:sz w:val="17"/>
                <w:highlight w:val="cyan"/>
              </w:rPr>
            </w:pPr>
            <w:r>
              <w:rPr>
                <w:rFonts w:ascii="inherit" w:hAnsi="inherit"/>
                <w:b/>
                <w:sz w:val="17"/>
                <w:highlight w:val="cyan"/>
              </w:rPr>
              <w:t>Balance at December 31, 2018</w:t>
            </w:r>
          </w:p>
        </w:tc>
        <w:tc>
          <w:tcPr>
            <w:tcW w:w="90"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shd w:fill="CCEEFF" w:val="clear"/>
            <w:vAlign w:val="center"/>
          </w:tcPr>
          <w:p>
            <w:pPr>
              <w:pStyle w:val="TableContents"/>
              <w:spacing w:before="0" w:after="0"/>
              <w:jc w:val="right"/>
              <w:rPr>
                <w:rFonts w:ascii="inherit" w:hAnsi="inherit"/>
                <w:b/>
                <w:sz w:val="17"/>
              </w:rPr>
            </w:pPr>
            <w:r>
              <w:rPr>
                <w:rFonts w:ascii="inherit" w:hAnsi="inherit"/>
                <w:b/>
                <w:sz w:val="17"/>
              </w:rPr>
              <w:t>409,608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shd w:fill="CCEEFF" w:val="clear"/>
            <w:vAlign w:val="center"/>
          </w:tcPr>
          <w:p>
            <w:pPr>
              <w:pStyle w:val="TableContents"/>
              <w:spacing w:before="0" w:after="0"/>
              <w:jc w:val="right"/>
              <w:rPr>
                <w:rFonts w:ascii="inherit" w:hAnsi="inherit"/>
                <w:b/>
                <w:sz w:val="17"/>
              </w:rPr>
            </w:pPr>
            <w:r>
              <w:rPr>
                <w:rFonts w:ascii="inherit" w:hAnsi="inherit"/>
                <w:b/>
                <w:sz w:val="17"/>
              </w:rPr>
              <w:t>48,774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shd w:fill="CCEEFF" w:val="clear"/>
            <w:vAlign w:val="center"/>
          </w:tcPr>
          <w:p>
            <w:pPr>
              <w:pStyle w:val="TableContents"/>
              <w:spacing w:before="0" w:after="0"/>
              <w:jc w:val="right"/>
              <w:rPr>
                <w:rFonts w:ascii="inherit" w:hAnsi="inherit"/>
                <w:b/>
                <w:sz w:val="17"/>
              </w:rPr>
            </w:pPr>
            <w:r>
              <w:rPr>
                <w:rFonts w:ascii="inherit" w:hAnsi="inherit"/>
                <w:b/>
                <w:sz w:val="17"/>
              </w:rPr>
              <w:t>(242,572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392"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728" w:type="dxa"/>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shd w:fill="CCEEFF" w:val="clear"/>
            <w:vAlign w:val="center"/>
          </w:tcPr>
          <w:p>
            <w:pPr>
              <w:pStyle w:val="TableContents"/>
              <w:spacing w:before="0" w:after="0"/>
              <w:jc w:val="right"/>
              <w:rPr>
                <w:rFonts w:ascii="inherit" w:hAnsi="inherit"/>
                <w:b/>
                <w:sz w:val="17"/>
              </w:rPr>
            </w:pPr>
            <w:r>
              <w:rPr>
                <w:rFonts w:ascii="inherit" w:hAnsi="inherit"/>
                <w:b/>
                <w:sz w:val="17"/>
              </w:rPr>
              <w:t>718,271</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shd w:fill="CCEEFF" w:val="clear"/>
            <w:vAlign w:val="center"/>
          </w:tcPr>
          <w:p>
            <w:pPr>
              <w:pStyle w:val="TableContents"/>
              <w:spacing w:before="0" w:after="0"/>
              <w:jc w:val="right"/>
              <w:rPr>
                <w:rFonts w:ascii="inherit" w:hAnsi="inherit"/>
                <w:b/>
                <w:sz w:val="17"/>
              </w:rPr>
            </w:pPr>
            <w:r>
              <w:rPr>
                <w:rFonts w:ascii="inherit" w:hAnsi="inherit"/>
                <w:b/>
                <w:sz w:val="17"/>
              </w:rPr>
              <w:t>934,081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Net income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8,422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6,533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63,441</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78,396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proceeds from private placement of common units</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62,934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62,934</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Quarterly distributions to unitholders</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(7,845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(6,112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(13,957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(81,507</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(81,507</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CCEEFF" w:val="clear"/>
            <w:vAlign w:val="center"/>
          </w:tcPr>
          <w:p>
            <w:pPr>
              <w:pStyle w:val="TableContents"/>
              <w:spacing w:before="0" w:after="0"/>
              <w:ind w:left="0" w:right="0" w:firstLine="30"/>
              <w:rPr>
                <w:rFonts w:ascii="inherit" w:hAnsi="inherit"/>
                <w:b/>
                <w:sz w:val="17"/>
                <w:highlight w:val="cyan"/>
              </w:rPr>
            </w:pPr>
            <w:r>
              <w:rPr>
                <w:rFonts w:ascii="inherit" w:hAnsi="inherit"/>
                <w:b/>
                <w:sz w:val="17"/>
                <w:highlight w:val="cyan"/>
              </w:rPr>
              <w:t>Balance at March 31, 2019</w:t>
            </w:r>
          </w:p>
        </w:tc>
        <w:tc>
          <w:tcPr>
            <w:tcW w:w="90" w:type="dxa"/>
            <w:tcBorders/>
            <w:shd w:fill="BFE4FF" w:val="clear"/>
            <w:vAlign w:val="center"/>
          </w:tcPr>
          <w:p>
            <w:pPr>
              <w:pStyle w:val="TableContents"/>
              <w:spacing w:before="0" w:after="0"/>
              <w:ind w:left="0" w:right="0" w:firstLine="30"/>
              <w:rPr/>
            </w:pPr>
            <w:r>
              <w:rPr/>
              <w:t> </w:t>
            </w:r>
          </w:p>
        </w:tc>
        <w:tc>
          <w:tcPr>
            <w:tcW w:w="172"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top w:val="single" w:sz="2" w:space="0" w:color="000000"/>
            </w:tcBorders>
            <w:shd w:fill="BFE4FF" w:val="clear"/>
            <w:tcMar>
              <w:top w:w="30" w:type="dxa"/>
            </w:tcMar>
            <w:vAlign w:val="center"/>
          </w:tcPr>
          <w:p>
            <w:pPr>
              <w:pStyle w:val="TableContents"/>
              <w:spacing w:before="0" w:after="0"/>
              <w:jc w:val="right"/>
              <w:rPr>
                <w:rFonts w:ascii="inherit" w:hAnsi="inherit"/>
                <w:b/>
                <w:sz w:val="17"/>
              </w:rPr>
            </w:pPr>
            <w:r>
              <w:rPr>
                <w:rFonts w:ascii="inherit" w:hAnsi="inherit"/>
                <w:b/>
                <w:sz w:val="17"/>
              </w:rPr>
              <w:t>473,119</w:t>
            </w:r>
          </w:p>
        </w:tc>
        <w:tc>
          <w:tcPr>
            <w:tcW w:w="135"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BFE4FF" w:val="clear"/>
            <w:vAlign w:val="center"/>
          </w:tcPr>
          <w:p>
            <w:pPr>
              <w:pStyle w:val="TableContents"/>
              <w:spacing w:before="0" w:after="0"/>
              <w:ind w:left="0" w:right="0" w:firstLine="30"/>
              <w:rPr/>
            </w:pPr>
            <w:r>
              <w:rPr/>
              <w:t> </w:t>
            </w:r>
          </w:p>
        </w:tc>
        <w:tc>
          <w:tcPr>
            <w:tcW w:w="168"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top w:val="single" w:sz="2" w:space="0" w:color="000000"/>
            </w:tcBorders>
            <w:shd w:fill="BFE4FF" w:val="clear"/>
            <w:tcMar>
              <w:top w:w="30" w:type="dxa"/>
            </w:tcMar>
            <w:vAlign w:val="center"/>
          </w:tcPr>
          <w:p>
            <w:pPr>
              <w:pStyle w:val="TableContents"/>
              <w:spacing w:before="0" w:after="0"/>
              <w:jc w:val="right"/>
              <w:rPr>
                <w:rFonts w:ascii="inherit" w:hAnsi="inherit"/>
                <w:b/>
                <w:sz w:val="17"/>
              </w:rPr>
            </w:pPr>
            <w:r>
              <w:rPr>
                <w:rFonts w:ascii="inherit" w:hAnsi="inherit"/>
                <w:b/>
                <w:sz w:val="17"/>
              </w:rPr>
              <w:t>49,195</w:t>
            </w:r>
          </w:p>
        </w:tc>
        <w:tc>
          <w:tcPr>
            <w:tcW w:w="132"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BFE4FF" w:val="clear"/>
            <w:vAlign w:val="center"/>
          </w:tcPr>
          <w:p>
            <w:pPr>
              <w:pStyle w:val="TableContents"/>
              <w:spacing w:before="0" w:after="0"/>
              <w:ind w:left="0" w:right="0" w:firstLine="30"/>
              <w:rPr/>
            </w:pPr>
            <w:r>
              <w:rPr/>
              <w:t> </w:t>
            </w:r>
          </w:p>
        </w:tc>
        <w:tc>
          <w:tcPr>
            <w:tcW w:w="140"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top w:val="single" w:sz="2" w:space="0" w:color="000000"/>
            </w:tcBorders>
            <w:shd w:fill="BFE4FF" w:val="clear"/>
            <w:tcMar>
              <w:top w:w="30" w:type="dxa"/>
            </w:tcMar>
            <w:vAlign w:val="center"/>
          </w:tcPr>
          <w:p>
            <w:pPr>
              <w:pStyle w:val="TableContents"/>
              <w:spacing w:before="0" w:after="0"/>
              <w:jc w:val="right"/>
              <w:rPr>
                <w:rFonts w:ascii="inherit" w:hAnsi="inherit"/>
                <w:b/>
                <w:sz w:val="17"/>
              </w:rPr>
            </w:pPr>
            <w:r>
              <w:rPr>
                <w:rFonts w:ascii="inherit" w:hAnsi="inherit"/>
                <w:b/>
                <w:sz w:val="17"/>
              </w:rPr>
              <w:t>(242,572</w:t>
            </w:r>
          </w:p>
        </w:tc>
        <w:tc>
          <w:tcPr>
            <w:tcW w:w="125" w:type="dxa"/>
            <w:tcBorders>
              <w:top w:val="single" w:sz="2" w:space="0" w:color="000000"/>
            </w:tcBorders>
            <w:shd w:fill="BFE4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BFE4FF" w:val="clear"/>
            <w:vAlign w:val="center"/>
          </w:tcPr>
          <w:p>
            <w:pPr>
              <w:pStyle w:val="TableContents"/>
              <w:spacing w:before="0" w:after="0"/>
              <w:ind w:left="0" w:right="0" w:firstLine="30"/>
              <w:rPr/>
            </w:pPr>
            <w:r>
              <w:rPr/>
              <w:t> </w:t>
            </w:r>
          </w:p>
        </w:tc>
        <w:tc>
          <w:tcPr>
            <w:tcW w:w="392"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28" w:type="dxa"/>
            <w:tcBorders>
              <w:top w:val="single" w:sz="2" w:space="0" w:color="000000"/>
            </w:tcBorders>
            <w:shd w:fill="BFE4FF" w:val="clear"/>
            <w:tcMar>
              <w:top w:w="30" w:type="dxa"/>
            </w:tcMar>
            <w:vAlign w:val="center"/>
          </w:tcPr>
          <w:p>
            <w:pPr>
              <w:pStyle w:val="TableContents"/>
              <w:spacing w:before="0" w:after="0"/>
              <w:jc w:val="right"/>
              <w:rPr/>
            </w:pPr>
            <w:r>
              <w:rPr/>
              <w:t>—</w:t>
            </w:r>
          </w:p>
        </w:tc>
        <w:tc>
          <w:tcPr>
            <w:tcW w:w="85"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BFE4FF" w:val="clear"/>
            <w:vAlign w:val="center"/>
          </w:tcPr>
          <w:p>
            <w:pPr>
              <w:pStyle w:val="TableContents"/>
              <w:spacing w:before="0" w:after="0"/>
              <w:ind w:left="0" w:right="0" w:firstLine="30"/>
              <w:rPr/>
            </w:pPr>
            <w:r>
              <w:rPr/>
              <w:t> </w:t>
            </w:r>
          </w:p>
        </w:tc>
        <w:tc>
          <w:tcPr>
            <w:tcW w:w="147"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top w:val="single" w:sz="2" w:space="0" w:color="000000"/>
            </w:tcBorders>
            <w:shd w:fill="BFE4FF" w:val="clear"/>
            <w:tcMar>
              <w:top w:w="30" w:type="dxa"/>
            </w:tcMar>
            <w:vAlign w:val="center"/>
          </w:tcPr>
          <w:p>
            <w:pPr>
              <w:pStyle w:val="TableContents"/>
              <w:spacing w:before="0" w:after="0"/>
              <w:jc w:val="right"/>
              <w:rPr>
                <w:rFonts w:ascii="inherit" w:hAnsi="inherit"/>
                <w:b/>
                <w:sz w:val="17"/>
              </w:rPr>
            </w:pPr>
            <w:r>
              <w:rPr>
                <w:rFonts w:ascii="inherit" w:hAnsi="inherit"/>
                <w:b/>
                <w:sz w:val="17"/>
              </w:rPr>
              <w:t>700,205</w:t>
            </w:r>
          </w:p>
        </w:tc>
        <w:tc>
          <w:tcPr>
            <w:tcW w:w="117"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BFE4FF" w:val="clear"/>
            <w:vAlign w:val="center"/>
          </w:tcPr>
          <w:p>
            <w:pPr>
              <w:pStyle w:val="TableContents"/>
              <w:spacing w:before="0" w:after="0"/>
              <w:ind w:left="0" w:right="0" w:firstLine="30"/>
              <w:rPr/>
            </w:pPr>
            <w:r>
              <w:rPr/>
              <w:t> </w:t>
            </w:r>
          </w:p>
        </w:tc>
        <w:tc>
          <w:tcPr>
            <w:tcW w:w="140" w:type="dxa"/>
            <w:tcBorders>
              <w:top w:val="single" w:sz="2" w:space="0" w:color="000000"/>
            </w:tcBorders>
            <w:shd w:fill="BFE4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tcBorders>
            <w:shd w:fill="BFE4FF" w:val="clear"/>
            <w:tcMar>
              <w:top w:w="30" w:type="dxa"/>
            </w:tcMar>
            <w:vAlign w:val="center"/>
          </w:tcPr>
          <w:p>
            <w:pPr>
              <w:pStyle w:val="TableContents"/>
              <w:spacing w:before="0" w:after="0"/>
              <w:jc w:val="right"/>
              <w:rPr>
                <w:rFonts w:ascii="inherit" w:hAnsi="inherit"/>
                <w:b/>
                <w:sz w:val="17"/>
              </w:rPr>
            </w:pPr>
            <w:r>
              <w:rPr>
                <w:rFonts w:ascii="inherit" w:hAnsi="inherit"/>
                <w:b/>
                <w:sz w:val="17"/>
              </w:rPr>
              <w:t>979,947</w:t>
            </w:r>
          </w:p>
        </w:tc>
        <w:tc>
          <w:tcPr>
            <w:tcW w:w="129"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Net income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8,222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5,511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66,377</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80,110</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Offering costs related to private placement of common units</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Quarterly distributions to unitholders</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(9,379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(6,287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(72,259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(72,259</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CCEEFF" w:val="clear"/>
            <w:vAlign w:val="center"/>
          </w:tcPr>
          <w:p>
            <w:pPr>
              <w:pStyle w:val="TableContents"/>
              <w:spacing w:before="0" w:after="0"/>
              <w:ind w:left="0" w:right="0" w:firstLine="30"/>
              <w:rPr>
                <w:rFonts w:ascii="inherit" w:hAnsi="inherit"/>
                <w:b/>
                <w:sz w:val="17"/>
                <w:highlight w:val="cyan"/>
              </w:rPr>
            </w:pPr>
            <w:r>
              <w:rPr>
                <w:rFonts w:ascii="inherit" w:hAnsi="inherit"/>
                <w:b/>
                <w:sz w:val="17"/>
                <w:highlight w:val="cyan"/>
              </w:rPr>
              <w:t>Balance at June 30, 2019</w:t>
            </w:r>
          </w:p>
        </w:tc>
        <w:tc>
          <w:tcPr>
            <w:tcW w:w="90" w:type="dxa"/>
            <w:tcBorders/>
            <w:shd w:fill="CCEEFF"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471,944</w:t>
            </w:r>
          </w:p>
        </w:tc>
        <w:tc>
          <w:tcPr>
            <w:tcW w:w="13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48,419</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(242,572</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3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8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694,323</w:t>
            </w:r>
          </w:p>
        </w:tc>
        <w:tc>
          <w:tcPr>
            <w:tcW w:w="1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972,114</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CHANGES IN EQUITY</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center"/>
        <w:tblInd w:w="0" w:type="dxa"/>
        <w:tblCellMar>
          <w:top w:w="0" w:type="dxa"/>
          <w:left w:w="0" w:type="dxa"/>
          <w:bottom w:w="0" w:type="dxa"/>
          <w:right w:w="0" w:type="dxa"/>
        </w:tblCellMar>
      </w:tblPr>
      <w:tblGrid>
        <w:gridCol w:w="2730"/>
        <w:gridCol w:w="90"/>
        <w:gridCol w:w="172"/>
        <w:gridCol w:w="985"/>
        <w:gridCol w:w="135"/>
        <w:gridCol w:w="90"/>
        <w:gridCol w:w="168"/>
        <w:gridCol w:w="818"/>
        <w:gridCol w:w="132"/>
        <w:gridCol w:w="90"/>
        <w:gridCol w:w="140"/>
        <w:gridCol w:w="875"/>
        <w:gridCol w:w="125"/>
        <w:gridCol w:w="90"/>
        <w:gridCol w:w="267"/>
        <w:gridCol w:w="726"/>
        <w:gridCol w:w="212"/>
        <w:gridCol w:w="90"/>
        <w:gridCol w:w="147"/>
        <w:gridCol w:w="847"/>
        <w:gridCol w:w="117"/>
        <w:gridCol w:w="90"/>
        <w:gridCol w:w="140"/>
        <w:gridCol w:w="800"/>
        <w:gridCol w:w="129"/>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27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2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Partnership</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Common Unitholders—</w:t>
            </w:r>
          </w:p>
          <w:p>
            <w:pPr>
              <w:pStyle w:val="TableContents"/>
              <w:spacing w:before="0" w:after="0"/>
              <w:ind w:left="0" w:right="0" w:firstLine="30"/>
              <w:jc w:val="center"/>
              <w:rPr>
                <w:rFonts w:ascii="inherit" w:hAnsi="inherit"/>
                <w:b/>
                <w:sz w:val="13"/>
              </w:rPr>
            </w:pPr>
            <w:r>
              <w:rPr>
                <w:rFonts w:ascii="inherit" w:hAnsi="inherit"/>
                <w:b/>
                <w:sz w:val="13"/>
              </w:rPr>
              <w:t>Public and Privately Held</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1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Common Unitholder—</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4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 xml:space="preserve">General </w:t>
            </w:r>
          </w:p>
          <w:p>
            <w:pPr>
              <w:pStyle w:val="TableContents"/>
              <w:spacing w:before="0" w:after="0"/>
              <w:jc w:val="center"/>
              <w:rPr>
                <w:rFonts w:ascii="inherit" w:hAnsi="inherit"/>
                <w:b/>
                <w:sz w:val="13"/>
              </w:rPr>
            </w:pPr>
            <w:r>
              <w:rPr>
                <w:rFonts w:ascii="inherit" w:hAnsi="inherit"/>
                <w:b/>
                <w:sz w:val="13"/>
              </w:rPr>
              <w:t>Partner—</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0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 xml:space="preserve">Accumulated </w:t>
            </w:r>
          </w:p>
          <w:p>
            <w:pPr>
              <w:pStyle w:val="TableContents"/>
              <w:spacing w:before="0" w:after="0"/>
              <w:jc w:val="center"/>
              <w:rPr>
                <w:rFonts w:ascii="inherit" w:hAnsi="inherit"/>
                <w:b/>
                <w:sz w:val="13"/>
              </w:rPr>
            </w:pPr>
            <w:r>
              <w:rPr>
                <w:rFonts w:ascii="inherit" w:hAnsi="inherit"/>
                <w:b/>
                <w:sz w:val="13"/>
              </w:rPr>
              <w:t xml:space="preserve">Other </w:t>
            </w:r>
          </w:p>
          <w:p>
            <w:pPr>
              <w:pStyle w:val="TableContents"/>
              <w:spacing w:before="0" w:after="0"/>
              <w:jc w:val="center"/>
              <w:rPr>
                <w:rFonts w:ascii="inherit" w:hAnsi="inherit"/>
                <w:b/>
                <w:sz w:val="13"/>
              </w:rPr>
            </w:pPr>
            <w:r>
              <w:rPr>
                <w:rFonts w:ascii="inherit" w:hAnsi="inherit"/>
                <w:b/>
                <w:sz w:val="13"/>
              </w:rPr>
              <w:t>Comprehensive </w:t>
            </w:r>
          </w:p>
          <w:p>
            <w:pPr>
              <w:pStyle w:val="TableContents"/>
              <w:spacing w:before="0" w:after="0"/>
              <w:ind w:left="0" w:right="0" w:firstLine="30"/>
              <w:jc w:val="center"/>
              <w:rPr>
                <w:rFonts w:ascii="inherit" w:hAnsi="inherit"/>
                <w:b/>
                <w:sz w:val="13"/>
              </w:rPr>
            </w:pPr>
            <w:r>
              <w:rPr>
                <w:rFonts w:ascii="inherit" w:hAnsi="inherit"/>
                <w:b/>
                <w:sz w:val="13"/>
              </w:rPr>
              <w:t>Income (Loss)</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Noncontrolling </w:t>
            </w:r>
          </w:p>
          <w:p>
            <w:pPr>
              <w:pStyle w:val="TableContents"/>
              <w:spacing w:before="0" w:after="0"/>
              <w:jc w:val="center"/>
              <w:rPr>
                <w:rFonts w:ascii="inherit" w:hAnsi="inherit"/>
                <w:b/>
                <w:sz w:val="13"/>
              </w:rPr>
            </w:pPr>
            <w:r>
              <w:rPr>
                <w:rFonts w:ascii="inherit" w:hAnsi="inherit"/>
                <w:b/>
                <w:sz w:val="13"/>
              </w:rPr>
              <w:t>Interests</w:t>
            </w:r>
          </w:p>
          <w:p>
            <w:pPr>
              <w:pStyle w:val="TableContents"/>
              <w:spacing w:before="0" w:after="0"/>
              <w:ind w:left="0" w:right="0" w:firstLine="30"/>
              <w:jc w:val="center"/>
              <w:rPr>
                <w:rFonts w:ascii="inherit" w:hAnsi="inherit"/>
                <w:b/>
                <w:sz w:val="13"/>
              </w:rPr>
            </w:pPr>
            <w:r>
              <w:rPr>
                <w:rFonts w:ascii="inherit" w:hAnsi="inherit"/>
                <w:b/>
                <w:sz w:val="13"/>
              </w:rPr>
              <w:t>in OpCo</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auto" w:val="clear"/>
            <w:vAlign w:val="center"/>
          </w:tcPr>
          <w:p>
            <w:pPr>
              <w:pStyle w:val="TableContents"/>
              <w:spacing w:before="0" w:after="0"/>
              <w:ind w:left="0" w:right="0" w:firstLine="30"/>
              <w:rPr/>
            </w:pPr>
            <w:r>
              <w:rPr/>
              <w:t> </w:t>
            </w:r>
          </w:p>
        </w:tc>
        <w:tc>
          <w:tcPr>
            <w:tcW w:w="7475" w:type="dxa"/>
            <w:gridSpan w:val="2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2730" w:type="dxa"/>
            <w:tcBorders/>
            <w:shd w:fill="CCEEFF" w:val="clear"/>
            <w:vAlign w:val="center"/>
          </w:tcPr>
          <w:p>
            <w:pPr>
              <w:pStyle w:val="TableContents"/>
              <w:spacing w:before="0" w:after="0"/>
              <w:ind w:left="0" w:right="0" w:firstLine="30"/>
              <w:rPr>
                <w:rFonts w:ascii="inherit" w:hAnsi="inherit"/>
                <w:b/>
                <w:sz w:val="17"/>
                <w:highlight w:val="cyan"/>
              </w:rPr>
            </w:pPr>
            <w:r>
              <w:rPr>
                <w:rFonts w:ascii="inherit" w:hAnsi="inherit"/>
                <w:b/>
                <w:sz w:val="17"/>
                <w:highlight w:val="cyan"/>
              </w:rPr>
              <w:t>Balance at December 31, 2017</w:t>
            </w:r>
          </w:p>
        </w:tc>
        <w:tc>
          <w:tcPr>
            <w:tcW w:w="90"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shd w:fill="CCEEFF" w:val="clear"/>
            <w:vAlign w:val="center"/>
          </w:tcPr>
          <w:p>
            <w:pPr>
              <w:pStyle w:val="TableContents"/>
              <w:spacing w:before="0" w:after="0"/>
              <w:jc w:val="right"/>
              <w:rPr>
                <w:rFonts w:ascii="inherit" w:hAnsi="inherit"/>
                <w:b/>
                <w:sz w:val="17"/>
              </w:rPr>
            </w:pPr>
            <w:r>
              <w:rPr>
                <w:rFonts w:ascii="inherit" w:hAnsi="inherit"/>
                <w:b/>
                <w:sz w:val="17"/>
              </w:rPr>
              <w:t>411,228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shd w:fill="CCEEFF" w:val="clear"/>
            <w:vAlign w:val="center"/>
          </w:tcPr>
          <w:p>
            <w:pPr>
              <w:pStyle w:val="TableContents"/>
              <w:spacing w:before="0" w:after="0"/>
              <w:jc w:val="right"/>
              <w:rPr>
                <w:rFonts w:ascii="inherit" w:hAnsi="inherit"/>
                <w:b/>
                <w:sz w:val="17"/>
              </w:rPr>
            </w:pPr>
            <w:r>
              <w:rPr>
                <w:rFonts w:ascii="inherit" w:hAnsi="inherit"/>
                <w:b/>
                <w:sz w:val="17"/>
              </w:rPr>
              <w:t>50,265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shd w:fill="CCEEFF" w:val="clear"/>
            <w:vAlign w:val="center"/>
          </w:tcPr>
          <w:p>
            <w:pPr>
              <w:pStyle w:val="TableContents"/>
              <w:spacing w:before="0" w:after="0"/>
              <w:jc w:val="right"/>
              <w:rPr>
                <w:rFonts w:ascii="inherit" w:hAnsi="inherit"/>
                <w:b/>
                <w:sz w:val="17"/>
              </w:rPr>
            </w:pPr>
            <w:r>
              <w:rPr>
                <w:rFonts w:ascii="inherit" w:hAnsi="inherit"/>
                <w:b/>
                <w:sz w:val="17"/>
              </w:rPr>
              <w:t>(241,958</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267"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726" w:type="dxa"/>
            <w:tcBorders/>
            <w:shd w:fill="CCEEFF" w:val="clear"/>
            <w:vAlign w:val="center"/>
          </w:tcPr>
          <w:p>
            <w:pPr>
              <w:pStyle w:val="TableContents"/>
              <w:spacing w:before="0" w:after="0"/>
              <w:jc w:val="right"/>
              <w:rPr>
                <w:rFonts w:ascii="inherit" w:hAnsi="inherit"/>
                <w:b/>
                <w:sz w:val="17"/>
              </w:rPr>
            </w:pPr>
            <w:r>
              <w:rPr>
                <w:rFonts w:ascii="inherit" w:hAnsi="inherit"/>
                <w:b/>
                <w:sz w:val="17"/>
              </w:rPr>
              <w:t>279</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shd w:fill="CCEEFF" w:val="clear"/>
            <w:vAlign w:val="center"/>
          </w:tcPr>
          <w:p>
            <w:pPr>
              <w:pStyle w:val="TableContents"/>
              <w:spacing w:before="0" w:after="0"/>
              <w:jc w:val="right"/>
              <w:rPr>
                <w:rFonts w:ascii="inherit" w:hAnsi="inherit"/>
                <w:b/>
                <w:sz w:val="17"/>
              </w:rPr>
            </w:pPr>
            <w:r>
              <w:rPr>
                <w:rFonts w:ascii="inherit" w:hAnsi="inherit"/>
                <w:b/>
                <w:sz w:val="17"/>
              </w:rPr>
              <w:t>778,935</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shd w:fill="CCEEFF" w:val="clear"/>
            <w:vAlign w:val="center"/>
          </w:tcPr>
          <w:p>
            <w:pPr>
              <w:pStyle w:val="TableContents"/>
              <w:spacing w:before="0" w:after="0"/>
              <w:jc w:val="right"/>
              <w:rPr>
                <w:rFonts w:ascii="inherit" w:hAnsi="inherit"/>
                <w:b/>
                <w:sz w:val="17"/>
              </w:rPr>
            </w:pPr>
            <w:r>
              <w:rPr>
                <w:rFonts w:ascii="inherit" w:hAnsi="inherit"/>
                <w:b/>
                <w:sz w:val="17"/>
              </w:rPr>
              <w:t>998,749</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9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Net income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6,498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5,064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68,419</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80,714</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effect of cash flow hedge</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Units issued for vested phantom units</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(5,457</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pPr>
            <w:r>
              <w:rPr/>
              <w:t>—</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(13,071</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(91,148</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(91,148</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Balance at March 31, 2018</w:t>
            </w:r>
          </w:p>
        </w:tc>
        <w:tc>
          <w:tcPr>
            <w:tcW w:w="90"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410,786</w:t>
            </w:r>
          </w:p>
        </w:tc>
        <w:tc>
          <w:tcPr>
            <w:tcW w:w="13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8"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49,872</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(241,839</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267"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26"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298</w:t>
            </w:r>
          </w:p>
        </w:tc>
        <w:tc>
          <w:tcPr>
            <w:tcW w:w="21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7"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756,206</w:t>
            </w:r>
          </w:p>
        </w:tc>
        <w:tc>
          <w:tcPr>
            <w:tcW w:w="11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tcBorders>
            <w:shd w:fill="auto"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975,323</w:t>
            </w:r>
          </w:p>
        </w:tc>
        <w:tc>
          <w:tcPr>
            <w:tcW w:w="12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9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9" w:type="dxa"/>
            <w:gridSpan w:val="3"/>
            <w:tcBorders/>
            <w:shd w:fill="CCEEFF" w:val="clear"/>
            <w:vAlign w:val="center"/>
          </w:tcPr>
          <w:p>
            <w:pPr>
              <w:pStyle w:val="TableContents"/>
              <w:spacing w:before="0" w:after="0"/>
              <w:ind w:left="0" w:right="0" w:firstLine="30"/>
              <w:rPr/>
            </w:pPr>
            <w:r>
              <w:rPr/>
              <w:t> </w:t>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7,168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pPr>
            <w:r>
              <w:rPr/>
              <w:t>—</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71,719</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84,476</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Net effect of cash flow hedge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(5,613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pPr>
            <w:r>
              <w:rPr/>
              <w:t>—</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4" w:type="dxa"/>
            <w:gridSpan w:val="2"/>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(13,546</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pPr>
            <w:r>
              <w:rPr/>
              <w:t>—</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(81,610</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(81,610</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0"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Balance at June 30, 2018</w:t>
            </w:r>
          </w:p>
        </w:tc>
        <w:tc>
          <w:tcPr>
            <w:tcW w:w="90"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410,754</w:t>
            </w:r>
          </w:p>
        </w:tc>
        <w:tc>
          <w:tcPr>
            <w:tcW w:w="1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49,848</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(242,572</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2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122</w:t>
            </w:r>
          </w:p>
        </w:tc>
        <w:tc>
          <w:tcPr>
            <w:tcW w:w="21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746,315</w:t>
            </w:r>
          </w:p>
        </w:tc>
        <w:tc>
          <w:tcPr>
            <w:tcW w:w="11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964,467</w:t>
            </w:r>
          </w:p>
        </w:tc>
        <w:tc>
          <w:tcPr>
            <w:tcW w:w="12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 xml:space="preserve">The accompanying notes are an integral part of these consolidated financial statements.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3" w:name="s7FBAE579902E5F39AAABE1AE94FEDAB8"/>
      <w:bookmarkStart w:id="14" w:name="s7FBAE579902E5F39AAABE1AE94FEDAB8"/>
      <w:bookmarkEnd w:id="14"/>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CASH FLOWS</w:t>
      </w:r>
    </w:p>
    <w:p>
      <w:pPr>
        <w:pStyle w:val="TextBody"/>
        <w:spacing w:lineRule="auto" w:line="288" w:before="0" w:after="0"/>
        <w:jc w:val="center"/>
        <w:rPr>
          <w:rFonts w:ascii="inherit" w:hAnsi="inherit"/>
          <w:b/>
          <w:sz w:val="17"/>
        </w:rPr>
      </w:pPr>
      <w:r>
        <w:rPr>
          <w:rFonts w:ascii="inherit" w:hAnsi="inherit"/>
          <w:b/>
          <w:sz w:val="17"/>
        </w:rPr>
        <w:t>(Unaudited)</w:t>
      </w:r>
    </w:p>
    <w:tbl>
      <w:tblPr>
        <w:tblW w:w="10160" w:type="dxa"/>
        <w:jc w:val="left"/>
        <w:tblInd w:w="0" w:type="dxa"/>
        <w:tblCellMar>
          <w:top w:w="0" w:type="dxa"/>
          <w:left w:w="0" w:type="dxa"/>
          <w:bottom w:w="0" w:type="dxa"/>
          <w:right w:w="0" w:type="dxa"/>
        </w:tblCellMar>
      </w:tblPr>
      <w:tblGrid>
        <w:gridCol w:w="7355"/>
        <w:gridCol w:w="90"/>
        <w:gridCol w:w="125"/>
        <w:gridCol w:w="695"/>
        <w:gridCol w:w="110"/>
        <w:gridCol w:w="90"/>
        <w:gridCol w:w="125"/>
        <w:gridCol w:w="695"/>
        <w:gridCol w:w="875"/>
      </w:tblGrid>
      <w:tr>
        <w:trPr/>
        <w:tc>
          <w:tcPr>
            <w:tcW w:w="10160" w:type="dxa"/>
            <w:gridSpan w:val="9"/>
            <w:tcBorders/>
            <w:shd w:fill="auto" w:val="clear"/>
            <w:vAlign w:val="center"/>
          </w:tcPr>
          <w:p>
            <w:pPr>
              <w:pStyle w:val="TableContents"/>
              <w:spacing w:before="0" w:after="283"/>
              <w:rPr>
                <w:sz w:val="4"/>
                <w:szCs w:val="4"/>
              </w:rPr>
            </w:pPr>
            <w:r>
              <w:rPr>
                <w:sz w:val="4"/>
                <w:szCs w:val="4"/>
              </w:rPr>
            </w:r>
          </w:p>
        </w:tc>
      </w:tr>
      <w:tr>
        <w:trPr/>
        <w:tc>
          <w:tcPr>
            <w:tcW w:w="7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6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95"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1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735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operating activities</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95" w:type="dxa"/>
            <w:gridSpan w:val="3"/>
            <w:tcBorders/>
            <w:shd w:fill="CCEEFF" w:val="clear"/>
            <w:vAlign w:val="center"/>
          </w:tcPr>
          <w:p>
            <w:pPr>
              <w:pStyle w:val="TableContents"/>
              <w:spacing w:before="0" w:after="0"/>
              <w:ind w:left="0" w:right="0" w:firstLine="3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158,506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165,190</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95" w:type="dxa"/>
            <w:gridSpan w:val="3"/>
            <w:tcBorders/>
            <w:shd w:fill="CCEEFF" w:val="clear"/>
            <w:vAlign w:val="center"/>
          </w:tcPr>
          <w:p>
            <w:pPr>
              <w:pStyle w:val="TableContents"/>
              <w:spacing w:before="0" w:after="0"/>
              <w:ind w:left="0" w:right="0" w:firstLine="42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53,701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55,284</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property, plant and equipment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567</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losses (gains),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538</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95" w:type="dxa"/>
            <w:gridSpan w:val="3"/>
            <w:tcBorders/>
            <w:shd w:fill="CCEEFF" w:val="clear"/>
            <w:vAlign w:val="center"/>
          </w:tcPr>
          <w:p>
            <w:pPr>
              <w:pStyle w:val="TableContents"/>
              <w:spacing w:before="0" w:after="0"/>
              <w:ind w:left="0" w:right="0" w:firstLine="42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receivable—third parties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1,284</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accounts receivable—Westlake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2,885</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(538</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260</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and other liabilities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(170</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w:t>
            </w:r>
          </w:p>
        </w:tc>
        <w:tc>
          <w:tcPr>
            <w:tcW w:w="87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213,672</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220,571</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investing activities</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95"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plant and equipment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(25,582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(16,620</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Maturities of investments with Westlake under the Investment Management Agreement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344,445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178,000</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with Westlake under the Investment Management Agreement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(336,445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(185,000</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investing activities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(17,536</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(23,369</w:t>
            </w:r>
          </w:p>
        </w:tc>
        <w:tc>
          <w:tcPr>
            <w:tcW w:w="8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financing activities</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95"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proceeds from private placement of common units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62,916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debt payable to Westlake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123,511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3,648</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Repayment of debt payable to Westlake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(201,445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noncontrolling interest retained in OpCo by Westlake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(153,766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(172,758</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(29,623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(26,617</w:t>
            </w:r>
          </w:p>
        </w:tc>
        <w:tc>
          <w:tcPr>
            <w:tcW w:w="87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financing activities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(198,407</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(195,727</w:t>
            </w:r>
          </w:p>
        </w:tc>
        <w:tc>
          <w:tcPr>
            <w:tcW w:w="8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cash and cash equivalents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1,475</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19,744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27,008</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17,473</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28,483</w:t>
            </w:r>
          </w:p>
        </w:tc>
        <w:tc>
          <w:tcPr>
            <w:tcW w:w="87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pPr>
      <w:hyperlink w:anchor="s0D5445E028A35494AA9A1154E3029470">
        <w:bookmarkStart w:id="15" w:name="sBB592508F9AD5B9BB11CDCC87BFB7B7F"/>
        <w:bookmarkEnd w:id="15"/>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CONSOLIDATED FINANCIAL STATEMENTS</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16" w:name="sE362D4B568375BD18BB9333360B7AD4B"/>
      <w:bookmarkEnd w:id="16"/>
      <w:r>
        <w:rPr>
          <w:b/>
          <w:sz w:val="17"/>
        </w:rPr>
        <w:t>1.</w:t>
      </w:r>
      <w:r>
        <w:rPr>
          <w:sz w:val="17"/>
        </w:rPr>
        <w:t xml:space="preserve"> </w:t>
      </w:r>
      <w:r>
        <w:rPr>
          <w:b/>
          <w:sz w:val="17"/>
        </w:rPr>
        <w:t>Description of Business and Basis of Presentation</w:t>
      </w:r>
      <w:r>
        <w:rPr>
          <w:sz w:val="17"/>
        </w:rPr>
        <w:t xml:space="preserve"> </w:t>
      </w:r>
    </w:p>
    <w:p>
      <w:pPr>
        <w:pStyle w:val="TextBody"/>
        <w:spacing w:lineRule="auto" w:line="288" w:before="0" w:after="0"/>
        <w:rPr>
          <w:rFonts w:ascii="inherit" w:hAnsi="inherit"/>
          <w:b/>
          <w:i/>
          <w:sz w:val="17"/>
        </w:rPr>
      </w:pPr>
      <w:r>
        <w:rPr>
          <w:rFonts w:ascii="inherit" w:hAnsi="inherit"/>
          <w:b/>
          <w:i/>
          <w:sz w:val="17"/>
        </w:rPr>
        <w:t>Description of Business</w:t>
      </w:r>
    </w:p>
    <w:p>
      <w:pPr>
        <w:pStyle w:val="TextBody"/>
        <w:spacing w:lineRule="auto" w:line="288" w:before="0" w:after="0"/>
        <w:ind w:left="0" w:right="0" w:firstLine="450"/>
        <w:jc w:val="left"/>
        <w:rPr>
          <w:sz w:val="17"/>
        </w:rPr>
      </w:pPr>
      <w:r>
        <w:rPr>
          <w:rFonts w:ascii="inherit" w:hAnsi="inherit"/>
          <w:sz w:val="17"/>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w:t>
      </w:r>
      <w:r>
        <w:rPr>
          <w:sz w:val="17"/>
        </w:rPr>
        <w:t xml:space="preserve"> </w:t>
      </w:r>
      <w:r>
        <w:rPr>
          <w:rFonts w:ascii="inherit" w:hAnsi="inherit"/>
          <w:sz w:val="17"/>
        </w:rPr>
        <w:t>common units representing limited partner interests. On September 29, 2017, the Partnership completed a secondary offering of 5,175,000</w:t>
      </w:r>
      <w:r>
        <w:rPr>
          <w:sz w:val="17"/>
        </w:rPr>
        <w:t xml:space="preserve"> </w:t>
      </w:r>
      <w:r>
        <w:rPr>
          <w:rFonts w:ascii="inherit" w:hAnsi="inherit"/>
          <w:sz w:val="17"/>
        </w:rPr>
        <w:t>common units at a price of $22.00</w:t>
      </w:r>
      <w:r>
        <w:rPr>
          <w:sz w:val="17"/>
        </w:rPr>
        <w:t xml:space="preserve"> </w:t>
      </w:r>
      <w:r>
        <w:rPr>
          <w:rFonts w:ascii="inherit" w:hAnsi="inherit"/>
          <w:sz w:val="17"/>
        </w:rPr>
        <w:t>per unit. On March 29, 2019, the Partnership completed the issuance and sale of 2,940,818</w:t>
      </w:r>
      <w:r>
        <w:rPr>
          <w:sz w:val="17"/>
        </w:rPr>
        <w:t xml:space="preserve"> </w:t>
      </w:r>
      <w:r>
        <w:rPr>
          <w:rFonts w:ascii="inherit" w:hAnsi="inherit"/>
          <w:sz w:val="17"/>
        </w:rPr>
        <w:t>common units at a price of $21.40</w:t>
      </w:r>
      <w:r>
        <w:rPr>
          <w:sz w:val="17"/>
        </w:rPr>
        <w:t xml:space="preserve"> </w:t>
      </w:r>
      <w:r>
        <w:rPr>
          <w:rFonts w:ascii="inherit" w:hAnsi="inherit"/>
          <w:sz w:val="17"/>
        </w:rPr>
        <w:t>per unit through a private placement. Net proceeds to Westlake Partners from the sale of the units were approximately $62,916.</w:t>
      </w:r>
    </w:p>
    <w:p>
      <w:pPr>
        <w:pStyle w:val="TextBody"/>
        <w:spacing w:lineRule="auto" w:line="288" w:before="0" w:after="0"/>
        <w:ind w:left="0" w:right="0" w:firstLine="450"/>
        <w:jc w:val="left"/>
        <w:rPr>
          <w:sz w:val="17"/>
        </w:rPr>
      </w:pPr>
      <w:r>
        <w:rPr>
          <w:rFonts w:ascii="inherit" w:hAnsi="inherit"/>
          <w:sz w:val="17"/>
        </w:rPr>
        <w:t>In connection with the IPO, the Partnership acquired a 10.6%</w:t>
      </w:r>
      <w:r>
        <w:rPr>
          <w:sz w:val="17"/>
        </w:rPr>
        <w:t xml:space="preserve"> </w:t>
      </w:r>
      <w:r>
        <w:rPr>
          <w:rFonts w:ascii="inherit" w:hAnsi="inherit"/>
          <w:sz w:val="17"/>
        </w:rPr>
        <w:t>interest in Westlake Chemical OpCo LP ("OpCo") and a 100%</w:t>
      </w:r>
      <w:r>
        <w:rPr>
          <w:sz w:val="17"/>
        </w:rPr>
        <w:t xml:space="preserve"> </w:t>
      </w:r>
      <w:r>
        <w:rPr>
          <w:rFonts w:ascii="inherit" w:hAnsi="inherit"/>
          <w:sz w:val="17"/>
        </w:rPr>
        <w:t>interest in Westlake Chemical OpCo GP LLC ("OpCo GP"), which is the general partner of OpCo. On April 29, 2015, the Partnership purchased an additional 2.7%</w:t>
      </w:r>
      <w:r>
        <w:rPr>
          <w:sz w:val="17"/>
        </w:rPr>
        <w:t xml:space="preserve"> </w:t>
      </w:r>
      <w:r>
        <w:rPr>
          <w:rFonts w:ascii="inherit" w:hAnsi="inherit"/>
          <w:sz w:val="17"/>
        </w:rPr>
        <w:t>newly-issued limited partner interest in OpCo for approximately $135,341, resulting in an aggregate 13.3%</w:t>
      </w:r>
      <w:r>
        <w:rPr>
          <w:sz w:val="17"/>
        </w:rPr>
        <w:t xml:space="preserve"> </w:t>
      </w:r>
      <w:r>
        <w:rPr>
          <w:rFonts w:ascii="inherit" w:hAnsi="inherit"/>
          <w:sz w:val="17"/>
        </w:rPr>
        <w:t>limited partner interest in OpCo, effective April 1, 2015. On September 29, 2017, the Partnership purchased an additional 5.0%</w:t>
      </w:r>
      <w:r>
        <w:rPr>
          <w:sz w:val="17"/>
        </w:rPr>
        <w:t xml:space="preserve"> </w:t>
      </w:r>
      <w:r>
        <w:rPr>
          <w:rFonts w:ascii="inherit" w:hAnsi="inherit"/>
          <w:sz w:val="17"/>
        </w:rPr>
        <w:t>newly-issued limited partner interest in OpCo for approximately $229,207, resulting in an aggregate 18.3%</w:t>
      </w:r>
      <w:r>
        <w:rPr>
          <w:sz w:val="17"/>
        </w:rPr>
        <w:t xml:space="preserve"> </w:t>
      </w:r>
      <w:r>
        <w:rPr>
          <w:rFonts w:ascii="inherit" w:hAnsi="inherit"/>
          <w:sz w:val="17"/>
        </w:rPr>
        <w:t>limited partner interest in OpCo, effective as of July 1, 2017. On March 29, 2019, the Partnership purchased an additional 4.5%</w:t>
      </w:r>
      <w:r>
        <w:rPr>
          <w:sz w:val="17"/>
        </w:rPr>
        <w:t xml:space="preserve"> </w:t>
      </w:r>
      <w:r>
        <w:rPr>
          <w:rFonts w:ascii="inherit" w:hAnsi="inherit"/>
          <w:sz w:val="17"/>
        </w:rPr>
        <w:t>newly-issued limited partner interest in OpCo for approximately $201,445, resulting in an aggregate 22.8%</w:t>
      </w:r>
      <w:r>
        <w:rPr>
          <w:sz w:val="17"/>
        </w:rPr>
        <w:t xml:space="preserve"> </w:t>
      </w:r>
      <w:r>
        <w:rPr>
          <w:rFonts w:ascii="inherit" w:hAnsi="inherit"/>
          <w:sz w:val="17"/>
        </w:rPr>
        <w:t>limited partner interest in OpCo, effective January 1, 2019. The remaining 77.2%</w:t>
      </w:r>
      <w:r>
        <w:rPr>
          <w:sz w:val="17"/>
        </w:rPr>
        <w:t xml:space="preserve"> </w:t>
      </w:r>
      <w:r>
        <w:rPr>
          <w:rFonts w:ascii="inherit" w:hAnsi="inherit"/>
          <w:sz w:val="17"/>
        </w:rPr>
        <w:t>limited partner interest in OpCo is owned by Westlake Chemical Corporation.</w:t>
      </w:r>
    </w:p>
    <w:p>
      <w:pPr>
        <w:pStyle w:val="TextBody"/>
        <w:spacing w:lineRule="auto" w:line="288" w:before="0" w:after="0"/>
        <w:ind w:left="0" w:right="0" w:firstLine="450"/>
        <w:jc w:val="left"/>
        <w:rPr>
          <w:sz w:val="17"/>
        </w:rPr>
      </w:pPr>
      <w:r>
        <w:rPr>
          <w:rFonts w:ascii="inherit" w:hAnsi="inherit"/>
          <w:sz w:val="17"/>
        </w:rPr>
        <w:t>OpCo owns three</w:t>
      </w:r>
      <w:r>
        <w:rPr>
          <w:sz w:val="17"/>
        </w:rPr>
        <w:t xml:space="preserve"> </w:t>
      </w:r>
      <w:r>
        <w:rPr>
          <w:rFonts w:ascii="inherit" w:hAnsi="inherit"/>
          <w:sz w:val="17"/>
        </w:rPr>
        <w:t>ethylene production facilities and a</w:t>
      </w:r>
      <w:r>
        <w:rPr>
          <w:sz w:val="17"/>
        </w:rPr>
        <w:t xml:space="preserve"> </w:t>
      </w:r>
      <w:r>
        <w:rPr>
          <w:rFonts w:ascii="inherit" w:hAnsi="inherit"/>
          <w:sz w:val="17"/>
        </w:rPr>
        <w:t>common carrier ethylene pipeline.</w:t>
      </w:r>
    </w:p>
    <w:p>
      <w:pPr>
        <w:pStyle w:val="TextBody"/>
        <w:spacing w:lineRule="auto" w:line="288" w:before="0" w:after="0"/>
        <w:jc w:val="left"/>
        <w:rPr>
          <w:rFonts w:ascii="inherit" w:hAnsi="inherit"/>
          <w:b/>
          <w:i/>
          <w:sz w:val="17"/>
        </w:rPr>
      </w:pPr>
      <w:r>
        <w:rPr>
          <w:rFonts w:ascii="inherit" w:hAnsi="inherit"/>
          <w:b/>
          <w:i/>
          <w:sz w:val="17"/>
        </w:rPr>
        <w:t>Basis of Presentation</w:t>
      </w:r>
    </w:p>
    <w:p>
      <w:pPr>
        <w:pStyle w:val="TextBody"/>
        <w:spacing w:lineRule="auto" w:line="288" w:before="0" w:after="0"/>
        <w:ind w:left="0" w:right="0" w:firstLine="435"/>
        <w:jc w:val="left"/>
        <w:rPr>
          <w:sz w:val="17"/>
        </w:rPr>
      </w:pPr>
      <w:r>
        <w:rPr>
          <w:rFonts w:ascii="inherit" w:hAnsi="inherit"/>
          <w:sz w:val="17"/>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2018</w:t>
      </w:r>
      <w:r>
        <w:rPr>
          <w:sz w:val="17"/>
        </w:rPr>
        <w:t xml:space="preserve"> </w:t>
      </w:r>
      <w:r>
        <w:rPr>
          <w:rFonts w:ascii="inherit" w:hAnsi="inherit"/>
          <w:sz w:val="17"/>
        </w:rPr>
        <w:t>(the "2018</w:t>
      </w:r>
      <w:r>
        <w:rPr>
          <w:sz w:val="17"/>
        </w:rPr>
        <w:t xml:space="preserve"> </w:t>
      </w:r>
      <w:r>
        <w:rPr>
          <w:rFonts w:ascii="inherit" w:hAnsi="inherit"/>
          <w:sz w:val="17"/>
        </w:rPr>
        <w:t>Form 10-K"), filed with the SEC on March 1, 2019. These financial statements have been prepared in conformity with the accounting principles and practices as disclosed in the notes to the consolidated financial statements of the Partnership for the fiscal year ended December 31, 2018</w:t>
      </w:r>
      <w:r>
        <w:rPr>
          <w:sz w:val="17"/>
        </w:rPr>
        <w:t xml:space="preserve"> </w:t>
      </w:r>
      <w:r>
        <w:rPr>
          <w:rFonts w:ascii="inherit" w:hAnsi="inherit"/>
          <w:sz w:val="17"/>
        </w:rPr>
        <w:t>with the exceptions of those accounting standards adopted in 2019 as discussed in Note 1.</w:t>
      </w:r>
    </w:p>
    <w:p>
      <w:pPr>
        <w:pStyle w:val="TextBody"/>
        <w:spacing w:lineRule="auto" w:line="288" w:before="0" w:after="0"/>
        <w:ind w:left="0" w:right="0" w:firstLine="450"/>
        <w:jc w:val="left"/>
        <w:rPr>
          <w:rFonts w:ascii="inherit" w:hAnsi="inherit"/>
          <w:sz w:val="17"/>
        </w:rPr>
      </w:pPr>
      <w:r>
        <w:rPr>
          <w:rFonts w:ascii="inherit" w:hAnsi="inherit"/>
          <w:sz w:val="17"/>
        </w:rPr>
        <w:t>References to "Westlake" refer collectively to Westlake Chemical Corporation and its subsidiaries, other than the Partnership, OpCo and OpCo GP.</w:t>
      </w:r>
    </w:p>
    <w:p>
      <w:pPr>
        <w:pStyle w:val="TextBody"/>
        <w:spacing w:lineRule="auto" w:line="288" w:before="0" w:after="0"/>
        <w:ind w:left="0" w:right="0" w:firstLine="435"/>
        <w:jc w:val="left"/>
        <w:rPr>
          <w:sz w:val="17"/>
        </w:rPr>
      </w:pPr>
      <w:r>
        <w:rPr>
          <w:rFonts w:ascii="inherit" w:hAnsi="inherit"/>
          <w:sz w:val="17"/>
        </w:rPr>
        <w:t>The Partnership holds a 22.8%</w:t>
      </w:r>
      <w:r>
        <w:rPr>
          <w:sz w:val="17"/>
        </w:rPr>
        <w:t xml:space="preserve"> </w:t>
      </w:r>
      <w:r>
        <w:rPr>
          <w:rFonts w:ascii="inherit" w:hAnsi="inherit"/>
          <w:sz w:val="17"/>
        </w:rPr>
        <w:t>limited partner interest and the entire non-economic general partner interest in OpCo. The remaining 77.2%</w:t>
      </w:r>
      <w:r>
        <w:rPr>
          <w:sz w:val="17"/>
        </w:rPr>
        <w:t xml:space="preserve"> </w:t>
      </w:r>
      <w:r>
        <w:rPr>
          <w:rFonts w:ascii="inherit" w:hAnsi="inherit"/>
          <w:sz w:val="17"/>
        </w:rPr>
        <w:t>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w:t>
      </w:r>
      <w:r>
        <w:rPr>
          <w:sz w:val="17"/>
        </w:rPr>
        <w:t xml:space="preserve"> </w:t>
      </w:r>
      <w:r>
        <w:rPr>
          <w:rFonts w:ascii="inherit" w:hAnsi="inherit"/>
          <w:sz w:val="17"/>
        </w:rPr>
        <w:t>is recorded as noncontrolling interest in the Partnership's consolidated financial statements.</w:t>
      </w:r>
    </w:p>
    <w:p>
      <w:pPr>
        <w:pStyle w:val="TextBody"/>
        <w:spacing w:lineRule="auto" w:line="288" w:before="0" w:after="0"/>
        <w:ind w:left="0" w:right="0" w:firstLine="450"/>
        <w:jc w:val="left"/>
        <w:rPr>
          <w:sz w:val="17"/>
        </w:rPr>
      </w:pPr>
      <w:r>
        <w:rPr>
          <w:rFonts w:ascii="inherit" w:hAnsi="inherit"/>
          <w:sz w:val="17"/>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2019, its results of operations for the three and six months ended June 30, 2019</w:t>
      </w:r>
      <w:r>
        <w:rPr>
          <w:sz w:val="17"/>
        </w:rPr>
        <w:t xml:space="preserve"> </w:t>
      </w:r>
      <w:r>
        <w:rPr>
          <w:rFonts w:ascii="inherit" w:hAnsi="inherit"/>
          <w:sz w:val="17"/>
        </w:rPr>
        <w:t>and 2018</w:t>
      </w:r>
      <w:r>
        <w:rPr>
          <w:sz w:val="17"/>
        </w:rPr>
        <w:t xml:space="preserve"> </w:t>
      </w:r>
      <w:r>
        <w:rPr>
          <w:rFonts w:ascii="inherit" w:hAnsi="inherit"/>
          <w:sz w:val="17"/>
        </w:rPr>
        <w:t>and the changes in its cash position for the six months ended June 30, 2019 and 2018.</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Results of operations and changes in cash position for the interim periods presented are not necessarily indicative of the results that will be realized for the fiscal year ending December 31, 2019</w:t>
      </w:r>
      <w:r>
        <w:rPr>
          <w:sz w:val="17"/>
        </w:rPr>
        <w:t xml:space="preserve"> </w:t>
      </w:r>
      <w:r>
        <w:rPr>
          <w:rFonts w:ascii="inherit" w:hAnsi="inherit"/>
          <w:sz w:val="17"/>
        </w:rPr>
        <w:t>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pStyle w:val="TextBody"/>
        <w:spacing w:lineRule="auto" w:line="288" w:before="0" w:after="0"/>
        <w:rPr>
          <w:rFonts w:ascii="inherit" w:hAnsi="inherit"/>
          <w:b/>
          <w:i/>
          <w:sz w:val="17"/>
        </w:rPr>
      </w:pPr>
      <w:r>
        <w:rPr>
          <w:rFonts w:ascii="inherit" w:hAnsi="inherit"/>
          <w:b/>
          <w:i/>
          <w:sz w:val="17"/>
        </w:rPr>
        <w:t>Recent Accounting Pronouncements</w:t>
      </w:r>
    </w:p>
    <w:p>
      <w:pPr>
        <w:pStyle w:val="TextBody"/>
        <w:spacing w:lineRule="auto" w:line="288" w:before="0" w:after="0"/>
        <w:jc w:val="left"/>
        <w:rPr>
          <w:rFonts w:ascii="inherit" w:hAnsi="inherit"/>
          <w:i/>
          <w:sz w:val="17"/>
        </w:rPr>
      </w:pPr>
      <w:r>
        <w:rPr>
          <w:rFonts w:ascii="inherit" w:hAnsi="inherit"/>
          <w:i/>
          <w:sz w:val="17"/>
        </w:rPr>
        <w:t>Credit Losses (ASU No. 2016-13)</w:t>
      </w:r>
    </w:p>
    <w:p>
      <w:pPr>
        <w:pStyle w:val="TextBody"/>
        <w:spacing w:lineRule="auto" w:line="288" w:before="0" w:after="0"/>
        <w:ind w:left="0" w:right="0" w:firstLine="480"/>
        <w:jc w:val="left"/>
        <w:rPr>
          <w:rFonts w:ascii="inherit" w:hAnsi="inherit"/>
          <w:sz w:val="17"/>
        </w:rPr>
      </w:pPr>
      <w:r>
        <w:rPr>
          <w:rFonts w:ascii="inherit" w:hAnsi="inherit"/>
          <w:sz w:val="17"/>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pStyle w:val="TextBody"/>
        <w:spacing w:lineRule="auto" w:line="288" w:before="0" w:after="0"/>
        <w:jc w:val="left"/>
        <w:rPr>
          <w:rFonts w:ascii="inherit" w:hAnsi="inherit"/>
          <w:i/>
          <w:sz w:val="17"/>
        </w:rPr>
      </w:pPr>
      <w:r>
        <w:rPr>
          <w:rFonts w:ascii="inherit" w:hAnsi="inherit"/>
          <w:i/>
          <w:sz w:val="17"/>
        </w:rPr>
        <w:t>Fair Value Measurement (ASU No. 2018-13)</w:t>
      </w:r>
    </w:p>
    <w:p>
      <w:pPr>
        <w:pStyle w:val="TextBody"/>
        <w:spacing w:lineRule="auto" w:line="288" w:before="0" w:after="0"/>
        <w:ind w:left="0" w:right="0" w:firstLine="480"/>
        <w:jc w:val="left"/>
        <w:rPr>
          <w:rFonts w:ascii="inherit" w:hAnsi="inherit"/>
          <w:sz w:val="17"/>
        </w:rPr>
      </w:pPr>
      <w:r>
        <w:rPr>
          <w:rFonts w:ascii="inherit" w:hAnsi="inherit"/>
          <w:sz w:val="17"/>
        </w:rPr>
        <w:t>In August 2018, the FASB issued an accounting standards update to modify the disclosure requirements on fair value measurements. The amendments are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is in the process of evaluating the impact that the new accounting guidance will have on the Partnership's consolidated financial position, results of operations and cash flows.</w:t>
      </w:r>
    </w:p>
    <w:p>
      <w:pPr>
        <w:pStyle w:val="TextBody"/>
        <w:spacing w:lineRule="auto" w:line="288" w:before="0" w:after="0"/>
        <w:rPr>
          <w:rFonts w:ascii="inherit" w:hAnsi="inherit"/>
          <w:b/>
          <w:i/>
          <w:sz w:val="17"/>
        </w:rPr>
      </w:pPr>
      <w:r>
        <w:rPr>
          <w:rFonts w:ascii="inherit" w:hAnsi="inherit"/>
          <w:b/>
          <w:i/>
          <w:sz w:val="17"/>
        </w:rPr>
        <w:t>Recently Adopted Accounting Standards</w:t>
      </w:r>
    </w:p>
    <w:p>
      <w:pPr>
        <w:pStyle w:val="TextBody"/>
        <w:spacing w:lineRule="auto" w:line="288" w:before="0" w:after="0"/>
        <w:jc w:val="left"/>
        <w:rPr>
          <w:rFonts w:ascii="inherit" w:hAnsi="inherit"/>
          <w:i/>
          <w:sz w:val="17"/>
        </w:rPr>
      </w:pPr>
      <w:r>
        <w:rPr>
          <w:rFonts w:ascii="inherit" w:hAnsi="inherit"/>
          <w:i/>
          <w:sz w:val="17"/>
        </w:rPr>
        <w:t>Leases (ASU No. 2016-02)</w:t>
      </w:r>
    </w:p>
    <w:p>
      <w:pPr>
        <w:pStyle w:val="TextBody"/>
        <w:spacing w:lineRule="auto" w:line="288" w:before="0" w:after="0"/>
        <w:ind w:left="0" w:right="0" w:firstLine="480"/>
        <w:jc w:val="left"/>
        <w:rPr>
          <w:rFonts w:ascii="inherit" w:hAnsi="inherit"/>
          <w:sz w:val="17"/>
        </w:rPr>
      </w:pPr>
      <w:r>
        <w:rPr>
          <w:rFonts w:ascii="inherit" w:hAnsi="inherit"/>
          <w:sz w:val="17"/>
        </w:rPr>
        <w:t xml:space="preserve">In February 2016, the FASB issued an accounting standards update on lease accounting that supersedes the previously issued lease guidance. The new standard requires lessees to recognize assets and liabilities for all long-term operating leases. An asset is recognized for the right to use an underlying leased asset and a liability is recognized for the obligation to make payments over the lease term. The standard also requires expanded lease disclosures. The standard requires a modified retrospective adoption approach and allows for the election of certain transition expedients. </w:t>
      </w:r>
    </w:p>
    <w:p>
      <w:pPr>
        <w:pStyle w:val="TextBody"/>
        <w:spacing w:lineRule="auto" w:line="288" w:before="0" w:after="0"/>
        <w:ind w:left="0" w:right="0" w:firstLine="450"/>
        <w:jc w:val="left"/>
        <w:rPr>
          <w:rFonts w:ascii="inherit" w:hAnsi="inherit"/>
          <w:sz w:val="17"/>
        </w:rPr>
      </w:pPr>
      <w:r>
        <w:rPr>
          <w:rFonts w:ascii="inherit" w:hAnsi="inherit"/>
          <w:sz w:val="17"/>
        </w:rPr>
        <w:t>The Partnership adopted the standard effective January 1, 2019 using the optional transition method which allows entities to recognize a cumulative adjustment to the opening balance sheet in the period of adoption. The Partnership elected the package of optional transition expedients and was not required to reassess (1) whether any existing contracts are or contain leases, (2) classification of existing leases as operating or capital or (3) whether initial direct costs for existing leases qualify for capitalization under the new accounting standard. The Partnership did not elect the use of hindsight to determine the lease term when considering lease renewal or termination options. Adoption of the new standard did not have a material impact on the Partnership's consolidated financial position, results of operations and cash flows.</w:t>
      </w:r>
    </w:p>
    <w:p>
      <w:pPr>
        <w:pStyle w:val="TextBody"/>
        <w:spacing w:lineRule="auto" w:line="288" w:before="0" w:after="0"/>
        <w:rPr>
          <w:sz w:val="17"/>
        </w:rPr>
      </w:pPr>
      <w:bookmarkStart w:id="17" w:name="sBC67D499CC065C4B98C677652F35285F"/>
      <w:bookmarkEnd w:id="17"/>
      <w:r>
        <w:rPr>
          <w:b/>
          <w:sz w:val="17"/>
        </w:rPr>
        <w:t>2.</w:t>
      </w:r>
      <w:r>
        <w:rPr>
          <w:sz w:val="17"/>
        </w:rPr>
        <w:t xml:space="preserve"> </w:t>
      </w:r>
      <w:r>
        <w:rPr>
          <w:b/>
          <w:sz w:val="17"/>
        </w:rPr>
        <w:t>Accounts Receivable—Third Parties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Accounts receivable—third parties consist of the following:</w:t>
      </w:r>
    </w:p>
    <w:tbl>
      <w:tblPr>
        <w:tblW w:w="5423" w:type="dxa"/>
        <w:jc w:val="left"/>
        <w:tblInd w:w="0" w:type="dxa"/>
        <w:tblCellMar>
          <w:top w:w="0" w:type="dxa"/>
          <w:left w:w="0" w:type="dxa"/>
          <w:bottom w:w="0" w:type="dxa"/>
          <w:right w:w="0" w:type="dxa"/>
        </w:tblCellMar>
      </w:tblPr>
      <w:tblGrid>
        <w:gridCol w:w="3305"/>
        <w:gridCol w:w="90"/>
        <w:gridCol w:w="125"/>
        <w:gridCol w:w="590"/>
        <w:gridCol w:w="110"/>
        <w:gridCol w:w="90"/>
        <w:gridCol w:w="165"/>
        <w:gridCol w:w="782"/>
        <w:gridCol w:w="166"/>
      </w:tblGrid>
      <w:tr>
        <w:trPr/>
        <w:tc>
          <w:tcPr>
            <w:tcW w:w="5423" w:type="dxa"/>
            <w:gridSpan w:val="9"/>
            <w:tcBorders/>
            <w:shd w:fill="auto" w:val="clear"/>
            <w:vAlign w:val="center"/>
          </w:tcPr>
          <w:p>
            <w:pPr>
              <w:pStyle w:val="TableContents"/>
              <w:spacing w:before="0" w:after="283"/>
              <w:rPr>
                <w:sz w:val="4"/>
                <w:szCs w:val="4"/>
              </w:rPr>
            </w:pPr>
            <w:r>
              <w:rPr>
                <w:sz w:val="4"/>
                <w:szCs w:val="4"/>
              </w:rPr>
            </w:r>
          </w:p>
        </w:tc>
      </w:tr>
      <w:tr>
        <w:trPr/>
        <w:tc>
          <w:tcPr>
            <w:tcW w:w="33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customers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19,890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17,325</w:t>
            </w:r>
          </w:p>
        </w:tc>
        <w:tc>
          <w:tcPr>
            <w:tcW w:w="1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doubtful accounts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(921</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19,179</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16,404</w:t>
            </w:r>
          </w:p>
        </w:tc>
        <w:tc>
          <w:tcPr>
            <w:tcW w:w="1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20,435</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16,404</w:t>
            </w:r>
          </w:p>
        </w:tc>
        <w:tc>
          <w:tcPr>
            <w:tcW w:w="16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pPr>
      <w:hyperlink w:anchor="s0D5445E028A35494AA9A1154E3029470">
        <w:bookmarkStart w:id="18" w:name="s9A7B58F011A350A49E18E5240F06E3B2"/>
        <w:bookmarkEnd w:id="18"/>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sz w:val="17"/>
        </w:rPr>
      </w:pPr>
      <w:r>
        <w:rPr>
          <w:b/>
          <w:sz w:val="17"/>
        </w:rPr>
        <w:t>3.</w:t>
      </w:r>
      <w:r>
        <w:rPr>
          <w:sz w:val="17"/>
        </w:rPr>
        <w:t xml:space="preserve"> </w:t>
      </w:r>
      <w:r>
        <w:rPr>
          <w:b/>
          <w:sz w:val="17"/>
        </w:rPr>
        <w:t>Inventories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Inventories consist of the following:</w:t>
      </w:r>
    </w:p>
    <w:tbl>
      <w:tblPr>
        <w:tblW w:w="4857" w:type="dxa"/>
        <w:jc w:val="left"/>
        <w:tblInd w:w="0" w:type="dxa"/>
        <w:tblCellMar>
          <w:top w:w="0" w:type="dxa"/>
          <w:left w:w="0" w:type="dxa"/>
          <w:bottom w:w="0" w:type="dxa"/>
          <w:right w:w="0" w:type="dxa"/>
        </w:tblCellMar>
      </w:tblPr>
      <w:tblGrid>
        <w:gridCol w:w="3005"/>
        <w:gridCol w:w="30"/>
        <w:gridCol w:w="132"/>
        <w:gridCol w:w="515"/>
        <w:gridCol w:w="31"/>
        <w:gridCol w:w="30"/>
        <w:gridCol w:w="212"/>
        <w:gridCol w:w="825"/>
        <w:gridCol w:w="77"/>
      </w:tblGrid>
      <w:tr>
        <w:trPr/>
        <w:tc>
          <w:tcPr>
            <w:tcW w:w="4857" w:type="dxa"/>
            <w:gridSpan w:val="9"/>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Finished products</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3,587</w:t>
            </w:r>
          </w:p>
        </w:tc>
        <w:tc>
          <w:tcPr>
            <w:tcW w:w="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3,876</w:t>
            </w:r>
          </w:p>
        </w:tc>
        <w:tc>
          <w:tcPr>
            <w:tcW w:w="7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Feedstock, additives and chemicals</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442</w:t>
            </w:r>
          </w:p>
        </w:tc>
        <w:tc>
          <w:tcPr>
            <w:tcW w:w="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0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512</w:t>
            </w:r>
          </w:p>
        </w:tc>
        <w:tc>
          <w:tcPr>
            <w:tcW w:w="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4,029</w:t>
            </w:r>
          </w:p>
        </w:tc>
        <w:tc>
          <w:tcPr>
            <w:tcW w:w="3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4,388</w:t>
            </w:r>
          </w:p>
        </w:tc>
        <w:tc>
          <w:tcPr>
            <w:tcW w:w="7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19" w:name="sC94DF34F2859518B8C160FAB60DCC78C"/>
      <w:bookmarkEnd w:id="19"/>
      <w:r>
        <w:rPr>
          <w:b/>
          <w:sz w:val="17"/>
        </w:rPr>
        <w:t>4.</w:t>
      </w:r>
      <w:r>
        <w:rPr>
          <w:sz w:val="17"/>
        </w:rPr>
        <w:t xml:space="preserve"> </w:t>
      </w:r>
      <w:r>
        <w:rPr>
          <w:b/>
          <w:sz w:val="17"/>
        </w:rPr>
        <w:t>Property, Plant and Equipment</w:t>
      </w:r>
      <w:r>
        <w:rPr>
          <w:sz w:val="17"/>
        </w:rPr>
        <w:t xml:space="preserve"> </w:t>
      </w:r>
    </w:p>
    <w:p>
      <w:pPr>
        <w:pStyle w:val="TextBody"/>
        <w:spacing w:lineRule="auto" w:line="288" w:before="0" w:after="0"/>
        <w:ind w:left="0" w:right="0" w:firstLine="480"/>
        <w:rPr>
          <w:sz w:val="17"/>
        </w:rPr>
      </w:pPr>
      <w:r>
        <w:rPr>
          <w:rFonts w:ascii="inherit" w:hAnsi="inherit"/>
          <w:sz w:val="17"/>
        </w:rPr>
        <w:t>Depreciation expense on property, plant and equipment of $22,227</w:t>
      </w:r>
      <w:r>
        <w:rPr>
          <w:sz w:val="17"/>
        </w:rPr>
        <w:t xml:space="preserve"> </w:t>
      </w:r>
      <w:r>
        <w:rPr>
          <w:rFonts w:ascii="inherit" w:hAnsi="inherit"/>
          <w:sz w:val="17"/>
        </w:rPr>
        <w:t>and $22,044</w:t>
      </w:r>
      <w:r>
        <w:rPr>
          <w:sz w:val="17"/>
        </w:rPr>
        <w:t xml:space="preserve"> </w:t>
      </w:r>
      <w:r>
        <w:rPr>
          <w:rFonts w:ascii="inherit" w:hAnsi="inherit"/>
          <w:sz w:val="17"/>
        </w:rPr>
        <w:t>is included in cost of sales in the consolidated statements of operations for the three months ended June 30, 2019 and 2018, respectively. Depreciation expense on property, plant and equipment of $44,441</w:t>
      </w:r>
      <w:r>
        <w:rPr>
          <w:sz w:val="17"/>
        </w:rPr>
        <w:t xml:space="preserve"> </w:t>
      </w:r>
      <w:r>
        <w:rPr>
          <w:rFonts w:ascii="inherit" w:hAnsi="inherit"/>
          <w:sz w:val="17"/>
        </w:rPr>
        <w:t>and $44,201</w:t>
      </w:r>
      <w:r>
        <w:rPr>
          <w:sz w:val="17"/>
        </w:rPr>
        <w:t xml:space="preserve"> </w:t>
      </w:r>
      <w:r>
        <w:rPr>
          <w:rFonts w:ascii="inherit" w:hAnsi="inherit"/>
          <w:sz w:val="17"/>
        </w:rPr>
        <w:t>is included in cost of sales in the consolidated statements of operations for the six months ended June 30, 2019 and 2018, respectively.</w:t>
      </w:r>
    </w:p>
    <w:p>
      <w:pPr>
        <w:pStyle w:val="TextBody"/>
        <w:spacing w:lineRule="auto" w:line="288" w:before="0" w:after="0"/>
        <w:rPr>
          <w:sz w:val="17"/>
        </w:rPr>
      </w:pPr>
      <w:bookmarkStart w:id="20" w:name="sDCA78EF6B3745D1AAE844EAF1AA5D7FD"/>
      <w:bookmarkEnd w:id="20"/>
      <w:r>
        <w:rPr>
          <w:b/>
          <w:sz w:val="17"/>
        </w:rPr>
        <w:t>5.</w:t>
      </w:r>
      <w:r>
        <w:rPr>
          <w:sz w:val="17"/>
        </w:rPr>
        <w:t xml:space="preserve"> </w:t>
      </w:r>
      <w:r>
        <w:rPr>
          <w:b/>
          <w:sz w:val="17"/>
        </w:rPr>
        <w:t>Deferred Charges and Other Assets</w:t>
      </w:r>
      <w:r>
        <w:rPr>
          <w:sz w:val="17"/>
        </w:rPr>
        <w:t xml:space="preserve"> </w:t>
      </w:r>
    </w:p>
    <w:p>
      <w:pPr>
        <w:pStyle w:val="TextBody"/>
        <w:spacing w:lineRule="auto" w:line="288" w:before="0" w:after="0"/>
        <w:ind w:left="0" w:right="0" w:firstLine="480"/>
        <w:rPr>
          <w:sz w:val="17"/>
        </w:rPr>
      </w:pPr>
      <w:r>
        <w:rPr>
          <w:rFonts w:ascii="inherit" w:hAnsi="inherit"/>
          <w:sz w:val="17"/>
        </w:rPr>
        <w:t>Amortization expense on other assets of $4,630</w:t>
      </w:r>
      <w:r>
        <w:rPr>
          <w:sz w:val="17"/>
        </w:rPr>
        <w:t xml:space="preserve"> </w:t>
      </w:r>
      <w:r>
        <w:rPr>
          <w:rFonts w:ascii="inherit" w:hAnsi="inherit"/>
          <w:sz w:val="17"/>
        </w:rPr>
        <w:t>and $5,542</w:t>
      </w:r>
      <w:r>
        <w:rPr>
          <w:sz w:val="17"/>
        </w:rPr>
        <w:t xml:space="preserve"> </w:t>
      </w:r>
      <w:r>
        <w:rPr>
          <w:rFonts w:ascii="inherit" w:hAnsi="inherit"/>
          <w:sz w:val="17"/>
        </w:rPr>
        <w:t>is included in costs of sales in the consolidated statements of operations for the three months ended June 30, 2019 and 2018, respectively. Amortization expense on other assets of $9,260</w:t>
      </w:r>
      <w:r>
        <w:rPr>
          <w:sz w:val="17"/>
        </w:rPr>
        <w:t xml:space="preserve"> </w:t>
      </w:r>
      <w:r>
        <w:rPr>
          <w:rFonts w:ascii="inherit" w:hAnsi="inherit"/>
          <w:sz w:val="17"/>
        </w:rPr>
        <w:t>and $11,083</w:t>
      </w:r>
      <w:r>
        <w:rPr>
          <w:sz w:val="17"/>
        </w:rPr>
        <w:t xml:space="preserve"> </w:t>
      </w:r>
      <w:r>
        <w:rPr>
          <w:rFonts w:ascii="inherit" w:hAnsi="inherit"/>
          <w:sz w:val="17"/>
        </w:rPr>
        <w:t>is included in costs of sales in the consolidated statements of operations for the six months ended June 30, 2019 and 2018, respectively.</w:t>
      </w:r>
    </w:p>
    <w:p>
      <w:pPr>
        <w:pStyle w:val="TextBody"/>
        <w:spacing w:lineRule="auto" w:line="288" w:before="0" w:after="0"/>
        <w:rPr>
          <w:sz w:val="17"/>
        </w:rPr>
      </w:pPr>
      <w:bookmarkStart w:id="21" w:name="sA7D757147B9F5557AB0E3B32FC6B3EEB"/>
      <w:bookmarkEnd w:id="21"/>
      <w:r>
        <w:rPr>
          <w:b/>
          <w:sz w:val="17"/>
        </w:rPr>
        <w:t>6.</w:t>
      </w:r>
      <w:r>
        <w:rPr>
          <w:sz w:val="17"/>
        </w:rPr>
        <w:t xml:space="preserve"> </w:t>
      </w:r>
      <w:r>
        <w:rPr>
          <w:b/>
          <w:sz w:val="17"/>
        </w:rPr>
        <w:t>Distributions and Net Income Per Limited Partner Unit</w:t>
      </w:r>
      <w:r>
        <w:rPr>
          <w:sz w:val="17"/>
        </w:rPr>
        <w:t xml:space="preserve"> </w:t>
      </w:r>
    </w:p>
    <w:p>
      <w:pPr>
        <w:pStyle w:val="TextBody"/>
        <w:spacing w:lineRule="auto" w:line="288" w:before="0" w:after="0"/>
        <w:ind w:left="0" w:right="0" w:firstLine="435"/>
        <w:jc w:val="left"/>
        <w:rPr>
          <w:sz w:val="17"/>
        </w:rPr>
      </w:pPr>
      <w:r>
        <w:rPr>
          <w:rFonts w:ascii="inherit" w:hAnsi="inherit"/>
          <w:sz w:val="17"/>
        </w:rPr>
        <w:t>On July 31, 2019, the board of directors of Westlake Chemical Partners GP LLC ("Westlake GP"), the Partnership's general partner, declared a quarterly cash distribution for the three months ended June 30, 2019</w:t>
      </w:r>
      <w:r>
        <w:rPr>
          <w:sz w:val="17"/>
        </w:rPr>
        <w:t xml:space="preserve"> </w:t>
      </w:r>
      <w:r>
        <w:rPr>
          <w:rFonts w:ascii="inherit" w:hAnsi="inherit"/>
          <w:sz w:val="17"/>
        </w:rPr>
        <w:t>of $0.4579</w:t>
      </w:r>
      <w:r>
        <w:rPr>
          <w:sz w:val="17"/>
        </w:rPr>
        <w:t xml:space="preserve"> </w:t>
      </w:r>
      <w:r>
        <w:rPr>
          <w:rFonts w:ascii="inherit" w:hAnsi="inherit"/>
          <w:sz w:val="17"/>
        </w:rPr>
        <w:t>per unit. This distribution is payable on August 26, 2019</w:t>
      </w:r>
      <w:r>
        <w:rPr>
          <w:sz w:val="17"/>
        </w:rPr>
        <w:t xml:space="preserve"> </w:t>
      </w:r>
      <w:r>
        <w:rPr>
          <w:rFonts w:ascii="inherit" w:hAnsi="inherit"/>
          <w:sz w:val="17"/>
        </w:rPr>
        <w:t>to the unitholders of record as of August 12, 2019.</w:t>
      </w:r>
    </w:p>
    <w:p>
      <w:pPr>
        <w:pStyle w:val="TextBody"/>
        <w:spacing w:lineRule="auto" w:line="288" w:before="0" w:after="0"/>
        <w:ind w:left="0" w:right="0" w:firstLine="435"/>
        <w:jc w:val="left"/>
        <w:rPr>
          <w:rFonts w:ascii="inherit" w:hAnsi="inherit"/>
          <w:sz w:val="17"/>
        </w:rPr>
      </w:pPr>
      <w:r>
        <w:rPr>
          <w:rFonts w:ascii="inherit" w:hAnsi="inherit"/>
          <w:sz w:val="17"/>
        </w:rPr>
        <w:t>The distributions are declared subsequent to quarter end; therefore, the table below represents total distributions declared from earnings of the related periods pertaining to such distributions.</w:t>
      </w:r>
    </w:p>
    <w:tbl>
      <w:tblPr>
        <w:tblW w:w="10205" w:type="dxa"/>
        <w:jc w:val="left"/>
        <w:tblInd w:w="0" w:type="dxa"/>
        <w:tblCellMar>
          <w:top w:w="0" w:type="dxa"/>
          <w:left w:w="0" w:type="dxa"/>
          <w:bottom w:w="0" w:type="dxa"/>
          <w:right w:w="0" w:type="dxa"/>
        </w:tblCellMar>
      </w:tblPr>
      <w:tblGrid>
        <w:gridCol w:w="5786"/>
        <w:gridCol w:w="90"/>
        <w:gridCol w:w="155"/>
        <w:gridCol w:w="738"/>
        <w:gridCol w:w="136"/>
        <w:gridCol w:w="111"/>
        <w:gridCol w:w="155"/>
        <w:gridCol w:w="738"/>
        <w:gridCol w:w="136"/>
        <w:gridCol w:w="90"/>
        <w:gridCol w:w="125"/>
        <w:gridCol w:w="590"/>
        <w:gridCol w:w="110"/>
        <w:gridCol w:w="90"/>
        <w:gridCol w:w="125"/>
        <w:gridCol w:w="590"/>
        <w:gridCol w:w="440"/>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578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8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216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07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7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1" w:type="dxa"/>
            <w:tcBorders/>
            <w:shd w:fill="auto" w:val="clear"/>
            <w:vAlign w:val="center"/>
          </w:tcPr>
          <w:p>
            <w:pPr>
              <w:pStyle w:val="TableContents"/>
              <w:spacing w:before="0" w:after="0"/>
              <w:ind w:left="0" w:right="0" w:firstLine="30"/>
              <w:rPr/>
            </w:pPr>
            <w:r>
              <w:rPr/>
              <w:t> </w:t>
            </w:r>
          </w:p>
        </w:tc>
        <w:tc>
          <w:tcPr>
            <w:tcW w:w="102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15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7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3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13,733</w:t>
            </w:r>
          </w:p>
        </w:tc>
        <w:tc>
          <w:tcPr>
            <w:tcW w:w="1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3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12,757</w:t>
            </w:r>
          </w:p>
        </w:tc>
        <w:tc>
          <w:tcPr>
            <w:tcW w:w="1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28,688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25,052</w:t>
            </w:r>
          </w:p>
        </w:tc>
        <w:tc>
          <w:tcPr>
            <w:tcW w:w="4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auto" w:val="clear"/>
            <w:vAlign w:val="center"/>
          </w:tcPr>
          <w:p>
            <w:pPr>
              <w:pStyle w:val="TableContents"/>
              <w:spacing w:before="0" w:after="0"/>
              <w:ind w:left="0" w:right="0" w:firstLine="30"/>
              <w:rPr/>
            </w:pPr>
            <w:r>
              <w:rPr/>
              <w:t> </w:t>
            </w:r>
          </w:p>
        </w:tc>
        <w:tc>
          <w:tcPr>
            <w:tcW w:w="1029"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02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5" w:type="dxa"/>
            <w:gridSpan w:val="3"/>
            <w:tcBorders/>
            <w:shd w:fill="auto" w:val="clear"/>
            <w:vAlign w:val="center"/>
          </w:tcPr>
          <w:p>
            <w:pPr>
              <w:pStyle w:val="TableContents"/>
              <w:spacing w:before="0" w:after="0"/>
              <w:ind w:left="0" w:right="0" w:firstLine="420"/>
              <w:rPr/>
            </w:pPr>
            <w:r>
              <w:rPr/>
              <w:t> </w:t>
            </w:r>
          </w:p>
        </w:tc>
      </w:tr>
      <w:tr>
        <w:trPr/>
        <w:tc>
          <w:tcPr>
            <w:tcW w:w="57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Limited partners' distributions declared on common units</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16,113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13,179</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31,779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25,993</w:t>
            </w:r>
          </w:p>
        </w:tc>
        <w:tc>
          <w:tcPr>
            <w:tcW w:w="44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declared with respect to the incentive distribution rights</w:t>
            </w:r>
          </w:p>
        </w:tc>
        <w:tc>
          <w:tcPr>
            <w:tcW w:w="90" w:type="dxa"/>
            <w:tcBorders/>
            <w:shd w:fill="auto" w:val="clear"/>
            <w:vAlign w:val="center"/>
          </w:tcPr>
          <w:p>
            <w:pPr>
              <w:pStyle w:val="TableContents"/>
              <w:spacing w:before="0" w:after="0"/>
              <w:ind w:left="0" w:right="0" w:firstLine="30"/>
              <w:rPr/>
            </w:pPr>
            <w:r>
              <w:rPr/>
              <w:t> </w:t>
            </w:r>
          </w:p>
        </w:tc>
        <w:tc>
          <w:tcPr>
            <w:tcW w:w="89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9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733</w:t>
            </w:r>
          </w:p>
        </w:tc>
        <w:tc>
          <w:tcPr>
            <w:tcW w:w="4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(2,380</w:t>
            </w:r>
          </w:p>
        </w:tc>
        <w:tc>
          <w:tcPr>
            <w:tcW w:w="136"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(422</w:t>
            </w:r>
          </w:p>
        </w:tc>
        <w:tc>
          <w:tcPr>
            <w:tcW w:w="136"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(3,091</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(1,674</w:t>
            </w:r>
          </w:p>
        </w:tc>
        <w:tc>
          <w:tcPr>
            <w:tcW w:w="4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450"/>
        <w:rPr>
          <w:rFonts w:ascii="inherit" w:hAnsi="inherit"/>
          <w:sz w:val="17"/>
        </w:rPr>
      </w:pPr>
      <w:r>
        <w:rPr>
          <w:rFonts w:ascii="inherit" w:hAnsi="inherit"/>
          <w:sz w:val="17"/>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634"/>
        <w:gridCol w:w="1321"/>
        <w:gridCol w:w="156"/>
        <w:gridCol w:w="90"/>
        <w:gridCol w:w="166"/>
        <w:gridCol w:w="784"/>
        <w:gridCol w:w="878"/>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2019</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auto" w:val="clear"/>
            <w:vAlign w:val="center"/>
          </w:tcPr>
          <w:p>
            <w:pPr>
              <w:pStyle w:val="TableContents"/>
              <w:spacing w:before="0" w:after="0"/>
              <w:ind w:left="0" w:right="0" w:firstLine="30"/>
              <w:rPr/>
            </w:pPr>
            <w:r>
              <w:rPr/>
              <w:t> </w:t>
            </w:r>
          </w:p>
        </w:tc>
        <w:tc>
          <w:tcPr>
            <w:tcW w:w="3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auto" w:val="clear"/>
            <w:vAlign w:val="center"/>
          </w:tcPr>
          <w:p>
            <w:pPr>
              <w:pStyle w:val="TableContents"/>
              <w:spacing w:before="0" w:after="0"/>
              <w:jc w:val="right"/>
              <w:rPr>
                <w:rFonts w:ascii="inherit" w:hAnsi="inherit"/>
                <w:sz w:val="17"/>
              </w:rPr>
            </w:pPr>
            <w:r>
              <w:rPr>
                <w:rFonts w:ascii="inherit" w:hAnsi="inherit"/>
                <w:sz w:val="17"/>
              </w:rPr>
              <w:t>16,113</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rFonts w:ascii="inherit" w:hAnsi="inherit"/>
                <w:sz w:val="17"/>
              </w:rPr>
            </w:pPr>
            <w:r>
              <w:rPr>
                <w:rFonts w:ascii="inherit" w:hAnsi="inherit"/>
                <w:sz w:val="17"/>
              </w:rPr>
              <w:t>16,113</w:t>
            </w:r>
          </w:p>
        </w:tc>
        <w:tc>
          <w:tcPr>
            <w:tcW w:w="8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(2,380</w:t>
            </w:r>
          </w:p>
        </w:tc>
        <w:tc>
          <w:tcPr>
            <w:tcW w:w="3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(2,380</w:t>
            </w:r>
          </w:p>
        </w:tc>
        <w:tc>
          <w:tcPr>
            <w:tcW w:w="878"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13,733</w:t>
            </w:r>
          </w:p>
        </w:tc>
        <w:tc>
          <w:tcPr>
            <w:tcW w:w="3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13,733</w:t>
            </w:r>
          </w:p>
        </w:tc>
        <w:tc>
          <w:tcPr>
            <w:tcW w:w="8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35,188,189</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35,188,189</w:t>
            </w:r>
          </w:p>
        </w:tc>
        <w:tc>
          <w:tcPr>
            <w:tcW w:w="87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3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0.39</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634"/>
        <w:gridCol w:w="1321"/>
        <w:gridCol w:w="156"/>
        <w:gridCol w:w="90"/>
        <w:gridCol w:w="166"/>
        <w:gridCol w:w="784"/>
        <w:gridCol w:w="878"/>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2018</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1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2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top w:val="single" w:sz="2" w:space="0" w:color="000000"/>
            </w:tcBorders>
            <w:shd w:fill="CCEEFF" w:val="clear"/>
            <w:tcMar>
              <w:top w:w="30" w:type="dxa"/>
            </w:tcM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auto" w:val="clear"/>
            <w:vAlign w:val="center"/>
          </w:tcPr>
          <w:p>
            <w:pPr>
              <w:pStyle w:val="TableContents"/>
              <w:spacing w:before="0" w:after="0"/>
              <w:ind w:left="0" w:right="0" w:firstLine="30"/>
              <w:rPr/>
            </w:pPr>
            <w:r>
              <w:rPr/>
              <w:t> </w:t>
            </w:r>
          </w:p>
        </w:tc>
        <w:tc>
          <w:tcPr>
            <w:tcW w:w="3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auto" w:val="clear"/>
            <w:vAlign w:val="center"/>
          </w:tcPr>
          <w:p>
            <w:pPr>
              <w:pStyle w:val="TableContents"/>
              <w:spacing w:before="0" w:after="0"/>
              <w:jc w:val="right"/>
              <w:rPr>
                <w:rFonts w:ascii="inherit" w:hAnsi="inherit"/>
                <w:sz w:val="17"/>
              </w:rPr>
            </w:pPr>
            <w:r>
              <w:rPr>
                <w:rFonts w:ascii="inherit" w:hAnsi="inherit"/>
                <w:sz w:val="17"/>
              </w:rPr>
              <w:t>13,179</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rFonts w:ascii="inherit" w:hAnsi="inherit"/>
                <w:sz w:val="17"/>
              </w:rPr>
            </w:pPr>
            <w:r>
              <w:rPr>
                <w:rFonts w:ascii="inherit" w:hAnsi="inherit"/>
                <w:sz w:val="17"/>
              </w:rPr>
              <w:t>13,179</w:t>
            </w:r>
          </w:p>
        </w:tc>
        <w:tc>
          <w:tcPr>
            <w:tcW w:w="8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(422</w:t>
            </w:r>
          </w:p>
        </w:tc>
        <w:tc>
          <w:tcPr>
            <w:tcW w:w="3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(422</w:t>
            </w:r>
          </w:p>
        </w:tc>
        <w:tc>
          <w:tcPr>
            <w:tcW w:w="878"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12,757</w:t>
            </w:r>
          </w:p>
        </w:tc>
        <w:tc>
          <w:tcPr>
            <w:tcW w:w="3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12,757</w:t>
            </w:r>
          </w:p>
        </w:tc>
        <w:tc>
          <w:tcPr>
            <w:tcW w:w="8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32,237,266</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32,237,266</w:t>
            </w:r>
          </w:p>
        </w:tc>
        <w:tc>
          <w:tcPr>
            <w:tcW w:w="87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top w:val="double" w:sz="6" w:space="0" w:color="000000"/>
            </w:tcBorders>
            <w:shd w:fill="CCEEFF" w:val="clear"/>
            <w:tcMar>
              <w:top w:w="30" w:type="dxa"/>
            </w:tcM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3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0.40</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634"/>
        <w:gridCol w:w="1321"/>
        <w:gridCol w:w="156"/>
        <w:gridCol w:w="90"/>
        <w:gridCol w:w="166"/>
        <w:gridCol w:w="784"/>
        <w:gridCol w:w="878"/>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 2019</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CCEEFF" w:val="clear"/>
            <w:vAlign w:val="center"/>
          </w:tcPr>
          <w:p>
            <w:pPr>
              <w:pStyle w:val="TableContents"/>
              <w:spacing w:before="0" w:after="0"/>
              <w:ind w:left="0" w:right="0" w:firstLine="30"/>
              <w:rPr/>
            </w:pPr>
            <w:r>
              <w:rPr/>
              <w:t> </w:t>
            </w:r>
          </w:p>
        </w:tc>
        <w:tc>
          <w:tcPr>
            <w:tcW w:w="3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CCEEFF" w:val="clear"/>
            <w:vAlign w:val="center"/>
          </w:tcPr>
          <w:p>
            <w:pPr>
              <w:pStyle w:val="TableContents"/>
              <w:spacing w:before="0" w:after="0"/>
              <w:jc w:val="right"/>
              <w:rPr>
                <w:rFonts w:ascii="inherit" w:hAnsi="inherit"/>
                <w:sz w:val="17"/>
              </w:rPr>
            </w:pPr>
            <w:r>
              <w:rPr>
                <w:rFonts w:ascii="inherit" w:hAnsi="inherit"/>
                <w:sz w:val="17"/>
              </w:rPr>
              <w:t>31,779</w:t>
            </w:r>
          </w:p>
        </w:tc>
        <w:tc>
          <w:tcPr>
            <w:tcW w:w="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CCEEFF" w:val="clear"/>
            <w:vAlign w:val="center"/>
          </w:tcPr>
          <w:p>
            <w:pPr>
              <w:pStyle w:val="TableContents"/>
              <w:spacing w:before="0" w:after="0"/>
              <w:jc w:val="right"/>
              <w:rPr>
                <w:rFonts w:ascii="inherit" w:hAnsi="inherit"/>
                <w:sz w:val="17"/>
              </w:rPr>
            </w:pPr>
            <w:r>
              <w:rPr>
                <w:rFonts w:ascii="inherit" w:hAnsi="inherit"/>
                <w:sz w:val="17"/>
              </w:rPr>
              <w:t>31,779</w:t>
            </w:r>
          </w:p>
        </w:tc>
        <w:tc>
          <w:tcPr>
            <w:tcW w:w="87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(3,091</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55"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(3,091</w:t>
            </w:r>
          </w:p>
        </w:tc>
        <w:tc>
          <w:tcPr>
            <w:tcW w:w="87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CCEEFF"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28,688</w:t>
            </w:r>
          </w:p>
        </w:tc>
        <w:tc>
          <w:tcPr>
            <w:tcW w:w="32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28,688</w:t>
            </w:r>
          </w:p>
        </w:tc>
        <w:tc>
          <w:tcPr>
            <w:tcW w:w="8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33,774,647</w:t>
            </w:r>
          </w:p>
        </w:tc>
        <w:tc>
          <w:tcPr>
            <w:tcW w:w="3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33,774,647</w:t>
            </w:r>
          </w:p>
        </w:tc>
        <w:tc>
          <w:tcPr>
            <w:tcW w:w="87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CCEEFF" w:val="clear"/>
            <w:vAlign w:val="center"/>
          </w:tcPr>
          <w:p>
            <w:pPr>
              <w:pStyle w:val="TableContents"/>
              <w:spacing w:before="0" w:after="0"/>
              <w:ind w:left="0" w:right="0" w:firstLine="30"/>
              <w:rPr/>
            </w:pPr>
            <w:r>
              <w:rPr/>
              <w:t> </w:t>
            </w:r>
          </w:p>
        </w:tc>
        <w:tc>
          <w:tcPr>
            <w:tcW w:w="3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0.85</w:t>
            </w:r>
          </w:p>
        </w:tc>
        <w:tc>
          <w:tcPr>
            <w:tcW w:w="3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536"/>
        <w:gridCol w:w="1442"/>
        <w:gridCol w:w="132"/>
        <w:gridCol w:w="90"/>
        <w:gridCol w:w="166"/>
        <w:gridCol w:w="784"/>
        <w:gridCol w:w="879"/>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 2018</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shd w:fill="auto" w:val="clear"/>
            <w:vAlign w:val="center"/>
          </w:tcPr>
          <w:p>
            <w:pPr>
              <w:pStyle w:val="TableContents"/>
              <w:spacing w:before="0" w:after="0"/>
              <w:ind w:left="0" w:right="0" w:firstLine="30"/>
              <w:rPr/>
            </w:pPr>
            <w:r>
              <w:rPr/>
              <w:t> </w:t>
            </w:r>
          </w:p>
        </w:tc>
        <w:tc>
          <w:tcPr>
            <w:tcW w:w="18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9"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CCEEFF" w:val="clear"/>
            <w:vAlign w:val="center"/>
          </w:tcPr>
          <w:p>
            <w:pPr>
              <w:pStyle w:val="TableContents"/>
              <w:spacing w:before="0" w:after="0"/>
              <w:ind w:left="0" w:right="0" w:firstLine="30"/>
              <w:rPr/>
            </w:pPr>
            <w:r>
              <w:rPr/>
              <w:t> </w:t>
            </w:r>
          </w:p>
        </w:tc>
        <w:tc>
          <w:tcPr>
            <w:tcW w:w="3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CCEEFF" w:val="clear"/>
            <w:vAlign w:val="center"/>
          </w:tcPr>
          <w:p>
            <w:pPr>
              <w:pStyle w:val="TableContents"/>
              <w:spacing w:before="0" w:after="0"/>
              <w:jc w:val="right"/>
              <w:rPr>
                <w:rFonts w:ascii="inherit" w:hAnsi="inherit"/>
                <w:sz w:val="17"/>
              </w:rPr>
            </w:pPr>
            <w:r>
              <w:rPr>
                <w:rFonts w:ascii="inherit" w:hAnsi="inherit"/>
                <w:sz w:val="17"/>
              </w:rPr>
              <w:t>25,993</w:t>
            </w:r>
          </w:p>
        </w:tc>
        <w:tc>
          <w:tcPr>
            <w:tcW w:w="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733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CCEEFF" w:val="clear"/>
            <w:vAlign w:val="center"/>
          </w:tcPr>
          <w:p>
            <w:pPr>
              <w:pStyle w:val="TableContents"/>
              <w:spacing w:before="0" w:after="0"/>
              <w:jc w:val="right"/>
              <w:rPr>
                <w:rFonts w:ascii="inherit" w:hAnsi="inherit"/>
                <w:sz w:val="17"/>
              </w:rPr>
            </w:pPr>
            <w:r>
              <w:rPr>
                <w:rFonts w:ascii="inherit" w:hAnsi="inherit"/>
                <w:sz w:val="17"/>
              </w:rPr>
              <w:t>26,726</w:t>
            </w:r>
          </w:p>
        </w:tc>
        <w:tc>
          <w:tcPr>
            <w:tcW w:w="87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(1,674</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78"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(1,674</w:t>
            </w:r>
          </w:p>
        </w:tc>
        <w:tc>
          <w:tcPr>
            <w:tcW w:w="87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CCEEFF"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24,319</w:t>
            </w:r>
          </w:p>
        </w:tc>
        <w:tc>
          <w:tcPr>
            <w:tcW w:w="32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733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25,052</w:t>
            </w:r>
          </w:p>
        </w:tc>
        <w:tc>
          <w:tcPr>
            <w:tcW w:w="87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9"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32,236,860</w:t>
            </w:r>
          </w:p>
        </w:tc>
        <w:tc>
          <w:tcPr>
            <w:tcW w:w="3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32,236,860</w:t>
            </w:r>
          </w:p>
        </w:tc>
        <w:tc>
          <w:tcPr>
            <w:tcW w:w="87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9" w:type="dxa"/>
            <w:gridSpan w:val="3"/>
            <w:tcBorders/>
            <w:shd w:fill="auto" w:val="clear"/>
            <w:vAlign w:val="center"/>
          </w:tcPr>
          <w:p>
            <w:pPr>
              <w:pStyle w:val="TableContents"/>
              <w:spacing w:before="0" w:after="0"/>
              <w:ind w:left="0" w:right="0" w:firstLine="420"/>
              <w:rPr/>
            </w:pPr>
            <w:r>
              <w:rPr/>
              <w:t> </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CCEEFF" w:val="clear"/>
            <w:vAlign w:val="center"/>
          </w:tcPr>
          <w:p>
            <w:pPr>
              <w:pStyle w:val="TableContents"/>
              <w:spacing w:before="0" w:after="0"/>
              <w:ind w:left="0" w:right="0" w:firstLine="30"/>
              <w:rPr/>
            </w:pPr>
            <w:r>
              <w:rPr/>
              <w:t> </w:t>
            </w:r>
          </w:p>
        </w:tc>
        <w:tc>
          <w:tcPr>
            <w:tcW w:w="3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0.75</w:t>
            </w:r>
          </w:p>
        </w:tc>
        <w:tc>
          <w:tcPr>
            <w:tcW w:w="3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9" w:type="dxa"/>
            <w:gridSpan w:val="3"/>
            <w:tcBorders/>
            <w:shd w:fill="CCEEFF" w:val="clear"/>
            <w:vAlign w:val="center"/>
          </w:tcPr>
          <w:p>
            <w:pPr>
              <w:pStyle w:val="TableContents"/>
              <w:spacing w:before="0" w:after="0"/>
              <w:rPr/>
            </w:pPr>
            <w:r>
              <w:rPr/>
              <w:t> </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ind w:left="0" w:right="0" w:firstLine="450"/>
        <w:rPr>
          <w:sz w:val="17"/>
        </w:rPr>
      </w:pPr>
      <w:r>
        <w:rPr>
          <w:rFonts w:ascii="inherit" w:hAnsi="inherit"/>
          <w:sz w:val="17"/>
        </w:rPr>
        <w:t>The amended Partnership Agreement provides that the Partnership will distribute cash each quarter to all the unitholders, pro rata, until each unit has received a distribution of $1.2938. If cash distributions to the Partnership's unitholders exceed $1.2938</w:t>
      </w:r>
      <w:r>
        <w:rPr>
          <w:sz w:val="17"/>
        </w:rPr>
        <w:t xml:space="preserve"> </w:t>
      </w:r>
      <w:r>
        <w:rPr>
          <w:rFonts w:ascii="inherit" w:hAnsi="inherit"/>
          <w:sz w:val="17"/>
        </w:rPr>
        <w:t>per unit in any quarter, the Partnership's unitholders and Westlake, as the holder of the Partnership's incentive distribution rights, will receive distributions according to the following percentage allocations:</w:t>
      </w:r>
    </w:p>
    <w:tbl>
      <w:tblPr>
        <w:tblW w:w="6187" w:type="dxa"/>
        <w:jc w:val="left"/>
        <w:tblInd w:w="0" w:type="dxa"/>
        <w:tblCellMar>
          <w:top w:w="0" w:type="dxa"/>
          <w:left w:w="0" w:type="dxa"/>
          <w:bottom w:w="0" w:type="dxa"/>
          <w:right w:w="0" w:type="dxa"/>
        </w:tblCellMar>
      </w:tblPr>
      <w:tblGrid>
        <w:gridCol w:w="2735"/>
        <w:gridCol w:w="90"/>
        <w:gridCol w:w="1010"/>
        <w:gridCol w:w="532"/>
        <w:gridCol w:w="239"/>
        <w:gridCol w:w="1010"/>
        <w:gridCol w:w="571"/>
      </w:tblGrid>
      <w:tr>
        <w:trPr/>
        <w:tc>
          <w:tcPr>
            <w:tcW w:w="6187" w:type="dxa"/>
            <w:gridSpan w:val="7"/>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62" w:type="dxa"/>
            <w:gridSpan w:val="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Marginal Percentage Interest in Distributions</w:t>
            </w:r>
          </w:p>
        </w:tc>
      </w:tr>
      <w:tr>
        <w:trPr/>
        <w:tc>
          <w:tcPr>
            <w:tcW w:w="27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Total Quarterly Distribution Per Unit</w:t>
            </w:r>
          </w:p>
        </w:tc>
        <w:tc>
          <w:tcPr>
            <w:tcW w:w="90" w:type="dxa"/>
            <w:tcBorders/>
            <w:shd w:fill="auto" w:val="clear"/>
            <w:vAlign w:val="center"/>
          </w:tcPr>
          <w:p>
            <w:pPr>
              <w:pStyle w:val="TableContents"/>
              <w:spacing w:before="0" w:after="0"/>
              <w:ind w:left="0" w:right="0" w:firstLine="30"/>
              <w:rPr/>
            </w:pPr>
            <w:r>
              <w:rPr/>
              <w:t> </w:t>
            </w:r>
          </w:p>
        </w:tc>
        <w:tc>
          <w:tcPr>
            <w:tcW w:w="154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23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8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IDR Holders</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Above $1.2938 up to $1.4063</w:t>
            </w:r>
          </w:p>
        </w:tc>
        <w:tc>
          <w:tcPr>
            <w:tcW w:w="90" w:type="dxa"/>
            <w:tcBorders/>
            <w:shd w:fill="CCEEFF" w:val="clear"/>
            <w:vAlign w:val="center"/>
          </w:tcPr>
          <w:p>
            <w:pPr>
              <w:pStyle w:val="TableContents"/>
              <w:spacing w:before="0" w:after="0"/>
              <w:ind w:left="0" w:right="0" w:firstLine="30"/>
              <w:rPr/>
            </w:pPr>
            <w:r>
              <w:rPr/>
              <w:t> </w:t>
            </w:r>
          </w:p>
        </w:tc>
        <w:tc>
          <w:tcPr>
            <w:tcW w:w="10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85.0</w:t>
            </w:r>
          </w:p>
        </w:tc>
        <w:tc>
          <w:tcPr>
            <w:tcW w:w="5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CCEEFF" w:val="clear"/>
            <w:vAlign w:val="center"/>
          </w:tcPr>
          <w:p>
            <w:pPr>
              <w:pStyle w:val="TableContents"/>
              <w:spacing w:before="0" w:after="0"/>
              <w:ind w:left="0" w:right="0" w:firstLine="30"/>
              <w:rPr/>
            </w:pPr>
            <w:r>
              <w:rPr/>
              <w:t> </w:t>
            </w:r>
          </w:p>
        </w:tc>
        <w:tc>
          <w:tcPr>
            <w:tcW w:w="10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15.0</w:t>
            </w:r>
          </w:p>
        </w:tc>
        <w:tc>
          <w:tcPr>
            <w:tcW w:w="57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Above $1.4063 up to $1.6875</w:t>
            </w:r>
          </w:p>
        </w:tc>
        <w:tc>
          <w:tcPr>
            <w:tcW w:w="90"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5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jc w:val="right"/>
              <w:rPr>
                <w:rFonts w:ascii="inherit" w:hAnsi="inherit"/>
                <w:sz w:val="17"/>
              </w:rPr>
            </w:pPr>
            <w:r>
              <w:rPr>
                <w:rFonts w:ascii="inherit" w:hAnsi="inherit"/>
                <w:sz w:val="17"/>
              </w:rPr>
              <w:t>25.0</w:t>
            </w:r>
          </w:p>
        </w:tc>
        <w:tc>
          <w:tcPr>
            <w:tcW w:w="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Above $1.6875</w:t>
            </w:r>
          </w:p>
        </w:tc>
        <w:tc>
          <w:tcPr>
            <w:tcW w:w="90" w:type="dxa"/>
            <w:tcBorders/>
            <w:shd w:fill="CCEEFF" w:val="clear"/>
            <w:vAlign w:val="center"/>
          </w:tcPr>
          <w:p>
            <w:pPr>
              <w:pStyle w:val="TableContents"/>
              <w:spacing w:before="0" w:after="0"/>
              <w:ind w:left="0" w:right="0" w:firstLine="30"/>
              <w:rPr/>
            </w:pPr>
            <w:r>
              <w:rPr/>
              <w:t> </w:t>
            </w:r>
          </w:p>
        </w:tc>
        <w:tc>
          <w:tcPr>
            <w:tcW w:w="1010" w:type="dxa"/>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5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CCEEFF" w:val="clear"/>
            <w:vAlign w:val="center"/>
          </w:tcPr>
          <w:p>
            <w:pPr>
              <w:pStyle w:val="TableContents"/>
              <w:spacing w:before="0" w:after="0"/>
              <w:ind w:left="0" w:right="0" w:firstLine="30"/>
              <w:rPr/>
            </w:pPr>
            <w:r>
              <w:rPr/>
              <w:t> </w:t>
            </w:r>
          </w:p>
        </w:tc>
        <w:tc>
          <w:tcPr>
            <w:tcW w:w="1010" w:type="dxa"/>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5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450"/>
        <w:rPr>
          <w:sz w:val="17"/>
        </w:rPr>
      </w:pPr>
      <w:r>
        <w:rPr>
          <w:rFonts w:ascii="inherit" w:hAnsi="inherit"/>
          <w:sz w:val="17"/>
        </w:rPr>
        <w:t>The Partnership's distribution for the three months ended June 30, 2019</w:t>
      </w:r>
      <w:r>
        <w:rPr>
          <w:sz w:val="17"/>
        </w:rPr>
        <w:t xml:space="preserve"> </w:t>
      </w:r>
      <w:r>
        <w:rPr>
          <w:rFonts w:ascii="inherit" w:hAnsi="inherit"/>
          <w:sz w:val="17"/>
        </w:rPr>
        <w:t>did not exceed the $1.2938</w:t>
      </w:r>
      <w:r>
        <w:rPr>
          <w:sz w:val="17"/>
        </w:rPr>
        <w:t xml:space="preserve"> </w:t>
      </w:r>
      <w:r>
        <w:rPr>
          <w:rFonts w:ascii="inherit" w:hAnsi="inherit"/>
          <w:sz w:val="17"/>
        </w:rPr>
        <w:t>per unit threshold, and, as a result, no distribution was made with respect to the Partnership's incentive distribution rights to Westlake, as the holder of the Partnership's incentive distribution rights.</w:t>
      </w:r>
    </w:p>
    <w:p>
      <w:pPr>
        <w:pStyle w:val="TextBody"/>
        <w:spacing w:lineRule="auto" w:line="288" w:before="0" w:after="0"/>
        <w:jc w:val="left"/>
        <w:rPr>
          <w:rFonts w:ascii="inherit" w:hAnsi="inherit"/>
          <w:b/>
          <w:i/>
          <w:sz w:val="17"/>
        </w:rPr>
      </w:pPr>
      <w:r>
        <w:rPr>
          <w:rFonts w:ascii="inherit" w:hAnsi="inherit"/>
          <w:b/>
          <w:i/>
          <w:sz w:val="17"/>
        </w:rPr>
        <w:t xml:space="preserve">Distribution Per Common Unit </w:t>
      </w:r>
    </w:p>
    <w:p>
      <w:pPr>
        <w:pStyle w:val="TextBody"/>
        <w:spacing w:lineRule="auto" w:line="288" w:before="0" w:after="0"/>
        <w:ind w:left="0" w:right="0" w:firstLine="450"/>
        <w:jc w:val="left"/>
        <w:rPr>
          <w:sz w:val="17"/>
        </w:rPr>
      </w:pPr>
      <w:r>
        <w:rPr>
          <w:rFonts w:ascii="inherit" w:hAnsi="inherit"/>
          <w:sz w:val="17"/>
        </w:rPr>
        <w:t>Distributions per common unit for the three and six months ended June 30, 2019</w:t>
      </w:r>
      <w:r>
        <w:rPr>
          <w:sz w:val="17"/>
        </w:rPr>
        <w:t xml:space="preserve"> </w:t>
      </w:r>
      <w:r>
        <w:rPr>
          <w:rFonts w:ascii="inherit" w:hAnsi="inherit"/>
          <w:sz w:val="17"/>
        </w:rPr>
        <w:t>and 2018</w:t>
      </w:r>
      <w:r>
        <w:rPr>
          <w:sz w:val="17"/>
        </w:rPr>
        <w:t xml:space="preserve"> </w:t>
      </w:r>
      <w:r>
        <w:rPr>
          <w:rFonts w:ascii="inherit" w:hAnsi="inherit"/>
          <w:sz w:val="17"/>
        </w:rPr>
        <w:t xml:space="preserve">were as follows: </w:t>
      </w:r>
    </w:p>
    <w:tbl>
      <w:tblPr>
        <w:tblW w:w="6938" w:type="dxa"/>
        <w:jc w:val="center"/>
        <w:tblInd w:w="0" w:type="dxa"/>
        <w:tblCellMar>
          <w:top w:w="0" w:type="dxa"/>
          <w:left w:w="0" w:type="dxa"/>
          <w:bottom w:w="0" w:type="dxa"/>
          <w:right w:w="0" w:type="dxa"/>
        </w:tblCellMar>
      </w:tblPr>
      <w:tblGrid>
        <w:gridCol w:w="2585"/>
        <w:gridCol w:w="90"/>
        <w:gridCol w:w="172"/>
        <w:gridCol w:w="814"/>
        <w:gridCol w:w="41"/>
        <w:gridCol w:w="124"/>
        <w:gridCol w:w="172"/>
        <w:gridCol w:w="814"/>
        <w:gridCol w:w="41"/>
        <w:gridCol w:w="90"/>
        <w:gridCol w:w="156"/>
        <w:gridCol w:w="739"/>
        <w:gridCol w:w="37"/>
        <w:gridCol w:w="112"/>
        <w:gridCol w:w="156"/>
        <w:gridCol w:w="739"/>
        <w:gridCol w:w="56"/>
      </w:tblGrid>
      <w:tr>
        <w:trPr/>
        <w:tc>
          <w:tcPr>
            <w:tcW w:w="6938" w:type="dxa"/>
            <w:gridSpan w:val="17"/>
            <w:tcBorders/>
            <w:shd w:fill="auto" w:val="clear"/>
            <w:vAlign w:val="center"/>
          </w:tcPr>
          <w:p>
            <w:pPr>
              <w:pStyle w:val="TableContents"/>
              <w:spacing w:before="0" w:after="283"/>
              <w:rPr>
                <w:sz w:val="4"/>
                <w:szCs w:val="4"/>
              </w:rPr>
            </w:pPr>
            <w:r>
              <w:rPr>
                <w:sz w:val="4"/>
                <w:szCs w:val="4"/>
              </w:rPr>
            </w:r>
          </w:p>
        </w:tc>
      </w:tr>
      <w:tr>
        <w:trPr/>
        <w:tc>
          <w:tcPr>
            <w:tcW w:w="25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7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99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25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4" w:type="dxa"/>
            <w:tcBorders/>
            <w:shd w:fill="auto" w:val="clear"/>
            <w:vAlign w:val="center"/>
          </w:tcPr>
          <w:p>
            <w:pPr>
              <w:pStyle w:val="TableContents"/>
              <w:spacing w:before="0" w:after="0"/>
              <w:ind w:left="0" w:right="0" w:firstLine="30"/>
              <w:rPr/>
            </w:pPr>
            <w:r>
              <w:rPr/>
              <w:t> </w:t>
            </w:r>
          </w:p>
        </w:tc>
        <w:tc>
          <w:tcPr>
            <w:tcW w:w="10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2" w:type="dxa"/>
            <w:tcBorders/>
            <w:shd w:fill="auto" w:val="clear"/>
            <w:vAlign w:val="center"/>
          </w:tcPr>
          <w:p>
            <w:pPr>
              <w:pStyle w:val="TableContents"/>
              <w:spacing w:before="0" w:after="0"/>
              <w:ind w:left="0" w:right="0" w:firstLine="30"/>
              <w:rPr/>
            </w:pPr>
            <w:r>
              <w:rPr/>
              <w:t> </w:t>
            </w:r>
          </w:p>
        </w:tc>
        <w:tc>
          <w:tcPr>
            <w:tcW w:w="9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2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per common unit</w:t>
            </w:r>
          </w:p>
        </w:tc>
        <w:tc>
          <w:tcPr>
            <w:tcW w:w="90" w:type="dxa"/>
            <w:tcBorders/>
            <w:shd w:fill="CCEEFF"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0.4452</w:t>
            </w:r>
          </w:p>
        </w:tc>
        <w:tc>
          <w:tcPr>
            <w:tcW w:w="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0.3975</w:t>
            </w:r>
          </w:p>
        </w:tc>
        <w:tc>
          <w:tcPr>
            <w:tcW w:w="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0.8780</w:t>
            </w:r>
          </w:p>
        </w:tc>
        <w:tc>
          <w:tcPr>
            <w:tcW w:w="3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0.7839</w:t>
            </w:r>
          </w:p>
        </w:tc>
        <w:tc>
          <w:tcPr>
            <w:tcW w:w="5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bookmarkStart w:id="22" w:name="s5626354CBBA253BC8D217B7F9464A832"/>
      <w:bookmarkEnd w:id="22"/>
      <w:r>
        <w:rPr>
          <w:b/>
          <w:sz w:val="17"/>
        </w:rPr>
        <w:t>7.</w:t>
      </w:r>
      <w:r>
        <w:rPr>
          <w:sz w:val="17"/>
        </w:rPr>
        <w:t xml:space="preserve"> </w:t>
      </w:r>
      <w:r>
        <w:rPr>
          <w:b/>
          <w:sz w:val="17"/>
        </w:rPr>
        <w:t>Partners' Equity</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On October 4, 2018, the Partnership and Westlake GP,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No common units had been issued under this program as of June 30, 2019.</w:t>
      </w:r>
    </w:p>
    <w:p>
      <w:pPr>
        <w:pStyle w:val="TextBody"/>
        <w:spacing w:lineRule="auto" w:line="288" w:before="0" w:after="0"/>
        <w:ind w:left="0" w:right="0" w:firstLine="450"/>
        <w:jc w:val="left"/>
        <w:rPr>
          <w:sz w:val="17"/>
        </w:rPr>
      </w:pPr>
      <w:r>
        <w:rPr>
          <w:rFonts w:ascii="inherit" w:hAnsi="inherit"/>
          <w:sz w:val="17"/>
        </w:rPr>
        <w:t>On March 29, 2019, the Partnership completed the issuance and sale of 2,940,818</w:t>
      </w:r>
      <w:r>
        <w:rPr>
          <w:sz w:val="17"/>
        </w:rPr>
        <w:t xml:space="preserve"> </w:t>
      </w:r>
      <w:r>
        <w:rPr>
          <w:rFonts w:ascii="inherit" w:hAnsi="inherit"/>
          <w:sz w:val="17"/>
        </w:rPr>
        <w:t>common units at a price of $21.40</w:t>
      </w:r>
      <w:r>
        <w:rPr>
          <w:sz w:val="17"/>
        </w:rPr>
        <w:t xml:space="preserve"> </w:t>
      </w:r>
      <w:r>
        <w:rPr>
          <w:rFonts w:ascii="inherit" w:hAnsi="inherit"/>
          <w:sz w:val="17"/>
        </w:rPr>
        <w:t>per unit through a private placement. Net proceeds to the Partnership from the sale of the units were approximately $62,916. TTWF LP, Westlake's principal stockholder and a related party, acquired 1,401,869</w:t>
      </w:r>
      <w:r>
        <w:rPr>
          <w:sz w:val="17"/>
        </w:rPr>
        <w:t xml:space="preserve"> </w:t>
      </w:r>
      <w:r>
        <w:rPr>
          <w:rFonts w:ascii="inherit" w:hAnsi="inherit"/>
          <w:sz w:val="17"/>
        </w:rPr>
        <w:t>common units out of 2,940,818</w:t>
      </w:r>
      <w:r>
        <w:rPr>
          <w:sz w:val="17"/>
        </w:rPr>
        <w:t xml:space="preserve"> </w:t>
      </w:r>
      <w:r>
        <w:rPr>
          <w:rFonts w:ascii="inherit" w:hAnsi="inherit"/>
          <w:sz w:val="17"/>
        </w:rPr>
        <w:t>common units issued in the private placement.</w:t>
      </w:r>
    </w:p>
    <w:p>
      <w:pPr>
        <w:pStyle w:val="TextBody"/>
        <w:spacing w:lineRule="auto" w:line="288" w:before="0" w:after="0"/>
        <w:jc w:val="left"/>
        <w:rPr>
          <w:sz w:val="17"/>
        </w:rPr>
      </w:pPr>
      <w:bookmarkStart w:id="23" w:name="sD92B331AE49F5588A4C6A20B5C48C1F7"/>
      <w:bookmarkEnd w:id="23"/>
      <w:r>
        <w:rPr>
          <w:b/>
          <w:sz w:val="17"/>
        </w:rPr>
        <w:t>8.</w:t>
      </w:r>
      <w:r>
        <w:rPr>
          <w:sz w:val="17"/>
        </w:rPr>
        <w:t xml:space="preserve"> </w:t>
      </w:r>
      <w:r>
        <w:rPr>
          <w:b/>
          <w:sz w:val="17"/>
        </w:rPr>
        <w:t>Related Party Transactions</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The Partnership and OpCo regularly enter into related party transactions with Westlake. See below for a description of transactions with related parties.</w:t>
      </w:r>
    </w:p>
    <w:p>
      <w:pPr>
        <w:pStyle w:val="TextBody"/>
        <w:spacing w:lineRule="auto" w:line="288" w:before="0" w:after="0"/>
        <w:jc w:val="left"/>
        <w:rPr>
          <w:rFonts w:ascii="inherit" w:hAnsi="inherit"/>
          <w:b/>
          <w:i/>
          <w:sz w:val="17"/>
        </w:rPr>
      </w:pPr>
      <w:r>
        <w:rPr>
          <w:rFonts w:ascii="inherit" w:hAnsi="inherit"/>
          <w:b/>
          <w:i/>
          <w:sz w:val="17"/>
        </w:rPr>
        <w:t>Sales to Related Parties</w:t>
      </w:r>
    </w:p>
    <w:p>
      <w:pPr>
        <w:pStyle w:val="TextBody"/>
        <w:spacing w:lineRule="auto" w:line="288" w:before="0" w:after="0"/>
        <w:ind w:left="0" w:right="0" w:firstLine="450"/>
        <w:jc w:val="left"/>
        <w:rPr>
          <w:rFonts w:ascii="inherit" w:hAnsi="inherit"/>
          <w:sz w:val="17"/>
        </w:rPr>
      </w:pPr>
      <w:r>
        <w:rPr>
          <w:rFonts w:ascii="inherit" w:hAnsi="inherit"/>
          <w:sz w:val="17"/>
        </w:rPr>
        <w:t>OpCo sells ethylene to Westlake under the Ethylene Sales Agreement. Additionally, the Partnership and OpCo from time to time provide other services or products for which each charges Westlake a fee.</w:t>
      </w:r>
    </w:p>
    <w:p>
      <w:pPr>
        <w:pStyle w:val="TextBody"/>
        <w:spacing w:lineRule="auto" w:line="288" w:before="0" w:after="0"/>
        <w:ind w:left="0" w:right="0" w:firstLine="450"/>
        <w:jc w:val="left"/>
        <w:rPr>
          <w:rFonts w:ascii="inherit" w:hAnsi="inherit"/>
          <w:sz w:val="17"/>
        </w:rPr>
      </w:pPr>
      <w:r>
        <w:rPr>
          <w:rFonts w:ascii="inherit" w:hAnsi="inherit"/>
          <w:sz w:val="17"/>
        </w:rPr>
        <w:t>Sales to related parties were as follows:</w:t>
      </w:r>
    </w:p>
    <w:tbl>
      <w:tblPr>
        <w:tblW w:w="6114" w:type="dxa"/>
        <w:jc w:val="left"/>
        <w:tblInd w:w="0" w:type="dxa"/>
        <w:tblCellMar>
          <w:top w:w="0" w:type="dxa"/>
          <w:left w:w="0" w:type="dxa"/>
          <w:bottom w:w="0" w:type="dxa"/>
          <w:right w:w="0" w:type="dxa"/>
        </w:tblCellMar>
      </w:tblPr>
      <w:tblGrid>
        <w:gridCol w:w="1760"/>
        <w:gridCol w:w="90"/>
        <w:gridCol w:w="152"/>
        <w:gridCol w:w="846"/>
        <w:gridCol w:w="36"/>
        <w:gridCol w:w="109"/>
        <w:gridCol w:w="152"/>
        <w:gridCol w:w="846"/>
        <w:gridCol w:w="36"/>
        <w:gridCol w:w="90"/>
        <w:gridCol w:w="138"/>
        <w:gridCol w:w="770"/>
        <w:gridCol w:w="33"/>
        <w:gridCol w:w="99"/>
        <w:gridCol w:w="138"/>
        <w:gridCol w:w="770"/>
        <w:gridCol w:w="49"/>
      </w:tblGrid>
      <w:tr>
        <w:trPr/>
        <w:tc>
          <w:tcPr>
            <w:tcW w:w="6114" w:type="dxa"/>
            <w:gridSpan w:val="17"/>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7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99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9" w:type="dxa"/>
            <w:tcBorders/>
            <w:shd w:fill="auto" w:val="clear"/>
            <w:vAlign w:val="center"/>
          </w:tcPr>
          <w:p>
            <w:pPr>
              <w:pStyle w:val="TableContents"/>
              <w:spacing w:before="0" w:after="0"/>
              <w:ind w:left="0" w:right="0" w:firstLine="30"/>
              <w:rPr/>
            </w:pPr>
            <w:r>
              <w:rPr/>
              <w:t> </w:t>
            </w:r>
          </w:p>
        </w:tc>
        <w:tc>
          <w:tcPr>
            <w:tcW w:w="103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9" w:type="dxa"/>
            <w:tcBorders/>
            <w:shd w:fill="auto" w:val="clear"/>
            <w:vAlign w:val="center"/>
          </w:tcPr>
          <w:p>
            <w:pPr>
              <w:pStyle w:val="TableContents"/>
              <w:spacing w:before="0" w:after="0"/>
              <w:ind w:left="0" w:right="0" w:firstLine="30"/>
              <w:rPr/>
            </w:pPr>
            <w:r>
              <w:rPr/>
              <w:t> </w:t>
            </w:r>
          </w:p>
        </w:tc>
        <w:tc>
          <w:tcPr>
            <w:tcW w:w="9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90"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230,047</w:t>
            </w:r>
          </w:p>
        </w:tc>
        <w:tc>
          <w:tcPr>
            <w:tcW w:w="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253,673</w:t>
            </w:r>
          </w:p>
        </w:tc>
        <w:tc>
          <w:tcPr>
            <w:tcW w:w="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487,087</w:t>
            </w:r>
          </w:p>
        </w:tc>
        <w:tc>
          <w:tcPr>
            <w:tcW w:w="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488,704</w:t>
            </w:r>
          </w:p>
        </w:tc>
        <w:tc>
          <w:tcPr>
            <w:tcW w:w="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Cost of Sales from Related Parties</w:t>
      </w:r>
    </w:p>
    <w:p>
      <w:pPr>
        <w:pStyle w:val="TextBody"/>
        <w:spacing w:lineRule="auto" w:line="288" w:before="0" w:after="0"/>
        <w:ind w:left="0" w:right="0" w:firstLine="450"/>
        <w:jc w:val="left"/>
        <w:rPr>
          <w:rFonts w:ascii="inherit" w:hAnsi="inherit"/>
          <w:sz w:val="17"/>
        </w:rPr>
      </w:pPr>
      <w:r>
        <w:rPr>
          <w:rFonts w:ascii="inherit" w:hAnsi="inherit"/>
          <w:sz w:val="17"/>
        </w:rPr>
        <w:t xml:space="preserve">Charges for goods and services purchased by the Partnership and OpCo from Westlake and included in cost of sales relate primarily to feedstock purchased under the Feedstock Supply Agreement and services provided under the Services and Secondment Agreement. </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 cost of sales were as follows:</w:t>
      </w:r>
    </w:p>
    <w:tbl>
      <w:tblPr>
        <w:tblW w:w="9834" w:type="dxa"/>
        <w:jc w:val="left"/>
        <w:tblInd w:w="0" w:type="dxa"/>
        <w:tblCellMar>
          <w:top w:w="0" w:type="dxa"/>
          <w:left w:w="0" w:type="dxa"/>
          <w:bottom w:w="0" w:type="dxa"/>
          <w:right w:w="0" w:type="dxa"/>
        </w:tblCellMar>
      </w:tblPr>
      <w:tblGrid>
        <w:gridCol w:w="5480"/>
        <w:gridCol w:w="90"/>
        <w:gridCol w:w="152"/>
        <w:gridCol w:w="846"/>
        <w:gridCol w:w="36"/>
        <w:gridCol w:w="109"/>
        <w:gridCol w:w="152"/>
        <w:gridCol w:w="846"/>
        <w:gridCol w:w="36"/>
        <w:gridCol w:w="90"/>
        <w:gridCol w:w="138"/>
        <w:gridCol w:w="770"/>
        <w:gridCol w:w="33"/>
        <w:gridCol w:w="99"/>
        <w:gridCol w:w="138"/>
        <w:gridCol w:w="770"/>
        <w:gridCol w:w="49"/>
      </w:tblGrid>
      <w:tr>
        <w:trPr/>
        <w:tc>
          <w:tcPr>
            <w:tcW w:w="9834" w:type="dxa"/>
            <w:gridSpan w:val="17"/>
            <w:tcBorders/>
            <w:shd w:fill="auto" w:val="clear"/>
            <w:vAlign w:val="center"/>
          </w:tcPr>
          <w:p>
            <w:pPr>
              <w:pStyle w:val="TableContents"/>
              <w:spacing w:before="0" w:after="283"/>
              <w:rPr>
                <w:sz w:val="4"/>
                <w:szCs w:val="4"/>
              </w:rPr>
            </w:pPr>
            <w:r>
              <w:rPr>
                <w:sz w:val="4"/>
                <w:szCs w:val="4"/>
              </w:rPr>
            </w:r>
          </w:p>
        </w:tc>
      </w:tr>
      <w:tr>
        <w:trPr/>
        <w:tc>
          <w:tcPr>
            <w:tcW w:w="54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7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99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4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9" w:type="dxa"/>
            <w:tcBorders/>
            <w:shd w:fill="auto" w:val="clear"/>
            <w:vAlign w:val="center"/>
          </w:tcPr>
          <w:p>
            <w:pPr>
              <w:pStyle w:val="TableContents"/>
              <w:spacing w:before="0" w:after="0"/>
              <w:ind w:left="0" w:right="0" w:firstLine="30"/>
              <w:rPr/>
            </w:pPr>
            <w:r>
              <w:rPr/>
              <w:t> </w:t>
            </w:r>
          </w:p>
        </w:tc>
        <w:tc>
          <w:tcPr>
            <w:tcW w:w="10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9" w:type="dxa"/>
            <w:tcBorders/>
            <w:shd w:fill="auto" w:val="clear"/>
            <w:vAlign w:val="center"/>
          </w:tcPr>
          <w:p>
            <w:pPr>
              <w:pStyle w:val="TableContents"/>
              <w:spacing w:before="0" w:after="0"/>
              <w:ind w:left="0" w:right="0" w:firstLine="30"/>
              <w:rPr/>
            </w:pPr>
            <w:r>
              <w:rPr/>
              <w:t> </w:t>
            </w:r>
          </w:p>
        </w:tc>
        <w:tc>
          <w:tcPr>
            <w:tcW w:w="9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Feedstock purchased from Westlake and included in cost of sales</w:t>
            </w:r>
          </w:p>
        </w:tc>
        <w:tc>
          <w:tcPr>
            <w:tcW w:w="90"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89,599</w:t>
            </w:r>
          </w:p>
        </w:tc>
        <w:tc>
          <w:tcPr>
            <w:tcW w:w="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shd w:fill="CCEEFF" w:val="clear"/>
            <w:vAlign w:val="center"/>
          </w:tcPr>
          <w:p>
            <w:pPr>
              <w:pStyle w:val="TableContents"/>
              <w:spacing w:before="0" w:after="0"/>
              <w:jc w:val="right"/>
              <w:rPr>
                <w:rFonts w:ascii="inherit" w:hAnsi="inherit"/>
                <w:sz w:val="17"/>
              </w:rPr>
            </w:pPr>
            <w:r>
              <w:rPr>
                <w:rFonts w:ascii="inherit" w:hAnsi="inherit"/>
                <w:sz w:val="17"/>
              </w:rPr>
              <w:t>119,925</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211,754</w:t>
            </w:r>
          </w:p>
        </w:tc>
        <w:tc>
          <w:tcPr>
            <w:tcW w:w="3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shd w:fill="CCEEFF" w:val="clear"/>
            <w:vAlign w:val="center"/>
          </w:tcPr>
          <w:p>
            <w:pPr>
              <w:pStyle w:val="TableContents"/>
              <w:spacing w:before="0" w:after="0"/>
              <w:jc w:val="right"/>
              <w:rPr>
                <w:rFonts w:ascii="inherit" w:hAnsi="inherit"/>
                <w:sz w:val="17"/>
              </w:rPr>
            </w:pPr>
            <w:r>
              <w:rPr>
                <w:rFonts w:ascii="inherit" w:hAnsi="inherit"/>
                <w:sz w:val="17"/>
              </w:rPr>
              <w:t>225,340</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charges from Westlake and included in cost of sales</w:t>
            </w:r>
          </w:p>
        </w:tc>
        <w:tc>
          <w:tcPr>
            <w:tcW w:w="90" w:type="dxa"/>
            <w:tcBorders/>
            <w:shd w:fill="auto" w:val="clear"/>
            <w:vAlign w:val="center"/>
          </w:tcPr>
          <w:p>
            <w:pPr>
              <w:pStyle w:val="TableContents"/>
              <w:spacing w:before="0" w:after="0"/>
              <w:ind w:left="0" w:right="0" w:firstLine="30"/>
              <w:rPr/>
            </w:pPr>
            <w:r>
              <w:rPr/>
              <w:t> </w:t>
            </w:r>
          </w:p>
        </w:tc>
        <w:tc>
          <w:tcPr>
            <w:tcW w:w="9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27,464</w:t>
            </w:r>
          </w:p>
        </w:tc>
        <w:tc>
          <w:tcPr>
            <w:tcW w:w="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9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26,537</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55,036</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9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54,943</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90"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117,063</w:t>
            </w:r>
          </w:p>
        </w:tc>
        <w:tc>
          <w:tcPr>
            <w:tcW w:w="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146,462</w:t>
            </w:r>
          </w:p>
        </w:tc>
        <w:tc>
          <w:tcPr>
            <w:tcW w:w="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266,790</w:t>
            </w:r>
          </w:p>
        </w:tc>
        <w:tc>
          <w:tcPr>
            <w:tcW w:w="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280,283</w:t>
            </w:r>
          </w:p>
        </w:tc>
        <w:tc>
          <w:tcPr>
            <w:tcW w:w="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Services from Related Parties Included in Selling, General and Administrative Expenses</w:t>
      </w:r>
    </w:p>
    <w:p>
      <w:pPr>
        <w:pStyle w:val="TextBody"/>
        <w:spacing w:lineRule="auto" w:line="288" w:before="0" w:after="0"/>
        <w:ind w:left="0" w:right="0" w:firstLine="450"/>
        <w:jc w:val="left"/>
        <w:rPr>
          <w:rFonts w:ascii="inherit" w:hAnsi="inherit"/>
          <w:sz w:val="17"/>
        </w:rPr>
      </w:pPr>
      <w:r>
        <w:rPr>
          <w:rFonts w:ascii="inherit" w:hAnsi="inherit"/>
          <w:sz w:val="17"/>
        </w:rPr>
        <w:t xml:space="preserve">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included within selling, general and administrative expenses were as follows:</w:t>
      </w:r>
    </w:p>
    <w:tbl>
      <w:tblPr>
        <w:tblW w:w="10205" w:type="dxa"/>
        <w:jc w:val="left"/>
        <w:tblInd w:w="0" w:type="dxa"/>
        <w:tblCellMar>
          <w:top w:w="0" w:type="dxa"/>
          <w:left w:w="0" w:type="dxa"/>
          <w:bottom w:w="0" w:type="dxa"/>
          <w:right w:w="0" w:type="dxa"/>
        </w:tblCellMar>
      </w:tblPr>
      <w:tblGrid>
        <w:gridCol w:w="6172"/>
        <w:gridCol w:w="90"/>
        <w:gridCol w:w="178"/>
        <w:gridCol w:w="695"/>
        <w:gridCol w:w="42"/>
        <w:gridCol w:w="129"/>
        <w:gridCol w:w="178"/>
        <w:gridCol w:w="695"/>
        <w:gridCol w:w="42"/>
        <w:gridCol w:w="90"/>
        <w:gridCol w:w="147"/>
        <w:gridCol w:w="699"/>
        <w:gridCol w:w="35"/>
        <w:gridCol w:w="106"/>
        <w:gridCol w:w="147"/>
        <w:gridCol w:w="699"/>
        <w:gridCol w:w="61"/>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617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9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8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61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9" w:type="dxa"/>
            <w:tcBorders/>
            <w:shd w:fill="auto" w:val="clear"/>
            <w:vAlign w:val="center"/>
          </w:tcPr>
          <w:p>
            <w:pPr>
              <w:pStyle w:val="TableContents"/>
              <w:spacing w:before="0" w:after="0"/>
              <w:ind w:left="0" w:right="0" w:firstLine="30"/>
              <w:rPr/>
            </w:pPr>
            <w:r>
              <w:rPr/>
              <w:t> </w:t>
            </w:r>
          </w:p>
        </w:tc>
        <w:tc>
          <w:tcPr>
            <w:tcW w:w="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8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6" w:type="dxa"/>
            <w:tcBorders/>
            <w:shd w:fill="auto" w:val="clear"/>
            <w:vAlign w:val="center"/>
          </w:tcPr>
          <w:p>
            <w:pPr>
              <w:pStyle w:val="TableContents"/>
              <w:spacing w:before="0" w:after="0"/>
              <w:ind w:left="0" w:right="0" w:firstLine="30"/>
              <w:rPr/>
            </w:pPr>
            <w:r>
              <w:rPr/>
              <w:t> </w:t>
            </w:r>
          </w:p>
        </w:tc>
        <w:tc>
          <w:tcPr>
            <w:tcW w:w="9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 received from Westlake and included in selling, general and administrative expenses</w:t>
            </w:r>
          </w:p>
        </w:tc>
        <w:tc>
          <w:tcPr>
            <w:tcW w:w="90" w:type="dxa"/>
            <w:tcBorders/>
            <w:shd w:fill="CCEEFF" w:val="clear"/>
            <w:vAlign w:val="center"/>
          </w:tcPr>
          <w:p>
            <w:pPr>
              <w:pStyle w:val="TableContents"/>
              <w:spacing w:before="0" w:after="0"/>
              <w:ind w:left="0" w:right="0" w:firstLine="30"/>
              <w:rPr/>
            </w:pPr>
            <w:r>
              <w:rPr/>
              <w:t> </w:t>
            </w:r>
          </w:p>
        </w:tc>
        <w:tc>
          <w:tcPr>
            <w:tcW w:w="1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6,464</w:t>
            </w:r>
          </w:p>
        </w:tc>
        <w:tc>
          <w:tcPr>
            <w:tcW w:w="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7,041</w:t>
            </w:r>
          </w:p>
        </w:tc>
        <w:tc>
          <w:tcPr>
            <w:tcW w:w="4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13,067</w:t>
            </w:r>
          </w:p>
        </w:tc>
        <w:tc>
          <w:tcPr>
            <w:tcW w:w="3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13,292</w:t>
            </w:r>
          </w:p>
        </w:tc>
        <w:tc>
          <w:tcPr>
            <w:tcW w:w="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Goods and Services from Related Parties Capitalized as Assets</w:t>
      </w:r>
    </w:p>
    <w:p>
      <w:pPr>
        <w:pStyle w:val="TextBody"/>
        <w:spacing w:lineRule="auto" w:line="288" w:before="0" w:after="0"/>
        <w:ind w:left="0" w:right="0" w:firstLine="450"/>
        <w:rPr>
          <w:rFonts w:ascii="inherit" w:hAnsi="inherit"/>
          <w:sz w:val="17"/>
        </w:rPr>
      </w:pPr>
      <w:r>
        <w:rPr>
          <w:rFonts w:ascii="inherit" w:hAnsi="inherit"/>
          <w:sz w:val="17"/>
        </w:rPr>
        <w:t xml:space="preserve">Charges for goods and services purchased by the Partnership and OpCo from Westlake which were capitalized as assets relate primarily to the services of Westlake employees under the Services and Secondment Agreement. </w:t>
      </w:r>
    </w:p>
    <w:p>
      <w:pPr>
        <w:pStyle w:val="TextBody"/>
        <w:spacing w:lineRule="auto" w:line="288" w:before="0" w:after="0"/>
        <w:ind w:left="0" w:right="0" w:firstLine="450"/>
        <w:rPr>
          <w:rFonts w:ascii="inherit" w:hAnsi="inherit"/>
          <w:sz w:val="17"/>
        </w:rPr>
      </w:pPr>
      <w:r>
        <w:rPr>
          <w:rFonts w:ascii="inherit" w:hAnsi="inherit"/>
          <w:sz w:val="17"/>
        </w:rPr>
        <w:t>Charges from related parties for goods and services capitalized as assets were as follows:</w:t>
      </w:r>
    </w:p>
    <w:tbl>
      <w:tblPr>
        <w:tblW w:w="10205" w:type="dxa"/>
        <w:jc w:val="left"/>
        <w:tblInd w:w="0" w:type="dxa"/>
        <w:tblCellMar>
          <w:top w:w="0" w:type="dxa"/>
          <w:left w:w="0" w:type="dxa"/>
          <w:bottom w:w="0" w:type="dxa"/>
          <w:right w:w="0" w:type="dxa"/>
        </w:tblCellMar>
      </w:tblPr>
      <w:tblGrid>
        <w:gridCol w:w="5898"/>
        <w:gridCol w:w="90"/>
        <w:gridCol w:w="250"/>
        <w:gridCol w:w="672"/>
        <w:gridCol w:w="60"/>
        <w:gridCol w:w="180"/>
        <w:gridCol w:w="250"/>
        <w:gridCol w:w="672"/>
        <w:gridCol w:w="60"/>
        <w:gridCol w:w="90"/>
        <w:gridCol w:w="178"/>
        <w:gridCol w:w="694"/>
        <w:gridCol w:w="42"/>
        <w:gridCol w:w="127"/>
        <w:gridCol w:w="178"/>
        <w:gridCol w:w="694"/>
        <w:gridCol w:w="70"/>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589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9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4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98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89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80" w:type="dxa"/>
            <w:tcBorders/>
            <w:shd w:fill="auto" w:val="clear"/>
            <w:vAlign w:val="center"/>
          </w:tcPr>
          <w:p>
            <w:pPr>
              <w:pStyle w:val="TableContents"/>
              <w:spacing w:before="0" w:after="0"/>
              <w:ind w:left="0" w:right="0" w:firstLine="30"/>
              <w:rPr/>
            </w:pPr>
            <w:r>
              <w:rPr/>
              <w:t> </w:t>
            </w:r>
          </w:p>
        </w:tc>
        <w:tc>
          <w:tcPr>
            <w:tcW w:w="9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7" w:type="dxa"/>
            <w:tcBorders/>
            <w:shd w:fill="auto" w:val="clear"/>
            <w:vAlign w:val="center"/>
          </w:tcPr>
          <w:p>
            <w:pPr>
              <w:pStyle w:val="TableContents"/>
              <w:spacing w:before="0" w:after="0"/>
              <w:ind w:left="0" w:right="0" w:firstLine="30"/>
              <w:rPr/>
            </w:pPr>
            <w:r>
              <w:rPr/>
              <w:t> </w:t>
            </w:r>
          </w:p>
        </w:tc>
        <w:tc>
          <w:tcPr>
            <w:tcW w:w="94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Goods and services purchased from Westlake and capitalized as assets</w:t>
            </w:r>
          </w:p>
        </w:tc>
        <w:tc>
          <w:tcPr>
            <w:tcW w:w="90" w:type="dxa"/>
            <w:tcBorders/>
            <w:shd w:fill="CCEEFF" w:val="clear"/>
            <w:vAlign w:val="center"/>
          </w:tcPr>
          <w:p>
            <w:pPr>
              <w:pStyle w:val="TableContents"/>
              <w:spacing w:before="0" w:after="0"/>
              <w:ind w:left="0" w:right="0" w:firstLine="30"/>
              <w:rPr/>
            </w:pPr>
            <w:r>
              <w:rPr/>
              <w:t> </w:t>
            </w:r>
          </w:p>
        </w:tc>
        <w:tc>
          <w:tcPr>
            <w:tcW w:w="2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641</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0" w:type="dxa"/>
            <w:tcBorders/>
            <w:shd w:fill="CCEEFF" w:val="clear"/>
            <w:vAlign w:val="center"/>
          </w:tcPr>
          <w:p>
            <w:pPr>
              <w:pStyle w:val="TableContents"/>
              <w:spacing w:before="0" w:after="0"/>
              <w:ind w:left="0" w:right="0" w:firstLine="30"/>
              <w:rPr/>
            </w:pPr>
            <w:r>
              <w:rPr/>
              <w:t> </w:t>
            </w:r>
          </w:p>
        </w:tc>
        <w:tc>
          <w:tcPr>
            <w:tcW w:w="2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791</w:t>
            </w:r>
          </w:p>
        </w:tc>
        <w:tc>
          <w:tcPr>
            <w:tcW w:w="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1,284</w:t>
            </w:r>
          </w:p>
        </w:tc>
        <w:tc>
          <w:tcPr>
            <w:tcW w:w="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1,142</w:t>
            </w:r>
          </w:p>
        </w:tc>
        <w:tc>
          <w:tcPr>
            <w:tcW w:w="7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Receivable under the Investment Management Agreement</w:t>
      </w:r>
    </w:p>
    <w:p>
      <w:pPr>
        <w:pStyle w:val="TextBody"/>
        <w:spacing w:lineRule="auto" w:line="288" w:before="0" w:after="0"/>
        <w:ind w:left="0" w:right="0" w:firstLine="450"/>
        <w:rPr>
          <w:sz w:val="17"/>
        </w:rPr>
      </w:pPr>
      <w:r>
        <w:rPr>
          <w:rFonts w:ascii="inherit" w:hAnsi="inherit"/>
          <w:sz w:val="17"/>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$371</w:t>
      </w:r>
      <w:r>
        <w:rPr>
          <w:sz w:val="17"/>
        </w:rPr>
        <w:t xml:space="preserve"> </w:t>
      </w:r>
      <w:r>
        <w:rPr>
          <w:rFonts w:ascii="inherit" w:hAnsi="inherit"/>
          <w:sz w:val="17"/>
        </w:rPr>
        <w:t>and $496</w:t>
      </w:r>
      <w:r>
        <w:rPr>
          <w:sz w:val="17"/>
        </w:rPr>
        <w:t xml:space="preserve"> </w:t>
      </w:r>
      <w:r>
        <w:rPr>
          <w:rFonts w:ascii="inherit" w:hAnsi="inherit"/>
          <w:sz w:val="17"/>
        </w:rPr>
        <w:t>was included in the receivable under the Investment Management Agreement balance at June 30, 2019</w:t>
      </w:r>
      <w:r>
        <w:rPr>
          <w:sz w:val="17"/>
        </w:rPr>
        <w:t xml:space="preserve"> </w:t>
      </w:r>
      <w:r>
        <w:rPr>
          <w:rFonts w:ascii="inherit" w:hAnsi="inherit"/>
          <w:sz w:val="17"/>
        </w:rPr>
        <w:t>and December 31, 2018, respectively. Total interest earned related to the Investment Management Agreement was $1,155</w:t>
      </w:r>
      <w:r>
        <w:rPr>
          <w:sz w:val="17"/>
        </w:rPr>
        <w:t xml:space="preserve"> </w:t>
      </w:r>
      <w:r>
        <w:rPr>
          <w:rFonts w:ascii="inherit" w:hAnsi="inherit"/>
          <w:sz w:val="17"/>
        </w:rPr>
        <w:t>and $568</w:t>
      </w:r>
      <w:r>
        <w:rPr>
          <w:sz w:val="17"/>
        </w:rPr>
        <w:t xml:space="preserve"> </w:t>
      </w:r>
      <w:r>
        <w:rPr>
          <w:rFonts w:ascii="inherit" w:hAnsi="inherit"/>
          <w:sz w:val="17"/>
        </w:rPr>
        <w:t>for the three months ended June 30, 2019</w:t>
      </w:r>
      <w:r>
        <w:rPr>
          <w:sz w:val="17"/>
        </w:rPr>
        <w:t xml:space="preserve"> </w:t>
      </w:r>
      <w:r>
        <w:rPr>
          <w:rFonts w:ascii="inherit" w:hAnsi="inherit"/>
          <w:sz w:val="17"/>
        </w:rPr>
        <w:t>and 2018, respectively, and $1,973</w:t>
      </w:r>
      <w:r>
        <w:rPr>
          <w:sz w:val="17"/>
        </w:rPr>
        <w:t xml:space="preserve"> </w:t>
      </w:r>
      <w:r>
        <w:rPr>
          <w:rFonts w:ascii="inherit" w:hAnsi="inherit"/>
          <w:sz w:val="17"/>
        </w:rPr>
        <w:t>and $1,108</w:t>
      </w:r>
      <w:r>
        <w:rPr>
          <w:sz w:val="17"/>
        </w:rPr>
        <w:t xml:space="preserve"> </w:t>
      </w:r>
      <w:r>
        <w:rPr>
          <w:rFonts w:ascii="inherit" w:hAnsi="inherit"/>
          <w:sz w:val="17"/>
        </w:rPr>
        <w:t xml:space="preserve">for the six months ended June 30, 2019 and 2018, respectively. </w:t>
      </w:r>
    </w:p>
    <w:p>
      <w:pPr>
        <w:pStyle w:val="TextBody"/>
        <w:spacing w:lineRule="auto" w:line="288" w:before="0" w:after="0"/>
        <w:ind w:left="0" w:right="0" w:firstLine="435"/>
        <w:jc w:val="left"/>
        <w:rPr>
          <w:rFonts w:ascii="inherit" w:hAnsi="inherit"/>
          <w:sz w:val="17"/>
        </w:rPr>
      </w:pPr>
      <w:r>
        <w:rPr>
          <w:rFonts w:ascii="inherit" w:hAnsi="inherit"/>
          <w:sz w:val="17"/>
        </w:rPr>
        <w:t>The Partnership's receivable under the Investment Management Agreement was as follows:</w:t>
      </w:r>
    </w:p>
    <w:tbl>
      <w:tblPr>
        <w:tblW w:w="7114" w:type="dxa"/>
        <w:jc w:val="left"/>
        <w:tblInd w:w="0" w:type="dxa"/>
        <w:tblCellMar>
          <w:top w:w="0" w:type="dxa"/>
          <w:left w:w="0" w:type="dxa"/>
          <w:bottom w:w="0" w:type="dxa"/>
          <w:right w:w="0" w:type="dxa"/>
        </w:tblCellMar>
      </w:tblPr>
      <w:tblGrid>
        <w:gridCol w:w="4970"/>
        <w:gridCol w:w="90"/>
        <w:gridCol w:w="125"/>
        <w:gridCol w:w="695"/>
        <w:gridCol w:w="30"/>
        <w:gridCol w:w="90"/>
        <w:gridCol w:w="160"/>
        <w:gridCol w:w="895"/>
        <w:gridCol w:w="59"/>
      </w:tblGrid>
      <w:tr>
        <w:trPr/>
        <w:tc>
          <w:tcPr>
            <w:tcW w:w="7114" w:type="dxa"/>
            <w:gridSpan w:val="9"/>
            <w:tcBorders/>
            <w:shd w:fill="auto" w:val="clear"/>
            <w:vAlign w:val="center"/>
          </w:tcPr>
          <w:p>
            <w:pPr>
              <w:pStyle w:val="TableContents"/>
              <w:spacing w:before="0" w:after="283"/>
              <w:rPr>
                <w:sz w:val="4"/>
                <w:szCs w:val="4"/>
              </w:rPr>
            </w:pPr>
            <w:r>
              <w:rPr>
                <w:sz w:val="4"/>
                <w:szCs w:val="4"/>
              </w:rPr>
            </w:r>
          </w:p>
        </w:tc>
      </w:tr>
      <w:tr>
        <w:trPr/>
        <w:tc>
          <w:tcPr>
            <w:tcW w:w="49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7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4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Receivable under the Investment Management Agreement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141,327</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148,956</w:t>
            </w:r>
          </w:p>
        </w:tc>
        <w:tc>
          <w:tcPr>
            <w:tcW w:w="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 xml:space="preserve">Accounts Receivables </w:t>
      </w:r>
    </w:p>
    <w:p>
      <w:pPr>
        <w:pStyle w:val="TextBody"/>
        <w:spacing w:lineRule="auto" w:line="288" w:before="0" w:after="0"/>
        <w:ind w:left="0" w:right="0" w:firstLine="450"/>
        <w:rPr>
          <w:rFonts w:ascii="inherit" w:hAnsi="inherit"/>
          <w:sz w:val="17"/>
        </w:rPr>
      </w:pPr>
      <w:r>
        <w:rPr>
          <w:rFonts w:ascii="inherit" w:hAnsi="inherit"/>
          <w:sz w:val="17"/>
        </w:rPr>
        <w:t xml:space="preserve">The Partnership's accounts receivable from Westlake result primarily from ethylene sales to Westlake under the Ethylene Sales Agreement. </w:t>
      </w:r>
    </w:p>
    <w:p>
      <w:pPr>
        <w:pStyle w:val="TextBody"/>
        <w:spacing w:lineRule="auto" w:line="288" w:before="0" w:after="0"/>
        <w:ind w:left="0" w:right="0" w:firstLine="435"/>
        <w:jc w:val="left"/>
        <w:rPr>
          <w:rFonts w:ascii="inherit" w:hAnsi="inherit"/>
          <w:sz w:val="17"/>
        </w:rPr>
      </w:pPr>
      <w:r>
        <w:rPr>
          <w:rFonts w:ascii="inherit" w:hAnsi="inherit"/>
          <w:sz w:val="17"/>
        </w:rPr>
        <w:t>The Partnership's accounts receivable from Westlake were as follows:</w:t>
      </w:r>
    </w:p>
    <w:tbl>
      <w:tblPr>
        <w:tblW w:w="4728" w:type="dxa"/>
        <w:jc w:val="center"/>
        <w:tblInd w:w="0" w:type="dxa"/>
        <w:tblCellMar>
          <w:top w:w="0" w:type="dxa"/>
          <w:left w:w="0" w:type="dxa"/>
          <w:bottom w:w="0" w:type="dxa"/>
          <w:right w:w="0" w:type="dxa"/>
        </w:tblCellMar>
      </w:tblPr>
      <w:tblGrid>
        <w:gridCol w:w="2690"/>
        <w:gridCol w:w="90"/>
        <w:gridCol w:w="125"/>
        <w:gridCol w:w="590"/>
        <w:gridCol w:w="30"/>
        <w:gridCol w:w="90"/>
        <w:gridCol w:w="182"/>
        <w:gridCol w:w="864"/>
        <w:gridCol w:w="67"/>
      </w:tblGrid>
      <w:tr>
        <w:trPr/>
        <w:tc>
          <w:tcPr>
            <w:tcW w:w="4728" w:type="dxa"/>
            <w:gridSpan w:val="9"/>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26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receivable—Westlake</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38,995</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57,280</w:t>
            </w:r>
          </w:p>
        </w:tc>
        <w:tc>
          <w:tcPr>
            <w:tcW w:w="6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Accounts Payable to Related Parties</w:t>
      </w:r>
    </w:p>
    <w:p>
      <w:pPr>
        <w:pStyle w:val="TextBody"/>
        <w:spacing w:lineRule="auto" w:line="288" w:before="0" w:after="0"/>
        <w:ind w:left="0" w:right="0" w:firstLine="450"/>
        <w:rPr>
          <w:rFonts w:ascii="inherit" w:hAnsi="inherit"/>
          <w:sz w:val="17"/>
        </w:rPr>
      </w:pPr>
      <w:r>
        <w:rPr>
          <w:rFonts w:ascii="inherit" w:hAnsi="inherit"/>
          <w:sz w:val="17"/>
        </w:rPr>
        <w:t xml:space="preserve">The Partnership's accounts payable to Westlake result primarily from feedstock purchases under the Feedstock Supply Agreement and services provided under the Services and Secondment Agreement and the Omnibus Agreement. </w:t>
      </w:r>
    </w:p>
    <w:p>
      <w:pPr>
        <w:pStyle w:val="TextBody"/>
        <w:spacing w:lineRule="auto" w:line="288" w:before="0" w:after="0"/>
        <w:ind w:left="0" w:right="0" w:firstLine="435"/>
        <w:jc w:val="left"/>
        <w:rPr>
          <w:rFonts w:ascii="inherit" w:hAnsi="inherit"/>
          <w:sz w:val="17"/>
        </w:rPr>
      </w:pPr>
      <w:r>
        <w:rPr>
          <w:rFonts w:ascii="inherit" w:hAnsi="inherit"/>
          <w:sz w:val="17"/>
        </w:rPr>
        <w:t>The related party accounts payable balances were as follows:</w:t>
      </w:r>
    </w:p>
    <w:tbl>
      <w:tblPr>
        <w:tblW w:w="4391" w:type="dxa"/>
        <w:jc w:val="left"/>
        <w:tblInd w:w="0" w:type="dxa"/>
        <w:tblCellMar>
          <w:top w:w="0" w:type="dxa"/>
          <w:left w:w="0" w:type="dxa"/>
          <w:bottom w:w="0" w:type="dxa"/>
          <w:right w:w="0" w:type="dxa"/>
        </w:tblCellMar>
      </w:tblPr>
      <w:tblGrid>
        <w:gridCol w:w="2480"/>
        <w:gridCol w:w="30"/>
        <w:gridCol w:w="132"/>
        <w:gridCol w:w="515"/>
        <w:gridCol w:w="31"/>
        <w:gridCol w:w="90"/>
        <w:gridCol w:w="182"/>
        <w:gridCol w:w="864"/>
        <w:gridCol w:w="67"/>
      </w:tblGrid>
      <w:tr>
        <w:trPr/>
        <w:tc>
          <w:tcPr>
            <w:tcW w:w="4391" w:type="dxa"/>
            <w:gridSpan w:val="9"/>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6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2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9,996</w:t>
            </w:r>
          </w:p>
        </w:tc>
        <w:tc>
          <w:tcPr>
            <w:tcW w:w="3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27,477</w:t>
            </w:r>
          </w:p>
        </w:tc>
        <w:tc>
          <w:tcPr>
            <w:tcW w:w="6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Related Party Leases</w:t>
      </w:r>
    </w:p>
    <w:p>
      <w:pPr>
        <w:pStyle w:val="TextBody"/>
        <w:spacing w:lineRule="auto" w:line="288" w:before="0" w:after="0"/>
        <w:ind w:left="0" w:right="0" w:firstLine="450"/>
        <w:jc w:val="left"/>
        <w:rPr>
          <w:sz w:val="17"/>
        </w:rPr>
      </w:pPr>
      <w:r>
        <w:rPr>
          <w:rFonts w:ascii="inherit" w:hAnsi="inherit"/>
          <w:sz w:val="17"/>
        </w:rPr>
        <w:t>OpCo is obligated to Westlake under various rail cars leases. Operating lease rentals paid to Westlake for such leases were $562</w:t>
      </w:r>
      <w:r>
        <w:rPr>
          <w:sz w:val="17"/>
        </w:rPr>
        <w:t xml:space="preserve"> </w:t>
      </w:r>
      <w:r>
        <w:rPr>
          <w:rFonts w:ascii="inherit" w:hAnsi="inherit"/>
          <w:sz w:val="17"/>
        </w:rPr>
        <w:t>and $700</w:t>
      </w:r>
      <w:r>
        <w:rPr>
          <w:sz w:val="17"/>
        </w:rPr>
        <w:t xml:space="preserve"> </w:t>
      </w:r>
      <w:r>
        <w:rPr>
          <w:rFonts w:ascii="inherit" w:hAnsi="inherit"/>
          <w:sz w:val="17"/>
        </w:rPr>
        <w:t>for the three months ended June 30, 2019 and 2018, respectively, and $1,076</w:t>
      </w:r>
      <w:r>
        <w:rPr>
          <w:sz w:val="17"/>
        </w:rPr>
        <w:t xml:space="preserve"> </w:t>
      </w:r>
      <w:r>
        <w:rPr>
          <w:rFonts w:ascii="inherit" w:hAnsi="inherit"/>
          <w:sz w:val="17"/>
        </w:rPr>
        <w:t>and $1,018</w:t>
      </w:r>
      <w:r>
        <w:rPr>
          <w:sz w:val="17"/>
        </w:rPr>
        <w:t xml:space="preserve"> </w:t>
      </w:r>
      <w:r>
        <w:rPr>
          <w:rFonts w:ascii="inherit" w:hAnsi="inherit"/>
          <w:sz w:val="17"/>
        </w:rPr>
        <w:t>for six months ended June 30, 2019 and 2018, respectively, and reflected in other charges from Westlake that are included in cost of sales.</w:t>
      </w:r>
    </w:p>
    <w:p>
      <w:pPr>
        <w:pStyle w:val="TextBody"/>
        <w:spacing w:lineRule="auto" w:line="288" w:before="0" w:after="0"/>
        <w:ind w:left="0" w:right="0" w:firstLine="450"/>
        <w:jc w:val="left"/>
        <w:rPr>
          <w:sz w:val="17"/>
        </w:rPr>
      </w:pPr>
      <w:r>
        <w:rPr>
          <w:rFonts w:ascii="inherit" w:hAnsi="inherit"/>
          <w:sz w:val="17"/>
        </w:rPr>
        <w:t>OpCo has two</w:t>
      </w:r>
      <w:r>
        <w:rPr>
          <w:sz w:val="17"/>
        </w:rPr>
        <w:t xml:space="preserve"> </w:t>
      </w:r>
      <w:r>
        <w:rPr>
          <w:rFonts w:ascii="inherit" w:hAnsi="inherit"/>
          <w:sz w:val="17"/>
        </w:rPr>
        <w:t>site lease agreements with Westlake, each of which has a term of 50</w:t>
      </w:r>
      <w:r>
        <w:rPr>
          <w:sz w:val="17"/>
        </w:rPr>
        <w:t xml:space="preserve"> </w:t>
      </w:r>
      <w:r>
        <w:rPr>
          <w:rFonts w:ascii="inherit" w:hAnsi="inherit"/>
          <w:sz w:val="17"/>
        </w:rPr>
        <w:t xml:space="preserve">years. Pursuant to the site lease agreements, OpCo pays Westlake one dollar per site per year.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left"/>
        <w:rPr/>
      </w:pPr>
      <w:hyperlink w:anchor="s0D5445E028A35494AA9A1154E302947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Debt Payable to Related Parties</w:t>
      </w:r>
    </w:p>
    <w:p>
      <w:pPr>
        <w:pStyle w:val="TextBody"/>
        <w:spacing w:lineRule="auto" w:line="288" w:before="0" w:after="0"/>
        <w:ind w:left="0" w:right="0" w:firstLine="450"/>
        <w:jc w:val="left"/>
        <w:rPr>
          <w:sz w:val="17"/>
        </w:rPr>
      </w:pPr>
      <w:r>
        <w:rPr>
          <w:rFonts w:ascii="inherit" w:hAnsi="inherit"/>
          <w:sz w:val="17"/>
        </w:rPr>
        <w:t>See Note 9</w:t>
      </w:r>
      <w:r>
        <w:rPr>
          <w:sz w:val="17"/>
        </w:rPr>
        <w:t xml:space="preserve"> </w:t>
      </w:r>
      <w:r>
        <w:rPr>
          <w:rFonts w:ascii="inherit" w:hAnsi="inherit"/>
          <w:sz w:val="17"/>
        </w:rPr>
        <w:t>for a description of related party debt payable balances. Interest on related party debt payable balances for the three months ended June 30, 2019</w:t>
      </w:r>
      <w:r>
        <w:rPr>
          <w:sz w:val="17"/>
        </w:rPr>
        <w:t xml:space="preserve"> </w:t>
      </w:r>
      <w:r>
        <w:rPr>
          <w:rFonts w:ascii="inherit" w:hAnsi="inherit"/>
          <w:sz w:val="17"/>
        </w:rPr>
        <w:t>and 2018</w:t>
      </w:r>
      <w:r>
        <w:rPr>
          <w:sz w:val="17"/>
        </w:rPr>
        <w:t xml:space="preserve"> </w:t>
      </w:r>
      <w:r>
        <w:rPr>
          <w:rFonts w:ascii="inherit" w:hAnsi="inherit"/>
          <w:sz w:val="17"/>
        </w:rPr>
        <w:t>was $5,125</w:t>
      </w:r>
      <w:r>
        <w:rPr>
          <w:sz w:val="17"/>
        </w:rPr>
        <w:t xml:space="preserve"> </w:t>
      </w:r>
      <w:r>
        <w:rPr>
          <w:rFonts w:ascii="inherit" w:hAnsi="inherit"/>
          <w:sz w:val="17"/>
        </w:rPr>
        <w:t>and $5,547, respectively, and for the six months ended June 30, 2019 and 2018</w:t>
      </w:r>
      <w:r>
        <w:rPr>
          <w:sz w:val="17"/>
        </w:rPr>
        <w:t xml:space="preserve"> </w:t>
      </w:r>
      <w:r>
        <w:rPr>
          <w:rFonts w:ascii="inherit" w:hAnsi="inherit"/>
          <w:sz w:val="17"/>
        </w:rPr>
        <w:t>was $11,025</w:t>
      </w:r>
      <w:r>
        <w:rPr>
          <w:sz w:val="17"/>
        </w:rPr>
        <w:t xml:space="preserve"> </w:t>
      </w:r>
      <w:r>
        <w:rPr>
          <w:rFonts w:ascii="inherit" w:hAnsi="inherit"/>
          <w:sz w:val="17"/>
        </w:rPr>
        <w:t>and $10,413, respectively. Interest on related party debt payable is presented as interest expense—Westlake in the consolidated statements of operations. Interest capitalized as a component of property, plant and equipment on related party debt was zero</w:t>
      </w:r>
      <w:r>
        <w:rPr>
          <w:sz w:val="17"/>
        </w:rPr>
        <w:t xml:space="preserve"> </w:t>
      </w:r>
      <w:r>
        <w:rPr>
          <w:rFonts w:ascii="inherit" w:hAnsi="inherit"/>
          <w:sz w:val="17"/>
        </w:rPr>
        <w:t>and $31</w:t>
      </w:r>
      <w:r>
        <w:rPr>
          <w:sz w:val="17"/>
        </w:rPr>
        <w:t xml:space="preserve"> </w:t>
      </w:r>
      <w:r>
        <w:rPr>
          <w:rFonts w:ascii="inherit" w:hAnsi="inherit"/>
          <w:sz w:val="17"/>
        </w:rPr>
        <w:t>for the three months ended June 30, 2019</w:t>
      </w:r>
      <w:r>
        <w:rPr>
          <w:sz w:val="17"/>
        </w:rPr>
        <w:t xml:space="preserve"> </w:t>
      </w:r>
      <w:r>
        <w:rPr>
          <w:rFonts w:ascii="inherit" w:hAnsi="inherit"/>
          <w:sz w:val="17"/>
        </w:rPr>
        <w:t>and 2018, respectively, and for the six months ended June 30, 2019 and 2018</w:t>
      </w:r>
      <w:r>
        <w:rPr>
          <w:sz w:val="17"/>
        </w:rPr>
        <w:t xml:space="preserve"> </w:t>
      </w:r>
      <w:r>
        <w:rPr>
          <w:rFonts w:ascii="inherit" w:hAnsi="inherit"/>
          <w:sz w:val="17"/>
        </w:rPr>
        <w:t>was zero</w:t>
      </w:r>
      <w:r>
        <w:rPr>
          <w:sz w:val="17"/>
        </w:rPr>
        <w:t xml:space="preserve"> </w:t>
      </w:r>
      <w:r>
        <w:rPr>
          <w:rFonts w:ascii="inherit" w:hAnsi="inherit"/>
          <w:sz w:val="17"/>
        </w:rPr>
        <w:t>and $46, respectively. At June 30, 2019</w:t>
      </w:r>
      <w:r>
        <w:rPr>
          <w:sz w:val="17"/>
        </w:rPr>
        <w:t xml:space="preserve"> </w:t>
      </w:r>
      <w:r>
        <w:rPr>
          <w:rFonts w:ascii="inherit" w:hAnsi="inherit"/>
          <w:sz w:val="17"/>
        </w:rPr>
        <w:t>and December 31, 2018, accrued interest on related party debt was $5,384</w:t>
      </w:r>
      <w:r>
        <w:rPr>
          <w:sz w:val="17"/>
        </w:rPr>
        <w:t xml:space="preserve"> </w:t>
      </w:r>
      <w:r>
        <w:rPr>
          <w:rFonts w:ascii="inherit" w:hAnsi="inherit"/>
          <w:sz w:val="17"/>
        </w:rPr>
        <w:t>and $5,448, respectively, and is reflected as a component of accrued liabilities in the consolidated balance sheets.</w:t>
      </w:r>
    </w:p>
    <w:p>
      <w:pPr>
        <w:pStyle w:val="TextBody"/>
        <w:spacing w:lineRule="auto" w:line="288" w:before="0" w:after="0"/>
        <w:ind w:left="0" w:right="0" w:firstLine="450"/>
        <w:jc w:val="left"/>
        <w:rPr>
          <w:rFonts w:ascii="inherit" w:hAnsi="inherit"/>
          <w:sz w:val="17"/>
        </w:rPr>
      </w:pPr>
      <w:r>
        <w:rPr>
          <w:rFonts w:ascii="inherit" w:hAnsi="inherit"/>
          <w:sz w:val="17"/>
        </w:rPr>
        <w:t>Debt payable to related parties was as follows:</w:t>
      </w:r>
    </w:p>
    <w:tbl>
      <w:tblPr>
        <w:tblW w:w="5239" w:type="dxa"/>
        <w:jc w:val="left"/>
        <w:tblInd w:w="0" w:type="dxa"/>
        <w:tblCellMar>
          <w:top w:w="0" w:type="dxa"/>
          <w:left w:w="0" w:type="dxa"/>
          <w:bottom w:w="0" w:type="dxa"/>
          <w:right w:w="0" w:type="dxa"/>
        </w:tblCellMar>
      </w:tblPr>
      <w:tblGrid>
        <w:gridCol w:w="3095"/>
        <w:gridCol w:w="90"/>
        <w:gridCol w:w="125"/>
        <w:gridCol w:w="695"/>
        <w:gridCol w:w="30"/>
        <w:gridCol w:w="90"/>
        <w:gridCol w:w="160"/>
        <w:gridCol w:w="895"/>
        <w:gridCol w:w="59"/>
      </w:tblGrid>
      <w:tr>
        <w:trPr/>
        <w:tc>
          <w:tcPr>
            <w:tcW w:w="5239" w:type="dxa"/>
            <w:gridSpan w:val="9"/>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399,674</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477,608</w:t>
            </w:r>
          </w:p>
        </w:tc>
        <w:tc>
          <w:tcPr>
            <w:tcW w:w="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Major Customer and Concentration of Credit Risk</w:t>
      </w:r>
    </w:p>
    <w:p>
      <w:pPr>
        <w:pStyle w:val="TextBody"/>
        <w:spacing w:lineRule="auto" w:line="288" w:before="0" w:after="0"/>
        <w:ind w:left="0" w:right="0" w:firstLine="450"/>
        <w:jc w:val="left"/>
        <w:rPr>
          <w:sz w:val="17"/>
        </w:rPr>
      </w:pPr>
      <w:r>
        <w:rPr>
          <w:rFonts w:ascii="inherit" w:hAnsi="inherit"/>
          <w:sz w:val="17"/>
        </w:rPr>
        <w:t>During the three months ended June 30, 2019 and 2018, Westlake accounted for approximately 85.2%</w:t>
      </w:r>
      <w:r>
        <w:rPr>
          <w:sz w:val="17"/>
        </w:rPr>
        <w:t xml:space="preserve"> </w:t>
      </w:r>
      <w:r>
        <w:rPr>
          <w:rFonts w:ascii="inherit" w:hAnsi="inherit"/>
          <w:sz w:val="17"/>
        </w:rPr>
        <w:t>and 84.0%, respectively, of the Partnership's net sales. During the six months ended June 30, 2019 and 2018, Westlake accounted for approximately 85.6%</w:t>
      </w:r>
      <w:r>
        <w:rPr>
          <w:sz w:val="17"/>
        </w:rPr>
        <w:t xml:space="preserve"> </w:t>
      </w:r>
      <w:r>
        <w:rPr>
          <w:rFonts w:ascii="inherit" w:hAnsi="inherit"/>
          <w:sz w:val="17"/>
        </w:rPr>
        <w:t>and 83.4%, respectively, of the Partnership's net sales.</w:t>
      </w:r>
    </w:p>
    <w:p>
      <w:pPr>
        <w:pStyle w:val="TextBody"/>
        <w:spacing w:lineRule="auto" w:line="288" w:before="0" w:after="0"/>
        <w:jc w:val="left"/>
        <w:rPr>
          <w:rFonts w:ascii="inherit" w:hAnsi="inherit"/>
          <w:b/>
          <w:i/>
          <w:sz w:val="17"/>
        </w:rPr>
      </w:pPr>
      <w:r>
        <w:rPr>
          <w:rFonts w:ascii="inherit" w:hAnsi="inherit"/>
          <w:b/>
          <w:i/>
          <w:sz w:val="17"/>
        </w:rPr>
        <w:t>Other</w:t>
      </w:r>
    </w:p>
    <w:p>
      <w:pPr>
        <w:pStyle w:val="TextBody"/>
        <w:spacing w:lineRule="auto" w:line="288" w:before="0" w:after="0"/>
        <w:ind w:left="0" w:right="0" w:firstLine="450"/>
        <w:jc w:val="left"/>
        <w:rPr>
          <w:sz w:val="17"/>
        </w:rPr>
      </w:pPr>
      <w:r>
        <w:rPr>
          <w:rFonts w:ascii="inherit" w:hAnsi="inherit"/>
          <w:sz w:val="17"/>
        </w:rPr>
        <w:t>See Note 7</w:t>
      </w:r>
      <w:r>
        <w:rPr>
          <w:sz w:val="17"/>
        </w:rPr>
        <w:t xml:space="preserve"> </w:t>
      </w:r>
      <w:r>
        <w:rPr>
          <w:rFonts w:ascii="inherit" w:hAnsi="inherit"/>
          <w:sz w:val="17"/>
        </w:rPr>
        <w:t>above for an additional related party transaction.</w:t>
      </w:r>
    </w:p>
    <w:p>
      <w:pPr>
        <w:pStyle w:val="TextBody"/>
        <w:spacing w:lineRule="auto" w:line="288" w:before="0" w:after="0"/>
        <w:jc w:val="left"/>
        <w:rPr>
          <w:sz w:val="17"/>
        </w:rPr>
      </w:pPr>
      <w:bookmarkStart w:id="24" w:name="s0AE050C59E5E5B89A9F5932CDB68B5F7"/>
      <w:bookmarkEnd w:id="24"/>
      <w:r>
        <w:rPr>
          <w:b/>
          <w:sz w:val="17"/>
        </w:rPr>
        <w:t>9.</w:t>
      </w:r>
      <w:r>
        <w:rPr>
          <w:sz w:val="17"/>
        </w:rPr>
        <w:t xml:space="preserve"> </w:t>
      </w:r>
      <w:r>
        <w:rPr>
          <w:b/>
          <w:sz w:val="17"/>
        </w:rPr>
        <w:t>Long-term Debt Payable to Westlake</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Long-term debt payable to Westlake consists of the following:</w:t>
      </w:r>
    </w:p>
    <w:tbl>
      <w:tblPr>
        <w:tblW w:w="10205" w:type="dxa"/>
        <w:jc w:val="left"/>
        <w:tblInd w:w="0" w:type="dxa"/>
        <w:tblCellMar>
          <w:top w:w="0" w:type="dxa"/>
          <w:left w:w="0" w:type="dxa"/>
          <w:bottom w:w="0" w:type="dxa"/>
          <w:right w:w="0" w:type="dxa"/>
        </w:tblCellMar>
      </w:tblPr>
      <w:tblGrid>
        <w:gridCol w:w="8063"/>
        <w:gridCol w:w="90"/>
        <w:gridCol w:w="125"/>
        <w:gridCol w:w="695"/>
        <w:gridCol w:w="30"/>
        <w:gridCol w:w="90"/>
        <w:gridCol w:w="159"/>
        <w:gridCol w:w="892"/>
        <w:gridCol w:w="61"/>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806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06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1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80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OpCo Revolver (variable interest rate of LIBOR plus 2.0%, scheduled maturity of September 25, 2023)</w:t>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22,619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2" w:type="dxa"/>
            <w:tcBorders/>
            <w:shd w:fill="CCEEFF" w:val="clear"/>
            <w:vAlign w:val="center"/>
          </w:tcPr>
          <w:p>
            <w:pPr>
              <w:pStyle w:val="TableContents"/>
              <w:spacing w:before="0" w:after="0"/>
              <w:jc w:val="right"/>
              <w:rPr>
                <w:rFonts w:ascii="inherit" w:hAnsi="inherit"/>
                <w:sz w:val="17"/>
              </w:rPr>
            </w:pPr>
            <w:r>
              <w:rPr>
                <w:rFonts w:ascii="inherit" w:hAnsi="inherit"/>
                <w:sz w:val="17"/>
              </w:rPr>
              <w:t>224,064</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MLP Revolver (variable interest rate of LIBOR plus 2.0%, scheduled maturity of April 29, 2021)</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377,055</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253,544</w:t>
            </w:r>
          </w:p>
        </w:tc>
        <w:tc>
          <w:tcPr>
            <w:tcW w:w="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3"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399,674</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477,608</w:t>
            </w:r>
          </w:p>
        </w:tc>
        <w:tc>
          <w:tcPr>
            <w:tcW w:w="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450"/>
        <w:rPr>
          <w:sz w:val="17"/>
        </w:rPr>
      </w:pPr>
      <w:r>
        <w:rPr>
          <w:rFonts w:ascii="inherit" w:hAnsi="inherit"/>
          <w:sz w:val="17"/>
        </w:rPr>
        <w:t>On April 30, 2019, the Partnership repaid $201,445</w:t>
      </w:r>
      <w:r>
        <w:rPr>
          <w:sz w:val="17"/>
        </w:rPr>
        <w:t xml:space="preserve"> </w:t>
      </w:r>
      <w:r>
        <w:rPr>
          <w:rFonts w:ascii="inherit" w:hAnsi="inherit"/>
          <w:sz w:val="17"/>
        </w:rPr>
        <w:t xml:space="preserve">of borrowings under the OpCo Revolver. </w:t>
      </w:r>
    </w:p>
    <w:p>
      <w:pPr>
        <w:pStyle w:val="TextBody"/>
        <w:spacing w:lineRule="auto" w:line="288" w:before="0" w:after="0"/>
        <w:ind w:left="0" w:right="0" w:firstLine="435"/>
        <w:jc w:val="left"/>
        <w:rPr>
          <w:sz w:val="17"/>
        </w:rPr>
      </w:pPr>
      <w:r>
        <w:rPr>
          <w:rFonts w:ascii="inherit" w:hAnsi="inherit"/>
          <w:sz w:val="17"/>
        </w:rPr>
        <w:t>On March 29, 2019, the Partnership borrowed $123,512</w:t>
      </w:r>
      <w:r>
        <w:rPr>
          <w:sz w:val="17"/>
        </w:rPr>
        <w:t xml:space="preserve"> </w:t>
      </w:r>
      <w:r>
        <w:rPr>
          <w:rFonts w:ascii="inherit" w:hAnsi="inherit"/>
          <w:sz w:val="17"/>
        </w:rPr>
        <w:t>under the MLP Revolver to partially fund the purchase of the additional 4.5%</w:t>
      </w:r>
      <w:r>
        <w:rPr>
          <w:sz w:val="17"/>
        </w:rPr>
        <w:t xml:space="preserve"> </w:t>
      </w:r>
      <w:r>
        <w:rPr>
          <w:rFonts w:ascii="inherit" w:hAnsi="inherit"/>
          <w:sz w:val="17"/>
        </w:rPr>
        <w:t xml:space="preserve">interest in OpCo. </w:t>
      </w:r>
    </w:p>
    <w:p>
      <w:pPr>
        <w:pStyle w:val="TextBody"/>
        <w:spacing w:lineRule="auto" w:line="288" w:before="0" w:after="0"/>
        <w:ind w:left="0" w:right="0" w:firstLine="435"/>
        <w:jc w:val="left"/>
        <w:rPr>
          <w:sz w:val="17"/>
        </w:rPr>
      </w:pPr>
      <w:r>
        <w:rPr>
          <w:rFonts w:ascii="inherit" w:hAnsi="inherit"/>
          <w:sz w:val="17"/>
        </w:rPr>
        <w:t>The weighted average interest rate on all long-term debt was 4.6%</w:t>
      </w:r>
      <w:r>
        <w:rPr>
          <w:sz w:val="17"/>
        </w:rPr>
        <w:t xml:space="preserve"> </w:t>
      </w:r>
      <w:r>
        <w:rPr>
          <w:rFonts w:ascii="inherit" w:hAnsi="inherit"/>
          <w:sz w:val="17"/>
        </w:rPr>
        <w:t>and 4.4%, respectively, at June 30, 2019</w:t>
      </w:r>
      <w:r>
        <w:rPr>
          <w:sz w:val="17"/>
        </w:rPr>
        <w:t xml:space="preserve"> </w:t>
      </w:r>
      <w:r>
        <w:rPr>
          <w:rFonts w:ascii="inherit" w:hAnsi="inherit"/>
          <w:sz w:val="17"/>
        </w:rPr>
        <w:t>and December 31, 2018.</w:t>
      </w:r>
    </w:p>
    <w:p>
      <w:pPr>
        <w:pStyle w:val="TextBody"/>
        <w:spacing w:lineRule="auto" w:line="288" w:before="0" w:after="0"/>
        <w:ind w:left="0" w:right="0" w:firstLine="450"/>
        <w:rPr>
          <w:rFonts w:ascii="inherit" w:hAnsi="inherit"/>
          <w:sz w:val="17"/>
        </w:rPr>
      </w:pPr>
      <w:r>
        <w:rPr>
          <w:rFonts w:ascii="inherit" w:hAnsi="inherit"/>
          <w:sz w:val="17"/>
        </w:rPr>
        <w:t>As of June 30, 2019, the Partnership was in compliance with all of the covenants under the OpCo Revolver and the MLP Revolver.</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left"/>
        <w:rPr/>
      </w:pPr>
      <w:hyperlink w:anchor="s0D5445E028A35494AA9A1154E3029470">
        <w:bookmarkStart w:id="25" w:name="s5765A81BBD9051148D07E268B3C1737E"/>
        <w:bookmarkEnd w:id="25"/>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sz w:val="17"/>
        </w:rPr>
      </w:pPr>
      <w:r>
        <w:rPr>
          <w:b/>
          <w:sz w:val="17"/>
        </w:rPr>
        <w:t>10.</w:t>
      </w:r>
      <w:r>
        <w:rPr>
          <w:sz w:val="17"/>
        </w:rPr>
        <w:t xml:space="preserve"> </w:t>
      </w:r>
      <w:r>
        <w:rPr>
          <w:b/>
          <w:sz w:val="17"/>
        </w:rPr>
        <w:t>Fair Value Measurements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pStyle w:val="TextBody"/>
        <w:spacing w:lineRule="auto" w:line="288" w:before="0" w:after="0"/>
        <w:ind w:left="0" w:right="0" w:firstLine="48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ind w:left="0" w:right="0" w:firstLine="480"/>
        <w:rPr>
          <w:rFonts w:ascii="inherit" w:hAnsi="inherit"/>
          <w:sz w:val="17"/>
        </w:rPr>
      </w:pPr>
      <w:r>
        <w:rPr>
          <w:rFonts w:ascii="inherit" w:hAnsi="inherit"/>
          <w:sz w:val="17"/>
        </w:rPr>
        <w:t>Level 2: Observable market-based inputs or unobservable inputs that are corroborated by market data.</w:t>
      </w:r>
    </w:p>
    <w:p>
      <w:pPr>
        <w:pStyle w:val="TextBody"/>
        <w:spacing w:lineRule="auto" w:line="288" w:before="0" w:after="0"/>
        <w:ind w:left="0" w:right="0" w:firstLine="480"/>
        <w:rPr>
          <w:rFonts w:ascii="inherit" w:hAnsi="inherit"/>
          <w:sz w:val="17"/>
        </w:rPr>
      </w:pPr>
      <w:r>
        <w:rPr>
          <w:rFonts w:ascii="inherit" w:hAnsi="inherit"/>
          <w:sz w:val="17"/>
        </w:rPr>
        <w:t>Level 3: Unobservable inputs that are not corroborated by market data.</w:t>
      </w:r>
    </w:p>
    <w:p>
      <w:pPr>
        <w:pStyle w:val="TextBody"/>
        <w:spacing w:lineRule="auto" w:line="288" w:before="0" w:after="0"/>
        <w:ind w:left="0" w:right="0" w:firstLine="480"/>
        <w:rPr>
          <w:sz w:val="17"/>
        </w:rPr>
      </w:pPr>
      <w:r>
        <w:rPr>
          <w:rFonts w:ascii="inherit" w:hAnsi="inherit"/>
          <w:sz w:val="17"/>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2019</w:t>
      </w:r>
      <w:r>
        <w:rPr>
          <w:sz w:val="17"/>
        </w:rPr>
        <w:t xml:space="preserve"> </w:t>
      </w:r>
      <w:r>
        <w:rPr>
          <w:rFonts w:ascii="inherit" w:hAnsi="inherit"/>
          <w:sz w:val="17"/>
        </w:rPr>
        <w:t>and December 31, 2018</w:t>
      </w:r>
      <w:r>
        <w:rPr>
          <w:sz w:val="17"/>
        </w:rPr>
        <w:t xml:space="preserve"> </w:t>
      </w:r>
      <w:r>
        <w:rPr>
          <w:rFonts w:ascii="inherit" w:hAnsi="inherit"/>
          <w:sz w:val="17"/>
        </w:rPr>
        <w:t>are summarized in the table below. The Partnership's long-term debt includes the OpCo Revolver and the MLP Revolver at June 30, 2019.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tbl>
      <w:tblPr>
        <w:tblW w:w="4905" w:type="dxa"/>
        <w:jc w:val="left"/>
        <w:tblInd w:w="0" w:type="dxa"/>
        <w:tblCellMar>
          <w:top w:w="0" w:type="dxa"/>
          <w:left w:w="0" w:type="dxa"/>
          <w:bottom w:w="0" w:type="dxa"/>
          <w:right w:w="0" w:type="dxa"/>
        </w:tblCellMar>
      </w:tblPr>
      <w:tblGrid>
        <w:gridCol w:w="1340"/>
        <w:gridCol w:w="90"/>
        <w:gridCol w:w="125"/>
        <w:gridCol w:w="590"/>
        <w:gridCol w:w="30"/>
        <w:gridCol w:w="90"/>
        <w:gridCol w:w="125"/>
        <w:gridCol w:w="590"/>
        <w:gridCol w:w="30"/>
        <w:gridCol w:w="90"/>
        <w:gridCol w:w="125"/>
        <w:gridCol w:w="695"/>
        <w:gridCol w:w="30"/>
        <w:gridCol w:w="90"/>
        <w:gridCol w:w="125"/>
        <w:gridCol w:w="695"/>
        <w:gridCol w:w="45"/>
      </w:tblGrid>
      <w:tr>
        <w:trPr/>
        <w:tc>
          <w:tcPr>
            <w:tcW w:w="4905" w:type="dxa"/>
            <w:gridSpan w:val="17"/>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8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18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13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1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OpCo Revolver</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22,619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23,072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224,064</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221,002</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MLP Revolver</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377,055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377,862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253,544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249,747</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bookmarkStart w:id="26" w:name="sE8969C161CC7538E80CB3B8FB433FF93"/>
      <w:bookmarkEnd w:id="26"/>
      <w:r>
        <w:rPr>
          <w:b/>
          <w:sz w:val="17"/>
        </w:rPr>
        <w:t>11.</w:t>
      </w:r>
      <w:r>
        <w:rPr>
          <w:sz w:val="17"/>
        </w:rPr>
        <w:t xml:space="preserve"> </w:t>
      </w:r>
      <w:r>
        <w:rPr>
          <w:b/>
          <w:sz w:val="17"/>
        </w:rPr>
        <w:t>Supplemental Information</w:t>
      </w:r>
      <w:r>
        <w:rPr>
          <w:sz w:val="17"/>
        </w:rPr>
        <w:t xml:space="preserve"> </w:t>
      </w:r>
    </w:p>
    <w:p>
      <w:pPr>
        <w:pStyle w:val="TextBody"/>
        <w:spacing w:lineRule="auto" w:line="288" w:before="0" w:after="0"/>
        <w:jc w:val="left"/>
        <w:rPr>
          <w:rFonts w:ascii="inherit" w:hAnsi="inherit"/>
          <w:b/>
          <w:i/>
          <w:sz w:val="17"/>
        </w:rPr>
      </w:pPr>
      <w:r>
        <w:rPr>
          <w:rFonts w:ascii="inherit" w:hAnsi="inherit"/>
          <w:b/>
          <w:i/>
          <w:sz w:val="17"/>
        </w:rPr>
        <w:t>Accrued Liabilities</w:t>
      </w:r>
    </w:p>
    <w:p>
      <w:pPr>
        <w:pStyle w:val="TextBody"/>
        <w:spacing w:lineRule="auto" w:line="288" w:before="0" w:after="0"/>
        <w:ind w:left="0" w:right="0" w:firstLine="450"/>
        <w:jc w:val="left"/>
        <w:rPr>
          <w:sz w:val="17"/>
        </w:rPr>
      </w:pPr>
      <w:r>
        <w:rPr>
          <w:rFonts w:ascii="inherit" w:hAnsi="inherit"/>
          <w:sz w:val="17"/>
        </w:rPr>
        <w:t>Accrued liabilities were $18,287</w:t>
      </w:r>
      <w:r>
        <w:rPr>
          <w:sz w:val="17"/>
        </w:rPr>
        <w:t xml:space="preserve"> </w:t>
      </w:r>
      <w:r>
        <w:rPr>
          <w:rFonts w:ascii="inherit" w:hAnsi="inherit"/>
          <w:sz w:val="17"/>
        </w:rPr>
        <w:t>and $16,250</w:t>
      </w:r>
      <w:r>
        <w:rPr>
          <w:sz w:val="17"/>
        </w:rPr>
        <w:t xml:space="preserve"> </w:t>
      </w:r>
      <w:r>
        <w:rPr>
          <w:rFonts w:ascii="inherit" w:hAnsi="inherit"/>
          <w:sz w:val="17"/>
        </w:rPr>
        <w:t>at June 30, 2019</w:t>
      </w:r>
      <w:r>
        <w:rPr>
          <w:sz w:val="17"/>
        </w:rPr>
        <w:t xml:space="preserve"> </w:t>
      </w:r>
      <w:r>
        <w:rPr>
          <w:rFonts w:ascii="inherit" w:hAnsi="inherit"/>
          <w:sz w:val="17"/>
        </w:rPr>
        <w:t>and December 31, 2018, respectively. Accrued interest, accrued maintenance, capital expenditures and accrued taxes, which are components of accrued liabilities, were $5,384, $2,451, $2,057</w:t>
      </w:r>
      <w:r>
        <w:rPr>
          <w:sz w:val="17"/>
        </w:rPr>
        <w:t xml:space="preserve"> </w:t>
      </w:r>
      <w:r>
        <w:rPr>
          <w:rFonts w:ascii="inherit" w:hAnsi="inherit"/>
          <w:sz w:val="17"/>
        </w:rPr>
        <w:t>and $3,975, respectively, at June 30, 2019, and $5,448, $2,688, $2,818</w:t>
      </w:r>
      <w:r>
        <w:rPr>
          <w:sz w:val="17"/>
        </w:rPr>
        <w:t xml:space="preserve"> </w:t>
      </w:r>
      <w:r>
        <w:rPr>
          <w:rFonts w:ascii="inherit" w:hAnsi="inherit"/>
          <w:sz w:val="17"/>
        </w:rPr>
        <w:t>and $1,564, respectively, at December 31, 2018. No other component of accrued liabilities was more than five percent of total current liabilities.</w:t>
      </w:r>
    </w:p>
    <w:p>
      <w:pPr>
        <w:pStyle w:val="TextBody"/>
        <w:spacing w:lineRule="auto" w:line="288" w:before="0" w:after="0"/>
        <w:jc w:val="left"/>
        <w:rPr>
          <w:rFonts w:ascii="inherit" w:hAnsi="inherit"/>
          <w:b/>
          <w:i/>
          <w:sz w:val="17"/>
        </w:rPr>
      </w:pPr>
      <w:r>
        <w:rPr>
          <w:rFonts w:ascii="inherit" w:hAnsi="inherit"/>
          <w:b/>
          <w:i/>
          <w:sz w:val="17"/>
        </w:rPr>
        <w:t>Non-cash Investing Activity</w:t>
      </w:r>
    </w:p>
    <w:p>
      <w:pPr>
        <w:pStyle w:val="TextBody"/>
        <w:spacing w:lineRule="auto" w:line="288" w:before="0" w:after="0"/>
        <w:ind w:left="0" w:right="0" w:firstLine="450"/>
        <w:jc w:val="left"/>
        <w:rPr>
          <w:sz w:val="17"/>
        </w:rPr>
      </w:pPr>
      <w:r>
        <w:rPr>
          <w:rFonts w:ascii="inherit" w:hAnsi="inherit"/>
          <w:sz w:val="17"/>
        </w:rPr>
        <w:t>The change in capital expenditure accrual resulted in an increase</w:t>
      </w:r>
      <w:r>
        <w:rPr>
          <w:sz w:val="17"/>
        </w:rPr>
        <w:t xml:space="preserve"> </w:t>
      </w:r>
      <w:r>
        <w:rPr>
          <w:rFonts w:ascii="inherit" w:hAnsi="inherit"/>
          <w:sz w:val="17"/>
        </w:rPr>
        <w:t>in additions to property, plant and equipment by $567</w:t>
      </w:r>
      <w:r>
        <w:rPr>
          <w:sz w:val="17"/>
        </w:rPr>
        <w:t xml:space="preserve"> </w:t>
      </w:r>
      <w:r>
        <w:rPr>
          <w:rFonts w:ascii="inherit" w:hAnsi="inherit"/>
          <w:sz w:val="17"/>
        </w:rPr>
        <w:t>for the six months ended June 30, 2019. The change in capital expenditure accrual resulted in a decrease</w:t>
      </w:r>
      <w:r>
        <w:rPr>
          <w:sz w:val="17"/>
        </w:rPr>
        <w:t xml:space="preserve"> </w:t>
      </w:r>
      <w:r>
        <w:rPr>
          <w:rFonts w:ascii="inherit" w:hAnsi="inherit"/>
          <w:sz w:val="17"/>
        </w:rPr>
        <w:t>in additions to property, plant and equipment by $5,042</w:t>
      </w:r>
      <w:r>
        <w:rPr>
          <w:sz w:val="17"/>
        </w:rPr>
        <w:t xml:space="preserve"> </w:t>
      </w:r>
      <w:r>
        <w:rPr>
          <w:rFonts w:ascii="inherit" w:hAnsi="inherit"/>
          <w:sz w:val="17"/>
        </w:rPr>
        <w:t>for the six months ended June 30, 2018.</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left"/>
        <w:rPr/>
      </w:pPr>
      <w:hyperlink w:anchor="s0D5445E028A35494AA9A1154E3029470">
        <w:bookmarkStart w:id="27" w:name="sAC458CAD365D543598FE4FDE48193734"/>
        <w:bookmarkEnd w:id="27"/>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sz w:val="17"/>
        </w:rPr>
      </w:pPr>
      <w:r>
        <w:rPr>
          <w:b/>
          <w:sz w:val="17"/>
        </w:rPr>
        <w:t>12.</w:t>
      </w:r>
      <w:r>
        <w:rPr>
          <w:sz w:val="17"/>
        </w:rPr>
        <w:t xml:space="preserve"> </w:t>
      </w:r>
      <w:r>
        <w:rPr>
          <w:b/>
          <w:sz w:val="17"/>
        </w:rPr>
        <w:t>Commitments and Contingencies</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pStyle w:val="TextBody"/>
        <w:spacing w:lineRule="auto" w:line="288" w:before="0" w:after="0"/>
        <w:ind w:left="0" w:right="0" w:firstLine="450"/>
        <w:rPr>
          <w:rFonts w:ascii="inherit" w:hAnsi="inherit"/>
          <w:sz w:val="17"/>
        </w:rPr>
      </w:pPr>
      <w:r>
        <w:rPr>
          <w:rFonts w:ascii="inherit" w:hAnsi="inherit"/>
          <w:sz w:val="17"/>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pStyle w:val="TextBody"/>
        <w:spacing w:lineRule="auto" w:line="288" w:before="0" w:after="0"/>
        <w:jc w:val="left"/>
        <w:rPr>
          <w:rFonts w:ascii="inherit" w:hAnsi="inherit"/>
          <w:b/>
          <w:sz w:val="17"/>
        </w:rPr>
      </w:pPr>
      <w:bookmarkStart w:id="28" w:name="sFFFBD8234C7B57999124CF443979C3AD"/>
      <w:bookmarkEnd w:id="28"/>
      <w:r>
        <w:rPr>
          <w:rFonts w:ascii="inherit" w:hAnsi="inherit"/>
          <w:b/>
          <w:sz w:val="17"/>
        </w:rPr>
        <w:t xml:space="preserve">Item 2. Management's Discussion and Analysis of Financial Condition and Results of Operations </w:t>
      </w:r>
    </w:p>
    <w:p>
      <w:pPr>
        <w:pStyle w:val="TextBody"/>
        <w:spacing w:lineRule="auto" w:line="288" w:before="0" w:after="0"/>
        <w:ind w:left="0" w:right="0" w:firstLine="450"/>
        <w:jc w:val="left"/>
        <w:rPr>
          <w:sz w:val="17"/>
        </w:rPr>
      </w:pPr>
      <w:r>
        <w:rPr>
          <w:rFonts w:ascii="inherit" w:hAnsi="inherit"/>
          <w:sz w:val="17"/>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2018</w:t>
      </w:r>
      <w:r>
        <w:rPr>
          <w:sz w:val="17"/>
        </w:rPr>
        <w:t xml:space="preserve"> </w:t>
      </w:r>
      <w:r>
        <w:rPr>
          <w:rFonts w:ascii="inherit" w:hAnsi="inherit"/>
          <w:sz w:val="17"/>
        </w:rPr>
        <w:t>(the "2018</w:t>
      </w:r>
      <w:r>
        <w:rPr>
          <w:sz w:val="17"/>
        </w:rPr>
        <w:t xml:space="preserve"> </w:t>
      </w:r>
      <w:r>
        <w:rPr>
          <w:rFonts w:ascii="inherit" w:hAnsi="inherit"/>
          <w:sz w:val="17"/>
        </w:rPr>
        <w:t>Form 10-K"), as filed with the SEC on March 1, 2019.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pStyle w:val="TextBody"/>
        <w:spacing w:lineRule="auto" w:line="288" w:before="0" w:after="0"/>
        <w:jc w:val="left"/>
        <w:rPr>
          <w:rFonts w:ascii="inherit" w:hAnsi="inherit"/>
          <w:b/>
          <w:sz w:val="17"/>
        </w:rPr>
      </w:pPr>
      <w:r>
        <w:rPr>
          <w:rFonts w:ascii="inherit" w:hAnsi="inherit"/>
          <w:b/>
          <w:sz w:val="17"/>
        </w:rPr>
        <w:t>Partnership Overview</w:t>
      </w:r>
    </w:p>
    <w:p>
      <w:pPr>
        <w:pStyle w:val="TextBody"/>
        <w:spacing w:lineRule="auto" w:line="288" w:before="0" w:after="0"/>
        <w:ind w:left="0" w:right="0" w:firstLine="450"/>
        <w:jc w:val="left"/>
        <w:rPr>
          <w:sz w:val="17"/>
        </w:rPr>
      </w:pPr>
      <w:r>
        <w:rPr>
          <w:rFonts w:ascii="inherit" w:hAnsi="inherit"/>
          <w:sz w:val="17"/>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w:t>
      </w:r>
      <w:r>
        <w:rPr>
          <w:sz w:val="17"/>
        </w:rPr>
        <w:t xml:space="preserve"> </w:t>
      </w:r>
      <w:r>
        <w:rPr>
          <w:rFonts w:ascii="inherit" w:hAnsi="inherit"/>
          <w:sz w:val="17"/>
        </w:rPr>
        <w:t>interest in OpCo, effective January 1, 2019, resulting in us owning an aggregate 22.8%</w:t>
      </w:r>
      <w:r>
        <w:rPr>
          <w:sz w:val="17"/>
        </w:rPr>
        <w:t xml:space="preserve"> </w:t>
      </w:r>
      <w:r>
        <w:rPr>
          <w:rFonts w:ascii="inherit" w:hAnsi="inherit"/>
          <w:sz w:val="17"/>
        </w:rPr>
        <w:t xml:space="preserve">limited partner interest in OpCo. </w:t>
      </w:r>
    </w:p>
    <w:p>
      <w:pPr>
        <w:pStyle w:val="TextBody"/>
        <w:spacing w:lineRule="auto" w:line="288" w:before="0" w:after="0"/>
        <w:ind w:left="0" w:right="0" w:firstLine="450"/>
        <w:jc w:val="left"/>
        <w:rPr>
          <w:sz w:val="17"/>
        </w:rPr>
      </w:pPr>
      <w:r>
        <w:rPr>
          <w:rFonts w:ascii="inherit" w:hAnsi="inherit"/>
          <w:sz w:val="17"/>
        </w:rPr>
        <w:t>Currently, our sole revenue generating asset is our 22.8%</w:t>
      </w:r>
      <w:r>
        <w:rPr>
          <w:sz w:val="17"/>
        </w:rPr>
        <w:t xml:space="preserve"> </w:t>
      </w:r>
      <w:r>
        <w:rPr>
          <w:rFonts w:ascii="inherit" w:hAnsi="inherit"/>
          <w:sz w:val="17"/>
        </w:rPr>
        <w:t>limited partner interest in OpCo, a limited partnership formed by Westlake and us in anticipation of the IPO to own and operate an ethylene production business. We control OpCo through our ownership of its general partner. Westlake retains the remaining 77.2%</w:t>
      </w:r>
      <w:r>
        <w:rPr>
          <w:sz w:val="17"/>
        </w:rPr>
        <w:t xml:space="preserve"> </w:t>
      </w:r>
      <w:r>
        <w:rPr>
          <w:rFonts w:ascii="inherit" w:hAnsi="inherit"/>
          <w:sz w:val="17"/>
        </w:rPr>
        <w:t>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How We Generate Revenue</w:t>
      </w:r>
    </w:p>
    <w:p>
      <w:pPr>
        <w:pStyle w:val="TextBody"/>
        <w:spacing w:lineRule="auto" w:line="288" w:before="0" w:after="0"/>
        <w:ind w:left="0" w:right="0" w:firstLine="480"/>
        <w:jc w:val="left"/>
        <w:rPr>
          <w:rFonts w:ascii="inherit" w:hAnsi="inherit"/>
          <w:sz w:val="17"/>
        </w:rPr>
      </w:pPr>
      <w:r>
        <w:rPr>
          <w:rFonts w:ascii="inherit" w:hAnsi="inherit"/>
          <w:sz w:val="17"/>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pStyle w:val="TextBody"/>
        <w:spacing w:lineRule="auto" w:line="288" w:before="0" w:after="0"/>
        <w:ind w:left="0" w:right="0" w:firstLine="480"/>
        <w:jc w:val="left"/>
        <w:rPr>
          <w:rFonts w:ascii="inherit" w:hAnsi="inherit"/>
          <w:sz w:val="17"/>
        </w:rPr>
      </w:pPr>
      <w:r>
        <w:rPr>
          <w:rFonts w:ascii="inherit" w:hAnsi="inherit"/>
          <w:sz w:val="17"/>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pStyle w:val="TextBody"/>
        <w:spacing w:lineRule="auto" w:line="288" w:before="0" w:after="0"/>
        <w:jc w:val="left"/>
        <w:rPr>
          <w:rFonts w:ascii="inherit" w:hAnsi="inherit"/>
          <w:b/>
          <w:sz w:val="17"/>
        </w:rPr>
      </w:pPr>
      <w:r>
        <w:rPr>
          <w:rFonts w:ascii="inherit" w:hAnsi="inherit"/>
          <w:b/>
          <w:sz w:val="17"/>
        </w:rPr>
        <w:t>Operating Expenses, Maintenance Capital Expenditures and Turnaround Costs</w:t>
      </w:r>
    </w:p>
    <w:p>
      <w:pPr>
        <w:pStyle w:val="TextBody"/>
        <w:spacing w:lineRule="auto" w:line="288" w:before="0" w:after="0"/>
        <w:ind w:left="0" w:right="0" w:firstLine="480"/>
        <w:jc w:val="left"/>
        <w:rPr>
          <w:rFonts w:ascii="inherit" w:hAnsi="inherit"/>
          <w:sz w:val="17"/>
        </w:rPr>
      </w:pPr>
      <w:r>
        <w:rPr>
          <w:rFonts w:ascii="inherit" w:hAnsi="inherit"/>
          <w:sz w:val="17"/>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pStyle w:val="TextBody"/>
        <w:spacing w:lineRule="auto" w:line="288" w:before="0" w:after="0"/>
        <w:ind w:left="0" w:right="0" w:firstLine="480"/>
        <w:jc w:val="left"/>
        <w:rPr>
          <w:rFonts w:ascii="inherit" w:hAnsi="inherit"/>
          <w:sz w:val="17"/>
        </w:rPr>
      </w:pPr>
      <w:r>
        <w:rPr>
          <w:rFonts w:ascii="inherit" w:hAnsi="inherit"/>
          <w:sz w:val="17"/>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MLP Distributable Cash Flow and EBITDA</w:t>
      </w:r>
    </w:p>
    <w:p>
      <w:pPr>
        <w:pStyle w:val="TextBody"/>
        <w:spacing w:lineRule="auto" w:line="288" w:before="0" w:after="0"/>
        <w:ind w:left="0" w:right="0" w:firstLine="450"/>
        <w:rPr>
          <w:rFonts w:ascii="inherit" w:hAnsi="inherit"/>
          <w:sz w:val="17"/>
        </w:rPr>
      </w:pPr>
      <w:r>
        <w:rPr>
          <w:rFonts w:ascii="inherit" w:hAnsi="inherit"/>
          <w:sz w:val="17"/>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The non-GAAP financial measures described in this Form 10-Q are not substitutes for the GAAP measures of earnings and cash flows. We use each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tbl>
      <w:tblPr>
        <w:tblW w:w="7105" w:type="dxa"/>
        <w:jc w:val="left"/>
        <w:tblInd w:w="0" w:type="dxa"/>
        <w:tblCellMar>
          <w:top w:w="0" w:type="dxa"/>
          <w:left w:w="0" w:type="dxa"/>
          <w:bottom w:w="0" w:type="dxa"/>
          <w:right w:w="0" w:type="dxa"/>
        </w:tblCellMar>
      </w:tblPr>
      <w:tblGrid>
        <w:gridCol w:w="485"/>
        <w:gridCol w:w="6620"/>
      </w:tblGrid>
      <w:tr>
        <w:trPr/>
        <w:tc>
          <w:tcPr>
            <w:tcW w:w="48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6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operating performance as compared to other publicly traded partnerships;</w:t>
            </w:r>
          </w:p>
        </w:tc>
      </w:tr>
    </w:tbl>
    <w:tbl>
      <w:tblPr>
        <w:tblW w:w="6430" w:type="dxa"/>
        <w:jc w:val="left"/>
        <w:tblInd w:w="0" w:type="dxa"/>
        <w:tblCellMar>
          <w:top w:w="0" w:type="dxa"/>
          <w:left w:w="0" w:type="dxa"/>
          <w:bottom w:w="0" w:type="dxa"/>
          <w:right w:w="0" w:type="dxa"/>
        </w:tblCellMar>
      </w:tblPr>
      <w:tblGrid>
        <w:gridCol w:w="485"/>
        <w:gridCol w:w="5945"/>
      </w:tblGrid>
      <w:tr>
        <w:trPr/>
        <w:tc>
          <w:tcPr>
            <w:tcW w:w="485" w:type="dxa"/>
            <w:tcBorders/>
            <w:shd w:fill="auto" w:val="clear"/>
            <w:vAlign w:val="center"/>
          </w:tcPr>
          <w:p>
            <w:pPr>
              <w:pStyle w:val="TableContents"/>
              <w:spacing w:before="0" w:after="283"/>
              <w:rPr>
                <w:sz w:val="4"/>
                <w:szCs w:val="4"/>
              </w:rPr>
            </w:pPr>
            <w:r>
              <w:rPr>
                <w:sz w:val="4"/>
                <w:szCs w:val="4"/>
              </w:rPr>
            </w:r>
          </w:p>
        </w:tc>
        <w:tc>
          <w:tcPr>
            <w:tcW w:w="59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incur and service debt and fund capital expenditures;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viability of acquisitions and other capital expenditure projects and the returns on investment of various investment opportunities.</w:t>
            </w:r>
          </w:p>
        </w:tc>
      </w:tr>
    </w:tbl>
    <w:p>
      <w:pPr>
        <w:pStyle w:val="TextBody"/>
        <w:spacing w:lineRule="auto" w:line="288" w:before="0" w:after="0"/>
        <w:ind w:left="0" w:right="0" w:firstLine="450"/>
        <w:rPr>
          <w:rFonts w:ascii="inherit" w:hAnsi="inherit"/>
          <w:sz w:val="17"/>
        </w:rPr>
      </w:pPr>
      <w:r>
        <w:rPr>
          <w:rFonts w:ascii="inherit" w:hAnsi="inherit"/>
          <w:sz w:val="17"/>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income from operations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is a necessary element of our operations in the jurisdictions we operate in. MLP distributable cash flow and EBITDA should not be considered in isolation or as a substitute for analysis of our results as reported under GAAP. See reconciliations for each of MLP distributable cash flow and EBITDA under "Results of Operations" below.</w:t>
      </w:r>
    </w:p>
    <w:p>
      <w:pPr>
        <w:pStyle w:val="TextBody"/>
        <w:spacing w:lineRule="auto" w:line="288" w:before="0" w:after="0"/>
        <w:jc w:val="left"/>
        <w:rPr>
          <w:rFonts w:ascii="inherit" w:hAnsi="inherit"/>
          <w:b/>
          <w:sz w:val="17"/>
        </w:rPr>
      </w:pPr>
      <w:r>
        <w:rPr>
          <w:rFonts w:ascii="inherit" w:hAnsi="inherit"/>
          <w:b/>
          <w:sz w:val="17"/>
        </w:rPr>
        <w:t>Recent Developments</w:t>
      </w:r>
    </w:p>
    <w:p>
      <w:pPr>
        <w:pStyle w:val="TextBody"/>
        <w:spacing w:lineRule="auto" w:line="288" w:before="0" w:after="0"/>
        <w:ind w:left="0" w:right="0" w:firstLine="450"/>
        <w:jc w:val="left"/>
        <w:rPr>
          <w:rFonts w:ascii="inherit" w:hAnsi="inherit"/>
          <w:sz w:val="17"/>
        </w:rPr>
      </w:pPr>
      <w:r>
        <w:rPr>
          <w:rFonts w:ascii="inherit" w:hAnsi="inherit"/>
          <w:sz w:val="17"/>
        </w:rPr>
        <w:t>In April 2019, the Partnership repaid $201.4 million of borrowings under the OpCo Revolver.</w:t>
      </w:r>
    </w:p>
    <w:p>
      <w:pPr>
        <w:pStyle w:val="TextBody"/>
        <w:spacing w:lineRule="auto" w:line="288" w:before="0" w:after="0"/>
        <w:ind w:left="0" w:right="0" w:firstLine="45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Results of Operations</w:t>
      </w:r>
    </w:p>
    <w:tbl>
      <w:tblPr>
        <w:tblW w:w="10205" w:type="dxa"/>
        <w:jc w:val="center"/>
        <w:tblInd w:w="0" w:type="dxa"/>
        <w:tblCellMar>
          <w:top w:w="0" w:type="dxa"/>
          <w:left w:w="0" w:type="dxa"/>
          <w:bottom w:w="0" w:type="dxa"/>
          <w:right w:w="0" w:type="dxa"/>
        </w:tblCellMar>
      </w:tblPr>
      <w:tblGrid>
        <w:gridCol w:w="5408"/>
        <w:gridCol w:w="93"/>
        <w:gridCol w:w="144"/>
        <w:gridCol w:w="809"/>
        <w:gridCol w:w="126"/>
        <w:gridCol w:w="102"/>
        <w:gridCol w:w="144"/>
        <w:gridCol w:w="809"/>
        <w:gridCol w:w="126"/>
        <w:gridCol w:w="93"/>
        <w:gridCol w:w="130"/>
        <w:gridCol w:w="731"/>
        <w:gridCol w:w="115"/>
        <w:gridCol w:w="93"/>
        <w:gridCol w:w="130"/>
        <w:gridCol w:w="731"/>
        <w:gridCol w:w="421"/>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5408"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08" w:type="dxa"/>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226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3" w:type="dxa"/>
            <w:tcBorders/>
            <w:shd w:fill="auto" w:val="clear"/>
            <w:vAlign w:val="center"/>
          </w:tcPr>
          <w:p>
            <w:pPr>
              <w:pStyle w:val="TableContents"/>
              <w:spacing w:before="0" w:after="0"/>
              <w:ind w:left="0" w:right="0" w:firstLine="30"/>
              <w:rPr/>
            </w:pPr>
            <w:r>
              <w:rPr/>
              <w:t> </w:t>
            </w:r>
          </w:p>
        </w:tc>
        <w:tc>
          <w:tcPr>
            <w:tcW w:w="235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408" w:type="dxa"/>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107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2" w:type="dxa"/>
            <w:tcBorders/>
            <w:shd w:fill="auto" w:val="clear"/>
            <w:vAlign w:val="center"/>
          </w:tcPr>
          <w:p>
            <w:pPr>
              <w:pStyle w:val="TableContents"/>
              <w:spacing w:before="0" w:after="0"/>
              <w:ind w:left="0" w:right="0" w:firstLine="30"/>
              <w:rPr/>
            </w:pPr>
            <w:r>
              <w:rPr/>
              <w:t> </w:t>
            </w:r>
          </w:p>
        </w:tc>
        <w:tc>
          <w:tcPr>
            <w:tcW w:w="1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3" w:type="dxa"/>
            <w:tcBorders/>
            <w:shd w:fill="auto" w:val="clear"/>
            <w:vAlign w:val="center"/>
          </w:tcPr>
          <w:p>
            <w:pPr>
              <w:pStyle w:val="TableContents"/>
              <w:spacing w:before="0" w:after="0"/>
              <w:ind w:left="0" w:right="0" w:firstLine="30"/>
              <w:rPr/>
            </w:pPr>
            <w:r>
              <w:rPr/>
              <w:t> </w:t>
            </w:r>
          </w:p>
        </w:tc>
        <w:tc>
          <w:tcPr>
            <w:tcW w:w="9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408" w:type="dxa"/>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976" w:type="dxa"/>
            <w:gridSpan w:val="3"/>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5408" w:type="dxa"/>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4704"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540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93"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102"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976"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0"/>
              <w:rPr/>
            </w:pPr>
            <w:r>
              <w:rPr/>
              <w:t> </w:t>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93"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230,047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253,673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auto" w:val="clear"/>
            <w:vAlign w:val="center"/>
          </w:tcPr>
          <w:p>
            <w:pPr>
              <w:pStyle w:val="TableContents"/>
              <w:spacing w:before="0" w:after="0"/>
              <w:jc w:val="right"/>
              <w:rPr>
                <w:rFonts w:ascii="inherit" w:hAnsi="inherit"/>
                <w:sz w:val="17"/>
              </w:rPr>
            </w:pPr>
            <w:r>
              <w:rPr>
                <w:rFonts w:ascii="inherit" w:hAnsi="inherit"/>
                <w:sz w:val="17"/>
              </w:rPr>
              <w:t>487,087</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auto" w:val="clear"/>
            <w:vAlign w:val="center"/>
          </w:tcPr>
          <w:p>
            <w:pPr>
              <w:pStyle w:val="TableContents"/>
              <w:spacing w:before="0" w:after="0"/>
              <w:jc w:val="right"/>
              <w:rPr>
                <w:rFonts w:ascii="inherit" w:hAnsi="inherit"/>
                <w:sz w:val="17"/>
              </w:rPr>
            </w:pPr>
            <w:r>
              <w:rPr>
                <w:rFonts w:ascii="inherit" w:hAnsi="inherit"/>
                <w:sz w:val="17"/>
              </w:rPr>
              <w:t>488,704</w:t>
            </w:r>
          </w:p>
        </w:tc>
        <w:tc>
          <w:tcPr>
            <w:tcW w:w="4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co-product, ethylene and other sales—third parties</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40,015</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48,302</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82,061</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97,543</w:t>
            </w:r>
          </w:p>
        </w:tc>
        <w:tc>
          <w:tcPr>
            <w:tcW w:w="4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270,062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301,975</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569,148</w:t>
            </w:r>
          </w:p>
        </w:tc>
        <w:tc>
          <w:tcPr>
            <w:tcW w:w="1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586,247</w:t>
            </w:r>
          </w:p>
        </w:tc>
        <w:tc>
          <w:tcPr>
            <w:tcW w:w="42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178,104</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204,857</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386,536</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396,624</w:t>
            </w:r>
          </w:p>
        </w:tc>
        <w:tc>
          <w:tcPr>
            <w:tcW w:w="4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91,958</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97,118</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182,612</w:t>
            </w:r>
          </w:p>
        </w:tc>
        <w:tc>
          <w:tcPr>
            <w:tcW w:w="1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189,623</w:t>
            </w:r>
          </w:p>
        </w:tc>
        <w:tc>
          <w:tcPr>
            <w:tcW w:w="42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7,639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7,375</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14,612</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14,508</w:t>
            </w:r>
          </w:p>
        </w:tc>
        <w:tc>
          <w:tcPr>
            <w:tcW w:w="4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84,319</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89,743</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168,000</w:t>
            </w:r>
          </w:p>
        </w:tc>
        <w:tc>
          <w:tcPr>
            <w:tcW w:w="1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175,115</w:t>
            </w:r>
          </w:p>
        </w:tc>
        <w:tc>
          <w:tcPr>
            <w:tcW w:w="42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Other income (expense)</w:t>
            </w:r>
          </w:p>
        </w:tc>
        <w:tc>
          <w:tcPr>
            <w:tcW w:w="93"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102"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976"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0"/>
              <w:rPr/>
            </w:pPr>
            <w:r>
              <w:rPr/>
              <w:t> </w:t>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(5,547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(10,413</w:t>
            </w:r>
          </w:p>
        </w:tc>
        <w:tc>
          <w:tcPr>
            <w:tcW w:w="4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1,968</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1,074</w:t>
            </w:r>
          </w:p>
        </w:tc>
        <w:tc>
          <w:tcPr>
            <w:tcW w:w="4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80,347</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84,779</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158,943</w:t>
            </w:r>
          </w:p>
        </w:tc>
        <w:tc>
          <w:tcPr>
            <w:tcW w:w="1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165,776</w:t>
            </w:r>
          </w:p>
        </w:tc>
        <w:tc>
          <w:tcPr>
            <w:tcW w:w="421"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303</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437</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586</w:t>
            </w:r>
          </w:p>
        </w:tc>
        <w:tc>
          <w:tcPr>
            <w:tcW w:w="4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3" w:type="dxa"/>
            <w:tcBorders/>
            <w:shd w:fill="auto" w:val="clear"/>
            <w:vAlign w:val="center"/>
          </w:tcPr>
          <w:p>
            <w:pPr>
              <w:pStyle w:val="TableContents"/>
              <w:spacing w:before="0" w:after="0"/>
              <w:ind w:left="0" w:right="0" w:firstLine="30"/>
              <w:rPr/>
            </w:pPr>
            <w:r>
              <w:rPr/>
              <w:t> </w:t>
            </w:r>
          </w:p>
        </w:tc>
        <w:tc>
          <w:tcPr>
            <w:tcW w:w="95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80,110</w:t>
            </w:r>
          </w:p>
        </w:tc>
        <w:tc>
          <w:tcPr>
            <w:tcW w:w="1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84,476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158,506</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165,190</w:t>
            </w:r>
          </w:p>
        </w:tc>
        <w:tc>
          <w:tcPr>
            <w:tcW w:w="4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 in OpCo</w:t>
            </w:r>
          </w:p>
        </w:tc>
        <w:tc>
          <w:tcPr>
            <w:tcW w:w="93"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66,377</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71,719</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129,818</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140,138</w:t>
            </w:r>
          </w:p>
        </w:tc>
        <w:tc>
          <w:tcPr>
            <w:tcW w:w="4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Net income attributable to Westlake Chemical Partners LP </w:t>
            </w:r>
          </w:p>
        </w:tc>
        <w:tc>
          <w:tcPr>
            <w:tcW w:w="93"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13,733</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12,757</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28,688</w:t>
            </w:r>
          </w:p>
        </w:tc>
        <w:tc>
          <w:tcPr>
            <w:tcW w:w="1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25,052</w:t>
            </w:r>
          </w:p>
        </w:tc>
        <w:tc>
          <w:tcPr>
            <w:tcW w:w="4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MLP distributable cash flow </w:t>
            </w:r>
            <w:r>
              <w:rPr>
                <w:rFonts w:ascii="inherit" w:hAnsi="inherit"/>
                <w:sz w:val="12"/>
              </w:rPr>
              <w:t>(1)</w:t>
            </w:r>
          </w:p>
        </w:tc>
        <w:tc>
          <w:tcPr>
            <w:tcW w:w="93"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CCEEFF" w:val="clear"/>
            <w:vAlign w:val="center"/>
          </w:tcPr>
          <w:p>
            <w:pPr>
              <w:pStyle w:val="TableContents"/>
              <w:spacing w:before="0" w:after="0"/>
              <w:jc w:val="right"/>
              <w:rPr>
                <w:rFonts w:ascii="inherit" w:hAnsi="inherit"/>
                <w:sz w:val="17"/>
              </w:rPr>
            </w:pPr>
            <w:r>
              <w:rPr>
                <w:rFonts w:ascii="inherit" w:hAnsi="inherit"/>
                <w:sz w:val="17"/>
              </w:rPr>
              <w:t>16,422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4"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15,966</w:t>
            </w:r>
          </w:p>
        </w:tc>
        <w:tc>
          <w:tcPr>
            <w:tcW w:w="126"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CCEEFF" w:val="clear"/>
            <w:vAlign w:val="center"/>
          </w:tcPr>
          <w:p>
            <w:pPr>
              <w:pStyle w:val="TableContents"/>
              <w:spacing w:before="0" w:after="0"/>
              <w:jc w:val="right"/>
              <w:rPr>
                <w:rFonts w:ascii="inherit" w:hAnsi="inherit"/>
                <w:sz w:val="17"/>
              </w:rPr>
            </w:pPr>
            <w:r>
              <w:rPr>
                <w:rFonts w:ascii="inherit" w:hAnsi="inherit"/>
                <w:sz w:val="17"/>
              </w:rPr>
              <w:t>33,977</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CCEEFF" w:val="clear"/>
            <w:vAlign w:val="center"/>
          </w:tcPr>
          <w:p>
            <w:pPr>
              <w:pStyle w:val="TableContents"/>
              <w:spacing w:before="0" w:after="0"/>
              <w:jc w:val="right"/>
              <w:rPr>
                <w:rFonts w:ascii="inherit" w:hAnsi="inherit"/>
                <w:sz w:val="17"/>
              </w:rPr>
            </w:pPr>
            <w:r>
              <w:rPr>
                <w:rFonts w:ascii="inherit" w:hAnsi="inherit"/>
                <w:sz w:val="17"/>
              </w:rPr>
              <w:t>30,476</w:t>
            </w:r>
          </w:p>
        </w:tc>
        <w:tc>
          <w:tcPr>
            <w:tcW w:w="4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EBITDA </w:t>
            </w:r>
            <w:r>
              <w:rPr>
                <w:rFonts w:ascii="inherit" w:hAnsi="inherit"/>
                <w:sz w:val="12"/>
              </w:rPr>
              <w:t>(2)</w:t>
            </w:r>
          </w:p>
        </w:tc>
        <w:tc>
          <w:tcPr>
            <w:tcW w:w="93"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112,329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117,912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auto" w:val="clear"/>
            <w:vAlign w:val="center"/>
          </w:tcPr>
          <w:p>
            <w:pPr>
              <w:pStyle w:val="TableContents"/>
              <w:spacing w:before="0" w:after="0"/>
              <w:jc w:val="right"/>
              <w:rPr>
                <w:rFonts w:ascii="inherit" w:hAnsi="inherit"/>
                <w:sz w:val="17"/>
              </w:rPr>
            </w:pPr>
            <w:r>
              <w:rPr>
                <w:rFonts w:ascii="inherit" w:hAnsi="inherit"/>
                <w:sz w:val="17"/>
              </w:rPr>
              <w:t>223,669</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auto" w:val="clear"/>
            <w:vAlign w:val="center"/>
          </w:tcPr>
          <w:p>
            <w:pPr>
              <w:pStyle w:val="TableContents"/>
              <w:spacing w:before="0" w:after="0"/>
              <w:jc w:val="right"/>
              <w:rPr>
                <w:rFonts w:ascii="inherit" w:hAnsi="inherit"/>
                <w:sz w:val="17"/>
              </w:rPr>
            </w:pPr>
            <w:r>
              <w:rPr>
                <w:rFonts w:ascii="inherit" w:hAnsi="inherit"/>
                <w:sz w:val="17"/>
              </w:rPr>
              <w:t>231,473</w:t>
            </w:r>
          </w:p>
        </w:tc>
        <w:tc>
          <w:tcPr>
            <w:tcW w:w="4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____________</w:t>
            </w:r>
          </w:p>
        </w:tc>
        <w:tc>
          <w:tcPr>
            <w:tcW w:w="93"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976" w:type="dxa"/>
            <w:gridSpan w:val="3"/>
            <w:tcBorders/>
            <w:shd w:fill="auto" w:val="clear"/>
            <w:vAlign w:val="center"/>
          </w:tcPr>
          <w:p>
            <w:pPr>
              <w:pStyle w:val="TableContents"/>
              <w:spacing w:before="0" w:after="0"/>
              <w:ind w:left="0" w:right="0" w:firstLine="30"/>
              <w:rPr/>
            </w:pPr>
            <w:r>
              <w:rPr/>
              <w:t> </w:t>
            </w:r>
          </w:p>
        </w:tc>
        <w:tc>
          <w:tcPr>
            <w:tcW w:w="9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10205" w:type="dxa"/>
            <w:gridSpan w:val="17"/>
            <w:tcBorders/>
            <w:shd w:fill="auto" w:val="clear"/>
            <w:vAlign w:val="center"/>
          </w:tcPr>
          <w:p>
            <w:pPr>
              <w:pStyle w:val="TableContents"/>
              <w:spacing w:before="0" w:after="0"/>
              <w:ind w:left="0" w:right="0" w:firstLine="30"/>
              <w:rPr/>
            </w:pPr>
            <w:r>
              <w:rPr/>
              <w:t> </w:t>
            </w:r>
          </w:p>
        </w:tc>
      </w:tr>
      <w:tr>
        <w:trPr/>
        <w:tc>
          <w:tcPr>
            <w:tcW w:w="10205" w:type="dxa"/>
            <w:gridSpan w:val="17"/>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 See "Reconciliation of MLP Distributable Cash Flow to Net Income and Net Cash Provided by Operating Activities" below.</w:t>
            </w:r>
          </w:p>
        </w:tc>
      </w:tr>
      <w:tr>
        <w:trPr/>
        <w:tc>
          <w:tcPr>
            <w:tcW w:w="10205" w:type="dxa"/>
            <w:gridSpan w:val="17"/>
            <w:tcBorders/>
            <w:shd w:fill="auto" w:val="clear"/>
            <w:vAlign w:val="center"/>
          </w:tcPr>
          <w:p>
            <w:pPr>
              <w:pStyle w:val="TableContents"/>
              <w:spacing w:before="0" w:after="0"/>
              <w:ind w:left="0" w:right="0" w:hanging="540"/>
              <w:jc w:val="left"/>
              <w:rPr>
                <w:rFonts w:ascii="inherit" w:hAnsi="inherit"/>
                <w:sz w:val="17"/>
              </w:rPr>
            </w:pPr>
            <w:r>
              <w:rPr>
                <w:rFonts w:ascii="inherit" w:hAnsi="inherit"/>
                <w:sz w:val="17"/>
              </w:rPr>
              <w:t>(2) See "Reconciliation of EBITDA to Net Income, Income from Operations and Net Cash Provided by Operating Activities" below.</w:t>
            </w:r>
          </w:p>
        </w:tc>
      </w:tr>
    </w:tbl>
    <w:tbl>
      <w:tblPr>
        <w:tblW w:w="10205" w:type="dxa"/>
        <w:jc w:val="left"/>
        <w:tblInd w:w="0" w:type="dxa"/>
        <w:tblCellMar>
          <w:top w:w="0" w:type="dxa"/>
          <w:left w:w="0" w:type="dxa"/>
          <w:bottom w:w="0" w:type="dxa"/>
          <w:right w:w="0" w:type="dxa"/>
        </w:tblCellMar>
      </w:tblPr>
      <w:tblGrid>
        <w:gridCol w:w="5519"/>
        <w:gridCol w:w="90"/>
        <w:gridCol w:w="756"/>
        <w:gridCol w:w="422"/>
        <w:gridCol w:w="146"/>
        <w:gridCol w:w="666"/>
        <w:gridCol w:w="325"/>
        <w:gridCol w:w="90"/>
        <w:gridCol w:w="654"/>
        <w:gridCol w:w="408"/>
        <w:gridCol w:w="141"/>
        <w:gridCol w:w="644"/>
        <w:gridCol w:w="344"/>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55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1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1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2019</w:t>
            </w:r>
          </w:p>
        </w:tc>
        <w:tc>
          <w:tcPr>
            <w:tcW w:w="90" w:type="dxa"/>
            <w:tcBorders/>
            <w:shd w:fill="auto" w:val="clear"/>
            <w:vAlign w:val="center"/>
          </w:tcPr>
          <w:p>
            <w:pPr>
              <w:pStyle w:val="TableContents"/>
              <w:spacing w:before="0" w:after="0"/>
              <w:ind w:left="0" w:right="0" w:firstLine="30"/>
              <w:rPr/>
            </w:pPr>
            <w:r>
              <w:rPr/>
              <w:t> </w:t>
            </w:r>
          </w:p>
        </w:tc>
        <w:tc>
          <w:tcPr>
            <w:tcW w:w="2191"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 2019</w:t>
            </w:r>
          </w:p>
        </w:tc>
      </w:tr>
      <w:tr>
        <w:trPr/>
        <w:tc>
          <w:tcPr>
            <w:tcW w:w="551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Average</w:t>
              <w:br/>
              <w:t>Sales Price</w:t>
            </w:r>
          </w:p>
        </w:tc>
        <w:tc>
          <w:tcPr>
            <w:tcW w:w="146" w:type="dxa"/>
            <w:tcBorders/>
            <w:shd w:fill="auto" w:val="clear"/>
            <w:vAlign w:val="center"/>
          </w:tcPr>
          <w:p>
            <w:pPr>
              <w:pStyle w:val="TableContents"/>
              <w:spacing w:before="0" w:after="0"/>
              <w:ind w:left="0" w:right="0" w:firstLine="30"/>
              <w:rPr/>
            </w:pPr>
            <w:r>
              <w:rPr/>
              <w:t> </w:t>
            </w:r>
          </w:p>
        </w:tc>
        <w:tc>
          <w:tcPr>
            <w:tcW w:w="99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w:t>
            </w:r>
          </w:p>
        </w:tc>
        <w:tc>
          <w:tcPr>
            <w:tcW w:w="90" w:type="dxa"/>
            <w:tcBorders/>
            <w:shd w:fill="auto" w:val="clear"/>
            <w:vAlign w:val="center"/>
          </w:tcPr>
          <w:p>
            <w:pPr>
              <w:pStyle w:val="TableContents"/>
              <w:spacing w:before="0" w:after="0"/>
              <w:ind w:left="0" w:right="0" w:firstLine="30"/>
              <w:rPr/>
            </w:pPr>
            <w:r>
              <w:rPr/>
              <w:t> </w:t>
            </w:r>
          </w:p>
        </w:tc>
        <w:tc>
          <w:tcPr>
            <w:tcW w:w="106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ind w:left="0" w:right="0" w:firstLine="30"/>
              <w:jc w:val="center"/>
              <w:rPr>
                <w:rFonts w:ascii="inherit" w:hAnsi="inherit"/>
                <w:b/>
                <w:sz w:val="13"/>
              </w:rPr>
            </w:pPr>
            <w:r>
              <w:rPr>
                <w:rFonts w:ascii="inherit" w:hAnsi="inherit"/>
                <w:b/>
                <w:sz w:val="13"/>
              </w:rPr>
              <w:t>Sales Price</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8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w:t>
            </w:r>
          </w:p>
        </w:tc>
      </w:tr>
      <w:tr>
        <w:trPr/>
        <w:tc>
          <w:tcPr>
            <w:tcW w:w="551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Product sales prices and volume percentage change from prior-year period</w:t>
            </w:r>
          </w:p>
        </w:tc>
        <w:tc>
          <w:tcPr>
            <w:tcW w:w="90" w:type="dxa"/>
            <w:tcBorders/>
            <w:shd w:fill="CCEEFF" w:val="clear"/>
            <w:vAlign w:val="center"/>
          </w:tcPr>
          <w:p>
            <w:pPr>
              <w:pStyle w:val="TableContents"/>
              <w:spacing w:before="0" w:after="0"/>
              <w:ind w:left="0" w:right="0" w:firstLine="30"/>
              <w:rPr/>
            </w:pPr>
            <w:r>
              <w:rPr/>
              <w:t> </w:t>
            </w:r>
          </w:p>
        </w:tc>
        <w:tc>
          <w:tcPr>
            <w:tcW w:w="75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-12.1</w:t>
            </w:r>
          </w:p>
        </w:tc>
        <w:tc>
          <w:tcPr>
            <w:tcW w:w="422"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66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w:t>
            </w:r>
          </w:p>
        </w:tc>
        <w:tc>
          <w:tcPr>
            <w:tcW w:w="32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-4.0</w:t>
            </w:r>
          </w:p>
        </w:tc>
        <w:tc>
          <w:tcPr>
            <w:tcW w:w="408"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64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w:t>
            </w:r>
          </w:p>
        </w:tc>
        <w:tc>
          <w:tcPr>
            <w:tcW w:w="3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1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2" w:type="dxa"/>
            <w:gridSpan w:val="2"/>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ind w:left="0" w:right="0" w:firstLine="30"/>
              <w:rPr/>
            </w:pPr>
            <w:r>
              <w:rPr/>
              <w:t> </w:t>
            </w:r>
          </w:p>
        </w:tc>
      </w:tr>
      <w:tr>
        <w:trPr/>
        <w:tc>
          <w:tcPr>
            <w:tcW w:w="551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1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191"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51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46" w:type="dxa"/>
            <w:tcBorders/>
            <w:shd w:fill="auto" w:val="clear"/>
            <w:vAlign w:val="center"/>
          </w:tcPr>
          <w:p>
            <w:pPr>
              <w:pStyle w:val="TableContents"/>
              <w:spacing w:before="0" w:after="0"/>
              <w:ind w:left="0" w:right="0" w:firstLine="30"/>
              <w:rPr/>
            </w:pPr>
            <w:r>
              <w:rPr/>
              <w:t> </w:t>
            </w:r>
          </w:p>
        </w:tc>
        <w:tc>
          <w:tcPr>
            <w:tcW w:w="99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06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8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519"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 xml:space="preserve">Average industry prices </w:t>
            </w:r>
            <w:r>
              <w:rPr>
                <w:rFonts w:ascii="inherit" w:hAnsi="inherit"/>
                <w:b/>
                <w:sz w:val="12"/>
              </w:rPr>
              <w:t>(1)</w:t>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2" w:type="dxa"/>
            <w:gridSpan w:val="2"/>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ind w:left="0" w:right="0" w:firstLine="30"/>
              <w:rPr/>
            </w:pPr>
            <w:r>
              <w:rPr/>
              <w:t> </w:t>
            </w:r>
          </w:p>
        </w:tc>
      </w:tr>
      <w:tr>
        <w:trPr/>
        <w:tc>
          <w:tcPr>
            <w:tcW w:w="55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Ethane (cents/lb)</w:t>
            </w:r>
          </w:p>
        </w:tc>
        <w:tc>
          <w:tcPr>
            <w:tcW w:w="90" w:type="dxa"/>
            <w:tcBorders/>
            <w:shd w:fill="auto" w:val="clear"/>
            <w:vAlign w:val="center"/>
          </w:tcPr>
          <w:p>
            <w:pPr>
              <w:pStyle w:val="TableContents"/>
              <w:spacing w:before="0" w:after="0"/>
              <w:ind w:left="0" w:right="0" w:firstLine="30"/>
              <w:rPr/>
            </w:pPr>
            <w:r>
              <w:rPr/>
              <w:t> </w:t>
            </w:r>
          </w:p>
        </w:tc>
        <w:tc>
          <w:tcPr>
            <w:tcW w:w="756" w:type="dxa"/>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666" w:type="dxa"/>
            <w:tcBorders/>
            <w:shd w:fill="auto" w:val="clear"/>
            <w:vAlign w:val="center"/>
          </w:tcPr>
          <w:p>
            <w:pPr>
              <w:pStyle w:val="TableContents"/>
              <w:spacing w:before="0" w:after="0"/>
              <w:jc w:val="right"/>
              <w:rPr>
                <w:rFonts w:ascii="inherit" w:hAnsi="inherit"/>
                <w:sz w:val="17"/>
              </w:rPr>
            </w:pPr>
            <w:r>
              <w:rPr>
                <w:rFonts w:ascii="inherit" w:hAnsi="inherit"/>
                <w:sz w:val="17"/>
              </w:rPr>
              <w:t>9.7</w:t>
            </w:r>
          </w:p>
        </w:tc>
        <w:tc>
          <w:tcPr>
            <w:tcW w:w="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4" w:type="dxa"/>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644" w:type="dxa"/>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3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Propane (cents/lb)</w:t>
            </w:r>
          </w:p>
        </w:tc>
        <w:tc>
          <w:tcPr>
            <w:tcW w:w="90" w:type="dxa"/>
            <w:tcBorders/>
            <w:shd w:fill="CCEEFF" w:val="clear"/>
            <w:vAlign w:val="center"/>
          </w:tcPr>
          <w:p>
            <w:pPr>
              <w:pStyle w:val="TableContents"/>
              <w:spacing w:before="0" w:after="0"/>
              <w:ind w:left="0" w:right="0" w:firstLine="30"/>
              <w:rPr/>
            </w:pPr>
            <w:r>
              <w:rPr/>
              <w:t> </w:t>
            </w:r>
          </w:p>
        </w:tc>
        <w:tc>
          <w:tcPr>
            <w:tcW w:w="756" w:type="dxa"/>
            <w:tcBorders/>
            <w:shd w:fill="CCEEFF" w:val="clear"/>
            <w:vAlign w:val="center"/>
          </w:tcPr>
          <w:p>
            <w:pPr>
              <w:pStyle w:val="TableContents"/>
              <w:spacing w:before="0" w:after="0"/>
              <w:jc w:val="right"/>
              <w:rPr>
                <w:rFonts w:ascii="inherit" w:hAnsi="inherit"/>
                <w:sz w:val="17"/>
              </w:rPr>
            </w:pPr>
            <w:r>
              <w:rPr>
                <w:rFonts w:ascii="inherit" w:hAnsi="inherit"/>
                <w:sz w:val="17"/>
              </w:rPr>
              <w:t>12.8</w:t>
            </w:r>
          </w:p>
        </w:tc>
        <w:tc>
          <w:tcPr>
            <w:tcW w:w="4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666" w:type="dxa"/>
            <w:tcBorders/>
            <w:shd w:fill="CCEEFF" w:val="clear"/>
            <w:vAlign w:val="center"/>
          </w:tcPr>
          <w:p>
            <w:pPr>
              <w:pStyle w:val="TableContents"/>
              <w:spacing w:before="0" w:after="0"/>
              <w:jc w:val="right"/>
              <w:rPr>
                <w:rFonts w:ascii="inherit" w:hAnsi="inherit"/>
                <w:sz w:val="17"/>
              </w:rPr>
            </w:pPr>
            <w:r>
              <w:rPr>
                <w:rFonts w:ascii="inherit" w:hAnsi="inherit"/>
                <w:sz w:val="17"/>
              </w:rPr>
              <w:t>20.7</w:t>
            </w:r>
          </w:p>
        </w:tc>
        <w:tc>
          <w:tcPr>
            <w:tcW w:w="3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4" w:type="dxa"/>
            <w:tcBorders/>
            <w:shd w:fill="CCEEFF" w:val="clear"/>
            <w:vAlign w:val="center"/>
          </w:tcPr>
          <w:p>
            <w:pPr>
              <w:pStyle w:val="TableContents"/>
              <w:spacing w:before="0" w:after="0"/>
              <w:jc w:val="right"/>
              <w:rPr>
                <w:rFonts w:ascii="inherit" w:hAnsi="inherit"/>
                <w:sz w:val="17"/>
              </w:rPr>
            </w:pPr>
            <w:r>
              <w:rPr>
                <w:rFonts w:ascii="inherit" w:hAnsi="inherit"/>
                <w:sz w:val="17"/>
              </w:rPr>
              <w:t>14.3</w:t>
            </w:r>
          </w:p>
        </w:tc>
        <w:tc>
          <w:tcPr>
            <w:tcW w:w="4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644" w:type="dxa"/>
            <w:tcBorders/>
            <w:shd w:fill="CCEEFF" w:val="clear"/>
            <w:vAlign w:val="center"/>
          </w:tcPr>
          <w:p>
            <w:pPr>
              <w:pStyle w:val="TableContents"/>
              <w:spacing w:before="0" w:after="0"/>
              <w:jc w:val="right"/>
              <w:rPr>
                <w:rFonts w:ascii="inherit" w:hAnsi="inherit"/>
                <w:sz w:val="17"/>
              </w:rPr>
            </w:pPr>
            <w:r>
              <w:rPr>
                <w:rFonts w:ascii="inherit" w:hAnsi="inherit"/>
                <w:sz w:val="17"/>
              </w:rPr>
              <w:t>20.5</w:t>
            </w:r>
          </w:p>
        </w:tc>
        <w:tc>
          <w:tcPr>
            <w:tcW w:w="3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9"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Ethylene (cents/lb)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756" w:type="dxa"/>
            <w:tcBorders/>
            <w:shd w:fill="auto" w:val="clear"/>
            <w:vAlign w:val="center"/>
          </w:tcPr>
          <w:p>
            <w:pPr>
              <w:pStyle w:val="TableContents"/>
              <w:spacing w:before="0" w:after="0"/>
              <w:jc w:val="right"/>
              <w:rPr>
                <w:rFonts w:ascii="inherit" w:hAnsi="inherit"/>
                <w:sz w:val="17"/>
              </w:rPr>
            </w:pPr>
            <w:r>
              <w:rPr>
                <w:rFonts w:ascii="inherit" w:hAnsi="inherit"/>
                <w:sz w:val="17"/>
              </w:rPr>
              <w:t>13.7</w:t>
            </w:r>
          </w:p>
        </w:tc>
        <w:tc>
          <w:tcPr>
            <w:tcW w:w="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666" w:type="dxa"/>
            <w:tcBorders/>
            <w:shd w:fill="auto" w:val="clear"/>
            <w:vAlign w:val="center"/>
          </w:tcPr>
          <w:p>
            <w:pPr>
              <w:pStyle w:val="TableContents"/>
              <w:spacing w:before="0" w:after="0"/>
              <w:jc w:val="right"/>
              <w:rPr>
                <w:rFonts w:ascii="inherit" w:hAnsi="inherit"/>
                <w:sz w:val="17"/>
              </w:rPr>
            </w:pPr>
            <w:r>
              <w:rPr>
                <w:rFonts w:ascii="inherit" w:hAnsi="inherit"/>
                <w:sz w:val="17"/>
              </w:rPr>
              <w:t>14.8</w:t>
            </w:r>
          </w:p>
        </w:tc>
        <w:tc>
          <w:tcPr>
            <w:tcW w:w="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4" w:type="dxa"/>
            <w:tcBorders/>
            <w:shd w:fill="auto" w:val="clear"/>
            <w:vAlign w:val="center"/>
          </w:tcPr>
          <w:p>
            <w:pPr>
              <w:pStyle w:val="TableContents"/>
              <w:spacing w:before="0" w:after="0"/>
              <w:jc w:val="right"/>
              <w:rPr>
                <w:rFonts w:ascii="inherit" w:hAnsi="inherit"/>
                <w:sz w:val="17"/>
              </w:rPr>
            </w:pPr>
            <w:r>
              <w:rPr>
                <w:rFonts w:ascii="inherit" w:hAnsi="inherit"/>
                <w:sz w:val="17"/>
              </w:rPr>
              <w:t>15.4</w:t>
            </w:r>
          </w:p>
        </w:tc>
        <w:tc>
          <w:tcPr>
            <w:tcW w:w="4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644" w:type="dxa"/>
            <w:tcBorders/>
            <w:shd w:fill="auto" w:val="clear"/>
            <w:vAlign w:val="center"/>
          </w:tcPr>
          <w:p>
            <w:pPr>
              <w:pStyle w:val="TableContents"/>
              <w:spacing w:before="0" w:after="0"/>
              <w:jc w:val="right"/>
              <w:rPr>
                <w:rFonts w:ascii="inherit" w:hAnsi="inherit"/>
                <w:sz w:val="17"/>
              </w:rPr>
            </w:pPr>
            <w:r>
              <w:rPr>
                <w:rFonts w:ascii="inherit" w:hAnsi="inherit"/>
                <w:sz w:val="17"/>
              </w:rPr>
              <w:t>19.2</w:t>
            </w:r>
          </w:p>
        </w:tc>
        <w:tc>
          <w:tcPr>
            <w:tcW w:w="34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w:t>
      </w:r>
    </w:p>
    <w:tbl>
      <w:tblPr>
        <w:tblW w:w="9190" w:type="dxa"/>
        <w:jc w:val="left"/>
        <w:tblInd w:w="0" w:type="dxa"/>
        <w:tblCellMar>
          <w:top w:w="0" w:type="dxa"/>
          <w:left w:w="0" w:type="dxa"/>
          <w:bottom w:w="0" w:type="dxa"/>
          <w:right w:w="0" w:type="dxa"/>
        </w:tblCellMar>
      </w:tblPr>
      <w:tblGrid>
        <w:gridCol w:w="260"/>
        <w:gridCol w:w="8930"/>
      </w:tblGrid>
      <w:tr>
        <w:trPr/>
        <w:tc>
          <w:tcPr>
            <w:tcW w:w="260" w:type="dxa"/>
            <w:tcBorders/>
            <w:shd w:fill="auto" w:val="clear"/>
            <w:vAlign w:val="center"/>
          </w:tcPr>
          <w:p>
            <w:pPr>
              <w:pStyle w:val="TableContents"/>
              <w:spacing w:before="0" w:after="283"/>
              <w:rPr>
                <w:sz w:val="4"/>
                <w:szCs w:val="4"/>
              </w:rPr>
            </w:pPr>
            <w:r>
              <w:rPr>
                <w:sz w:val="4"/>
                <w:szCs w:val="4"/>
              </w:rPr>
            </w:r>
          </w:p>
        </w:tc>
        <w:tc>
          <w:tcPr>
            <w:tcW w:w="893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89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Industry pricing data was obtained through IHS Markit ("IHS"). We have not independently verified the data.</w:t>
            </w:r>
          </w:p>
        </w:tc>
      </w:tr>
    </w:tbl>
    <w:tbl>
      <w:tblPr>
        <w:tblW w:w="8290" w:type="dxa"/>
        <w:jc w:val="left"/>
        <w:tblInd w:w="0" w:type="dxa"/>
        <w:tblCellMar>
          <w:top w:w="0" w:type="dxa"/>
          <w:left w:w="0" w:type="dxa"/>
          <w:bottom w:w="0" w:type="dxa"/>
          <w:right w:w="0" w:type="dxa"/>
        </w:tblCellMar>
      </w:tblPr>
      <w:tblGrid>
        <w:gridCol w:w="260"/>
        <w:gridCol w:w="8030"/>
      </w:tblGrid>
      <w:tr>
        <w:trPr/>
        <w:tc>
          <w:tcPr>
            <w:tcW w:w="260" w:type="dxa"/>
            <w:tcBorders/>
            <w:shd w:fill="auto" w:val="clear"/>
            <w:vAlign w:val="center"/>
          </w:tcPr>
          <w:p>
            <w:pPr>
              <w:pStyle w:val="TableContents"/>
              <w:spacing w:before="0" w:after="283"/>
              <w:rPr>
                <w:sz w:val="4"/>
                <w:szCs w:val="4"/>
              </w:rPr>
            </w:pPr>
            <w:r>
              <w:rPr>
                <w:sz w:val="4"/>
                <w:szCs w:val="4"/>
              </w:rPr>
            </w:r>
          </w:p>
        </w:tc>
        <w:tc>
          <w:tcPr>
            <w:tcW w:w="803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0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Represents average North American spot prices of ethylene over the period as reported by IHS.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Reconciliation of MLP Distributable Cash Flow to Net Income and Net Cash Provided by Operating Activities</w:t>
      </w:r>
    </w:p>
    <w:p>
      <w:pPr>
        <w:pStyle w:val="TextBody"/>
        <w:spacing w:lineRule="auto" w:line="288" w:before="0" w:after="0"/>
        <w:ind w:left="0" w:right="0" w:firstLine="450"/>
        <w:jc w:val="left"/>
        <w:rPr>
          <w:rFonts w:ascii="inherit" w:hAnsi="inherit"/>
          <w:sz w:val="17"/>
        </w:rPr>
      </w:pPr>
      <w:r>
        <w:rPr>
          <w:rFonts w:ascii="inherit" w:hAnsi="inherit"/>
          <w:sz w:val="17"/>
        </w:rPr>
        <w:t>The following table presents reconciliations of MLP distributable cash flow to net income and net cash provided by operating activities, the most directly comparable GAAP financial measures, for each of the periods indicated.</w:t>
      </w:r>
    </w:p>
    <w:tbl>
      <w:tblPr>
        <w:tblW w:w="10205" w:type="dxa"/>
        <w:jc w:val="center"/>
        <w:tblInd w:w="0" w:type="dxa"/>
        <w:tblCellMar>
          <w:top w:w="0" w:type="dxa"/>
          <w:left w:w="0" w:type="dxa"/>
          <w:bottom w:w="0" w:type="dxa"/>
          <w:right w:w="0" w:type="dxa"/>
        </w:tblCellMar>
      </w:tblPr>
      <w:tblGrid>
        <w:gridCol w:w="5534"/>
        <w:gridCol w:w="90"/>
        <w:gridCol w:w="136"/>
        <w:gridCol w:w="762"/>
        <w:gridCol w:w="119"/>
        <w:gridCol w:w="98"/>
        <w:gridCol w:w="136"/>
        <w:gridCol w:w="762"/>
        <w:gridCol w:w="119"/>
        <w:gridCol w:w="90"/>
        <w:gridCol w:w="125"/>
        <w:gridCol w:w="695"/>
        <w:gridCol w:w="110"/>
        <w:gridCol w:w="90"/>
        <w:gridCol w:w="125"/>
        <w:gridCol w:w="695"/>
        <w:gridCol w:w="519"/>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55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3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3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3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553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8" w:type="dxa"/>
            <w:tcBorders/>
            <w:shd w:fill="auto" w:val="clear"/>
            <w:vAlign w:val="center"/>
          </w:tcPr>
          <w:p>
            <w:pPr>
              <w:pStyle w:val="TableContents"/>
              <w:spacing w:before="0" w:after="0"/>
              <w:ind w:left="0" w:right="0" w:firstLine="30"/>
              <w:rPr/>
            </w:pPr>
            <w:r>
              <w:rPr/>
              <w:t> </w:t>
            </w:r>
          </w:p>
        </w:tc>
        <w:tc>
          <w:tcPr>
            <w:tcW w:w="10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3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53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581"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shd w:fill="CCEEFF" w:val="clear"/>
            <w:vAlign w:val="center"/>
          </w:tcPr>
          <w:p>
            <w:pPr>
              <w:pStyle w:val="TableContents"/>
              <w:spacing w:before="0" w:after="0"/>
              <w:jc w:val="right"/>
              <w:rPr>
                <w:rFonts w:ascii="inherit" w:hAnsi="inherit"/>
                <w:sz w:val="17"/>
              </w:rPr>
            </w:pPr>
            <w:r>
              <w:rPr>
                <w:rFonts w:ascii="inherit" w:hAnsi="inherit"/>
                <w:sz w:val="17"/>
              </w:rPr>
              <w:t>100,173</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shd w:fill="CCEEFF" w:val="clear"/>
            <w:vAlign w:val="center"/>
          </w:tcPr>
          <w:p>
            <w:pPr>
              <w:pStyle w:val="TableContents"/>
              <w:spacing w:before="0" w:after="0"/>
              <w:jc w:val="right"/>
              <w:rPr>
                <w:rFonts w:ascii="inherit" w:hAnsi="inherit"/>
                <w:sz w:val="17"/>
              </w:rPr>
            </w:pPr>
            <w:r>
              <w:rPr>
                <w:rFonts w:ascii="inherit" w:hAnsi="inherit"/>
                <w:sz w:val="17"/>
              </w:rPr>
              <w:t>114,349</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213,672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220,571</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90"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w:t>
            </w:r>
          </w:p>
        </w:tc>
        <w:tc>
          <w:tcPr>
            <w:tcW w:w="5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and other</w:t>
            </w:r>
          </w:p>
        </w:tc>
        <w:tc>
          <w:tcPr>
            <w:tcW w:w="90"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(20,063</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8"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(29,873</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(54,708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(54,814</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89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80,110</w:t>
            </w:r>
          </w:p>
        </w:tc>
        <w:tc>
          <w:tcPr>
            <w:tcW w:w="11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auto" w:val="clear"/>
            <w:vAlign w:val="center"/>
          </w:tcPr>
          <w:p>
            <w:pPr>
              <w:pStyle w:val="TableContents"/>
              <w:spacing w:before="0" w:after="0"/>
              <w:ind w:left="0" w:right="0" w:firstLine="30"/>
              <w:rPr/>
            </w:pPr>
            <w:r>
              <w:rPr/>
              <w:t> </w:t>
            </w:r>
          </w:p>
        </w:tc>
        <w:tc>
          <w:tcPr>
            <w:tcW w:w="89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84,476</w:t>
            </w:r>
          </w:p>
        </w:tc>
        <w:tc>
          <w:tcPr>
            <w:tcW w:w="11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158,506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165,190</w:t>
            </w:r>
          </w:p>
        </w:tc>
        <w:tc>
          <w:tcPr>
            <w:tcW w:w="51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w:t>
            </w:r>
          </w:p>
        </w:tc>
        <w:tc>
          <w:tcPr>
            <w:tcW w:w="90" w:type="dxa"/>
            <w:tcBorders/>
            <w:shd w:fill="CCEEFF" w:val="clear"/>
            <w:vAlign w:val="center"/>
          </w:tcPr>
          <w:p>
            <w:pPr>
              <w:pStyle w:val="TableContents"/>
              <w:spacing w:before="0" w:after="0"/>
              <w:ind w:left="0" w:right="0" w:firstLine="30"/>
              <w:rPr/>
            </w:pPr>
            <w:r>
              <w:rPr/>
              <w:t> </w:t>
            </w:r>
          </w:p>
        </w:tc>
        <w:tc>
          <w:tcPr>
            <w:tcW w:w="1017" w:type="dxa"/>
            <w:gridSpan w:val="3"/>
            <w:tcBorders/>
            <w:shd w:fill="CCEEFF" w:val="clear"/>
            <w:vAlign w:val="center"/>
          </w:tcPr>
          <w:p>
            <w:pPr>
              <w:pStyle w:val="TableContents"/>
              <w:spacing w:before="0" w:after="0"/>
              <w:ind w:left="0" w:right="0" w:firstLine="30"/>
              <w:rPr/>
            </w:pPr>
            <w:r>
              <w:rPr/>
              <w:t> </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39" w:type="dxa"/>
            <w:gridSpan w:val="3"/>
            <w:tcBorders/>
            <w:shd w:fill="CCEEFF" w:val="clear"/>
            <w:vAlign w:val="center"/>
          </w:tcPr>
          <w:p>
            <w:pPr>
              <w:pStyle w:val="TableContents"/>
              <w:spacing w:before="0" w:after="0"/>
              <w:ind w:left="0" w:right="0" w:firstLine="420"/>
              <w:rPr/>
            </w:pPr>
            <w:r>
              <w:rPr/>
              <w:t> </w:t>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amortization and disposition of property, plant and equipment</w:t>
            </w:r>
          </w:p>
        </w:tc>
        <w:tc>
          <w:tcPr>
            <w:tcW w:w="90"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26,903</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27,586</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54,205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55,851</w:t>
            </w:r>
          </w:p>
        </w:tc>
        <w:tc>
          <w:tcPr>
            <w:tcW w:w="5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Mark-to-market adjustment loss (gain) on derivative contracts</w:t>
            </w:r>
          </w:p>
        </w:tc>
        <w:tc>
          <w:tcPr>
            <w:tcW w:w="90"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516</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auto" w:val="clear"/>
            <w:vAlign w:val="center"/>
          </w:tcPr>
          <w:p>
            <w:pPr>
              <w:pStyle w:val="TableContents"/>
              <w:spacing w:before="0" w:after="0"/>
              <w:ind w:left="0" w:right="0" w:firstLine="30"/>
              <w:rPr/>
            </w:pPr>
            <w:r>
              <w:rPr/>
              <w:t> </w:t>
            </w:r>
          </w:p>
        </w:tc>
        <w:tc>
          <w:tcPr>
            <w:tcW w:w="1017" w:type="dxa"/>
            <w:gridSpan w:val="3"/>
            <w:tcBorders/>
            <w:shd w:fill="auto" w:val="clear"/>
            <w:vAlign w:val="center"/>
          </w:tcPr>
          <w:p>
            <w:pPr>
              <w:pStyle w:val="TableContents"/>
              <w:spacing w:before="0" w:after="0"/>
              <w:ind w:left="0" w:right="0" w:firstLine="30"/>
              <w:rPr/>
            </w:pPr>
            <w:r>
              <w:rPr/>
              <w:t> </w:t>
            </w:r>
          </w:p>
        </w:tc>
        <w:tc>
          <w:tcPr>
            <w:tcW w:w="98" w:type="dxa"/>
            <w:tcBorders/>
            <w:shd w:fill="auto" w:val="clear"/>
            <w:vAlign w:val="center"/>
          </w:tcPr>
          <w:p>
            <w:pPr>
              <w:pStyle w:val="TableContents"/>
              <w:spacing w:before="0" w:after="0"/>
              <w:ind w:left="0" w:right="0" w:firstLine="30"/>
              <w:rPr/>
            </w:pPr>
            <w:r>
              <w:rPr/>
              <w:t> </w:t>
            </w:r>
          </w:p>
        </w:tc>
        <w:tc>
          <w:tcPr>
            <w:tcW w:w="101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9" w:type="dxa"/>
            <w:gridSpan w:val="3"/>
            <w:tcBorders/>
            <w:shd w:fill="auto" w:val="clear"/>
            <w:vAlign w:val="center"/>
          </w:tcPr>
          <w:p>
            <w:pPr>
              <w:pStyle w:val="TableContents"/>
              <w:spacing w:before="0" w:after="0"/>
              <w:ind w:left="0" w:right="0" w:firstLine="420"/>
              <w:rPr/>
            </w:pPr>
            <w:r>
              <w:rPr/>
              <w:t> </w:t>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 to turnaround reserves</w:t>
            </w:r>
          </w:p>
        </w:tc>
        <w:tc>
          <w:tcPr>
            <w:tcW w:w="90"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(3,889</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8"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(4,204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(7,737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(8,352</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 expenditures</w:t>
            </w:r>
          </w:p>
        </w:tc>
        <w:tc>
          <w:tcPr>
            <w:tcW w:w="90"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(11,725</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8"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(5,825</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(13,804</w:t>
            </w:r>
          </w:p>
        </w:tc>
        <w:tc>
          <w:tcPr>
            <w:tcW w:w="5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Incentive distribution rights</w:t>
            </w:r>
          </w:p>
        </w:tc>
        <w:tc>
          <w:tcPr>
            <w:tcW w:w="90"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898"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5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Distributable cash flow attributable to noncontrolling interest in OpCo</w:t>
            </w:r>
          </w:p>
        </w:tc>
        <w:tc>
          <w:tcPr>
            <w:tcW w:w="90"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(75,493</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8" w:type="dxa"/>
            <w:tcBorders/>
            <w:shd w:fill="auto" w:val="clear"/>
            <w:vAlign w:val="center"/>
          </w:tcPr>
          <w:p>
            <w:pPr>
              <w:pStyle w:val="TableContents"/>
              <w:spacing w:before="0" w:after="0"/>
              <w:ind w:left="0" w:right="0" w:firstLine="30"/>
              <w:rPr/>
            </w:pPr>
            <w:r>
              <w:rPr/>
              <w:t> </w:t>
            </w:r>
          </w:p>
        </w:tc>
        <w:tc>
          <w:tcPr>
            <w:tcW w:w="8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(86,067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(147,753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(167,676</w:t>
            </w:r>
          </w:p>
        </w:tc>
        <w:tc>
          <w:tcPr>
            <w:tcW w:w="5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MLP distributable cash flow</w:t>
            </w:r>
          </w:p>
        </w:tc>
        <w:tc>
          <w:tcPr>
            <w:tcW w:w="90"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16,422</w:t>
            </w:r>
          </w:p>
        </w:tc>
        <w:tc>
          <w:tcPr>
            <w:tcW w:w="1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8"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15,966</w:t>
            </w:r>
          </w:p>
        </w:tc>
        <w:tc>
          <w:tcPr>
            <w:tcW w:w="1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33,977</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30,476</w:t>
            </w:r>
          </w:p>
        </w:tc>
        <w:tc>
          <w:tcPr>
            <w:tcW w:w="5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b/>
          <w:sz w:val="17"/>
        </w:rPr>
      </w:pPr>
      <w:r>
        <w:rPr>
          <w:rFonts w:ascii="inherit" w:hAnsi="inherit"/>
          <w:b/>
          <w:sz w:val="17"/>
        </w:rPr>
        <w:t>Reconciliation of EBITDA to Net Income, Income from Operations and Net Cash Provided by Operating Activities</w:t>
      </w:r>
    </w:p>
    <w:p>
      <w:pPr>
        <w:pStyle w:val="TextBody"/>
        <w:spacing w:lineRule="auto" w:line="288" w:before="0" w:after="0"/>
        <w:ind w:left="0" w:right="0" w:firstLine="450"/>
        <w:rPr>
          <w:rFonts w:ascii="inherit" w:hAnsi="inherit"/>
          <w:sz w:val="17"/>
        </w:rPr>
      </w:pPr>
      <w:r>
        <w:rPr>
          <w:rFonts w:ascii="inherit" w:hAnsi="inherit"/>
          <w:sz w:val="17"/>
        </w:rPr>
        <w:t>The following table presents reconciliations of EBITDA to net income, income from operations and net cash provided by operating activities, the most directly comparable GAAP financial measures, for each of the periods indicated.</w:t>
      </w:r>
    </w:p>
    <w:tbl>
      <w:tblPr>
        <w:tblW w:w="9139" w:type="dxa"/>
        <w:jc w:val="center"/>
        <w:tblInd w:w="0" w:type="dxa"/>
        <w:tblCellMar>
          <w:top w:w="0" w:type="dxa"/>
          <w:left w:w="0" w:type="dxa"/>
          <w:bottom w:w="0" w:type="dxa"/>
          <w:right w:w="0" w:type="dxa"/>
        </w:tblCellMar>
      </w:tblPr>
      <w:tblGrid>
        <w:gridCol w:w="4430"/>
        <w:gridCol w:w="90"/>
        <w:gridCol w:w="139"/>
        <w:gridCol w:w="776"/>
        <w:gridCol w:w="122"/>
        <w:gridCol w:w="100"/>
        <w:gridCol w:w="139"/>
        <w:gridCol w:w="776"/>
        <w:gridCol w:w="122"/>
        <w:gridCol w:w="90"/>
        <w:gridCol w:w="125"/>
        <w:gridCol w:w="695"/>
        <w:gridCol w:w="110"/>
        <w:gridCol w:w="90"/>
        <w:gridCol w:w="125"/>
        <w:gridCol w:w="695"/>
        <w:gridCol w:w="515"/>
      </w:tblGrid>
      <w:tr>
        <w:trPr/>
        <w:tc>
          <w:tcPr>
            <w:tcW w:w="9139" w:type="dxa"/>
            <w:gridSpan w:val="17"/>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7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3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33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619"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6" w:type="dxa"/>
            <w:tcBorders/>
            <w:shd w:fill="CCEEFF" w:val="clear"/>
            <w:vAlign w:val="center"/>
          </w:tcPr>
          <w:p>
            <w:pPr>
              <w:pStyle w:val="TableContents"/>
              <w:spacing w:before="0" w:after="0"/>
              <w:jc w:val="right"/>
              <w:rPr>
                <w:rFonts w:ascii="inherit" w:hAnsi="inherit"/>
                <w:sz w:val="17"/>
              </w:rPr>
            </w:pPr>
            <w:r>
              <w:rPr>
                <w:rFonts w:ascii="inherit" w:hAnsi="inherit"/>
                <w:sz w:val="17"/>
              </w:rPr>
              <w:t>100,173</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6" w:type="dxa"/>
            <w:tcBorders/>
            <w:shd w:fill="CCEEFF" w:val="clear"/>
            <w:vAlign w:val="center"/>
          </w:tcPr>
          <w:p>
            <w:pPr>
              <w:pStyle w:val="TableContents"/>
              <w:spacing w:before="0" w:after="0"/>
              <w:jc w:val="right"/>
              <w:rPr>
                <w:rFonts w:ascii="inherit" w:hAnsi="inherit"/>
                <w:sz w:val="17"/>
              </w:rPr>
            </w:pPr>
            <w:r>
              <w:rPr>
                <w:rFonts w:ascii="inherit" w:hAnsi="inherit"/>
                <w:sz w:val="17"/>
              </w:rPr>
              <w:t>114,349</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213,672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220,571</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9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and other</w:t>
            </w:r>
          </w:p>
        </w:tc>
        <w:tc>
          <w:tcPr>
            <w:tcW w:w="9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(20,063</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(29,873</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(54,708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(54,814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9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80,110</w:t>
            </w:r>
          </w:p>
        </w:tc>
        <w:tc>
          <w:tcPr>
            <w:tcW w:w="12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9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84,476</w:t>
            </w:r>
          </w:p>
        </w:tc>
        <w:tc>
          <w:tcPr>
            <w:tcW w:w="12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158,506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165,190</w:t>
            </w:r>
          </w:p>
        </w:tc>
        <w:tc>
          <w:tcPr>
            <w:tcW w:w="5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CCEEFF" w:val="clear"/>
            <w:vAlign w:val="center"/>
          </w:tcPr>
          <w:p>
            <w:pPr>
              <w:pStyle w:val="TableContents"/>
              <w:spacing w:before="0" w:after="0"/>
              <w:ind w:left="0" w:right="0" w:firstLine="30"/>
              <w:rPr/>
            </w:pPr>
            <w:r>
              <w:rPr/>
              <w:t> </w:t>
            </w:r>
          </w:p>
        </w:tc>
        <w:tc>
          <w:tcPr>
            <w:tcW w:w="103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103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35" w:type="dxa"/>
            <w:gridSpan w:val="3"/>
            <w:tcBorders/>
            <w:shd w:fill="CCEEFF" w:val="clear"/>
            <w:vAlign w:val="center"/>
          </w:tcPr>
          <w:p>
            <w:pPr>
              <w:pStyle w:val="TableContents"/>
              <w:spacing w:before="0" w:after="0"/>
              <w:ind w:left="0" w:right="0" w:firstLine="420"/>
              <w:rPr/>
            </w:pPr>
            <w:r>
              <w:rPr/>
              <w:t> </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1,153</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1,074</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(5,125</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(5,547</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(10,413</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income taxes</w:t>
            </w:r>
          </w:p>
        </w:tc>
        <w:tc>
          <w:tcPr>
            <w:tcW w:w="9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auto" w:val="clear"/>
            <w:vAlign w:val="center"/>
          </w:tcPr>
          <w:p>
            <w:pPr>
              <w:pStyle w:val="TableContents"/>
              <w:spacing w:before="0" w:after="0"/>
              <w:ind w:left="0" w:right="0" w:firstLine="30"/>
              <w:rPr/>
            </w:pPr>
            <w:r>
              <w:rPr/>
              <w:t> </w:t>
            </w:r>
          </w:p>
        </w:tc>
        <w:tc>
          <w:tcPr>
            <w:tcW w:w="9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(303</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(586</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90" w:type="dxa"/>
            <w:tcBorders/>
            <w:shd w:fill="CCEEFF" w:val="clear"/>
            <w:vAlign w:val="center"/>
          </w:tcPr>
          <w:p>
            <w:pPr>
              <w:pStyle w:val="TableContents"/>
              <w:spacing w:before="0" w:after="0"/>
              <w:ind w:left="0" w:right="0" w:firstLine="30"/>
              <w:rPr/>
            </w:pPr>
            <w:r>
              <w:rPr/>
              <w:t> </w:t>
            </w:r>
          </w:p>
        </w:tc>
        <w:tc>
          <w:tcPr>
            <w:tcW w:w="9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84,319</w:t>
            </w:r>
          </w:p>
        </w:tc>
        <w:tc>
          <w:tcPr>
            <w:tcW w:w="12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9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89,743</w:t>
            </w:r>
          </w:p>
        </w:tc>
        <w:tc>
          <w:tcPr>
            <w:tcW w:w="12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168,000</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175,115</w:t>
            </w:r>
          </w:p>
        </w:tc>
        <w:tc>
          <w:tcPr>
            <w:tcW w:w="5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w:t>
            </w:r>
          </w:p>
        </w:tc>
        <w:tc>
          <w:tcPr>
            <w:tcW w:w="90" w:type="dxa"/>
            <w:tcBorders/>
            <w:shd w:fill="auto" w:val="clear"/>
            <w:vAlign w:val="center"/>
          </w:tcPr>
          <w:p>
            <w:pPr>
              <w:pStyle w:val="TableContents"/>
              <w:spacing w:before="0" w:after="0"/>
              <w:ind w:left="0" w:right="0" w:firstLine="30"/>
              <w:rPr/>
            </w:pPr>
            <w:r>
              <w:rPr/>
              <w:t> </w:t>
            </w:r>
          </w:p>
        </w:tc>
        <w:tc>
          <w:tcPr>
            <w:tcW w:w="103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103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420"/>
              <w:rPr/>
            </w:pPr>
            <w:r>
              <w:rPr/>
              <w:t> </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26,857</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9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27,586</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53,701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55,284</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auto" w:val="clear"/>
            <w:vAlign w:val="center"/>
          </w:tcPr>
          <w:p>
            <w:pPr>
              <w:pStyle w:val="TableContents"/>
              <w:spacing w:before="0" w:after="0"/>
              <w:ind w:left="0" w:right="0" w:firstLine="30"/>
              <w:rPr/>
            </w:pPr>
            <w:r>
              <w:rPr/>
              <w:t> </w:t>
            </w:r>
          </w:p>
        </w:tc>
        <w:tc>
          <w:tcPr>
            <w:tcW w:w="9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1,153</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9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583</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1,968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1,074</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EBITDA</w:t>
            </w:r>
          </w:p>
        </w:tc>
        <w:tc>
          <w:tcPr>
            <w:tcW w:w="90"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112,329</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117,912</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223,669</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231,473</w:t>
            </w:r>
          </w:p>
        </w:tc>
        <w:tc>
          <w:tcPr>
            <w:tcW w:w="5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 xml:space="preserve">Summary </w:t>
      </w:r>
    </w:p>
    <w:p>
      <w:pPr>
        <w:pStyle w:val="TextBody"/>
        <w:spacing w:lineRule="auto" w:line="288" w:before="0" w:after="0"/>
        <w:ind w:left="0" w:right="0" w:firstLine="480"/>
        <w:jc w:val="left"/>
        <w:rPr>
          <w:sz w:val="17"/>
        </w:rPr>
      </w:pPr>
      <w:r>
        <w:rPr>
          <w:rFonts w:ascii="inherit" w:hAnsi="inherit"/>
          <w:sz w:val="17"/>
        </w:rPr>
        <w:t>For the quarter ended June 30, 2019, net income was $80.1 million</w:t>
      </w:r>
      <w:r>
        <w:rPr>
          <w:sz w:val="17"/>
        </w:rPr>
        <w:t xml:space="preserve"> </w:t>
      </w:r>
      <w:r>
        <w:rPr>
          <w:rFonts w:ascii="inherit" w:hAnsi="inherit"/>
          <w:sz w:val="17"/>
        </w:rPr>
        <w:t>on net sales of $270.1 million. This represents a decrease</w:t>
      </w:r>
      <w:r>
        <w:rPr>
          <w:sz w:val="17"/>
        </w:rPr>
        <w:t xml:space="preserve"> </w:t>
      </w:r>
      <w:r>
        <w:rPr>
          <w:rFonts w:ascii="inherit" w:hAnsi="inherit"/>
          <w:sz w:val="17"/>
        </w:rPr>
        <w:t>in net income of $4.4 million</w:t>
      </w:r>
      <w:r>
        <w:rPr>
          <w:sz w:val="17"/>
        </w:rPr>
        <w:t xml:space="preserve"> </w:t>
      </w:r>
      <w:r>
        <w:rPr>
          <w:rFonts w:ascii="inherit" w:hAnsi="inherit"/>
          <w:sz w:val="17"/>
        </w:rPr>
        <w:t>as compared to the quarter ended June 30, 2018</w:t>
      </w:r>
      <w:r>
        <w:rPr>
          <w:sz w:val="17"/>
        </w:rPr>
        <w:t xml:space="preserve"> </w:t>
      </w:r>
      <w:r>
        <w:rPr>
          <w:rFonts w:ascii="inherit" w:hAnsi="inherit"/>
          <w:sz w:val="17"/>
        </w:rPr>
        <w:t>net income of $84.5 million</w:t>
      </w:r>
      <w:r>
        <w:rPr>
          <w:sz w:val="17"/>
        </w:rPr>
        <w:t xml:space="preserve"> </w:t>
      </w:r>
      <w:r>
        <w:rPr>
          <w:rFonts w:ascii="inherit" w:hAnsi="inherit"/>
          <w:sz w:val="17"/>
        </w:rPr>
        <w:t>on net sales of $302.0 million. Net income for the second quarter of 2019</w:t>
      </w:r>
      <w:r>
        <w:rPr>
          <w:sz w:val="17"/>
        </w:rPr>
        <w:t xml:space="preserve"> </w:t>
      </w:r>
      <w:r>
        <w:rPr>
          <w:rFonts w:ascii="inherit" w:hAnsi="inherit"/>
          <w:sz w:val="17"/>
        </w:rPr>
        <w:t>as compared to the second quarter of 2018</w:t>
      </w:r>
      <w:r>
        <w:rPr>
          <w:sz w:val="17"/>
        </w:rPr>
        <w:t xml:space="preserve"> </w:t>
      </w:r>
      <w:r>
        <w:rPr>
          <w:rFonts w:ascii="inherit" w:hAnsi="inherit"/>
          <w:sz w:val="17"/>
        </w:rPr>
        <w:t>was lower</w:t>
      </w:r>
      <w:r>
        <w:rPr>
          <w:sz w:val="17"/>
        </w:rPr>
        <w:t xml:space="preserve"> </w:t>
      </w:r>
      <w:r>
        <w:rPr>
          <w:rFonts w:ascii="inherit" w:hAnsi="inherit"/>
          <w:sz w:val="17"/>
        </w:rPr>
        <w:t>primarily as a result of lower third party ethylene sales prices and margins and expenses associated with the acquisition of an incremental interest in OpCo. Net income attributable to Westlake Chemical Partners LP for the quarter ended June 30, 2019</w:t>
      </w:r>
      <w:r>
        <w:rPr>
          <w:sz w:val="17"/>
        </w:rPr>
        <w:t xml:space="preserve"> </w:t>
      </w:r>
      <w:r>
        <w:rPr>
          <w:rFonts w:ascii="inherit" w:hAnsi="inherit"/>
          <w:sz w:val="17"/>
        </w:rPr>
        <w:t>was $13.7 million</w:t>
      </w:r>
      <w:r>
        <w:rPr>
          <w:sz w:val="17"/>
        </w:rPr>
        <w:t xml:space="preserve"> </w:t>
      </w:r>
      <w:r>
        <w:rPr>
          <w:rFonts w:ascii="inherit" w:hAnsi="inherit"/>
          <w:sz w:val="17"/>
        </w:rPr>
        <w:t>as compared to $12.8 million</w:t>
      </w:r>
      <w:r>
        <w:rPr>
          <w:sz w:val="17"/>
        </w:rPr>
        <w:t xml:space="preserve"> </w:t>
      </w:r>
      <w:r>
        <w:rPr>
          <w:rFonts w:ascii="inherit" w:hAnsi="inherit"/>
          <w:sz w:val="17"/>
        </w:rPr>
        <w:t>for the quarter ended June 30, 2018, an increase</w:t>
      </w:r>
      <w:r>
        <w:rPr>
          <w:sz w:val="17"/>
        </w:rPr>
        <w:t xml:space="preserve"> </w:t>
      </w:r>
      <w:r>
        <w:rPr>
          <w:rFonts w:ascii="inherit" w:hAnsi="inherit"/>
          <w:sz w:val="17"/>
        </w:rPr>
        <w:t>of $0.9 million, which was primarily due to a 4.5% increase in the Partnership's interest in OpCo, effective as of January 1, 2019, partially offset by lower margins on third party sales and expenses associated with the acquisition of an incremental interest in OpCo. Net sales for the second quarter of 2019</w:t>
      </w:r>
      <w:r>
        <w:rPr>
          <w:sz w:val="17"/>
        </w:rPr>
        <w:t xml:space="preserve"> </w:t>
      </w:r>
      <w:r>
        <w:rPr>
          <w:rFonts w:ascii="inherit" w:hAnsi="inherit"/>
          <w:sz w:val="17"/>
        </w:rPr>
        <w:t>decreased</w:t>
      </w:r>
      <w:r>
        <w:rPr>
          <w:sz w:val="17"/>
        </w:rPr>
        <w:t xml:space="preserve"> </w:t>
      </w:r>
      <w:r>
        <w:rPr>
          <w:rFonts w:ascii="inherit" w:hAnsi="inherit"/>
          <w:sz w:val="17"/>
        </w:rPr>
        <w:t>by $31.9 million</w:t>
      </w:r>
      <w:r>
        <w:rPr>
          <w:sz w:val="17"/>
        </w:rPr>
        <w:t xml:space="preserve"> </w:t>
      </w:r>
      <w:r>
        <w:rPr>
          <w:rFonts w:ascii="inherit" w:hAnsi="inherit"/>
          <w:sz w:val="17"/>
        </w:rPr>
        <w:t>as compared to net sales for the second quarter of 2018</w:t>
      </w:r>
      <w:r>
        <w:rPr>
          <w:sz w:val="17"/>
        </w:rPr>
        <w:t xml:space="preserve"> </w:t>
      </w:r>
      <w:r>
        <w:rPr>
          <w:rFonts w:ascii="inherit" w:hAnsi="inherit"/>
          <w:sz w:val="17"/>
        </w:rPr>
        <w:t>mainly due to decreased sales prices to third parties and to Westlake per the terms of the Ethylene Sales Agreement, partially offset by higher third party sales volumes. Income from operations was $84.3 million</w:t>
      </w:r>
      <w:r>
        <w:rPr>
          <w:sz w:val="17"/>
        </w:rPr>
        <w:t xml:space="preserve"> </w:t>
      </w:r>
      <w:r>
        <w:rPr>
          <w:rFonts w:ascii="inherit" w:hAnsi="inherit"/>
          <w:sz w:val="17"/>
        </w:rPr>
        <w:t>for the second quarter of 2019</w:t>
      </w:r>
      <w:r>
        <w:rPr>
          <w:sz w:val="17"/>
        </w:rPr>
        <w:t xml:space="preserve"> </w:t>
      </w:r>
      <w:r>
        <w:rPr>
          <w:rFonts w:ascii="inherit" w:hAnsi="inherit"/>
          <w:sz w:val="17"/>
        </w:rPr>
        <w:t>as compared to $89.7 million</w:t>
      </w:r>
      <w:r>
        <w:rPr>
          <w:sz w:val="17"/>
        </w:rPr>
        <w:t xml:space="preserve"> </w:t>
      </w:r>
      <w:r>
        <w:rPr>
          <w:rFonts w:ascii="inherit" w:hAnsi="inherit"/>
          <w:sz w:val="17"/>
        </w:rPr>
        <w:t>for the second quarter of 2018. Income from operations for the second quarter of 2019</w:t>
      </w:r>
      <w:r>
        <w:rPr>
          <w:sz w:val="17"/>
        </w:rPr>
        <w:t xml:space="preserve"> </w:t>
      </w:r>
      <w:r>
        <w:rPr>
          <w:rFonts w:ascii="inherit" w:hAnsi="inherit"/>
          <w:sz w:val="17"/>
        </w:rPr>
        <w:t>decreased</w:t>
      </w:r>
      <w:r>
        <w:rPr>
          <w:sz w:val="17"/>
        </w:rPr>
        <w:t xml:space="preserve"> </w:t>
      </w:r>
      <w:r>
        <w:rPr>
          <w:rFonts w:ascii="inherit" w:hAnsi="inherit"/>
          <w:sz w:val="17"/>
        </w:rPr>
        <w:t xml:space="preserve">mainly as a result of lower third party sales prices and margins as compared to the second quarter of 2018. </w:t>
      </w:r>
    </w:p>
    <w:p>
      <w:pPr>
        <w:pStyle w:val="TextBody"/>
        <w:spacing w:lineRule="auto" w:line="288" w:before="0" w:after="0"/>
        <w:ind w:left="0" w:right="0" w:firstLine="480"/>
        <w:jc w:val="left"/>
        <w:rPr>
          <w:sz w:val="17"/>
        </w:rPr>
      </w:pPr>
      <w:r>
        <w:rPr>
          <w:rFonts w:ascii="inherit" w:hAnsi="inherit"/>
          <w:sz w:val="17"/>
        </w:rPr>
        <w:t>For the six months ended June 30, 2019, net income was $158.5 million</w:t>
      </w:r>
      <w:r>
        <w:rPr>
          <w:sz w:val="17"/>
        </w:rPr>
        <w:t xml:space="preserve"> </w:t>
      </w:r>
      <w:r>
        <w:rPr>
          <w:rFonts w:ascii="inherit" w:hAnsi="inherit"/>
          <w:sz w:val="17"/>
        </w:rPr>
        <w:t>on net sales of $569.1 million. This represents a decrease</w:t>
      </w:r>
      <w:r>
        <w:rPr>
          <w:sz w:val="17"/>
        </w:rPr>
        <w:t xml:space="preserve"> </w:t>
      </w:r>
      <w:r>
        <w:rPr>
          <w:rFonts w:ascii="inherit" w:hAnsi="inherit"/>
          <w:sz w:val="17"/>
        </w:rPr>
        <w:t>in net income of $6.7 million</w:t>
      </w:r>
      <w:r>
        <w:rPr>
          <w:sz w:val="17"/>
        </w:rPr>
        <w:t xml:space="preserve"> </w:t>
      </w:r>
      <w:r>
        <w:rPr>
          <w:rFonts w:ascii="inherit" w:hAnsi="inherit"/>
          <w:sz w:val="17"/>
        </w:rPr>
        <w:t>as compared to the six months ended June 30, 2018</w:t>
      </w:r>
      <w:r>
        <w:rPr>
          <w:sz w:val="17"/>
        </w:rPr>
        <w:t xml:space="preserve"> </w:t>
      </w:r>
      <w:r>
        <w:rPr>
          <w:rFonts w:ascii="inherit" w:hAnsi="inherit"/>
          <w:sz w:val="17"/>
        </w:rPr>
        <w:t>net income of $165.2 million</w:t>
      </w:r>
      <w:r>
        <w:rPr>
          <w:sz w:val="17"/>
        </w:rPr>
        <w:t xml:space="preserve"> </w:t>
      </w:r>
      <w:r>
        <w:rPr>
          <w:rFonts w:ascii="inherit" w:hAnsi="inherit"/>
          <w:sz w:val="17"/>
        </w:rPr>
        <w:t>on net sales of $586.2 million. Net income was lower</w:t>
      </w:r>
      <w:r>
        <w:rPr>
          <w:sz w:val="17"/>
        </w:rPr>
        <w:t xml:space="preserve"> </w:t>
      </w:r>
      <w:r>
        <w:rPr>
          <w:rFonts w:ascii="inherit" w:hAnsi="inherit"/>
          <w:sz w:val="17"/>
        </w:rPr>
        <w:t>primarily as a result of lower third party sales prices and margins, the timing of maintenance capital expenditures and expenses associated with the acquisition of incremental interest in OpCo. Net income attributable to Westlake Chemical Partners LP for the six months ended June 30, 2019</w:t>
      </w:r>
      <w:r>
        <w:rPr>
          <w:sz w:val="17"/>
        </w:rPr>
        <w:t xml:space="preserve"> </w:t>
      </w:r>
      <w:r>
        <w:rPr>
          <w:rFonts w:ascii="inherit" w:hAnsi="inherit"/>
          <w:sz w:val="17"/>
        </w:rPr>
        <w:t>was $28.7 million</w:t>
      </w:r>
      <w:r>
        <w:rPr>
          <w:sz w:val="17"/>
        </w:rPr>
        <w:t xml:space="preserve"> </w:t>
      </w:r>
      <w:r>
        <w:rPr>
          <w:rFonts w:ascii="inherit" w:hAnsi="inherit"/>
          <w:sz w:val="17"/>
        </w:rPr>
        <w:t>as compared to $25.1 million</w:t>
      </w:r>
      <w:r>
        <w:rPr>
          <w:sz w:val="17"/>
        </w:rPr>
        <w:t xml:space="preserve"> </w:t>
      </w:r>
      <w:r>
        <w:rPr>
          <w:rFonts w:ascii="inherit" w:hAnsi="inherit"/>
          <w:sz w:val="17"/>
        </w:rPr>
        <w:t>for the six months ended June 30, 2018, an increase</w:t>
      </w:r>
      <w:r>
        <w:rPr>
          <w:sz w:val="17"/>
        </w:rPr>
        <w:t xml:space="preserve"> </w:t>
      </w:r>
      <w:r>
        <w:rPr>
          <w:rFonts w:ascii="inherit" w:hAnsi="inherit"/>
          <w:sz w:val="17"/>
        </w:rPr>
        <w:t>of $3.6 million, which was primarily due to a 4.5% increase in the Partnership's interest in OpCo, effective as of January 1, 2019, partially offset by lower margins on third party sales, the timing of maintenance capital expenditures and expenses associated with the acquisition of incremental interest in OpCo. Net sales for the six months ended June 30, 2019</w:t>
      </w:r>
      <w:r>
        <w:rPr>
          <w:sz w:val="17"/>
        </w:rPr>
        <w:t xml:space="preserve"> </w:t>
      </w:r>
      <w:r>
        <w:rPr>
          <w:rFonts w:ascii="inherit" w:hAnsi="inherit"/>
          <w:sz w:val="17"/>
        </w:rPr>
        <w:t>decreased</w:t>
      </w:r>
      <w:r>
        <w:rPr>
          <w:sz w:val="17"/>
        </w:rPr>
        <w:t xml:space="preserve"> </w:t>
      </w:r>
      <w:r>
        <w:rPr>
          <w:rFonts w:ascii="inherit" w:hAnsi="inherit"/>
          <w:sz w:val="17"/>
        </w:rPr>
        <w:t>by $17.1 million</w:t>
      </w:r>
      <w:r>
        <w:rPr>
          <w:sz w:val="17"/>
        </w:rPr>
        <w:t xml:space="preserve"> </w:t>
      </w:r>
      <w:r>
        <w:rPr>
          <w:rFonts w:ascii="inherit" w:hAnsi="inherit"/>
          <w:sz w:val="17"/>
        </w:rPr>
        <w:t>as compared to net sales for the six months ended June 30, 2018</w:t>
      </w:r>
      <w:r>
        <w:rPr>
          <w:sz w:val="17"/>
        </w:rPr>
        <w:t xml:space="preserve"> </w:t>
      </w:r>
      <w:r>
        <w:rPr>
          <w:rFonts w:ascii="inherit" w:hAnsi="inherit"/>
          <w:sz w:val="17"/>
        </w:rPr>
        <w:t>mainly due to decreased sales prices to third parties and to Westlake per the terms of the Ethylene Sales Agreement, partially offset by higher third party sales volumes. Income from operations was $168.0 million</w:t>
      </w:r>
      <w:r>
        <w:rPr>
          <w:sz w:val="17"/>
        </w:rPr>
        <w:t xml:space="preserve"> </w:t>
      </w:r>
      <w:r>
        <w:rPr>
          <w:rFonts w:ascii="inherit" w:hAnsi="inherit"/>
          <w:sz w:val="17"/>
        </w:rPr>
        <w:t>for the six months ended June 30, 2019</w:t>
      </w:r>
      <w:r>
        <w:rPr>
          <w:sz w:val="17"/>
        </w:rPr>
        <w:t xml:space="preserve"> </w:t>
      </w:r>
      <w:r>
        <w:rPr>
          <w:rFonts w:ascii="inherit" w:hAnsi="inherit"/>
          <w:sz w:val="17"/>
        </w:rPr>
        <w:t>as compared to $175.1 million</w:t>
      </w:r>
      <w:r>
        <w:rPr>
          <w:sz w:val="17"/>
        </w:rPr>
        <w:t xml:space="preserve"> </w:t>
      </w:r>
      <w:r>
        <w:rPr>
          <w:rFonts w:ascii="inherit" w:hAnsi="inherit"/>
          <w:sz w:val="17"/>
        </w:rPr>
        <w:t>for the six months ended June 30, 2018. Income from operations for the six months ended June 30, 2019</w:t>
      </w:r>
      <w:r>
        <w:rPr>
          <w:sz w:val="17"/>
        </w:rPr>
        <w:t xml:space="preserve"> </w:t>
      </w:r>
      <w:r>
        <w:rPr>
          <w:rFonts w:ascii="inherit" w:hAnsi="inherit"/>
          <w:sz w:val="17"/>
        </w:rPr>
        <w:t>decreased</w:t>
      </w:r>
      <w:r>
        <w:rPr>
          <w:sz w:val="17"/>
        </w:rPr>
        <w:t xml:space="preserve"> </w:t>
      </w:r>
      <w:r>
        <w:rPr>
          <w:rFonts w:ascii="inherit" w:hAnsi="inherit"/>
          <w:sz w:val="17"/>
        </w:rPr>
        <w:t>mainly as a result of lower third party sales prices and margins as compared to the six months ended June 30, 2018.</w:t>
      </w:r>
    </w:p>
    <w:p>
      <w:pPr>
        <w:pStyle w:val="TextBody"/>
        <w:spacing w:lineRule="auto" w:line="288" w:before="0" w:after="0"/>
        <w:jc w:val="left"/>
        <w:rPr>
          <w:rFonts w:ascii="inherit" w:hAnsi="inherit"/>
          <w:b/>
          <w:sz w:val="17"/>
        </w:rPr>
      </w:pPr>
      <w:r>
        <w:rPr>
          <w:rFonts w:ascii="inherit" w:hAnsi="inherit"/>
          <w:b/>
          <w:sz w:val="17"/>
        </w:rPr>
        <w:t>RESULTS OF OPERATIONS</w:t>
      </w:r>
    </w:p>
    <w:p>
      <w:pPr>
        <w:pStyle w:val="TextBody"/>
        <w:spacing w:lineRule="auto" w:line="288" w:before="0" w:after="0"/>
        <w:jc w:val="left"/>
        <w:rPr>
          <w:sz w:val="17"/>
        </w:rPr>
      </w:pPr>
      <w:r>
        <w:rPr>
          <w:rFonts w:ascii="inherit" w:hAnsi="inherit"/>
          <w:b/>
          <w:i/>
          <w:sz w:val="17"/>
        </w:rPr>
        <w:t>Second Quarter 2019</w:t>
      </w:r>
      <w:r>
        <w:rPr>
          <w:sz w:val="17"/>
        </w:rPr>
        <w:t> </w:t>
      </w:r>
      <w:r>
        <w:rPr>
          <w:rFonts w:ascii="inherit" w:hAnsi="inherit"/>
          <w:b/>
          <w:i/>
          <w:sz w:val="17"/>
        </w:rPr>
        <w:t>Compared with Second Quarter 2018</w:t>
      </w:r>
    </w:p>
    <w:p>
      <w:pPr>
        <w:pStyle w:val="TextBody"/>
        <w:spacing w:lineRule="auto" w:line="288" w:before="0" w:after="0"/>
        <w:ind w:left="0" w:right="0" w:firstLine="480"/>
        <w:jc w:val="left"/>
        <w:rPr>
          <w:sz w:val="17"/>
        </w:rPr>
      </w:pPr>
      <w:r>
        <w:rPr>
          <w:rFonts w:ascii="inherit" w:hAnsi="inherit"/>
          <w:i/>
          <w:sz w:val="17"/>
        </w:rPr>
        <w:t>Net Sales.</w:t>
      </w:r>
      <w:r>
        <w:rPr>
          <w:sz w:val="17"/>
        </w:rPr>
        <w:t> </w:t>
      </w:r>
      <w:r>
        <w:rPr>
          <w:rFonts w:ascii="inherit" w:hAnsi="inherit"/>
          <w:sz w:val="17"/>
        </w:rPr>
        <w:t>Total net sales decreased</w:t>
      </w:r>
      <w:r>
        <w:rPr>
          <w:sz w:val="17"/>
        </w:rPr>
        <w:t xml:space="preserve"> </w:t>
      </w:r>
      <w:r>
        <w:rPr>
          <w:rFonts w:ascii="inherit" w:hAnsi="inherit"/>
          <w:sz w:val="17"/>
        </w:rPr>
        <w:t>by $31.9 million, or 10.6%, to $270.1 million</w:t>
      </w:r>
      <w:r>
        <w:rPr>
          <w:sz w:val="17"/>
        </w:rPr>
        <w:t xml:space="preserve"> </w:t>
      </w:r>
      <w:r>
        <w:rPr>
          <w:rFonts w:ascii="inherit" w:hAnsi="inherit"/>
          <w:sz w:val="17"/>
        </w:rPr>
        <w:t>in the second quarter of 2019</w:t>
      </w:r>
      <w:r>
        <w:rPr>
          <w:sz w:val="17"/>
        </w:rPr>
        <w:t xml:space="preserve"> </w:t>
      </w:r>
      <w:r>
        <w:rPr>
          <w:rFonts w:ascii="inherit" w:hAnsi="inherit"/>
          <w:sz w:val="17"/>
        </w:rPr>
        <w:t>from $302.0 million</w:t>
      </w:r>
      <w:r>
        <w:rPr>
          <w:sz w:val="17"/>
        </w:rPr>
        <w:t xml:space="preserve"> </w:t>
      </w:r>
      <w:r>
        <w:rPr>
          <w:rFonts w:ascii="inherit" w:hAnsi="inherit"/>
          <w:sz w:val="17"/>
        </w:rPr>
        <w:t>in the second quarter of 2018. The overall average sales price in the second quarter of 2019</w:t>
      </w:r>
      <w:r>
        <w:rPr>
          <w:sz w:val="17"/>
        </w:rPr>
        <w:t xml:space="preserve"> </w:t>
      </w:r>
      <w:r>
        <w:rPr>
          <w:rFonts w:ascii="inherit" w:hAnsi="inherit"/>
          <w:sz w:val="17"/>
        </w:rPr>
        <w:t>contributed to a 12.1%</w:t>
      </w:r>
      <w:r>
        <w:rPr>
          <w:sz w:val="17"/>
        </w:rPr>
        <w:t xml:space="preserve"> </w:t>
      </w:r>
      <w:r>
        <w:rPr>
          <w:rFonts w:ascii="inherit" w:hAnsi="inherit"/>
          <w:sz w:val="17"/>
        </w:rPr>
        <w:t>decrease in net sales, due to decreased ethylene sales prices to third parties and to Westlake per the terms of the Ethylene Sales Agreement, compared to the second quarter of 2018. Overall sales volumes increased by 1.5%</w:t>
      </w:r>
      <w:r>
        <w:rPr>
          <w:sz w:val="17"/>
        </w:rPr>
        <w:t xml:space="preserve"> </w:t>
      </w:r>
      <w:r>
        <w:rPr>
          <w:rFonts w:ascii="inherit" w:hAnsi="inherit"/>
          <w:sz w:val="17"/>
        </w:rPr>
        <w:t xml:space="preserve">as a result of higher sales to third parties for the second quarter of 2019, as compared to the second quarter of 2018. </w:t>
      </w:r>
    </w:p>
    <w:p>
      <w:pPr>
        <w:pStyle w:val="TextBody"/>
        <w:spacing w:lineRule="auto" w:line="288" w:before="0" w:after="0"/>
        <w:ind w:left="0" w:right="0" w:firstLine="480"/>
        <w:jc w:val="left"/>
        <w:rPr>
          <w:sz w:val="17"/>
        </w:rPr>
      </w:pPr>
      <w:r>
        <w:rPr>
          <w:rFonts w:ascii="inherit" w:hAnsi="inherit"/>
          <w:i/>
          <w:sz w:val="17"/>
        </w:rPr>
        <w:t>Gross Profit.</w:t>
      </w:r>
      <w:r>
        <w:rPr>
          <w:sz w:val="17"/>
        </w:rPr>
        <w:t> </w:t>
      </w:r>
      <w:r>
        <w:rPr>
          <w:rFonts w:ascii="inherit" w:hAnsi="inherit"/>
          <w:sz w:val="17"/>
        </w:rPr>
        <w:t>Gross profit decreased</w:t>
      </w:r>
      <w:r>
        <w:rPr>
          <w:sz w:val="17"/>
        </w:rPr>
        <w:t xml:space="preserve"> </w:t>
      </w:r>
      <w:r>
        <w:rPr>
          <w:rFonts w:ascii="inherit" w:hAnsi="inherit"/>
          <w:sz w:val="17"/>
        </w:rPr>
        <w:t>to $92.0 million</w:t>
      </w:r>
      <w:r>
        <w:rPr>
          <w:sz w:val="17"/>
        </w:rPr>
        <w:t xml:space="preserve"> </w:t>
      </w:r>
      <w:r>
        <w:rPr>
          <w:rFonts w:ascii="inherit" w:hAnsi="inherit"/>
          <w:sz w:val="17"/>
        </w:rPr>
        <w:t>for the second quarter of 2019</w:t>
      </w:r>
      <w:r>
        <w:rPr>
          <w:sz w:val="17"/>
        </w:rPr>
        <w:t xml:space="preserve"> </w:t>
      </w:r>
      <w:r>
        <w:rPr>
          <w:rFonts w:ascii="inherit" w:hAnsi="inherit"/>
          <w:sz w:val="17"/>
        </w:rPr>
        <w:t>from $97.1 million</w:t>
      </w:r>
      <w:r>
        <w:rPr>
          <w:sz w:val="17"/>
        </w:rPr>
        <w:t xml:space="preserve"> </w:t>
      </w:r>
      <w:r>
        <w:rPr>
          <w:rFonts w:ascii="inherit" w:hAnsi="inherit"/>
          <w:sz w:val="17"/>
        </w:rPr>
        <w:t>for the second quarter of 2018. The second quarter of 2019</w:t>
      </w:r>
      <w:r>
        <w:rPr>
          <w:sz w:val="17"/>
        </w:rPr>
        <w:t xml:space="preserve"> </w:t>
      </w:r>
      <w:r>
        <w:rPr>
          <w:rFonts w:ascii="inherit" w:hAnsi="inherit"/>
          <w:sz w:val="17"/>
        </w:rPr>
        <w:t xml:space="preserve">gross profit was lower mainly due to lower sales prices and margins to third parties, as compared to the second quarter of 2018. </w:t>
      </w:r>
    </w:p>
    <w:p>
      <w:pPr>
        <w:pStyle w:val="TextBody"/>
        <w:spacing w:lineRule="auto" w:line="288" w:before="0" w:after="0"/>
        <w:ind w:left="0" w:right="0" w:firstLine="480"/>
        <w:jc w:val="left"/>
        <w:rPr>
          <w:sz w:val="17"/>
        </w:rPr>
      </w:pPr>
      <w:r>
        <w:rPr>
          <w:rFonts w:ascii="inherit" w:hAnsi="inherit"/>
          <w:i/>
          <w:sz w:val="17"/>
        </w:rPr>
        <w:t>Selling, General and Administrative Expenses.</w:t>
      </w:r>
      <w:r>
        <w:rPr>
          <w:sz w:val="17"/>
        </w:rPr>
        <w:t> </w:t>
      </w:r>
      <w:r>
        <w:rPr>
          <w:rFonts w:ascii="inherit" w:hAnsi="inherit"/>
          <w:sz w:val="17"/>
        </w:rPr>
        <w:t>Selling, general and administrative expenses increased</w:t>
      </w:r>
      <w:r>
        <w:rPr>
          <w:sz w:val="17"/>
        </w:rPr>
        <w:t xml:space="preserve"> </w:t>
      </w:r>
      <w:r>
        <w:rPr>
          <w:rFonts w:ascii="inherit" w:hAnsi="inherit"/>
          <w:sz w:val="17"/>
        </w:rPr>
        <w:t>by $0.2 million, or 2.7%, to $7.6 million</w:t>
      </w:r>
      <w:r>
        <w:rPr>
          <w:sz w:val="17"/>
        </w:rPr>
        <w:t xml:space="preserve"> </w:t>
      </w:r>
      <w:r>
        <w:rPr>
          <w:rFonts w:ascii="inherit" w:hAnsi="inherit"/>
          <w:sz w:val="17"/>
        </w:rPr>
        <w:t>in the second quarter of 2019</w:t>
      </w:r>
      <w:r>
        <w:rPr>
          <w:sz w:val="17"/>
        </w:rPr>
        <w:t xml:space="preserve"> </w:t>
      </w:r>
      <w:r>
        <w:rPr>
          <w:rFonts w:ascii="inherit" w:hAnsi="inherit"/>
          <w:sz w:val="17"/>
        </w:rPr>
        <w:t>as compared to $7.4 million</w:t>
      </w:r>
      <w:r>
        <w:rPr>
          <w:sz w:val="17"/>
        </w:rPr>
        <w:t xml:space="preserve"> </w:t>
      </w:r>
      <w:r>
        <w:rPr>
          <w:rFonts w:ascii="inherit" w:hAnsi="inherit"/>
          <w:sz w:val="17"/>
        </w:rPr>
        <w:t>in the second quarter of 2018. The increase</w:t>
      </w:r>
      <w:r>
        <w:rPr>
          <w:sz w:val="17"/>
        </w:rPr>
        <w:t xml:space="preserve"> </w:t>
      </w:r>
      <w:r>
        <w:rPr>
          <w:rFonts w:ascii="inherit" w:hAnsi="inherit"/>
          <w:sz w:val="17"/>
        </w:rPr>
        <w:t>in the second quarter of 2019</w:t>
      </w:r>
      <w:r>
        <w:rPr>
          <w:sz w:val="17"/>
        </w:rPr>
        <w:t xml:space="preserve"> </w:t>
      </w:r>
      <w:r>
        <w:rPr>
          <w:rFonts w:ascii="inherit" w:hAnsi="inherit"/>
          <w:sz w:val="17"/>
        </w:rPr>
        <w:t>was mainly attributable to expenses associated with the acquisition of an incremental interest in OpCo, partially offset by a decrease in provision for doubtful accounts as compared to the second quarter of 2018.</w:t>
      </w:r>
    </w:p>
    <w:p>
      <w:pPr>
        <w:pStyle w:val="TextBody"/>
        <w:spacing w:lineRule="auto" w:line="288" w:before="0" w:after="0"/>
        <w:ind w:left="0" w:right="0" w:firstLine="480"/>
        <w:jc w:val="left"/>
        <w:rPr>
          <w:sz w:val="17"/>
        </w:rPr>
      </w:pPr>
      <w:r>
        <w:rPr>
          <w:rFonts w:ascii="inherit" w:hAnsi="inherit"/>
          <w:i/>
          <w:sz w:val="17"/>
        </w:rPr>
        <w:t>Interest Expense.</w:t>
      </w:r>
      <w:r>
        <w:rPr>
          <w:sz w:val="17"/>
        </w:rPr>
        <w:t> </w:t>
      </w:r>
      <w:r>
        <w:rPr>
          <w:rFonts w:ascii="inherit" w:hAnsi="inherit"/>
          <w:sz w:val="17"/>
        </w:rPr>
        <w:t>Interest expense decreased</w:t>
      </w:r>
      <w:r>
        <w:rPr>
          <w:sz w:val="17"/>
        </w:rPr>
        <w:t xml:space="preserve"> </w:t>
      </w:r>
      <w:r>
        <w:rPr>
          <w:rFonts w:ascii="inherit" w:hAnsi="inherit"/>
          <w:sz w:val="17"/>
        </w:rPr>
        <w:t>by $0.4 million</w:t>
      </w:r>
      <w:r>
        <w:rPr>
          <w:sz w:val="17"/>
        </w:rPr>
        <w:t xml:space="preserve"> </w:t>
      </w:r>
      <w:r>
        <w:rPr>
          <w:rFonts w:ascii="inherit" w:hAnsi="inherit"/>
          <w:sz w:val="17"/>
        </w:rPr>
        <w:t>to $5.1 million</w:t>
      </w:r>
      <w:r>
        <w:rPr>
          <w:sz w:val="17"/>
        </w:rPr>
        <w:t xml:space="preserve"> </w:t>
      </w:r>
      <w:r>
        <w:rPr>
          <w:rFonts w:ascii="inherit" w:hAnsi="inherit"/>
          <w:sz w:val="17"/>
        </w:rPr>
        <w:t>in the second quarter of 2019</w:t>
      </w:r>
      <w:r>
        <w:rPr>
          <w:sz w:val="17"/>
        </w:rPr>
        <w:t xml:space="preserve"> </w:t>
      </w:r>
      <w:r>
        <w:rPr>
          <w:rFonts w:ascii="inherit" w:hAnsi="inherit"/>
          <w:sz w:val="17"/>
        </w:rPr>
        <w:t>from $5.5 million</w:t>
      </w:r>
      <w:r>
        <w:rPr>
          <w:sz w:val="17"/>
        </w:rPr>
        <w:t xml:space="preserve"> </w:t>
      </w:r>
      <w:r>
        <w:rPr>
          <w:rFonts w:ascii="inherit" w:hAnsi="inherit"/>
          <w:sz w:val="17"/>
        </w:rPr>
        <w:t>in the second quarter of 2018, largely due to a lower average debt balance resulting from the partial repayment of borrowings under the OpCo Revolver in April 2019 and a decrease in the applicable margin on the OpCo Revolver from 3% to 2% effective September 25, 2018, partially offset by a higher interest rate on debt due to an increase in the London Interbank Offered Rate ("LIBOR").</w:t>
      </w:r>
    </w:p>
    <w:p>
      <w:pPr>
        <w:pStyle w:val="TextBody"/>
        <w:spacing w:lineRule="auto" w:line="288" w:before="0" w:after="0"/>
        <w:ind w:left="0" w:right="0" w:firstLine="480"/>
        <w:jc w:val="left"/>
        <w:rPr>
          <w:sz w:val="17"/>
        </w:rPr>
      </w:pPr>
      <w:r>
        <w:rPr>
          <w:rFonts w:ascii="inherit" w:hAnsi="inherit"/>
          <w:i/>
          <w:sz w:val="17"/>
        </w:rPr>
        <w:t xml:space="preserve">Other Income. </w:t>
      </w:r>
      <w:r>
        <w:rPr>
          <w:rFonts w:ascii="inherit" w:hAnsi="inherit"/>
          <w:sz w:val="17"/>
        </w:rPr>
        <w:t>The increase</w:t>
      </w:r>
      <w:r>
        <w:rPr>
          <w:sz w:val="17"/>
        </w:rPr>
        <w:t xml:space="preserve"> </w:t>
      </w:r>
      <w:r>
        <w:rPr>
          <w:rFonts w:ascii="inherit" w:hAnsi="inherit"/>
          <w:sz w:val="17"/>
        </w:rPr>
        <w:t>in other income in the second quarter of 2019</w:t>
      </w:r>
      <w:r>
        <w:rPr>
          <w:sz w:val="17"/>
        </w:rPr>
        <w:t xml:space="preserve"> </w:t>
      </w:r>
      <w:r>
        <w:rPr>
          <w:rFonts w:ascii="inherit" w:hAnsi="inherit"/>
          <w:sz w:val="17"/>
        </w:rPr>
        <w:t>as compared to the second quarter of 2018</w:t>
      </w:r>
      <w:r>
        <w:rPr>
          <w:sz w:val="17"/>
        </w:rPr>
        <w:t xml:space="preserve"> </w:t>
      </w:r>
      <w:r>
        <w:rPr>
          <w:rFonts w:ascii="inherit" w:hAnsi="inherit"/>
          <w:sz w:val="17"/>
        </w:rPr>
        <w:t xml:space="preserve">was primarily due to an increase in interest income earned under the Investment Management Agreement.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80"/>
        <w:jc w:val="left"/>
        <w:rPr>
          <w:sz w:val="17"/>
        </w:rPr>
      </w:pPr>
      <w:r>
        <w:rPr>
          <w:rFonts w:ascii="inherit" w:hAnsi="inherit"/>
          <w:i/>
          <w:sz w:val="17"/>
        </w:rPr>
        <w:t>MLP Distributable Cash Flow.</w:t>
      </w:r>
      <w:r>
        <w:rPr>
          <w:sz w:val="17"/>
        </w:rPr>
        <w:t xml:space="preserve"> </w:t>
      </w:r>
      <w:r>
        <w:rPr>
          <w:rFonts w:ascii="inherit" w:hAnsi="inherit"/>
          <w:sz w:val="17"/>
        </w:rPr>
        <w:t>MLP distributable cash flow increased</w:t>
      </w:r>
      <w:r>
        <w:rPr>
          <w:sz w:val="17"/>
        </w:rPr>
        <w:t xml:space="preserve"> </w:t>
      </w:r>
      <w:r>
        <w:rPr>
          <w:rFonts w:ascii="inherit" w:hAnsi="inherit"/>
          <w:sz w:val="17"/>
        </w:rPr>
        <w:t>by $0.4 million</w:t>
      </w:r>
      <w:r>
        <w:rPr>
          <w:sz w:val="17"/>
        </w:rPr>
        <w:t xml:space="preserve"> </w:t>
      </w:r>
      <w:r>
        <w:rPr>
          <w:rFonts w:ascii="inherit" w:hAnsi="inherit"/>
          <w:sz w:val="17"/>
        </w:rPr>
        <w:t>to $16.4 million</w:t>
      </w:r>
      <w:r>
        <w:rPr>
          <w:sz w:val="17"/>
        </w:rPr>
        <w:t xml:space="preserve"> </w:t>
      </w:r>
      <w:r>
        <w:rPr>
          <w:rFonts w:ascii="inherit" w:hAnsi="inherit"/>
          <w:sz w:val="17"/>
        </w:rPr>
        <w:t>in the second quarter of 2019</w:t>
      </w:r>
      <w:r>
        <w:rPr>
          <w:sz w:val="17"/>
        </w:rPr>
        <w:t xml:space="preserve"> </w:t>
      </w:r>
      <w:r>
        <w:rPr>
          <w:rFonts w:ascii="inherit" w:hAnsi="inherit"/>
          <w:sz w:val="17"/>
        </w:rPr>
        <w:t>from $16.0 million</w:t>
      </w:r>
      <w:r>
        <w:rPr>
          <w:sz w:val="17"/>
        </w:rPr>
        <w:t xml:space="preserve"> </w:t>
      </w:r>
      <w:r>
        <w:rPr>
          <w:rFonts w:ascii="inherit" w:hAnsi="inherit"/>
          <w:sz w:val="17"/>
        </w:rPr>
        <w:t>in the second quarter of 2018. The increased</w:t>
      </w:r>
      <w:r>
        <w:rPr>
          <w:sz w:val="17"/>
        </w:rPr>
        <w:t xml:space="preserve"> </w:t>
      </w:r>
      <w:r>
        <w:rPr>
          <w:rFonts w:ascii="inherit" w:hAnsi="inherit"/>
          <w:sz w:val="17"/>
        </w:rPr>
        <w:t>MLP distributable cash flow in the second quarter of 2019, as compared to the prior-year period, was primarily a result of the 4.5% increase in the Partnership's interest in OpCo, effective as of January 1, 2019. This increase was partially offset by lower margins on third party sales and timing of maintenance capital expenditures at OpCo.</w:t>
      </w:r>
    </w:p>
    <w:p>
      <w:pPr>
        <w:pStyle w:val="TextBody"/>
        <w:spacing w:lineRule="auto" w:line="288" w:before="0" w:after="0"/>
        <w:ind w:left="0" w:right="0" w:firstLine="480"/>
        <w:jc w:val="left"/>
        <w:rPr>
          <w:sz w:val="17"/>
        </w:rPr>
      </w:pPr>
      <w:r>
        <w:rPr>
          <w:rFonts w:ascii="inherit" w:hAnsi="inherit"/>
          <w:i/>
          <w:sz w:val="17"/>
        </w:rPr>
        <w:t xml:space="preserve">EBITDA. </w:t>
      </w:r>
      <w:r>
        <w:rPr>
          <w:rFonts w:ascii="inherit" w:hAnsi="inherit"/>
          <w:sz w:val="17"/>
        </w:rPr>
        <w:t>EBITDA decreased</w:t>
      </w:r>
      <w:r>
        <w:rPr>
          <w:sz w:val="17"/>
        </w:rPr>
        <w:t xml:space="preserve"> </w:t>
      </w:r>
      <w:r>
        <w:rPr>
          <w:rFonts w:ascii="inherit" w:hAnsi="inherit"/>
          <w:sz w:val="17"/>
        </w:rPr>
        <w:t>by $5.6 million</w:t>
      </w:r>
      <w:r>
        <w:rPr>
          <w:sz w:val="17"/>
        </w:rPr>
        <w:t xml:space="preserve"> </w:t>
      </w:r>
      <w:r>
        <w:rPr>
          <w:rFonts w:ascii="inherit" w:hAnsi="inherit"/>
          <w:sz w:val="17"/>
        </w:rPr>
        <w:t>to $112.3 million</w:t>
      </w:r>
      <w:r>
        <w:rPr>
          <w:sz w:val="17"/>
        </w:rPr>
        <w:t xml:space="preserve"> </w:t>
      </w:r>
      <w:r>
        <w:rPr>
          <w:rFonts w:ascii="inherit" w:hAnsi="inherit"/>
          <w:sz w:val="17"/>
        </w:rPr>
        <w:t>in the second quarter of 2019</w:t>
      </w:r>
      <w:r>
        <w:rPr>
          <w:sz w:val="17"/>
        </w:rPr>
        <w:t xml:space="preserve"> </w:t>
      </w:r>
      <w:r>
        <w:rPr>
          <w:rFonts w:ascii="inherit" w:hAnsi="inherit"/>
          <w:sz w:val="17"/>
        </w:rPr>
        <w:t>from $117.9 million</w:t>
      </w:r>
      <w:r>
        <w:rPr>
          <w:sz w:val="17"/>
        </w:rPr>
        <w:t xml:space="preserve"> </w:t>
      </w:r>
      <w:r>
        <w:rPr>
          <w:rFonts w:ascii="inherit" w:hAnsi="inherit"/>
          <w:sz w:val="17"/>
        </w:rPr>
        <w:t>in the second quarter of 2018. The decreased</w:t>
      </w:r>
      <w:r>
        <w:rPr>
          <w:sz w:val="17"/>
        </w:rPr>
        <w:t xml:space="preserve"> </w:t>
      </w:r>
      <w:r>
        <w:rPr>
          <w:rFonts w:ascii="inherit" w:hAnsi="inherit"/>
          <w:sz w:val="17"/>
        </w:rPr>
        <w:t>EBITDA as compared to the prior-year period was primarily due to lower third party ethylene sales prices and margins.</w:t>
      </w:r>
    </w:p>
    <w:p>
      <w:pPr>
        <w:pStyle w:val="TextBody"/>
        <w:spacing w:lineRule="auto" w:line="417" w:before="0" w:after="0"/>
        <w:jc w:val="left"/>
        <w:rPr>
          <w:sz w:val="17"/>
        </w:rPr>
      </w:pPr>
      <w:r>
        <w:rPr>
          <w:rFonts w:ascii="inherit" w:hAnsi="inherit"/>
          <w:b/>
          <w:i/>
          <w:sz w:val="17"/>
        </w:rPr>
        <w:t>Six Months Ended June 30, 2019</w:t>
      </w:r>
      <w:r>
        <w:rPr>
          <w:sz w:val="17"/>
        </w:rPr>
        <w:t> </w:t>
      </w:r>
      <w:r>
        <w:rPr>
          <w:rFonts w:ascii="inherit" w:hAnsi="inherit"/>
          <w:b/>
          <w:i/>
          <w:sz w:val="17"/>
        </w:rPr>
        <w:t>Compared with Six Months Ended June 30, 2018</w:t>
      </w:r>
      <w:r>
        <w:rPr>
          <w:sz w:val="17"/>
        </w:rPr>
        <w:t xml:space="preserve"> </w:t>
      </w:r>
    </w:p>
    <w:p>
      <w:pPr>
        <w:pStyle w:val="TextBody"/>
        <w:spacing w:lineRule="auto" w:line="288" w:before="0" w:after="0"/>
        <w:ind w:left="0" w:right="0" w:firstLine="480"/>
        <w:jc w:val="left"/>
        <w:rPr>
          <w:sz w:val="17"/>
        </w:rPr>
      </w:pPr>
      <w:r>
        <w:rPr>
          <w:rFonts w:ascii="inherit" w:hAnsi="inherit"/>
          <w:i/>
          <w:sz w:val="17"/>
        </w:rPr>
        <w:t>Net Sales.</w:t>
      </w:r>
      <w:r>
        <w:rPr>
          <w:sz w:val="17"/>
        </w:rPr>
        <w:t> </w:t>
      </w:r>
      <w:r>
        <w:rPr>
          <w:rFonts w:ascii="inherit" w:hAnsi="inherit"/>
          <w:sz w:val="17"/>
        </w:rPr>
        <w:t>Total net sales decreased</w:t>
      </w:r>
      <w:r>
        <w:rPr>
          <w:sz w:val="17"/>
        </w:rPr>
        <w:t xml:space="preserve"> </w:t>
      </w:r>
      <w:r>
        <w:rPr>
          <w:rFonts w:ascii="inherit" w:hAnsi="inherit"/>
          <w:sz w:val="17"/>
        </w:rPr>
        <w:t>by $17.1 million, or 2.9%, to $569.1 million</w:t>
      </w:r>
      <w:r>
        <w:rPr>
          <w:sz w:val="17"/>
        </w:rPr>
        <w:t xml:space="preserve"> </w:t>
      </w:r>
      <w:r>
        <w:rPr>
          <w:rFonts w:ascii="inherit" w:hAnsi="inherit"/>
          <w:sz w:val="17"/>
        </w:rPr>
        <w:t>in the six months ended June 30, 2019</w:t>
      </w:r>
      <w:r>
        <w:rPr>
          <w:sz w:val="17"/>
        </w:rPr>
        <w:t xml:space="preserve"> </w:t>
      </w:r>
      <w:r>
        <w:rPr>
          <w:rFonts w:ascii="inherit" w:hAnsi="inherit"/>
          <w:sz w:val="17"/>
        </w:rPr>
        <w:t>from $586.2 million</w:t>
      </w:r>
      <w:r>
        <w:rPr>
          <w:sz w:val="17"/>
        </w:rPr>
        <w:t xml:space="preserve"> </w:t>
      </w:r>
      <w:r>
        <w:rPr>
          <w:rFonts w:ascii="inherit" w:hAnsi="inherit"/>
          <w:sz w:val="17"/>
        </w:rPr>
        <w:t>in the six months ended June 30, 2018. The overall decreased</w:t>
      </w:r>
      <w:r>
        <w:rPr>
          <w:sz w:val="17"/>
        </w:rPr>
        <w:t xml:space="preserve"> </w:t>
      </w:r>
      <w:r>
        <w:rPr>
          <w:rFonts w:ascii="inherit" w:hAnsi="inherit"/>
          <w:sz w:val="17"/>
        </w:rPr>
        <w:t>sales price for the six months ended June 30, 2019</w:t>
      </w:r>
      <w:r>
        <w:rPr>
          <w:sz w:val="17"/>
        </w:rPr>
        <w:t xml:space="preserve"> </w:t>
      </w:r>
      <w:r>
        <w:rPr>
          <w:rFonts w:ascii="inherit" w:hAnsi="inherit"/>
          <w:sz w:val="17"/>
        </w:rPr>
        <w:t>contributed to a 4.0%</w:t>
      </w:r>
      <w:r>
        <w:rPr>
          <w:sz w:val="17"/>
        </w:rPr>
        <w:t xml:space="preserve"> </w:t>
      </w:r>
      <w:r>
        <w:rPr>
          <w:rFonts w:ascii="inherit" w:hAnsi="inherit"/>
          <w:sz w:val="17"/>
        </w:rPr>
        <w:t>decrease</w:t>
      </w:r>
      <w:r>
        <w:rPr>
          <w:sz w:val="17"/>
        </w:rPr>
        <w:t xml:space="preserve"> </w:t>
      </w:r>
      <w:r>
        <w:rPr>
          <w:rFonts w:ascii="inherit" w:hAnsi="inherit"/>
          <w:sz w:val="17"/>
        </w:rPr>
        <w:t>in net sales, as compared to the six months ended June 30, 2018, which was mainly due to lower sales prices to third parties and to Westlake per the terms of the Ethylene Sales Agreement. Overall sales volume increased by 1.1%</w:t>
      </w:r>
      <w:r>
        <w:rPr>
          <w:sz w:val="17"/>
        </w:rPr>
        <w:t xml:space="preserve"> </w:t>
      </w:r>
      <w:r>
        <w:rPr>
          <w:rFonts w:ascii="inherit" w:hAnsi="inherit"/>
          <w:sz w:val="17"/>
        </w:rPr>
        <w:t>in the six months ended June 30, 2019</w:t>
      </w:r>
      <w:r>
        <w:rPr>
          <w:sz w:val="17"/>
        </w:rPr>
        <w:t xml:space="preserve"> </w:t>
      </w:r>
      <w:r>
        <w:rPr>
          <w:rFonts w:ascii="inherit" w:hAnsi="inherit"/>
          <w:sz w:val="17"/>
        </w:rPr>
        <w:t>compared to the six months ended June 30, 2018, primarily as a result of higher sales volumes to third parties.</w:t>
      </w:r>
    </w:p>
    <w:p>
      <w:pPr>
        <w:pStyle w:val="TextBody"/>
        <w:spacing w:lineRule="auto" w:line="288" w:before="0" w:after="0"/>
        <w:ind w:left="0" w:right="0" w:firstLine="480"/>
        <w:jc w:val="left"/>
        <w:rPr>
          <w:sz w:val="17"/>
        </w:rPr>
      </w:pPr>
      <w:r>
        <w:rPr>
          <w:rFonts w:ascii="inherit" w:hAnsi="inherit"/>
          <w:i/>
          <w:sz w:val="17"/>
        </w:rPr>
        <w:t>Gross Profit.</w:t>
      </w:r>
      <w:r>
        <w:rPr>
          <w:sz w:val="17"/>
        </w:rPr>
        <w:t> </w:t>
      </w:r>
      <w:r>
        <w:rPr>
          <w:rFonts w:ascii="inherit" w:hAnsi="inherit"/>
          <w:sz w:val="17"/>
        </w:rPr>
        <w:t>Gross profit decreased</w:t>
      </w:r>
      <w:r>
        <w:rPr>
          <w:sz w:val="17"/>
        </w:rPr>
        <w:t xml:space="preserve"> </w:t>
      </w:r>
      <w:r>
        <w:rPr>
          <w:rFonts w:ascii="inherit" w:hAnsi="inherit"/>
          <w:sz w:val="17"/>
        </w:rPr>
        <w:t>to $182.6 million</w:t>
      </w:r>
      <w:r>
        <w:rPr>
          <w:sz w:val="17"/>
        </w:rPr>
        <w:t xml:space="preserve"> </w:t>
      </w:r>
      <w:r>
        <w:rPr>
          <w:rFonts w:ascii="inherit" w:hAnsi="inherit"/>
          <w:sz w:val="17"/>
        </w:rPr>
        <w:t>for the six months ended June 30, 2019</w:t>
      </w:r>
      <w:r>
        <w:rPr>
          <w:sz w:val="17"/>
        </w:rPr>
        <w:t xml:space="preserve"> </w:t>
      </w:r>
      <w:r>
        <w:rPr>
          <w:rFonts w:ascii="inherit" w:hAnsi="inherit"/>
          <w:sz w:val="17"/>
        </w:rPr>
        <w:t>from $189.6 million</w:t>
      </w:r>
      <w:r>
        <w:rPr>
          <w:sz w:val="17"/>
        </w:rPr>
        <w:t xml:space="preserve"> </w:t>
      </w:r>
      <w:r>
        <w:rPr>
          <w:rFonts w:ascii="inherit" w:hAnsi="inherit"/>
          <w:sz w:val="17"/>
        </w:rPr>
        <w:t>for the six months ended June 30, 2018. The six months ended June 30, 2019</w:t>
      </w:r>
      <w:r>
        <w:rPr>
          <w:sz w:val="17"/>
        </w:rPr>
        <w:t xml:space="preserve"> </w:t>
      </w:r>
      <w:r>
        <w:rPr>
          <w:rFonts w:ascii="inherit" w:hAnsi="inherit"/>
          <w:sz w:val="17"/>
        </w:rPr>
        <w:t>gross profit was lower mainly due to lower sales prices and margins to third parties, as compared to the six months ended June 30, 2018.</w:t>
      </w:r>
    </w:p>
    <w:p>
      <w:pPr>
        <w:pStyle w:val="TextBody"/>
        <w:spacing w:lineRule="auto" w:line="288" w:before="0" w:after="0"/>
        <w:ind w:left="0" w:right="0" w:firstLine="480"/>
        <w:jc w:val="left"/>
        <w:rPr>
          <w:sz w:val="17"/>
        </w:rPr>
      </w:pPr>
      <w:r>
        <w:rPr>
          <w:rFonts w:ascii="inherit" w:hAnsi="inherit"/>
          <w:i/>
          <w:sz w:val="17"/>
        </w:rPr>
        <w:t>Selling, General and Administrative Expenses.</w:t>
      </w:r>
      <w:r>
        <w:rPr>
          <w:sz w:val="17"/>
        </w:rPr>
        <w:t> </w:t>
      </w:r>
      <w:r>
        <w:rPr>
          <w:rFonts w:ascii="inherit" w:hAnsi="inherit"/>
          <w:sz w:val="17"/>
        </w:rPr>
        <w:t>Selling, general and administrative expenses remained relatively comparable to the prior-year period with a slight increase</w:t>
      </w:r>
      <w:r>
        <w:rPr>
          <w:sz w:val="17"/>
        </w:rPr>
        <w:t xml:space="preserve"> </w:t>
      </w:r>
      <w:r>
        <w:rPr>
          <w:rFonts w:ascii="inherit" w:hAnsi="inherit"/>
          <w:sz w:val="17"/>
        </w:rPr>
        <w:t>of $0.1 million, or 0.7%, to $14.6 million</w:t>
      </w:r>
      <w:r>
        <w:rPr>
          <w:sz w:val="17"/>
        </w:rPr>
        <w:t xml:space="preserve"> </w:t>
      </w:r>
      <w:r>
        <w:rPr>
          <w:rFonts w:ascii="inherit" w:hAnsi="inherit"/>
          <w:sz w:val="17"/>
        </w:rPr>
        <w:t>in the six months ended June 30, 2019</w:t>
      </w:r>
      <w:r>
        <w:rPr>
          <w:sz w:val="17"/>
        </w:rPr>
        <w:t xml:space="preserve"> </w:t>
      </w:r>
      <w:r>
        <w:rPr>
          <w:rFonts w:ascii="inherit" w:hAnsi="inherit"/>
          <w:sz w:val="17"/>
        </w:rPr>
        <w:t>as compared to $14.5 million</w:t>
      </w:r>
      <w:r>
        <w:rPr>
          <w:sz w:val="17"/>
        </w:rPr>
        <w:t xml:space="preserve"> </w:t>
      </w:r>
      <w:r>
        <w:rPr>
          <w:rFonts w:ascii="inherit" w:hAnsi="inherit"/>
          <w:sz w:val="17"/>
        </w:rPr>
        <w:t>in the six months ended June 30, 2018. The increase</w:t>
      </w:r>
      <w:r>
        <w:rPr>
          <w:sz w:val="17"/>
        </w:rPr>
        <w:t xml:space="preserve"> </w:t>
      </w:r>
      <w:r>
        <w:rPr>
          <w:rFonts w:ascii="inherit" w:hAnsi="inherit"/>
          <w:sz w:val="17"/>
        </w:rPr>
        <w:t>was mainly attributable to expenses associated with the acquisition of an incremental interest in OpCo, partially offset by a decrease in provision for doubtful accounts in the six months ended June 30, 2019, as compared to the prior-year period.</w:t>
      </w:r>
    </w:p>
    <w:p>
      <w:pPr>
        <w:pStyle w:val="TextBody"/>
        <w:spacing w:lineRule="auto" w:line="288" w:before="0" w:after="0"/>
        <w:ind w:left="0" w:right="0" w:firstLine="480"/>
        <w:jc w:val="left"/>
        <w:rPr>
          <w:sz w:val="17"/>
        </w:rPr>
      </w:pPr>
      <w:r>
        <w:rPr>
          <w:rFonts w:ascii="inherit" w:hAnsi="inherit"/>
          <w:i/>
          <w:sz w:val="17"/>
        </w:rPr>
        <w:t>Interest Expense.</w:t>
      </w:r>
      <w:r>
        <w:rPr>
          <w:sz w:val="17"/>
        </w:rPr>
        <w:t> </w:t>
      </w:r>
      <w:r>
        <w:rPr>
          <w:rFonts w:ascii="inherit" w:hAnsi="inherit"/>
          <w:sz w:val="17"/>
        </w:rPr>
        <w:t>Interest expense increased</w:t>
      </w:r>
      <w:r>
        <w:rPr>
          <w:sz w:val="17"/>
        </w:rPr>
        <w:t xml:space="preserve"> </w:t>
      </w:r>
      <w:r>
        <w:rPr>
          <w:rFonts w:ascii="inherit" w:hAnsi="inherit"/>
          <w:sz w:val="17"/>
        </w:rPr>
        <w:t>by $0.6 million</w:t>
      </w:r>
      <w:r>
        <w:rPr>
          <w:sz w:val="17"/>
        </w:rPr>
        <w:t xml:space="preserve"> </w:t>
      </w:r>
      <w:r>
        <w:rPr>
          <w:rFonts w:ascii="inherit" w:hAnsi="inherit"/>
          <w:sz w:val="17"/>
        </w:rPr>
        <w:t>to $11.0 million</w:t>
      </w:r>
      <w:r>
        <w:rPr>
          <w:sz w:val="17"/>
        </w:rPr>
        <w:t xml:space="preserve"> </w:t>
      </w:r>
      <w:r>
        <w:rPr>
          <w:rFonts w:ascii="inherit" w:hAnsi="inherit"/>
          <w:sz w:val="17"/>
        </w:rPr>
        <w:t>in the six months ended June 30, 2019</w:t>
      </w:r>
      <w:r>
        <w:rPr>
          <w:sz w:val="17"/>
        </w:rPr>
        <w:t xml:space="preserve"> </w:t>
      </w:r>
      <w:r>
        <w:rPr>
          <w:rFonts w:ascii="inherit" w:hAnsi="inherit"/>
          <w:sz w:val="17"/>
        </w:rPr>
        <w:t>from $10.4 million</w:t>
      </w:r>
      <w:r>
        <w:rPr>
          <w:sz w:val="17"/>
        </w:rPr>
        <w:t xml:space="preserve"> </w:t>
      </w:r>
      <w:r>
        <w:rPr>
          <w:rFonts w:ascii="inherit" w:hAnsi="inherit"/>
          <w:sz w:val="17"/>
        </w:rPr>
        <w:t>in the six months ended June 30, 2018</w:t>
      </w:r>
      <w:r>
        <w:rPr>
          <w:sz w:val="17"/>
        </w:rPr>
        <w:t xml:space="preserve"> </w:t>
      </w:r>
      <w:r>
        <w:rPr>
          <w:rFonts w:ascii="inherit" w:hAnsi="inherit"/>
          <w:sz w:val="17"/>
        </w:rPr>
        <w:t>due to a higher interest rate on debt resulting from an increase in LIBOR in the 2019 period, partially offset by a lower average debt balance in the six months ended June 30, 2019. The lower debt balance was due to the partial repayment of borrowings under the OpCo Revolver during the second quarter of 2019, using funds generated from the private placement of common units.</w:t>
      </w:r>
    </w:p>
    <w:p>
      <w:pPr>
        <w:pStyle w:val="TextBody"/>
        <w:spacing w:lineRule="auto" w:line="288" w:before="0" w:after="0"/>
        <w:ind w:left="0" w:right="0" w:firstLine="480"/>
        <w:jc w:val="left"/>
        <w:rPr>
          <w:sz w:val="17"/>
        </w:rPr>
      </w:pPr>
      <w:r>
        <w:rPr>
          <w:rFonts w:ascii="inherit" w:hAnsi="inherit"/>
          <w:i/>
          <w:sz w:val="17"/>
        </w:rPr>
        <w:t xml:space="preserve">Other Income. </w:t>
      </w:r>
      <w:r>
        <w:rPr>
          <w:rFonts w:ascii="inherit" w:hAnsi="inherit"/>
          <w:sz w:val="17"/>
        </w:rPr>
        <w:t>The increase</w:t>
      </w:r>
      <w:r>
        <w:rPr>
          <w:sz w:val="17"/>
        </w:rPr>
        <w:t xml:space="preserve"> </w:t>
      </w:r>
      <w:r>
        <w:rPr>
          <w:rFonts w:ascii="inherit" w:hAnsi="inherit"/>
          <w:sz w:val="17"/>
        </w:rPr>
        <w:t>in other income in the six months ended June 30, 2019</w:t>
      </w:r>
      <w:r>
        <w:rPr>
          <w:sz w:val="17"/>
        </w:rPr>
        <w:t xml:space="preserve"> </w:t>
      </w:r>
      <w:r>
        <w:rPr>
          <w:rFonts w:ascii="inherit" w:hAnsi="inherit"/>
          <w:sz w:val="17"/>
        </w:rPr>
        <w:t>as compared to the six months ended June 30, 2018</w:t>
      </w:r>
      <w:r>
        <w:rPr>
          <w:sz w:val="17"/>
        </w:rPr>
        <w:t xml:space="preserve"> </w:t>
      </w:r>
      <w:r>
        <w:rPr>
          <w:rFonts w:ascii="inherit" w:hAnsi="inherit"/>
          <w:sz w:val="17"/>
        </w:rPr>
        <w:t>was primarily due to an increase in interest income earned under the Investment Management Agreement.</w:t>
      </w:r>
    </w:p>
    <w:p>
      <w:pPr>
        <w:pStyle w:val="TextBody"/>
        <w:spacing w:lineRule="auto" w:line="288" w:before="0" w:after="0"/>
        <w:ind w:left="0" w:right="0" w:firstLine="480"/>
        <w:jc w:val="left"/>
        <w:rPr>
          <w:sz w:val="17"/>
        </w:rPr>
      </w:pPr>
      <w:r>
        <w:rPr>
          <w:rFonts w:ascii="inherit" w:hAnsi="inherit"/>
          <w:i/>
          <w:sz w:val="17"/>
        </w:rPr>
        <w:t>MLP Distributable Cash Flow.</w:t>
      </w:r>
      <w:r>
        <w:rPr>
          <w:sz w:val="17"/>
        </w:rPr>
        <w:t xml:space="preserve"> </w:t>
      </w:r>
      <w:r>
        <w:rPr>
          <w:rFonts w:ascii="inherit" w:hAnsi="inherit"/>
          <w:sz w:val="17"/>
        </w:rPr>
        <w:t>MLP distributable cash flow increased</w:t>
      </w:r>
      <w:r>
        <w:rPr>
          <w:sz w:val="17"/>
        </w:rPr>
        <w:t xml:space="preserve"> </w:t>
      </w:r>
      <w:r>
        <w:rPr>
          <w:rFonts w:ascii="inherit" w:hAnsi="inherit"/>
          <w:sz w:val="17"/>
        </w:rPr>
        <w:t>by $3.5 million</w:t>
      </w:r>
      <w:r>
        <w:rPr>
          <w:sz w:val="17"/>
        </w:rPr>
        <w:t xml:space="preserve"> </w:t>
      </w:r>
      <w:r>
        <w:rPr>
          <w:rFonts w:ascii="inherit" w:hAnsi="inherit"/>
          <w:sz w:val="17"/>
        </w:rPr>
        <w:t>to $34.0 million</w:t>
      </w:r>
      <w:r>
        <w:rPr>
          <w:sz w:val="17"/>
        </w:rPr>
        <w:t xml:space="preserve"> </w:t>
      </w:r>
      <w:r>
        <w:rPr>
          <w:rFonts w:ascii="inherit" w:hAnsi="inherit"/>
          <w:sz w:val="17"/>
        </w:rPr>
        <w:t>in the six months ended June 30, 2019</w:t>
      </w:r>
      <w:r>
        <w:rPr>
          <w:sz w:val="17"/>
        </w:rPr>
        <w:t xml:space="preserve"> </w:t>
      </w:r>
      <w:r>
        <w:rPr>
          <w:rFonts w:ascii="inherit" w:hAnsi="inherit"/>
          <w:sz w:val="17"/>
        </w:rPr>
        <w:t>from $30.5 million</w:t>
      </w:r>
      <w:r>
        <w:rPr>
          <w:sz w:val="17"/>
        </w:rPr>
        <w:t xml:space="preserve"> </w:t>
      </w:r>
      <w:r>
        <w:rPr>
          <w:rFonts w:ascii="inherit" w:hAnsi="inherit"/>
          <w:sz w:val="17"/>
        </w:rPr>
        <w:t>in the six months ended June 30, 2018. The increased</w:t>
      </w:r>
      <w:r>
        <w:rPr>
          <w:sz w:val="17"/>
        </w:rPr>
        <w:t xml:space="preserve"> </w:t>
      </w:r>
      <w:r>
        <w:rPr>
          <w:rFonts w:ascii="inherit" w:hAnsi="inherit"/>
          <w:sz w:val="17"/>
        </w:rPr>
        <w:t>MLP distributable cash flow in the six months ended June 30, 2019</w:t>
      </w:r>
      <w:r>
        <w:rPr>
          <w:sz w:val="17"/>
        </w:rPr>
        <w:t xml:space="preserve"> </w:t>
      </w:r>
      <w:r>
        <w:rPr>
          <w:rFonts w:ascii="inherit" w:hAnsi="inherit"/>
          <w:sz w:val="17"/>
        </w:rPr>
        <w:t>as compared to the prior-year period was primarily due to the 4.5% increase in the Partnership's interest in OpCo, effective as of January 1, 2019 and the elimination of the Partnership's distributions to Westlake as the holder of the Partnership's incentive distribution rights per the July 2018 amendment to the Partnership's target distribution tiers. These increases were partially offset by lower margins on third party sales and higher maintenance capital expenditures at OpCo.</w:t>
      </w:r>
    </w:p>
    <w:p>
      <w:pPr>
        <w:pStyle w:val="TextBody"/>
        <w:spacing w:lineRule="auto" w:line="288" w:before="0" w:after="0"/>
        <w:ind w:left="0" w:right="0" w:firstLine="480"/>
        <w:jc w:val="left"/>
        <w:rPr>
          <w:sz w:val="17"/>
        </w:rPr>
      </w:pPr>
      <w:r>
        <w:rPr>
          <w:rFonts w:ascii="inherit" w:hAnsi="inherit"/>
          <w:i/>
          <w:sz w:val="17"/>
        </w:rPr>
        <w:t xml:space="preserve">EBITDA. </w:t>
      </w:r>
      <w:r>
        <w:rPr>
          <w:rFonts w:ascii="inherit" w:hAnsi="inherit"/>
          <w:sz w:val="17"/>
        </w:rPr>
        <w:t>EBITDA decreased</w:t>
      </w:r>
      <w:r>
        <w:rPr>
          <w:sz w:val="17"/>
        </w:rPr>
        <w:t xml:space="preserve"> </w:t>
      </w:r>
      <w:r>
        <w:rPr>
          <w:rFonts w:ascii="inherit" w:hAnsi="inherit"/>
          <w:sz w:val="17"/>
        </w:rPr>
        <w:t>by $7.8 million</w:t>
      </w:r>
      <w:r>
        <w:rPr>
          <w:sz w:val="17"/>
        </w:rPr>
        <w:t xml:space="preserve"> </w:t>
      </w:r>
      <w:r>
        <w:rPr>
          <w:rFonts w:ascii="inherit" w:hAnsi="inherit"/>
          <w:sz w:val="17"/>
        </w:rPr>
        <w:t>to $223.7 million</w:t>
      </w:r>
      <w:r>
        <w:rPr>
          <w:sz w:val="17"/>
        </w:rPr>
        <w:t xml:space="preserve"> </w:t>
      </w:r>
      <w:r>
        <w:rPr>
          <w:rFonts w:ascii="inherit" w:hAnsi="inherit"/>
          <w:sz w:val="17"/>
        </w:rPr>
        <w:t>in the six months ended June 30, 2019</w:t>
      </w:r>
      <w:r>
        <w:rPr>
          <w:sz w:val="17"/>
        </w:rPr>
        <w:t xml:space="preserve"> </w:t>
      </w:r>
      <w:r>
        <w:rPr>
          <w:rFonts w:ascii="inherit" w:hAnsi="inherit"/>
          <w:sz w:val="17"/>
        </w:rPr>
        <w:t>from $231.5 million</w:t>
      </w:r>
      <w:r>
        <w:rPr>
          <w:sz w:val="17"/>
        </w:rPr>
        <w:t xml:space="preserve"> </w:t>
      </w:r>
      <w:r>
        <w:rPr>
          <w:rFonts w:ascii="inherit" w:hAnsi="inherit"/>
          <w:sz w:val="17"/>
        </w:rPr>
        <w:t>in the six months ended June 30, 2018. The decreased</w:t>
      </w:r>
      <w:r>
        <w:rPr>
          <w:sz w:val="17"/>
        </w:rPr>
        <w:t xml:space="preserve"> </w:t>
      </w:r>
      <w:r>
        <w:rPr>
          <w:rFonts w:ascii="inherit" w:hAnsi="inherit"/>
          <w:sz w:val="17"/>
        </w:rPr>
        <w:t>EBITDA as compared to the prior-year period was primarily due to lower third party sales prices and margins.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b/>
          <w:sz w:val="17"/>
        </w:rPr>
        <w:t>CASH FLOW DISCUSSION FOR THE SIX</w:t>
      </w:r>
      <w:r>
        <w:rPr>
          <w:sz w:val="17"/>
        </w:rPr>
        <w:t xml:space="preserve"> </w:t>
      </w:r>
      <w:r>
        <w:rPr>
          <w:rFonts w:ascii="inherit" w:hAnsi="inherit"/>
          <w:b/>
          <w:sz w:val="17"/>
        </w:rPr>
        <w:t>MONTHS ENDED JUNE 30,</w:t>
      </w:r>
      <w:r>
        <w:rPr>
          <w:sz w:val="17"/>
        </w:rPr>
        <w:t xml:space="preserve"> </w:t>
      </w:r>
      <w:r>
        <w:rPr>
          <w:rFonts w:ascii="inherit" w:hAnsi="inherit"/>
          <w:b/>
          <w:sz w:val="17"/>
        </w:rPr>
        <w:t>2019</w:t>
      </w:r>
      <w:r>
        <w:rPr>
          <w:sz w:val="17"/>
        </w:rPr>
        <w:t xml:space="preserve"> </w:t>
      </w:r>
      <w:r>
        <w:rPr>
          <w:rFonts w:ascii="inherit" w:hAnsi="inherit"/>
          <w:b/>
          <w:sz w:val="17"/>
        </w:rPr>
        <w:t>AND 2018</w:t>
      </w:r>
      <w:r>
        <w:rPr>
          <w:sz w:val="17"/>
        </w:rPr>
        <w:t xml:space="preserve"> </w:t>
      </w:r>
    </w:p>
    <w:p>
      <w:pPr>
        <w:pStyle w:val="TextBody"/>
        <w:spacing w:lineRule="auto" w:line="288" w:before="0" w:after="0"/>
        <w:rPr>
          <w:rFonts w:ascii="inherit" w:hAnsi="inherit"/>
          <w:b/>
          <w:i/>
          <w:sz w:val="17"/>
        </w:rPr>
      </w:pPr>
      <w:r>
        <w:rPr>
          <w:rFonts w:ascii="inherit" w:hAnsi="inherit"/>
          <w:b/>
          <w:i/>
          <w:sz w:val="17"/>
        </w:rPr>
        <w:t>Operating Activities</w:t>
      </w:r>
    </w:p>
    <w:p>
      <w:pPr>
        <w:pStyle w:val="TextBody"/>
        <w:spacing w:lineRule="auto" w:line="288" w:before="0" w:after="0"/>
        <w:ind w:left="0" w:right="0" w:firstLine="480"/>
        <w:jc w:val="left"/>
        <w:rPr>
          <w:sz w:val="17"/>
        </w:rPr>
      </w:pPr>
      <w:r>
        <w:rPr>
          <w:rFonts w:ascii="inherit" w:hAnsi="inherit"/>
          <w:sz w:val="17"/>
        </w:rPr>
        <w:t>Operating activities provided</w:t>
      </w:r>
      <w:r>
        <w:rPr>
          <w:sz w:val="17"/>
        </w:rPr>
        <w:t xml:space="preserve"> </w:t>
      </w:r>
      <w:r>
        <w:rPr>
          <w:rFonts w:ascii="inherit" w:hAnsi="inherit"/>
          <w:sz w:val="17"/>
        </w:rPr>
        <w:t>cash of $213.7 million</w:t>
      </w:r>
      <w:r>
        <w:rPr>
          <w:sz w:val="17"/>
        </w:rPr>
        <w:t xml:space="preserve"> </w:t>
      </w:r>
      <w:r>
        <w:rPr>
          <w:rFonts w:ascii="inherit" w:hAnsi="inherit"/>
          <w:sz w:val="17"/>
        </w:rPr>
        <w:t>in the first six months of 2019</w:t>
      </w:r>
      <w:r>
        <w:rPr>
          <w:sz w:val="17"/>
        </w:rPr>
        <w:t xml:space="preserve"> </w:t>
      </w:r>
      <w:r>
        <w:rPr>
          <w:rFonts w:ascii="inherit" w:hAnsi="inherit"/>
          <w:sz w:val="17"/>
        </w:rPr>
        <w:t>compared to cash provided</w:t>
      </w:r>
      <w:r>
        <w:rPr>
          <w:sz w:val="17"/>
        </w:rPr>
        <w:t xml:space="preserve"> </w:t>
      </w:r>
      <w:r>
        <w:rPr>
          <w:rFonts w:ascii="inherit" w:hAnsi="inherit"/>
          <w:sz w:val="17"/>
        </w:rPr>
        <w:t>by operating activities of $220.6 million</w:t>
      </w:r>
      <w:r>
        <w:rPr>
          <w:sz w:val="17"/>
        </w:rPr>
        <w:t xml:space="preserve"> </w:t>
      </w:r>
      <w:r>
        <w:rPr>
          <w:rFonts w:ascii="inherit" w:hAnsi="inherit"/>
          <w:sz w:val="17"/>
        </w:rPr>
        <w:t>in the first six months of 2018. The $6.9 million</w:t>
      </w:r>
      <w:r>
        <w:rPr>
          <w:sz w:val="17"/>
        </w:rPr>
        <w:t xml:space="preserve"> </w:t>
      </w:r>
      <w:r>
        <w:rPr>
          <w:rFonts w:ascii="inherit" w:hAnsi="inherit"/>
          <w:sz w:val="17"/>
        </w:rPr>
        <w:t>decrease</w:t>
      </w:r>
      <w:r>
        <w:rPr>
          <w:sz w:val="17"/>
        </w:rPr>
        <w:t xml:space="preserve"> </w:t>
      </w:r>
      <w:r>
        <w:rPr>
          <w:rFonts w:ascii="inherit" w:hAnsi="inherit"/>
          <w:sz w:val="17"/>
        </w:rPr>
        <w:t>in cash flows from operating activities was mainly due to a decrease</w:t>
      </w:r>
      <w:r>
        <w:rPr>
          <w:sz w:val="17"/>
        </w:rPr>
        <w:t xml:space="preserve"> </w:t>
      </w:r>
      <w:r>
        <w:rPr>
          <w:rFonts w:ascii="inherit" w:hAnsi="inherit"/>
          <w:sz w:val="17"/>
        </w:rPr>
        <w:t>in income from operations, partially offset by an increase in cash provided by working capital during the six months ended</w:t>
      </w:r>
      <w:r>
        <w:rPr>
          <w:sz w:val="17"/>
        </w:rPr>
        <w:t xml:space="preserve"> </w:t>
      </w:r>
      <w:r>
        <w:rPr>
          <w:rFonts w:ascii="inherit" w:hAnsi="inherit"/>
          <w:sz w:val="17"/>
        </w:rPr>
        <w:t>June 30, 2019</w:t>
      </w:r>
      <w:r>
        <w:rPr>
          <w:sz w:val="17"/>
        </w:rPr>
        <w:t xml:space="preserve"> </w:t>
      </w:r>
      <w:r>
        <w:rPr>
          <w:rFonts w:ascii="inherit" w:hAnsi="inherit"/>
          <w:sz w:val="17"/>
        </w:rPr>
        <w:t>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w:t>
      </w:r>
      <w:r>
        <w:rPr>
          <w:sz w:val="17"/>
        </w:rPr>
        <w:t xml:space="preserve"> </w:t>
      </w:r>
      <w:r>
        <w:rPr>
          <w:rFonts w:ascii="inherit" w:hAnsi="inherit"/>
          <w:sz w:val="17"/>
        </w:rPr>
        <w:t>cash of $1.4 million</w:t>
      </w:r>
      <w:r>
        <w:rPr>
          <w:sz w:val="17"/>
        </w:rPr>
        <w:t xml:space="preserve"> </w:t>
      </w:r>
      <w:r>
        <w:rPr>
          <w:rFonts w:ascii="inherit" w:hAnsi="inherit"/>
          <w:sz w:val="17"/>
        </w:rPr>
        <w:t>in the first six months of 2019</w:t>
      </w:r>
      <w:r>
        <w:rPr>
          <w:sz w:val="17"/>
        </w:rPr>
        <w:t xml:space="preserve"> </w:t>
      </w:r>
      <w:r>
        <w:rPr>
          <w:rFonts w:ascii="inherit" w:hAnsi="inherit"/>
          <w:sz w:val="17"/>
        </w:rPr>
        <w:t>as compared to $0.8 million</w:t>
      </w:r>
      <w:r>
        <w:rPr>
          <w:sz w:val="17"/>
        </w:rPr>
        <w:t xml:space="preserve"> </w:t>
      </w:r>
      <w:r>
        <w:rPr>
          <w:rFonts w:ascii="inherit" w:hAnsi="inherit"/>
          <w:sz w:val="17"/>
        </w:rPr>
        <w:t>of cash used</w:t>
      </w:r>
      <w:r>
        <w:rPr>
          <w:sz w:val="17"/>
        </w:rPr>
        <w:t xml:space="preserve"> </w:t>
      </w:r>
      <w:r>
        <w:rPr>
          <w:rFonts w:ascii="inherit" w:hAnsi="inherit"/>
          <w:sz w:val="17"/>
        </w:rPr>
        <w:t>in the first six months of 2018, resulting in an overall favorable</w:t>
      </w:r>
      <w:r>
        <w:rPr>
          <w:sz w:val="17"/>
        </w:rPr>
        <w:t xml:space="preserve"> </w:t>
      </w:r>
      <w:r>
        <w:rPr>
          <w:rFonts w:ascii="inherit" w:hAnsi="inherit"/>
          <w:sz w:val="17"/>
        </w:rPr>
        <w:t>change of $2.2 million. The favorable</w:t>
      </w:r>
      <w:r>
        <w:rPr>
          <w:sz w:val="17"/>
        </w:rPr>
        <w:t xml:space="preserve"> </w:t>
      </w:r>
      <w:r>
        <w:rPr>
          <w:rFonts w:ascii="inherit" w:hAnsi="inherit"/>
          <w:sz w:val="17"/>
        </w:rPr>
        <w:t>change in working capital was mainly attributable to favorable</w:t>
      </w:r>
      <w:r>
        <w:rPr>
          <w:sz w:val="17"/>
        </w:rPr>
        <w:t xml:space="preserve"> </w:t>
      </w:r>
      <w:r>
        <w:rPr>
          <w:rFonts w:ascii="inherit" w:hAnsi="inherit"/>
          <w:sz w:val="17"/>
        </w:rPr>
        <w:t>changes in accounts payable and accrued and other liabilities, partially offset by the unfavorable</w:t>
      </w:r>
      <w:r>
        <w:rPr>
          <w:sz w:val="17"/>
        </w:rPr>
        <w:t xml:space="preserve"> </w:t>
      </w:r>
      <w:r>
        <w:rPr>
          <w:rFonts w:ascii="inherit" w:hAnsi="inherit"/>
          <w:sz w:val="17"/>
        </w:rPr>
        <w:t xml:space="preserve">change in Westlake and third party accounts receivable. </w:t>
      </w:r>
    </w:p>
    <w:p>
      <w:pPr>
        <w:pStyle w:val="TextBody"/>
        <w:spacing w:lineRule="auto" w:line="288" w:before="0" w:after="0"/>
        <w:jc w:val="left"/>
        <w:rPr>
          <w:rFonts w:ascii="inherit" w:hAnsi="inherit"/>
          <w:b/>
          <w:i/>
          <w:sz w:val="17"/>
        </w:rPr>
      </w:pPr>
      <w:r>
        <w:rPr>
          <w:rFonts w:ascii="inherit" w:hAnsi="inherit"/>
          <w:b/>
          <w:i/>
          <w:sz w:val="17"/>
        </w:rPr>
        <w:t>Investing Activities</w:t>
      </w:r>
    </w:p>
    <w:p>
      <w:pPr>
        <w:pStyle w:val="TextBody"/>
        <w:spacing w:lineRule="auto" w:line="288" w:before="0" w:after="0"/>
        <w:ind w:left="0" w:right="0" w:firstLine="480"/>
        <w:jc w:val="left"/>
        <w:rPr>
          <w:sz w:val="17"/>
        </w:rPr>
      </w:pPr>
      <w:r>
        <w:rPr>
          <w:rFonts w:ascii="inherit" w:hAnsi="inherit"/>
          <w:sz w:val="17"/>
        </w:rPr>
        <w:t>Net cash used</w:t>
      </w:r>
      <w:r>
        <w:rPr>
          <w:sz w:val="17"/>
        </w:rPr>
        <w:t xml:space="preserve"> </w:t>
      </w:r>
      <w:r>
        <w:rPr>
          <w:rFonts w:ascii="inherit" w:hAnsi="inherit"/>
          <w:sz w:val="17"/>
        </w:rPr>
        <w:t>for investing activities during the first six months of 2019</w:t>
      </w:r>
      <w:r>
        <w:rPr>
          <w:sz w:val="17"/>
        </w:rPr>
        <w:t xml:space="preserve"> </w:t>
      </w:r>
      <w:r>
        <w:rPr>
          <w:rFonts w:ascii="inherit" w:hAnsi="inherit"/>
          <w:sz w:val="17"/>
        </w:rPr>
        <w:t>was $17.5 million</w:t>
      </w:r>
      <w:r>
        <w:rPr>
          <w:sz w:val="17"/>
        </w:rPr>
        <w:t xml:space="preserve"> </w:t>
      </w:r>
      <w:r>
        <w:rPr>
          <w:rFonts w:ascii="inherit" w:hAnsi="inherit"/>
          <w:sz w:val="17"/>
        </w:rPr>
        <w:t>as compared to net cash used</w:t>
      </w:r>
      <w:r>
        <w:rPr>
          <w:sz w:val="17"/>
        </w:rPr>
        <w:t xml:space="preserve"> </w:t>
      </w:r>
      <w:r>
        <w:rPr>
          <w:rFonts w:ascii="inherit" w:hAnsi="inherit"/>
          <w:sz w:val="17"/>
        </w:rPr>
        <w:t>for investing activities of $23.4 million</w:t>
      </w:r>
      <w:r>
        <w:rPr>
          <w:sz w:val="17"/>
        </w:rPr>
        <w:t xml:space="preserve"> </w:t>
      </w:r>
      <w:r>
        <w:rPr>
          <w:rFonts w:ascii="inherit" w:hAnsi="inherit"/>
          <w:sz w:val="17"/>
        </w:rPr>
        <w:t>in the first six months of 2018, mainly due to increased net cash provided under the Investment Management Agreement, partially offset by higher capital expenditures at our facilities in the first six months of 2019, as compared to the prior-year period. Capital expenditures during the first six months of 2019</w:t>
      </w:r>
      <w:r>
        <w:rPr>
          <w:sz w:val="17"/>
        </w:rPr>
        <w:t xml:space="preserve"> </w:t>
      </w:r>
      <w:r>
        <w:rPr>
          <w:rFonts w:ascii="inherit" w:hAnsi="inherit"/>
          <w:sz w:val="17"/>
        </w:rPr>
        <w:t>and 2018</w:t>
      </w:r>
      <w:r>
        <w:rPr>
          <w:sz w:val="17"/>
        </w:rPr>
        <w:t xml:space="preserve"> </w:t>
      </w:r>
      <w:r>
        <w:rPr>
          <w:rFonts w:ascii="inherit" w:hAnsi="inherit"/>
          <w:sz w:val="17"/>
        </w:rPr>
        <w:t>were primarily related to projects to improve production capacity or reduce costs, maintenance and safety and environmental projects at our facilities.</w:t>
      </w:r>
    </w:p>
    <w:p>
      <w:pPr>
        <w:pStyle w:val="TextBody"/>
        <w:spacing w:lineRule="auto" w:line="288" w:before="0" w:after="0"/>
        <w:jc w:val="left"/>
        <w:rPr>
          <w:rFonts w:ascii="inherit" w:hAnsi="inherit"/>
          <w:b/>
          <w:i/>
          <w:sz w:val="17"/>
        </w:rPr>
      </w:pPr>
      <w:r>
        <w:rPr>
          <w:rFonts w:ascii="inherit" w:hAnsi="inherit"/>
          <w:b/>
          <w:i/>
          <w:sz w:val="17"/>
        </w:rPr>
        <w:t>Financing Activities</w:t>
      </w:r>
    </w:p>
    <w:p>
      <w:pPr>
        <w:pStyle w:val="TextBody"/>
        <w:spacing w:lineRule="auto" w:line="288" w:before="0" w:after="0"/>
        <w:ind w:left="0" w:right="0" w:firstLine="480"/>
        <w:jc w:val="left"/>
        <w:rPr>
          <w:sz w:val="17"/>
        </w:rPr>
      </w:pPr>
      <w:r>
        <w:rPr>
          <w:rFonts w:ascii="inherit" w:hAnsi="inherit"/>
          <w:sz w:val="17"/>
        </w:rPr>
        <w:t>Net cash used</w:t>
      </w:r>
      <w:r>
        <w:rPr>
          <w:sz w:val="17"/>
        </w:rPr>
        <w:t xml:space="preserve"> </w:t>
      </w:r>
      <w:r>
        <w:rPr>
          <w:rFonts w:ascii="inherit" w:hAnsi="inherit"/>
          <w:sz w:val="17"/>
        </w:rPr>
        <w:t>for financing activities during the first six months of 2019</w:t>
      </w:r>
      <w:r>
        <w:rPr>
          <w:sz w:val="17"/>
        </w:rPr>
        <w:t xml:space="preserve"> </w:t>
      </w:r>
      <w:r>
        <w:rPr>
          <w:rFonts w:ascii="inherit" w:hAnsi="inherit"/>
          <w:sz w:val="17"/>
        </w:rPr>
        <w:t>was $198.4 million</w:t>
      </w:r>
      <w:r>
        <w:rPr>
          <w:sz w:val="17"/>
        </w:rPr>
        <w:t xml:space="preserve"> </w:t>
      </w:r>
      <w:r>
        <w:rPr>
          <w:rFonts w:ascii="inherit" w:hAnsi="inherit"/>
          <w:sz w:val="17"/>
        </w:rPr>
        <w:t>as compared to net cash used</w:t>
      </w:r>
      <w:r>
        <w:rPr>
          <w:sz w:val="17"/>
        </w:rPr>
        <w:t xml:space="preserve"> </w:t>
      </w:r>
      <w:r>
        <w:rPr>
          <w:rFonts w:ascii="inherit" w:hAnsi="inherit"/>
          <w:sz w:val="17"/>
        </w:rPr>
        <w:t>for financing activities of $195.7 million</w:t>
      </w:r>
      <w:r>
        <w:rPr>
          <w:sz w:val="17"/>
        </w:rPr>
        <w:t xml:space="preserve"> </w:t>
      </w:r>
      <w:r>
        <w:rPr>
          <w:rFonts w:ascii="inherit" w:hAnsi="inherit"/>
          <w:sz w:val="17"/>
        </w:rPr>
        <w:t>in the first six months of 2018. The cash inflows during the first six months of 2019</w:t>
      </w:r>
      <w:r>
        <w:rPr>
          <w:sz w:val="17"/>
        </w:rPr>
        <w:t xml:space="preserve"> </w:t>
      </w:r>
      <w:r>
        <w:rPr>
          <w:rFonts w:ascii="inherit" w:hAnsi="inherit"/>
          <w:sz w:val="17"/>
        </w:rPr>
        <w:t>were a result of borrowings under the MLP Revolver of $123.5 million</w:t>
      </w:r>
      <w:r>
        <w:rPr>
          <w:sz w:val="17"/>
        </w:rPr>
        <w:t xml:space="preserve"> </w:t>
      </w:r>
      <w:r>
        <w:rPr>
          <w:rFonts w:ascii="inherit" w:hAnsi="inherit"/>
          <w:sz w:val="17"/>
        </w:rPr>
        <w:t>and net proceeds from the private placement of common units of approximately $62.9 million. The outflows during the first six months of 2019</w:t>
      </w:r>
      <w:r>
        <w:rPr>
          <w:sz w:val="17"/>
        </w:rPr>
        <w:t xml:space="preserve"> </w:t>
      </w:r>
      <w:r>
        <w:rPr>
          <w:rFonts w:ascii="inherit" w:hAnsi="inherit"/>
          <w:sz w:val="17"/>
        </w:rPr>
        <w:t>were related to the distribution of $153.8 million</w:t>
      </w:r>
      <w:r>
        <w:rPr>
          <w:sz w:val="17"/>
        </w:rPr>
        <w:t xml:space="preserve"> </w:t>
      </w:r>
      <w:r>
        <w:rPr>
          <w:rFonts w:ascii="inherit" w:hAnsi="inherit"/>
          <w:sz w:val="17"/>
        </w:rPr>
        <w:t>to Westlake and of $29.6 million</w:t>
      </w:r>
      <w:r>
        <w:rPr>
          <w:sz w:val="17"/>
        </w:rPr>
        <w:t xml:space="preserve"> </w:t>
      </w:r>
      <w:r>
        <w:rPr>
          <w:rFonts w:ascii="inherit" w:hAnsi="inherit"/>
          <w:sz w:val="17"/>
        </w:rPr>
        <w:t>to other unitholders by the Partnership as well as a partial repayment of borrowings under the OpCo revolver of $201.4 million. The cash outflows during the first six months of 2018</w:t>
      </w:r>
      <w:r>
        <w:rPr>
          <w:sz w:val="17"/>
        </w:rPr>
        <w:t xml:space="preserve"> </w:t>
      </w:r>
      <w:r>
        <w:rPr>
          <w:rFonts w:ascii="inherit" w:hAnsi="inherit"/>
          <w:sz w:val="17"/>
        </w:rPr>
        <w:t>were related to the distribution of $172.8 million</w:t>
      </w:r>
      <w:r>
        <w:rPr>
          <w:sz w:val="17"/>
        </w:rPr>
        <w:t xml:space="preserve"> </w:t>
      </w:r>
      <w:r>
        <w:rPr>
          <w:rFonts w:ascii="inherit" w:hAnsi="inherit"/>
          <w:sz w:val="17"/>
        </w:rPr>
        <w:t>to Westlake and of $26.6 million</w:t>
      </w:r>
      <w:r>
        <w:rPr>
          <w:sz w:val="17"/>
        </w:rPr>
        <w:t xml:space="preserve"> </w:t>
      </w:r>
      <w:r>
        <w:rPr>
          <w:rFonts w:ascii="inherit" w:hAnsi="inherit"/>
          <w:sz w:val="17"/>
        </w:rPr>
        <w:t>to other unitholders by the Partnership. The distributions in the first six months of 2018</w:t>
      </w:r>
      <w:r>
        <w:rPr>
          <w:sz w:val="17"/>
        </w:rPr>
        <w:t xml:space="preserve"> </w:t>
      </w:r>
      <w:r>
        <w:rPr>
          <w:rFonts w:ascii="inherit" w:hAnsi="inherit"/>
          <w:sz w:val="17"/>
        </w:rPr>
        <w:t xml:space="preserve">were partially offset by borrowings under the OpCo Revolver of $3.6 million. </w:t>
      </w:r>
    </w:p>
    <w:p>
      <w:pPr>
        <w:pStyle w:val="TextBody"/>
        <w:spacing w:lineRule="auto" w:line="288" w:before="0" w:after="0"/>
        <w:jc w:val="left"/>
        <w:rPr>
          <w:rFonts w:ascii="inherit" w:hAnsi="inherit"/>
          <w:b/>
          <w:sz w:val="17"/>
        </w:rPr>
      </w:pPr>
      <w:r>
        <w:rPr>
          <w:rFonts w:ascii="inherit" w:hAnsi="inherit"/>
          <w:b/>
          <w:sz w:val="17"/>
        </w:rPr>
        <w:t>LIQUIDITY AND CAPITAL RESOURCES</w:t>
      </w:r>
    </w:p>
    <w:p>
      <w:pPr>
        <w:pStyle w:val="TextBody"/>
        <w:spacing w:lineRule="auto" w:line="288" w:before="0" w:after="0"/>
        <w:jc w:val="left"/>
        <w:rPr>
          <w:rFonts w:ascii="inherit" w:hAnsi="inherit"/>
          <w:b/>
          <w:i/>
          <w:sz w:val="17"/>
        </w:rPr>
      </w:pPr>
      <w:r>
        <w:rPr>
          <w:rFonts w:ascii="inherit" w:hAnsi="inherit"/>
          <w:b/>
          <w:i/>
          <w:sz w:val="17"/>
        </w:rPr>
        <w:t>Liquidity and Financing Arrangements</w:t>
      </w:r>
    </w:p>
    <w:p>
      <w:pPr>
        <w:pStyle w:val="TextBody"/>
        <w:spacing w:lineRule="auto" w:line="288" w:before="0" w:after="0"/>
        <w:ind w:left="0" w:right="0" w:firstLine="450"/>
        <w:jc w:val="left"/>
        <w:rPr>
          <w:rFonts w:ascii="inherit" w:hAnsi="inherit"/>
          <w:sz w:val="17"/>
        </w:rPr>
      </w:pPr>
      <w:r>
        <w:rPr>
          <w:rFonts w:ascii="inherit" w:hAnsi="inherit"/>
          <w:sz w:val="17"/>
        </w:rPr>
        <w:t>On March 29, 2019, we completed the private placement of 2,940,818 common units at a price of $21.40 per unit. Net proceeds from the issuance of these common units were approximately $62.9 million. The Partnership believes that, with the net proceeds from this private placement, there will be no further need for the Partnership to access the equity capital markets during the remainder of 2019.</w:t>
      </w:r>
    </w:p>
    <w:p>
      <w:pPr>
        <w:pStyle w:val="TextBody"/>
        <w:spacing w:lineRule="auto" w:line="288" w:before="0" w:after="0"/>
        <w:ind w:left="0" w:right="0" w:firstLine="450"/>
        <w:jc w:val="left"/>
        <w:rPr>
          <w:rFonts w:ascii="inherit" w:hAnsi="inherit"/>
          <w:sz w:val="17"/>
        </w:rPr>
      </w:pPr>
      <w:r>
        <w:rPr>
          <w:rFonts w:ascii="inherit" w:hAnsi="inherit"/>
          <w:sz w:val="17"/>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 No common units had been issued under this program as of June 30, 2019.</w:t>
      </w:r>
    </w:p>
    <w:p>
      <w:pPr>
        <w:pStyle w:val="TextBody"/>
        <w:spacing w:lineRule="auto" w:line="288" w:before="0" w:after="0"/>
        <w:ind w:left="0" w:right="0" w:firstLine="480"/>
        <w:jc w:val="left"/>
        <w:rPr>
          <w:rFonts w:ascii="inherit" w:hAnsi="inherit"/>
          <w:sz w:val="17"/>
        </w:rPr>
      </w:pPr>
      <w:r>
        <w:rPr>
          <w:rFonts w:ascii="inherit" w:hAnsi="inherit"/>
          <w:sz w:val="17"/>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80"/>
        <w:jc w:val="left"/>
        <w:rPr>
          <w:rFonts w:ascii="inherit" w:hAnsi="inherit"/>
          <w:sz w:val="17"/>
        </w:rPr>
      </w:pPr>
      <w:r>
        <w:rPr>
          <w:rFonts w:ascii="inherit" w:hAnsi="inherit"/>
          <w:sz w:val="17"/>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pStyle w:val="TextBody"/>
        <w:spacing w:lineRule="auto" w:line="288" w:before="0" w:after="0"/>
        <w:ind w:left="0" w:right="0" w:firstLine="480"/>
        <w:jc w:val="left"/>
        <w:rPr>
          <w:rFonts w:ascii="inherit" w:hAnsi="inherit"/>
          <w:sz w:val="17"/>
        </w:rPr>
      </w:pPr>
      <w:r>
        <w:rPr>
          <w:rFonts w:ascii="inherit" w:hAnsi="inherit"/>
          <w:sz w:val="17"/>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pStyle w:val="TextBody"/>
        <w:spacing w:lineRule="auto" w:line="288" w:before="0" w:after="0"/>
        <w:ind w:left="0" w:right="0" w:firstLine="480"/>
        <w:jc w:val="left"/>
        <w:rPr>
          <w:rFonts w:ascii="inherit" w:hAnsi="inherit"/>
          <w:sz w:val="17"/>
        </w:rPr>
      </w:pPr>
      <w:r>
        <w:rPr>
          <w:rFonts w:ascii="inherit" w:hAnsi="inherit"/>
          <w:sz w:val="17"/>
        </w:rPr>
        <w:t xml:space="preserve">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 </w:t>
      </w:r>
    </w:p>
    <w:p>
      <w:pPr>
        <w:pStyle w:val="TextBody"/>
        <w:spacing w:lineRule="auto" w:line="288" w:before="0" w:after="0"/>
        <w:ind w:left="0" w:right="0" w:firstLine="450"/>
        <w:jc w:val="left"/>
        <w:rPr>
          <w:sz w:val="17"/>
        </w:rPr>
      </w:pPr>
      <w:r>
        <w:rPr>
          <w:rFonts w:ascii="inherit" w:hAnsi="inherit"/>
          <w:sz w:val="17"/>
        </w:rPr>
        <w:t>On July 31, 2019, the board of directors of Westlake Chemical Partners GP LLC, our general partner, approved a quarterly distribution of $0.4579</w:t>
      </w:r>
      <w:r>
        <w:rPr>
          <w:sz w:val="17"/>
        </w:rPr>
        <w:t xml:space="preserve"> </w:t>
      </w:r>
      <w:r>
        <w:rPr>
          <w:rFonts w:ascii="inherit" w:hAnsi="inherit"/>
          <w:sz w:val="17"/>
        </w:rPr>
        <w:t>per unit payable on August 26, 2019</w:t>
      </w:r>
      <w:r>
        <w:rPr>
          <w:sz w:val="17"/>
        </w:rPr>
        <w:t xml:space="preserve"> </w:t>
      </w:r>
      <w:r>
        <w:rPr>
          <w:rFonts w:ascii="inherit" w:hAnsi="inherit"/>
          <w:sz w:val="17"/>
        </w:rPr>
        <w:t>to unitholders of record as of August 12, 2019, which equates to a total amount of approximately $16.1 million</w:t>
      </w:r>
      <w:r>
        <w:rPr>
          <w:sz w:val="17"/>
        </w:rPr>
        <w:t xml:space="preserve"> </w:t>
      </w:r>
      <w:r>
        <w:rPr>
          <w:rFonts w:ascii="inherit" w:hAnsi="inherit"/>
          <w:sz w:val="17"/>
        </w:rPr>
        <w:t>per quarter, or approximately $64.5 million</w:t>
      </w:r>
      <w:r>
        <w:rPr>
          <w:sz w:val="17"/>
        </w:rPr>
        <w:t xml:space="preserve"> </w:t>
      </w:r>
      <w:r>
        <w:rPr>
          <w:rFonts w:ascii="inherit" w:hAnsi="inherit"/>
          <w:sz w:val="17"/>
        </w:rPr>
        <w:t>per year in aggregate, based on the number of common units outstanding on June 30, 2019. We do not have a legal or contractual obligation to pay distributions on a quarterly basis or any other basis at our minimum quarterly distribution rate or any other rate.</w:t>
      </w:r>
    </w:p>
    <w:p>
      <w:pPr>
        <w:pStyle w:val="TextBody"/>
        <w:spacing w:lineRule="auto" w:line="288" w:before="0" w:after="0"/>
        <w:jc w:val="left"/>
        <w:rPr>
          <w:rFonts w:ascii="inherit" w:hAnsi="inherit"/>
          <w:b/>
          <w:i/>
          <w:sz w:val="17"/>
        </w:rPr>
      </w:pPr>
      <w:r>
        <w:rPr>
          <w:rFonts w:ascii="inherit" w:hAnsi="inherit"/>
          <w:b/>
          <w:i/>
          <w:sz w:val="17"/>
        </w:rPr>
        <w:t>Capital Expenditures</w:t>
      </w:r>
    </w:p>
    <w:p>
      <w:pPr>
        <w:pStyle w:val="TextBody"/>
        <w:spacing w:lineRule="auto" w:line="288" w:before="0" w:after="0"/>
        <w:ind w:left="0" w:right="0" w:firstLine="480"/>
        <w:jc w:val="left"/>
        <w:rPr>
          <w:sz w:val="17"/>
        </w:rPr>
      </w:pPr>
      <w:r>
        <w:rPr>
          <w:rFonts w:ascii="inherit" w:hAnsi="inherit"/>
          <w:sz w:val="17"/>
        </w:rPr>
        <w:t>Westlake has historically funded expansion capital expenditures related to Lake Charles Olefins and Calvert City Olefins. During the six months ended June 30, 2018, Westlake loaned OpCo $3.6 million</w:t>
      </w:r>
      <w:r>
        <w:rPr>
          <w:sz w:val="17"/>
        </w:rPr>
        <w:t xml:space="preserve"> </w:t>
      </w:r>
      <w:r>
        <w:rPr>
          <w:rFonts w:ascii="inherit" w:hAnsi="inherit"/>
          <w:sz w:val="17"/>
        </w:rPr>
        <w:t>to fund capital expenditures. Total capital expenditures for the six months ended June 30, 2019</w:t>
      </w:r>
      <w:r>
        <w:rPr>
          <w:sz w:val="17"/>
        </w:rPr>
        <w:t xml:space="preserve"> </w:t>
      </w:r>
      <w:r>
        <w:rPr>
          <w:rFonts w:ascii="inherit" w:hAnsi="inherit"/>
          <w:sz w:val="17"/>
        </w:rPr>
        <w:t>were $25.6 million. No funding was required by OpCo to fund capital expenditures during the six months ended June 30, 2019. We expect that</w:t>
      </w:r>
      <w:r>
        <w:rPr>
          <w:sz w:val="17"/>
        </w:rPr>
        <w:t xml:space="preserve"> </w:t>
      </w:r>
      <w:r>
        <w:rPr>
          <w:rFonts w:ascii="inherit" w:hAnsi="inherit"/>
          <w:sz w:val="17"/>
        </w:rPr>
        <w:t>Westlake will loan additional cash to OpCo to fund its expansion capital expenditures in the future, but Westlake is under no obligation to do so.</w:t>
      </w:r>
    </w:p>
    <w:p>
      <w:pPr>
        <w:pStyle w:val="TextBody"/>
        <w:spacing w:lineRule="auto" w:line="288" w:before="0" w:after="0"/>
        <w:jc w:val="left"/>
        <w:rPr>
          <w:rFonts w:ascii="inherit" w:hAnsi="inherit"/>
          <w:b/>
          <w:i/>
          <w:sz w:val="17"/>
        </w:rPr>
      </w:pPr>
      <w:r>
        <w:rPr>
          <w:rFonts w:ascii="inherit" w:hAnsi="inherit"/>
          <w:b/>
          <w:i/>
          <w:sz w:val="17"/>
        </w:rPr>
        <w:t>Cash and Cash Equivalents</w:t>
      </w:r>
    </w:p>
    <w:p>
      <w:pPr>
        <w:pStyle w:val="TextBody"/>
        <w:spacing w:lineRule="auto" w:line="288" w:before="0" w:after="0"/>
        <w:ind w:left="0" w:right="0" w:firstLine="495"/>
        <w:jc w:val="left"/>
        <w:rPr>
          <w:rFonts w:ascii="inherit" w:hAnsi="inherit"/>
          <w:sz w:val="17"/>
        </w:rPr>
      </w:pPr>
      <w:r>
        <w:rPr>
          <w:rFonts w:ascii="inherit" w:hAnsi="inherit"/>
          <w:sz w:val="17"/>
        </w:rPr>
        <w:t xml:space="preserve">As of June 30, 2019, our cash and cash equivalents totaled $17.5 million. In addition, we have cash invested under the Investment Management Agreement (as described below) and a revolving credit facility with Westlake available to supplement cash if needed, as described under "Indebtedness" below. </w:t>
      </w:r>
    </w:p>
    <w:p>
      <w:pPr>
        <w:pStyle w:val="TextBody"/>
        <w:spacing w:lineRule="auto" w:line="288" w:before="0" w:after="0"/>
        <w:ind w:left="0" w:right="0" w:firstLine="480"/>
        <w:jc w:val="left"/>
        <w:rPr>
          <w:sz w:val="17"/>
        </w:rPr>
      </w:pPr>
      <w:r>
        <w:rPr>
          <w:rFonts w:ascii="inherit" w:hAnsi="inherit"/>
          <w:sz w:val="17"/>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$141.3 million</w:t>
      </w:r>
      <w:r>
        <w:rPr>
          <w:sz w:val="17"/>
        </w:rPr>
        <w:t xml:space="preserve"> </w:t>
      </w:r>
      <w:r>
        <w:rPr>
          <w:rFonts w:ascii="inherit" w:hAnsi="inherit"/>
          <w:sz w:val="17"/>
        </w:rPr>
        <w:t xml:space="preserve">of cash invested under the Investment Management Agreement at June 30, 2019. </w:t>
      </w:r>
    </w:p>
    <w:p>
      <w:pPr>
        <w:pStyle w:val="TextBody"/>
        <w:spacing w:lineRule="auto" w:line="288" w:before="0" w:after="0"/>
        <w:jc w:val="left"/>
        <w:rPr>
          <w:rFonts w:ascii="inherit" w:hAnsi="inherit"/>
          <w:b/>
          <w:i/>
          <w:sz w:val="17"/>
        </w:rPr>
      </w:pPr>
      <w:r>
        <w:rPr>
          <w:rFonts w:ascii="inherit" w:hAnsi="inherit"/>
          <w:b/>
          <w:i/>
          <w:sz w:val="17"/>
        </w:rPr>
        <w:t>Indebtedness</w:t>
      </w:r>
    </w:p>
    <w:p>
      <w:pPr>
        <w:pStyle w:val="TextBody"/>
        <w:spacing w:lineRule="auto" w:line="288" w:before="0" w:after="0"/>
        <w:jc w:val="left"/>
        <w:rPr>
          <w:rFonts w:ascii="inherit" w:hAnsi="inherit"/>
          <w:i/>
          <w:sz w:val="17"/>
        </w:rPr>
      </w:pPr>
      <w:r>
        <w:rPr>
          <w:rFonts w:ascii="inherit" w:hAnsi="inherit"/>
          <w:i/>
          <w:sz w:val="17"/>
        </w:rPr>
        <w:t>OpCo Revolver</w:t>
      </w:r>
    </w:p>
    <w:p>
      <w:pPr>
        <w:pStyle w:val="TextBody"/>
        <w:spacing w:lineRule="auto" w:line="288" w:before="0" w:after="0"/>
        <w:ind w:left="0" w:right="0" w:firstLine="435"/>
        <w:jc w:val="left"/>
        <w:rPr>
          <w:sz w:val="17"/>
        </w:rPr>
      </w:pPr>
      <w:r>
        <w:rPr>
          <w:rFonts w:ascii="inherit" w:hAnsi="inherit"/>
          <w:sz w:val="17"/>
        </w:rPr>
        <w:t>In connection with the IPO, OpCo entered into a $600.0 million revolving credit facility with Westlake (the "OpCo Revolver") that may be used to fund growth projects and working capital needs. On April 30, 2019, the Partnership repaid $201.4 million of borrowings under the OpCo Revolver. As of June 30, 2019, outstanding borrowings under the OpCo Revolver totaled $22.6 million</w:t>
      </w:r>
      <w:r>
        <w:rPr>
          <w:sz w:val="17"/>
        </w:rPr>
        <w:t xml:space="preserve"> </w:t>
      </w:r>
      <w:r>
        <w:rPr>
          <w:rFonts w:ascii="inherit" w:hAnsi="inherit"/>
          <w:sz w:val="17"/>
        </w:rPr>
        <w:t xml:space="preserve">and bore interest at the LIBOR rate plus 2.0%, which is accrued in arrears quarterly. In September 2018, the OpCo Revolver was amended to extend the scheduled maturity date from August 4, 2019 to September 25, 2023 and revise the applicable margin from 3% to 2%.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i/>
          <w:sz w:val="17"/>
        </w:rPr>
      </w:pPr>
      <w:r>
        <w:rPr>
          <w:rFonts w:ascii="inherit" w:hAnsi="inherit"/>
          <w:i/>
          <w:sz w:val="17"/>
        </w:rPr>
        <w:t>MLP Revolver</w:t>
      </w:r>
    </w:p>
    <w:p>
      <w:pPr>
        <w:pStyle w:val="TextBody"/>
        <w:spacing w:lineRule="auto" w:line="288" w:before="0" w:after="0"/>
        <w:ind w:left="0" w:right="0" w:firstLine="450"/>
        <w:jc w:val="left"/>
        <w:rPr>
          <w:sz w:val="17"/>
        </w:rPr>
      </w:pPr>
      <w:r>
        <w:rPr>
          <w:rFonts w:ascii="inherit" w:hAnsi="inherit"/>
          <w:sz w:val="17"/>
        </w:rPr>
        <w:t>In 2015, we entered into a senior, unsecured revolving credit agreement with Westlake Chemical Finance Corporation, an affiliate of Westlake (the "MLP Revolver"). The MLP Revolver has a borrowing capacity of $600 million and is scheduled to mature in 2021. On March 29, 2019, the Partnership borrowed $123.5 million</w:t>
      </w:r>
      <w:r>
        <w:rPr>
          <w:sz w:val="17"/>
        </w:rPr>
        <w:t xml:space="preserve"> </w:t>
      </w:r>
      <w:r>
        <w:rPr>
          <w:rFonts w:ascii="inherit" w:hAnsi="inherit"/>
          <w:sz w:val="17"/>
        </w:rPr>
        <w:t xml:space="preserve">under the MLP Revolver to partially fund the purchase of an additional 4.5% interest in OpCo.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June 30, 2019,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 </w:t>
      </w:r>
    </w:p>
    <w:p>
      <w:pPr>
        <w:pStyle w:val="TextBody"/>
        <w:spacing w:lineRule="auto" w:line="288" w:before="0" w:after="0"/>
        <w:jc w:val="left"/>
        <w:rPr>
          <w:rFonts w:ascii="inherit" w:hAnsi="inherit"/>
          <w:b/>
          <w:i/>
          <w:sz w:val="17"/>
        </w:rPr>
      </w:pPr>
      <w:r>
        <w:rPr>
          <w:rFonts w:ascii="inherit" w:hAnsi="inherit"/>
          <w:b/>
          <w:i/>
          <w:sz w:val="17"/>
        </w:rPr>
        <w:t>Off-Balance Sheet Arrangements</w:t>
      </w:r>
    </w:p>
    <w:p>
      <w:pPr>
        <w:pStyle w:val="TextBody"/>
        <w:spacing w:lineRule="auto" w:line="288" w:before="0" w:after="0"/>
        <w:ind w:left="0" w:right="0" w:firstLine="480"/>
        <w:jc w:val="left"/>
        <w:rPr>
          <w:rFonts w:ascii="inherit" w:hAnsi="inherit"/>
          <w:sz w:val="17"/>
        </w:rPr>
      </w:pPr>
      <w:r>
        <w:rPr>
          <w:rFonts w:ascii="inherit" w:hAnsi="inherit"/>
          <w:sz w:val="17"/>
        </w:rPr>
        <w:t>None.</w:t>
      </w:r>
    </w:p>
    <w:p>
      <w:pPr>
        <w:pStyle w:val="TextBody"/>
        <w:spacing w:lineRule="auto" w:line="288" w:before="0" w:after="0"/>
        <w:jc w:val="left"/>
        <w:rPr>
          <w:rFonts w:ascii="inherit" w:hAnsi="inherit"/>
          <w:b/>
          <w:sz w:val="17"/>
        </w:rPr>
      </w:pPr>
      <w:r>
        <w:rPr>
          <w:rFonts w:ascii="inherit" w:hAnsi="inherit"/>
          <w:b/>
          <w:sz w:val="17"/>
        </w:rPr>
        <w:t>FORWARD-LOOKING STATEMENTS</w:t>
      </w:r>
    </w:p>
    <w:p>
      <w:pPr>
        <w:pStyle w:val="TextBody"/>
        <w:spacing w:lineRule="auto" w:line="288" w:before="0" w:after="0"/>
        <w:ind w:left="0" w:right="0" w:firstLine="360"/>
        <w:jc w:val="left"/>
        <w:rPr>
          <w:rFonts w:ascii="inherit" w:hAnsi="inherit"/>
          <w:sz w:val="17"/>
        </w:rPr>
      </w:pPr>
      <w:r>
        <w:rPr>
          <w:rFonts w:ascii="inherit" w:hAnsi="inherit"/>
          <w:sz w:val="17"/>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amount of ethane that we are able to process, which could be adversely affected by, among other things, operating difficulties;</w:t>
            </w:r>
          </w:p>
        </w:tc>
      </w:tr>
    </w:tbl>
    <w:tbl>
      <w:tblPr>
        <w:tblW w:w="4450" w:type="dxa"/>
        <w:jc w:val="left"/>
        <w:tblInd w:w="0" w:type="dxa"/>
        <w:tblCellMar>
          <w:top w:w="0" w:type="dxa"/>
          <w:left w:w="0" w:type="dxa"/>
          <w:bottom w:w="0" w:type="dxa"/>
          <w:right w:w="0" w:type="dxa"/>
        </w:tblCellMar>
      </w:tblPr>
      <w:tblGrid>
        <w:gridCol w:w="485"/>
        <w:gridCol w:w="3965"/>
      </w:tblGrid>
      <w:tr>
        <w:trPr/>
        <w:tc>
          <w:tcPr>
            <w:tcW w:w="485" w:type="dxa"/>
            <w:tcBorders/>
            <w:shd w:fill="auto" w:val="clear"/>
            <w:vAlign w:val="center"/>
          </w:tcPr>
          <w:p>
            <w:pPr>
              <w:pStyle w:val="TableContents"/>
              <w:spacing w:before="0" w:after="283"/>
              <w:rPr>
                <w:sz w:val="4"/>
                <w:szCs w:val="4"/>
              </w:rPr>
            </w:pPr>
            <w:r>
              <w:rPr>
                <w:sz w:val="4"/>
                <w:szCs w:val="4"/>
              </w:rPr>
            </w:r>
          </w:p>
        </w:tc>
        <w:tc>
          <w:tcPr>
            <w:tcW w:w="39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volume of ethylene that we are able to sell;</w:t>
            </w:r>
          </w:p>
        </w:tc>
      </w:tr>
    </w:tbl>
    <w:tbl>
      <w:tblPr>
        <w:tblW w:w="4390" w:type="dxa"/>
        <w:jc w:val="left"/>
        <w:tblInd w:w="0" w:type="dxa"/>
        <w:tblCellMar>
          <w:top w:w="0" w:type="dxa"/>
          <w:left w:w="0" w:type="dxa"/>
          <w:bottom w:w="0" w:type="dxa"/>
          <w:right w:w="0" w:type="dxa"/>
        </w:tblCellMar>
      </w:tblPr>
      <w:tblGrid>
        <w:gridCol w:w="485"/>
        <w:gridCol w:w="3905"/>
      </w:tblGrid>
      <w:tr>
        <w:trPr/>
        <w:tc>
          <w:tcPr>
            <w:tcW w:w="485"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price at which we are able to sell ethylene;</w:t>
            </w:r>
          </w:p>
        </w:tc>
      </w:tr>
    </w:tbl>
    <w:tbl>
      <w:tblPr>
        <w:tblW w:w="8860" w:type="dxa"/>
        <w:jc w:val="left"/>
        <w:tblInd w:w="0" w:type="dxa"/>
        <w:tblCellMar>
          <w:top w:w="0" w:type="dxa"/>
          <w:left w:w="0" w:type="dxa"/>
          <w:bottom w:w="0" w:type="dxa"/>
          <w:right w:w="0" w:type="dxa"/>
        </w:tblCellMar>
      </w:tblPr>
      <w:tblGrid>
        <w:gridCol w:w="485"/>
        <w:gridCol w:w="8375"/>
      </w:tblGrid>
      <w:tr>
        <w:trPr/>
        <w:tc>
          <w:tcPr>
            <w:tcW w:w="485" w:type="dxa"/>
            <w:tcBorders/>
            <w:shd w:fill="auto" w:val="clear"/>
            <w:vAlign w:val="center"/>
          </w:tcPr>
          <w:p>
            <w:pPr>
              <w:pStyle w:val="TableContents"/>
              <w:spacing w:before="0" w:after="283"/>
              <w:rPr>
                <w:sz w:val="4"/>
                <w:szCs w:val="4"/>
              </w:rPr>
            </w:pPr>
            <w:r>
              <w:rPr>
                <w:sz w:val="4"/>
                <w:szCs w:val="4"/>
              </w:rPr>
            </w:r>
          </w:p>
        </w:tc>
        <w:tc>
          <w:tcPr>
            <w:tcW w:w="83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industry market outlook, including prices and margins in third-party ethylene and co-products sales;</w:t>
            </w:r>
          </w:p>
        </w:tc>
      </w:tr>
    </w:tbl>
    <w:tbl>
      <w:tblPr>
        <w:tblW w:w="5500" w:type="dxa"/>
        <w:jc w:val="left"/>
        <w:tblInd w:w="0" w:type="dxa"/>
        <w:tblCellMar>
          <w:top w:w="0" w:type="dxa"/>
          <w:left w:w="0" w:type="dxa"/>
          <w:bottom w:w="0" w:type="dxa"/>
          <w:right w:w="0" w:type="dxa"/>
        </w:tblCellMar>
      </w:tblPr>
      <w:tblGrid>
        <w:gridCol w:w="485"/>
        <w:gridCol w:w="5015"/>
      </w:tblGrid>
      <w:tr>
        <w:trPr/>
        <w:tc>
          <w:tcPr>
            <w:tcW w:w="485"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parties to whom we will sell ethylene and on what basis;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volumes of ethylene that Westlake may purchase, in addition to the minimum commitment under the Ethylene Sales Agreement;</w:t>
            </w:r>
          </w:p>
        </w:tc>
      </w:tr>
    </w:tbl>
    <w:tbl>
      <w:tblPr>
        <w:tblW w:w="4330" w:type="dxa"/>
        <w:jc w:val="left"/>
        <w:tblInd w:w="0" w:type="dxa"/>
        <w:tblCellMar>
          <w:top w:w="0" w:type="dxa"/>
          <w:left w:w="0" w:type="dxa"/>
          <w:bottom w:w="0" w:type="dxa"/>
          <w:right w:w="0" w:type="dxa"/>
        </w:tblCellMar>
      </w:tblPr>
      <w:tblGrid>
        <w:gridCol w:w="485"/>
        <w:gridCol w:w="3845"/>
      </w:tblGrid>
      <w:tr>
        <w:trPr/>
        <w:tc>
          <w:tcPr>
            <w:tcW w:w="48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timing, funding and results of capital projects;</w:t>
            </w:r>
          </w:p>
        </w:tc>
      </w:tr>
    </w:tbl>
    <w:tbl>
      <w:tblPr>
        <w:tblW w:w="8155" w:type="dxa"/>
        <w:jc w:val="left"/>
        <w:tblInd w:w="0" w:type="dxa"/>
        <w:tblCellMar>
          <w:top w:w="0" w:type="dxa"/>
          <w:left w:w="0" w:type="dxa"/>
          <w:bottom w:w="0" w:type="dxa"/>
          <w:right w:w="0" w:type="dxa"/>
        </w:tblCellMar>
      </w:tblPr>
      <w:tblGrid>
        <w:gridCol w:w="485"/>
        <w:gridCol w:w="7670"/>
      </w:tblGrid>
      <w:tr>
        <w:trPr/>
        <w:tc>
          <w:tcPr>
            <w:tcW w:w="485" w:type="dxa"/>
            <w:tcBorders/>
            <w:shd w:fill="auto" w:val="clear"/>
            <w:vAlign w:val="center"/>
          </w:tcPr>
          <w:p>
            <w:pPr>
              <w:pStyle w:val="TableContents"/>
              <w:spacing w:before="0" w:after="283"/>
              <w:rPr>
                <w:sz w:val="4"/>
                <w:szCs w:val="4"/>
              </w:rPr>
            </w:pPr>
            <w:r>
              <w:rPr>
                <w:sz w:val="4"/>
                <w:szCs w:val="4"/>
              </w:rPr>
            </w:r>
          </w:p>
        </w:tc>
        <w:tc>
          <w:tcPr>
            <w:tcW w:w="76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6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intended minimum quarterly distributions and the manner of making such distributions;</w:t>
            </w:r>
          </w:p>
        </w:tc>
      </w:tr>
    </w:tbl>
    <w:tbl>
      <w:tblPr>
        <w:tblW w:w="3700" w:type="dxa"/>
        <w:jc w:val="left"/>
        <w:tblInd w:w="0" w:type="dxa"/>
        <w:tblCellMar>
          <w:top w:w="0" w:type="dxa"/>
          <w:left w:w="0" w:type="dxa"/>
          <w:bottom w:w="0" w:type="dxa"/>
          <w:right w:w="0" w:type="dxa"/>
        </w:tblCellMar>
      </w:tblPr>
      <w:tblGrid>
        <w:gridCol w:w="485"/>
        <w:gridCol w:w="3215"/>
      </w:tblGrid>
      <w:tr>
        <w:trPr/>
        <w:tc>
          <w:tcPr>
            <w:tcW w:w="485" w:type="dxa"/>
            <w:tcBorders/>
            <w:shd w:fill="auto" w:val="clear"/>
            <w:vAlign w:val="center"/>
          </w:tcPr>
          <w:p>
            <w:pPr>
              <w:pStyle w:val="TableContents"/>
              <w:spacing w:before="0" w:after="283"/>
              <w:rPr>
                <w:sz w:val="4"/>
                <w:szCs w:val="4"/>
              </w:rPr>
            </w:pPr>
            <w:r>
              <w:rPr>
                <w:sz w:val="4"/>
                <w:szCs w:val="4"/>
              </w:rPr>
            </w:r>
          </w:p>
        </w:tc>
        <w:tc>
          <w:tcPr>
            <w:tcW w:w="32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meet our liquidity needs;</w:t>
            </w:r>
          </w:p>
        </w:tc>
      </w:tr>
    </w:tbl>
    <w:tbl>
      <w:tblPr>
        <w:tblW w:w="4330" w:type="dxa"/>
        <w:jc w:val="left"/>
        <w:tblInd w:w="0" w:type="dxa"/>
        <w:tblCellMar>
          <w:top w:w="0" w:type="dxa"/>
          <w:left w:w="0" w:type="dxa"/>
          <w:bottom w:w="0" w:type="dxa"/>
          <w:right w:w="0" w:type="dxa"/>
        </w:tblCellMar>
      </w:tblPr>
      <w:tblGrid>
        <w:gridCol w:w="485"/>
        <w:gridCol w:w="3845"/>
      </w:tblGrid>
      <w:tr>
        <w:trPr/>
        <w:tc>
          <w:tcPr>
            <w:tcW w:w="48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timing of and amount of capital expenditures;</w:t>
            </w:r>
          </w:p>
        </w:tc>
      </w:tr>
    </w:tbl>
    <w:tbl>
      <w:tblPr>
        <w:tblW w:w="9685" w:type="dxa"/>
        <w:jc w:val="left"/>
        <w:tblInd w:w="0" w:type="dxa"/>
        <w:tblCellMar>
          <w:top w:w="0" w:type="dxa"/>
          <w:left w:w="0" w:type="dxa"/>
          <w:bottom w:w="0" w:type="dxa"/>
          <w:right w:w="0" w:type="dxa"/>
        </w:tblCellMar>
      </w:tblPr>
      <w:tblGrid>
        <w:gridCol w:w="485"/>
        <w:gridCol w:w="9200"/>
      </w:tblGrid>
      <w:tr>
        <w:trPr/>
        <w:tc>
          <w:tcPr>
            <w:tcW w:w="485" w:type="dxa"/>
            <w:tcBorders/>
            <w:shd w:fill="auto" w:val="clear"/>
            <w:vAlign w:val="center"/>
          </w:tcPr>
          <w:p>
            <w:pPr>
              <w:pStyle w:val="TableContents"/>
              <w:spacing w:before="0" w:after="283"/>
              <w:rPr>
                <w:sz w:val="4"/>
                <w:szCs w:val="4"/>
              </w:rPr>
            </w:pPr>
            <w:r>
              <w:rPr>
                <w:sz w:val="4"/>
                <w:szCs w:val="4"/>
              </w:rPr>
            </w:r>
          </w:p>
        </w:tc>
        <w:tc>
          <w:tcPr>
            <w:tcW w:w="92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2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Partnership's At-the-Market program and the use of any net proceeds from any sales under that program;</w:t>
            </w:r>
          </w:p>
        </w:tc>
      </w:tr>
    </w:tbl>
    <w:tbl>
      <w:tblPr>
        <w:tblW w:w="8800" w:type="dxa"/>
        <w:jc w:val="left"/>
        <w:tblInd w:w="0" w:type="dxa"/>
        <w:tblCellMar>
          <w:top w:w="0" w:type="dxa"/>
          <w:left w:w="0" w:type="dxa"/>
          <w:bottom w:w="0" w:type="dxa"/>
          <w:right w:w="0" w:type="dxa"/>
        </w:tblCellMar>
      </w:tblPr>
      <w:tblGrid>
        <w:gridCol w:w="485"/>
        <w:gridCol w:w="8315"/>
      </w:tblGrid>
      <w:tr>
        <w:trPr/>
        <w:tc>
          <w:tcPr>
            <w:tcW w:w="485" w:type="dxa"/>
            <w:tcBorders/>
            <w:shd w:fill="auto" w:val="clear"/>
            <w:vAlign w:val="center"/>
          </w:tcPr>
          <w:p>
            <w:pPr>
              <w:pStyle w:val="TableContents"/>
              <w:spacing w:before="0" w:after="283"/>
              <w:rPr>
                <w:sz w:val="4"/>
                <w:szCs w:val="4"/>
              </w:rPr>
            </w:pPr>
            <w:r>
              <w:rPr>
                <w:sz w:val="4"/>
                <w:szCs w:val="4"/>
              </w:rPr>
            </w:r>
          </w:p>
        </w:tc>
        <w:tc>
          <w:tcPr>
            <w:tcW w:w="83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loans from Westlake to OpCo to fund OpCo's expansion capital expenditures in the future;</w:t>
            </w:r>
          </w:p>
        </w:tc>
      </w:tr>
    </w:tbl>
    <w:tbl>
      <w:tblPr>
        <w:tblW w:w="5980" w:type="dxa"/>
        <w:jc w:val="left"/>
        <w:tblInd w:w="0" w:type="dxa"/>
        <w:tblCellMar>
          <w:top w:w="0" w:type="dxa"/>
          <w:left w:w="0" w:type="dxa"/>
          <w:bottom w:w="0" w:type="dxa"/>
          <w:right w:w="0" w:type="dxa"/>
        </w:tblCellMar>
      </w:tblPr>
      <w:tblGrid>
        <w:gridCol w:w="485"/>
        <w:gridCol w:w="5495"/>
      </w:tblGrid>
      <w:tr>
        <w:trPr/>
        <w:tc>
          <w:tcPr>
            <w:tcW w:w="48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expected mitigation of exposure to commodity price fluctuations;</w:t>
            </w:r>
          </w:p>
        </w:tc>
      </w:tr>
    </w:tbl>
    <w:tbl>
      <w:tblPr>
        <w:tblW w:w="5560" w:type="dxa"/>
        <w:jc w:val="left"/>
        <w:tblInd w:w="0" w:type="dxa"/>
        <w:tblCellMar>
          <w:top w:w="0" w:type="dxa"/>
          <w:left w:w="0" w:type="dxa"/>
          <w:bottom w:w="0" w:type="dxa"/>
          <w:right w:w="0" w:type="dxa"/>
        </w:tblCellMar>
      </w:tblPr>
      <w:tblGrid>
        <w:gridCol w:w="485"/>
        <w:gridCol w:w="5075"/>
      </w:tblGrid>
      <w:tr>
        <w:trPr/>
        <w:tc>
          <w:tcPr>
            <w:tcW w:w="485" w:type="dxa"/>
            <w:tcBorders/>
            <w:shd w:fill="auto" w:val="clear"/>
            <w:vAlign w:val="center"/>
          </w:tcPr>
          <w:p>
            <w:pPr>
              <w:pStyle w:val="TableContents"/>
              <w:spacing w:before="0" w:after="283"/>
              <w:rPr>
                <w:sz w:val="4"/>
                <w:szCs w:val="4"/>
              </w:rPr>
            </w:pPr>
            <w:r>
              <w:rPr>
                <w:sz w:val="4"/>
                <w:szCs w:val="4"/>
              </w:rPr>
            </w:r>
          </w:p>
        </w:tc>
        <w:tc>
          <w:tcPr>
            <w:tcW w:w="50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turnaround activities and the variability of OpCo's cash flow;</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tc>
      </w:tr>
    </w:tbl>
    <w:tbl>
      <w:tblPr>
        <w:tblW w:w="3595" w:type="dxa"/>
        <w:jc w:val="left"/>
        <w:tblInd w:w="0" w:type="dxa"/>
        <w:tblCellMar>
          <w:top w:w="0" w:type="dxa"/>
          <w:left w:w="0" w:type="dxa"/>
          <w:bottom w:w="0" w:type="dxa"/>
          <w:right w:w="0" w:type="dxa"/>
        </w:tblCellMar>
      </w:tblPr>
      <w:tblGrid>
        <w:gridCol w:w="485"/>
        <w:gridCol w:w="3110"/>
      </w:tblGrid>
      <w:tr>
        <w:trPr/>
        <w:tc>
          <w:tcPr>
            <w:tcW w:w="485"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effects of pending legal proceedings.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2018</w:t>
      </w:r>
      <w:r>
        <w:rPr>
          <w:sz w:val="17"/>
        </w:rPr>
        <w:t xml:space="preserve"> </w:t>
      </w:r>
      <w:r>
        <w:rPr>
          <w:rFonts w:ascii="inherit" w:hAnsi="inherit"/>
          <w:sz w:val="17"/>
        </w:rPr>
        <w:t>Form 10-K and the following:</w:t>
      </w:r>
    </w:p>
    <w:tbl>
      <w:tblPr>
        <w:tblW w:w="4165" w:type="dxa"/>
        <w:jc w:val="left"/>
        <w:tblInd w:w="0" w:type="dxa"/>
        <w:tblCellMar>
          <w:top w:w="0" w:type="dxa"/>
          <w:left w:w="0" w:type="dxa"/>
          <w:bottom w:w="0" w:type="dxa"/>
          <w:right w:w="0" w:type="dxa"/>
        </w:tblCellMar>
      </w:tblPr>
      <w:tblGrid>
        <w:gridCol w:w="485"/>
        <w:gridCol w:w="3680"/>
      </w:tblGrid>
      <w:tr>
        <w:trPr/>
        <w:tc>
          <w:tcPr>
            <w:tcW w:w="485" w:type="dxa"/>
            <w:tcBorders/>
            <w:shd w:fill="auto" w:val="clear"/>
            <w:vAlign w:val="center"/>
          </w:tcPr>
          <w:p>
            <w:pPr>
              <w:pStyle w:val="TableContents"/>
              <w:spacing w:before="0" w:after="283"/>
              <w:rPr>
                <w:sz w:val="4"/>
                <w:szCs w:val="4"/>
              </w:rPr>
            </w:pPr>
            <w:r>
              <w:rPr>
                <w:sz w:val="4"/>
                <w:szCs w:val="4"/>
              </w:rPr>
            </w:r>
          </w:p>
        </w:tc>
        <w:tc>
          <w:tcPr>
            <w:tcW w:w="36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general economic and business conditions; </w:t>
            </w:r>
          </w:p>
        </w:tc>
      </w:tr>
    </w:tbl>
    <w:tbl>
      <w:tblPr>
        <w:tblW w:w="4210" w:type="dxa"/>
        <w:jc w:val="left"/>
        <w:tblInd w:w="0" w:type="dxa"/>
        <w:tblCellMar>
          <w:top w:w="0" w:type="dxa"/>
          <w:left w:w="0" w:type="dxa"/>
          <w:bottom w:w="0" w:type="dxa"/>
          <w:right w:w="0" w:type="dxa"/>
        </w:tblCellMar>
      </w:tblPr>
      <w:tblGrid>
        <w:gridCol w:w="485"/>
        <w:gridCol w:w="3725"/>
      </w:tblGrid>
      <w:tr>
        <w:trPr/>
        <w:tc>
          <w:tcPr>
            <w:tcW w:w="485" w:type="dxa"/>
            <w:tcBorders/>
            <w:shd w:fill="auto" w:val="clear"/>
            <w:vAlign w:val="center"/>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cyclical nature of the chemical industry; </w:t>
            </w:r>
          </w:p>
        </w:tc>
      </w:tr>
    </w:tbl>
    <w:tbl>
      <w:tblPr>
        <w:tblW w:w="5830" w:type="dxa"/>
        <w:jc w:val="left"/>
        <w:tblInd w:w="0" w:type="dxa"/>
        <w:tblCellMar>
          <w:top w:w="0" w:type="dxa"/>
          <w:left w:w="0" w:type="dxa"/>
          <w:bottom w:w="0" w:type="dxa"/>
          <w:right w:w="0" w:type="dxa"/>
        </w:tblCellMar>
      </w:tblPr>
      <w:tblGrid>
        <w:gridCol w:w="485"/>
        <w:gridCol w:w="5345"/>
      </w:tblGrid>
      <w:tr>
        <w:trPr/>
        <w:tc>
          <w:tcPr>
            <w:tcW w:w="485" w:type="dxa"/>
            <w:tcBorders/>
            <w:shd w:fill="auto" w:val="clear"/>
            <w:vAlign w:val="center"/>
          </w:tcPr>
          <w:p>
            <w:pPr>
              <w:pStyle w:val="TableContents"/>
              <w:spacing w:before="0" w:after="283"/>
              <w:rPr>
                <w:sz w:val="4"/>
                <w:szCs w:val="4"/>
              </w:rPr>
            </w:pPr>
            <w:r>
              <w:rPr>
                <w:sz w:val="4"/>
                <w:szCs w:val="4"/>
              </w:rPr>
            </w:r>
          </w:p>
        </w:tc>
        <w:tc>
          <w:tcPr>
            <w:tcW w:w="53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3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availability, cost and volatility of raw materials and energy;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uncertainties associated with the United States and worldwide economies, including those due to political tensions and unrest in the Middle East and elsewhere;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current and potential governmental regulatory actions in the United States and regulatory actions and political unrest in other countries, including environmental regulations; </w:t>
            </w:r>
          </w:p>
        </w:tc>
      </w:tr>
    </w:tbl>
    <w:tbl>
      <w:tblPr>
        <w:tblW w:w="4705" w:type="dxa"/>
        <w:jc w:val="left"/>
        <w:tblInd w:w="0" w:type="dxa"/>
        <w:tblCellMar>
          <w:top w:w="0" w:type="dxa"/>
          <w:left w:w="0" w:type="dxa"/>
          <w:bottom w:w="0" w:type="dxa"/>
          <w:right w:w="0" w:type="dxa"/>
        </w:tblCellMar>
      </w:tblPr>
      <w:tblGrid>
        <w:gridCol w:w="485"/>
        <w:gridCol w:w="4220"/>
      </w:tblGrid>
      <w:tr>
        <w:trPr/>
        <w:tc>
          <w:tcPr>
            <w:tcW w:w="485" w:type="dxa"/>
            <w:tcBorders/>
            <w:shd w:fill="auto" w:val="clear"/>
            <w:vAlign w:val="center"/>
          </w:tcPr>
          <w:p>
            <w:pPr>
              <w:pStyle w:val="TableContents"/>
              <w:spacing w:before="0" w:after="283"/>
              <w:rPr>
                <w:sz w:val="4"/>
                <w:szCs w:val="4"/>
              </w:rPr>
            </w:pPr>
            <w:r>
              <w:rPr>
                <w:sz w:val="4"/>
                <w:szCs w:val="4"/>
              </w:rPr>
            </w:r>
          </w:p>
        </w:tc>
        <w:tc>
          <w:tcPr>
            <w:tcW w:w="4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2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industry production capacity and operating rates; </w:t>
            </w:r>
          </w:p>
        </w:tc>
      </w:tr>
    </w:tbl>
    <w:tbl>
      <w:tblPr>
        <w:tblW w:w="4255" w:type="dxa"/>
        <w:jc w:val="left"/>
        <w:tblInd w:w="0" w:type="dxa"/>
        <w:tblCellMar>
          <w:top w:w="0" w:type="dxa"/>
          <w:left w:w="0" w:type="dxa"/>
          <w:bottom w:w="0" w:type="dxa"/>
          <w:right w:w="0" w:type="dxa"/>
        </w:tblCellMar>
      </w:tblPr>
      <w:tblGrid>
        <w:gridCol w:w="485"/>
        <w:gridCol w:w="3770"/>
      </w:tblGrid>
      <w:tr>
        <w:trPr/>
        <w:tc>
          <w:tcPr>
            <w:tcW w:w="485"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supply/demand balance for our product; </w:t>
            </w:r>
          </w:p>
        </w:tc>
      </w:tr>
    </w:tbl>
    <w:tbl>
      <w:tblPr>
        <w:tblW w:w="4255" w:type="dxa"/>
        <w:jc w:val="left"/>
        <w:tblInd w:w="0" w:type="dxa"/>
        <w:tblCellMar>
          <w:top w:w="0" w:type="dxa"/>
          <w:left w:w="0" w:type="dxa"/>
          <w:bottom w:w="0" w:type="dxa"/>
          <w:right w:w="0" w:type="dxa"/>
        </w:tblCellMar>
      </w:tblPr>
      <w:tblGrid>
        <w:gridCol w:w="485"/>
        <w:gridCol w:w="3770"/>
      </w:tblGrid>
      <w:tr>
        <w:trPr/>
        <w:tc>
          <w:tcPr>
            <w:tcW w:w="485"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competitive products and pricing pressures; </w:t>
            </w:r>
          </w:p>
        </w:tc>
      </w:tr>
    </w:tbl>
    <w:tbl>
      <w:tblPr>
        <w:tblW w:w="4315" w:type="dxa"/>
        <w:jc w:val="left"/>
        <w:tblInd w:w="0" w:type="dxa"/>
        <w:tblCellMar>
          <w:top w:w="0" w:type="dxa"/>
          <w:left w:w="0" w:type="dxa"/>
          <w:bottom w:w="0" w:type="dxa"/>
          <w:right w:w="0" w:type="dxa"/>
        </w:tblCellMar>
      </w:tblPr>
      <w:tblGrid>
        <w:gridCol w:w="485"/>
        <w:gridCol w:w="3830"/>
      </w:tblGrid>
      <w:tr>
        <w:trPr/>
        <w:tc>
          <w:tcPr>
            <w:tcW w:w="485" w:type="dxa"/>
            <w:tcBorders/>
            <w:shd w:fill="auto" w:val="clear"/>
            <w:vAlign w:val="center"/>
          </w:tcPr>
          <w:p>
            <w:pPr>
              <w:pStyle w:val="TableContents"/>
              <w:spacing w:before="0" w:after="283"/>
              <w:rPr>
                <w:sz w:val="4"/>
                <w:szCs w:val="4"/>
              </w:rPr>
            </w:pPr>
            <w:r>
              <w:rPr>
                <w:sz w:val="4"/>
                <w:szCs w:val="4"/>
              </w:rPr>
            </w:r>
          </w:p>
        </w:tc>
        <w:tc>
          <w:tcPr>
            <w:tcW w:w="38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instability in the credit and financial markets; </w:t>
            </w:r>
          </w:p>
        </w:tc>
      </w:tr>
    </w:tbl>
    <w:tbl>
      <w:tblPr>
        <w:tblW w:w="2740" w:type="dxa"/>
        <w:jc w:val="left"/>
        <w:tblInd w:w="0" w:type="dxa"/>
        <w:tblCellMar>
          <w:top w:w="0" w:type="dxa"/>
          <w:left w:w="0" w:type="dxa"/>
          <w:bottom w:w="0" w:type="dxa"/>
          <w:right w:w="0" w:type="dxa"/>
        </w:tblCellMar>
      </w:tblPr>
      <w:tblGrid>
        <w:gridCol w:w="485"/>
        <w:gridCol w:w="2255"/>
      </w:tblGrid>
      <w:tr>
        <w:trPr/>
        <w:tc>
          <w:tcPr>
            <w:tcW w:w="485"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2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access to capital markets; </w:t>
            </w:r>
          </w:p>
        </w:tc>
      </w:tr>
    </w:tbl>
    <w:tbl>
      <w:tblPr>
        <w:tblW w:w="1705" w:type="dxa"/>
        <w:jc w:val="left"/>
        <w:tblInd w:w="0" w:type="dxa"/>
        <w:tblCellMar>
          <w:top w:w="0" w:type="dxa"/>
          <w:left w:w="0" w:type="dxa"/>
          <w:bottom w:w="0" w:type="dxa"/>
          <w:right w:w="0" w:type="dxa"/>
        </w:tblCellMar>
      </w:tblPr>
      <w:tblGrid>
        <w:gridCol w:w="485"/>
        <w:gridCol w:w="1220"/>
      </w:tblGrid>
      <w:tr>
        <w:trPr/>
        <w:tc>
          <w:tcPr>
            <w:tcW w:w="48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2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terrorist acts;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operating interruptions (including leaks, explosions, fires, weather-related incidents, mechanical failure, unscheduled downtime, labor difficulties, transportation interruptions, spills and releases and other environmental risks); </w:t>
            </w:r>
          </w:p>
        </w:tc>
      </w:tr>
    </w:tbl>
    <w:tbl>
      <w:tblPr>
        <w:tblW w:w="3160" w:type="dxa"/>
        <w:jc w:val="left"/>
        <w:tblInd w:w="0" w:type="dxa"/>
        <w:tblCellMar>
          <w:top w:w="0" w:type="dxa"/>
          <w:left w:w="0" w:type="dxa"/>
          <w:bottom w:w="0" w:type="dxa"/>
          <w:right w:w="0" w:type="dxa"/>
        </w:tblCellMar>
      </w:tblPr>
      <w:tblGrid>
        <w:gridCol w:w="485"/>
        <w:gridCol w:w="2675"/>
      </w:tblGrid>
      <w:tr>
        <w:trPr/>
        <w:tc>
          <w:tcPr>
            <w:tcW w:w="48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changes in laws or regulations; </w:t>
            </w:r>
          </w:p>
        </w:tc>
      </w:tr>
    </w:tbl>
    <w:tbl>
      <w:tblPr>
        <w:tblW w:w="2980" w:type="dxa"/>
        <w:jc w:val="left"/>
        <w:tblInd w:w="0" w:type="dxa"/>
        <w:tblCellMar>
          <w:top w:w="0" w:type="dxa"/>
          <w:left w:w="0" w:type="dxa"/>
          <w:bottom w:w="0" w:type="dxa"/>
          <w:right w:w="0" w:type="dxa"/>
        </w:tblCellMar>
      </w:tblPr>
      <w:tblGrid>
        <w:gridCol w:w="485"/>
        <w:gridCol w:w="2495"/>
      </w:tblGrid>
      <w:tr>
        <w:trPr/>
        <w:tc>
          <w:tcPr>
            <w:tcW w:w="485"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technological developments; </w:t>
            </w:r>
          </w:p>
        </w:tc>
      </w:tr>
    </w:tbl>
    <w:tbl>
      <w:tblPr>
        <w:tblW w:w="4195" w:type="dxa"/>
        <w:jc w:val="left"/>
        <w:tblInd w:w="0" w:type="dxa"/>
        <w:tblCellMar>
          <w:top w:w="0" w:type="dxa"/>
          <w:left w:w="0" w:type="dxa"/>
          <w:bottom w:w="0" w:type="dxa"/>
          <w:right w:w="0" w:type="dxa"/>
        </w:tblCellMar>
      </w:tblPr>
      <w:tblGrid>
        <w:gridCol w:w="485"/>
        <w:gridCol w:w="3710"/>
      </w:tblGrid>
      <w:tr>
        <w:trPr/>
        <w:tc>
          <w:tcPr>
            <w:tcW w:w="485"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integrate acquired businesses;</w:t>
            </w:r>
          </w:p>
        </w:tc>
      </w:tr>
    </w:tbl>
    <w:tbl>
      <w:tblPr>
        <w:tblW w:w="3280" w:type="dxa"/>
        <w:jc w:val="left"/>
        <w:tblInd w:w="0" w:type="dxa"/>
        <w:tblCellMar>
          <w:top w:w="0" w:type="dxa"/>
          <w:left w:w="0" w:type="dxa"/>
          <w:bottom w:w="0" w:type="dxa"/>
          <w:right w:w="0" w:type="dxa"/>
        </w:tblCellMar>
      </w:tblPr>
      <w:tblGrid>
        <w:gridCol w:w="485"/>
        <w:gridCol w:w="2795"/>
      </w:tblGrid>
      <w:tr>
        <w:trPr/>
        <w:tc>
          <w:tcPr>
            <w:tcW w:w="48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7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foreign currency exchange risks;</w:t>
            </w:r>
          </w:p>
        </w:tc>
      </w:tr>
    </w:tbl>
    <w:tbl>
      <w:tblPr>
        <w:tblW w:w="4975" w:type="dxa"/>
        <w:jc w:val="left"/>
        <w:tblInd w:w="0" w:type="dxa"/>
        <w:tblCellMar>
          <w:top w:w="0" w:type="dxa"/>
          <w:left w:w="0" w:type="dxa"/>
          <w:bottom w:w="0" w:type="dxa"/>
          <w:right w:w="0" w:type="dxa"/>
        </w:tblCellMar>
      </w:tblPr>
      <w:tblGrid>
        <w:gridCol w:w="485"/>
        <w:gridCol w:w="4490"/>
      </w:tblGrid>
      <w:tr>
        <w:trPr/>
        <w:tc>
          <w:tcPr>
            <w:tcW w:w="485" w:type="dxa"/>
            <w:tcBorders/>
            <w:shd w:fill="auto" w:val="clear"/>
            <w:vAlign w:val="center"/>
          </w:tcPr>
          <w:p>
            <w:pPr>
              <w:pStyle w:val="TableContents"/>
              <w:spacing w:before="0" w:after="283"/>
              <w:rPr>
                <w:sz w:val="4"/>
                <w:szCs w:val="4"/>
              </w:rPr>
            </w:pPr>
            <w:r>
              <w:rPr>
                <w:sz w:val="4"/>
                <w:szCs w:val="4"/>
              </w:rPr>
            </w:r>
          </w:p>
        </w:tc>
        <w:tc>
          <w:tcPr>
            <w:tcW w:w="44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4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our ability to implement our business strategies; and </w:t>
            </w:r>
          </w:p>
        </w:tc>
      </w:tr>
    </w:tbl>
    <w:tbl>
      <w:tblPr>
        <w:tblW w:w="3475" w:type="dxa"/>
        <w:jc w:val="left"/>
        <w:tblInd w:w="0" w:type="dxa"/>
        <w:tblCellMar>
          <w:top w:w="0" w:type="dxa"/>
          <w:left w:w="0" w:type="dxa"/>
          <w:bottom w:w="0" w:type="dxa"/>
          <w:right w:w="0" w:type="dxa"/>
        </w:tblCellMar>
      </w:tblPr>
      <w:tblGrid>
        <w:gridCol w:w="485"/>
        <w:gridCol w:w="2990"/>
      </w:tblGrid>
      <w:tr>
        <w:trPr/>
        <w:tc>
          <w:tcPr>
            <w:tcW w:w="485"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9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creditworthiness of our customers. </w:t>
            </w:r>
          </w:p>
        </w:tc>
      </w:tr>
    </w:tbl>
    <w:p>
      <w:pPr>
        <w:pStyle w:val="TextBody"/>
        <w:spacing w:lineRule="auto" w:line="288" w:before="0" w:after="0"/>
        <w:ind w:left="0" w:right="0" w:firstLine="450"/>
        <w:jc w:val="left"/>
        <w:rPr>
          <w:rFonts w:ascii="inherit" w:hAnsi="inherit"/>
          <w:sz w:val="17"/>
        </w:rPr>
      </w:pPr>
      <w:r>
        <w:rPr>
          <w:rFonts w:ascii="inherit" w:hAnsi="inherit"/>
          <w:sz w:val="17"/>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rFonts w:ascii="inherit" w:hAnsi="inherit"/>
          <w:sz w:val="17"/>
        </w:rPr>
      </w:pPr>
      <w:r>
        <w:rPr>
          <w:rFonts w:ascii="inherit" w:hAnsi="inherit"/>
          <w:sz w:val="17"/>
        </w:rPr>
      </w:r>
      <w:bookmarkStart w:id="29" w:name="s06457468FE0A5644896E4EC08341E680"/>
      <w:bookmarkStart w:id="30" w:name="s06457468FE0A5644896E4EC08341E680"/>
      <w:bookmarkEnd w:id="30"/>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 xml:space="preserve">Item 3. Quantitative and Qualitative Disclosures about Market Risk </w:t>
      </w:r>
    </w:p>
    <w:p>
      <w:pPr>
        <w:pStyle w:val="TextBody"/>
        <w:spacing w:lineRule="auto" w:line="288" w:before="0" w:after="0"/>
        <w:jc w:val="left"/>
        <w:rPr>
          <w:rFonts w:ascii="inherit" w:hAnsi="inherit"/>
          <w:b/>
          <w:i/>
          <w:sz w:val="17"/>
        </w:rPr>
      </w:pPr>
      <w:r>
        <w:rPr>
          <w:rFonts w:ascii="inherit" w:hAnsi="inherit"/>
          <w:b/>
          <w:i/>
          <w:sz w:val="17"/>
        </w:rPr>
        <w:t xml:space="preserve">Commodity Price Risk </w:t>
      </w:r>
    </w:p>
    <w:p>
      <w:pPr>
        <w:pStyle w:val="TextBody"/>
        <w:spacing w:lineRule="auto" w:line="288" w:before="0" w:after="0"/>
        <w:ind w:left="0" w:right="0" w:firstLine="480"/>
        <w:jc w:val="left"/>
        <w:rPr>
          <w:sz w:val="17"/>
        </w:rPr>
      </w:pPr>
      <w:r>
        <w:rPr>
          <w:rFonts w:ascii="inherit" w:hAnsi="inherit"/>
          <w:sz w:val="17"/>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December 2018. Based on our open derivative positions as of June 30, 2019, a hypothetical $0.10 increase in the price of a gallon of ethane would have increased our income before taxes by $0.9 million</w:t>
      </w:r>
      <w:r>
        <w:rPr>
          <w:sz w:val="17"/>
        </w:rPr>
        <w:t xml:space="preserve"> </w:t>
      </w:r>
      <w:r>
        <w:rPr>
          <w:rFonts w:ascii="inherit" w:hAnsi="inherit"/>
          <w:sz w:val="17"/>
        </w:rPr>
        <w:t>and a hypothetical $0.10 decrease in the price of a pound of ethylene would have increased our income before taxes by $2.1 million.</w:t>
      </w:r>
    </w:p>
    <w:p>
      <w:pPr>
        <w:pStyle w:val="TextBody"/>
        <w:spacing w:lineRule="auto" w:line="288" w:before="0" w:after="0"/>
        <w:jc w:val="left"/>
        <w:rPr>
          <w:rFonts w:ascii="inherit" w:hAnsi="inherit"/>
          <w:b/>
          <w:i/>
          <w:sz w:val="17"/>
        </w:rPr>
      </w:pPr>
      <w:r>
        <w:rPr>
          <w:rFonts w:ascii="inherit" w:hAnsi="inherit"/>
          <w:b/>
          <w:i/>
          <w:sz w:val="17"/>
        </w:rPr>
        <w:t xml:space="preserve">Interest Rate Risk </w:t>
      </w:r>
    </w:p>
    <w:p>
      <w:pPr>
        <w:pStyle w:val="TextBody"/>
        <w:spacing w:lineRule="auto" w:line="288" w:before="0" w:after="0"/>
        <w:ind w:left="0" w:right="0" w:firstLine="480"/>
        <w:jc w:val="left"/>
        <w:rPr>
          <w:sz w:val="17"/>
        </w:rPr>
      </w:pPr>
      <w:r>
        <w:rPr>
          <w:rFonts w:ascii="inherit" w:hAnsi="inherit"/>
          <w:sz w:val="17"/>
        </w:rPr>
        <w:t>We are exposed to interest rate risk with respect to our outstanding debt, all of which is variable rate debt. At June 30, 2019, we had total variable rate debt of $399.7 million</w:t>
      </w:r>
      <w:r>
        <w:rPr>
          <w:sz w:val="17"/>
        </w:rPr>
        <w:t xml:space="preserve"> </w:t>
      </w:r>
      <w:r>
        <w:rPr>
          <w:rFonts w:ascii="inherit" w:hAnsi="inherit"/>
          <w:sz w:val="17"/>
        </w:rPr>
        <w:t>outstanding, all of which was owed to wholly-owned subsidiaries of Westlake, and currently accrues interest at a variable rate of LIBOR plus 200 basis points. The weighted average variable interest rate of our debt as of June 30, 2019</w:t>
      </w:r>
      <w:r>
        <w:rPr>
          <w:sz w:val="17"/>
        </w:rPr>
        <w:t xml:space="preserve"> </w:t>
      </w:r>
      <w:r>
        <w:rPr>
          <w:rFonts w:ascii="inherit" w:hAnsi="inherit"/>
          <w:sz w:val="17"/>
        </w:rPr>
        <w:t>was 4.6%.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June 30, 2019</w:t>
      </w:r>
      <w:r>
        <w:rPr>
          <w:sz w:val="17"/>
        </w:rPr>
        <w:t xml:space="preserve"> </w:t>
      </w:r>
      <w:r>
        <w:rPr>
          <w:rFonts w:ascii="inherit" w:hAnsi="inherit"/>
          <w:sz w:val="17"/>
        </w:rPr>
        <w:t>debt balance.</w:t>
      </w:r>
    </w:p>
    <w:p>
      <w:pPr>
        <w:pStyle w:val="TextBody"/>
        <w:spacing w:lineRule="auto" w:line="288" w:before="0" w:after="0"/>
        <w:jc w:val="left"/>
        <w:rPr>
          <w:rFonts w:ascii="inherit" w:hAnsi="inherit"/>
          <w:b/>
          <w:sz w:val="17"/>
        </w:rPr>
      </w:pPr>
      <w:bookmarkStart w:id="31" w:name="s3FEAB98DEAFD51ECA52D5E3DB6DEA12E"/>
      <w:bookmarkEnd w:id="31"/>
      <w:r>
        <w:rPr>
          <w:rFonts w:ascii="inherit" w:hAnsi="inherit"/>
          <w:b/>
          <w:sz w:val="17"/>
        </w:rPr>
        <w:t xml:space="preserve">Item 4. Controls and Procedures </w:t>
      </w:r>
    </w:p>
    <w:p>
      <w:pPr>
        <w:pStyle w:val="TextBody"/>
        <w:spacing w:lineRule="auto" w:line="288" w:before="0" w:after="0"/>
        <w:ind w:left="0" w:right="0" w:firstLine="450"/>
        <w:jc w:val="left"/>
        <w:rPr>
          <w:rFonts w:ascii="inherit" w:hAnsi="inherit"/>
          <w:sz w:val="17"/>
        </w:rPr>
      </w:pPr>
      <w:r>
        <w:rPr>
          <w:rFonts w:ascii="inherit" w:hAnsi="inherit"/>
          <w:sz w:val="17"/>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pStyle w:val="TextBody"/>
        <w:spacing w:lineRule="auto" w:line="288" w:before="0" w:after="0"/>
        <w:ind w:left="0" w:right="0" w:firstLine="450"/>
        <w:jc w:val="left"/>
        <w:rPr>
          <w:sz w:val="17"/>
        </w:rPr>
      </w:pPr>
      <w:r>
        <w:rPr>
          <w:rFonts w:ascii="inherit" w:hAnsi="inherit"/>
          <w:sz w:val="17"/>
        </w:rPr>
        <w:t>There were no changes in our internal control over financial reporting that occurred during the three months ended June 30, 2019</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rPr>
          <w:rFonts w:ascii="inherit" w:hAnsi="inherit"/>
          <w:b/>
          <w:sz w:val="17"/>
        </w:rPr>
      </w:pPr>
      <w:bookmarkStart w:id="32" w:name="sD1C8B659BB305B58A3DF051337842FEF"/>
      <w:bookmarkEnd w:id="32"/>
      <w:r>
        <w:rPr>
          <w:rFonts w:ascii="inherit" w:hAnsi="inherit"/>
          <w:b/>
          <w:sz w:val="17"/>
        </w:rPr>
        <w:t>PART II. OTHER INFORMATION</w:t>
      </w:r>
    </w:p>
    <w:p>
      <w:pPr>
        <w:pStyle w:val="TextBody"/>
        <w:spacing w:lineRule="auto" w:line="288" w:before="0" w:after="0"/>
        <w:jc w:val="left"/>
        <w:rPr>
          <w:rFonts w:ascii="inherit" w:hAnsi="inherit"/>
          <w:b/>
          <w:sz w:val="17"/>
        </w:rPr>
      </w:pPr>
      <w:bookmarkStart w:id="33" w:name="sC170804F649D5E388DBD72B6764A044A"/>
      <w:bookmarkEnd w:id="33"/>
      <w:r>
        <w:rPr>
          <w:rFonts w:ascii="inherit" w:hAnsi="inherit"/>
          <w:b/>
          <w:sz w:val="17"/>
        </w:rPr>
        <w:t>Item 1. Legal Proceedings</w:t>
      </w:r>
    </w:p>
    <w:p>
      <w:pPr>
        <w:pStyle w:val="TextBody"/>
        <w:spacing w:lineRule="auto" w:line="288" w:before="0" w:after="0"/>
        <w:ind w:left="0" w:right="0" w:firstLine="480"/>
        <w:rPr>
          <w:sz w:val="17"/>
        </w:rPr>
      </w:pPr>
      <w:r>
        <w:rPr>
          <w:rFonts w:ascii="inherit" w:hAnsi="inherit"/>
          <w:sz w:val="17"/>
        </w:rPr>
        <w:t>The 2018</w:t>
      </w:r>
      <w:r>
        <w:rPr>
          <w:sz w:val="17"/>
        </w:rPr>
        <w:t xml:space="preserve"> </w:t>
      </w:r>
      <w:r>
        <w:rPr>
          <w:rFonts w:ascii="inherit" w:hAnsi="inherit"/>
          <w:sz w:val="17"/>
        </w:rPr>
        <w:t>Form 10-K, filed on March 1, 2019, contained a description of various legal proceedings in which we are involved, including environmental proceedings. See below and Note 12</w:t>
      </w:r>
      <w:r>
        <w:rPr>
          <w:sz w:val="17"/>
        </w:rPr>
        <w:t xml:space="preserve"> </w:t>
      </w:r>
      <w:r>
        <w:rPr>
          <w:rFonts w:ascii="inherit" w:hAnsi="inherit"/>
          <w:sz w:val="17"/>
        </w:rPr>
        <w:t xml:space="preserve">to the unaudited consolidated financial statements within this Quarterly Report on Form 10-Q for a discussion on legal proceedings, which information is incorporated by reference herein. </w:t>
      </w:r>
    </w:p>
    <w:p>
      <w:pPr>
        <w:pStyle w:val="TextBody"/>
        <w:spacing w:lineRule="auto" w:line="288" w:before="0" w:after="0"/>
        <w:ind w:left="0" w:right="0" w:firstLine="480"/>
        <w:rPr>
          <w:rFonts w:ascii="inherit" w:hAnsi="inherit"/>
          <w:sz w:val="17"/>
        </w:rPr>
      </w:pPr>
      <w:r>
        <w:rPr>
          <w:rFonts w:ascii="inherit" w:hAnsi="inherit"/>
          <w:sz w:val="17"/>
        </w:rPr>
        <w:t>Under the Omnibus Agreement, Westlake Chemical Corporation ("Westlake") has agreed to indemnify the Partnership for certain environmental and other liabilities relating to OpCo's processing facilities and related assets.</w:t>
      </w:r>
    </w:p>
    <w:p>
      <w:pPr>
        <w:pStyle w:val="TextBody"/>
        <w:spacing w:lineRule="auto" w:line="288" w:before="0" w:after="0"/>
        <w:ind w:left="0" w:right="0" w:firstLine="450"/>
        <w:rPr>
          <w:sz w:val="17"/>
        </w:rPr>
      </w:pPr>
      <w:r>
        <w:rPr>
          <w:rFonts w:ascii="inherit" w:hAnsi="inherit"/>
          <w:i/>
          <w:sz w:val="17"/>
        </w:rPr>
        <w:t>Potential Flare Modifications</w:t>
      </w:r>
      <w:r>
        <w:rPr>
          <w:rFonts w:ascii="inherit" w:hAnsi="inherit"/>
          <w:sz w:val="17"/>
        </w:rPr>
        <w:t>. For several years, the Environmental Protection Agency ("EPA") has been conducting an enforcement initiative against 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i/>
          <w:sz w:val="17"/>
        </w:rPr>
        <w:t>Risk Management Program Investigation</w:t>
      </w:r>
      <w:r>
        <w:rPr>
          <w:rFonts w:ascii="inherit" w:hAnsi="inherit"/>
          <w:sz w:val="17"/>
        </w:rPr>
        <w:t>. The EPA has conducted inspections and information requests to assess compliance with Risk Management Program requirements under the Clean Air Act at the Calvert City facility. The EPA has identified concerns with the facility's compliance under the Risk Management Program and Release Prevention regulations in connection with certain emissions release events between 2011 and 2015. Westlake has engaged in communications with EPA to resolve these concerns. Westlake has reached an agreement in principle with the EPA to resolve all concerns for a penalty of $49,000 and an $184,000 supplemental environmental project involving the purchase of emergency response equipment for Marshall and Livingston Counties. The EPA and Westlake entered into a Consent Agreement and Final Order, effective June 25, 2019, fully resolving this matter.</w:t>
      </w:r>
    </w:p>
    <w:p>
      <w:pPr>
        <w:pStyle w:val="TextBody"/>
        <w:spacing w:lineRule="auto" w:line="288" w:before="0" w:after="0"/>
        <w:ind w:left="0" w:right="0" w:firstLine="450"/>
        <w:rPr>
          <w:rFonts w:ascii="inherit" w:hAnsi="inherit"/>
          <w:sz w:val="17"/>
        </w:rPr>
      </w:pPr>
      <w:r>
        <w:rPr>
          <w:rFonts w:ascii="inherit" w:hAnsi="inherit"/>
          <w:sz w:val="17"/>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pStyle w:val="TextBody"/>
        <w:spacing w:lineRule="auto" w:line="288" w:before="0" w:after="0"/>
        <w:jc w:val="left"/>
        <w:rPr>
          <w:rFonts w:ascii="inherit" w:hAnsi="inherit"/>
          <w:b/>
          <w:sz w:val="17"/>
        </w:rPr>
      </w:pPr>
      <w:bookmarkStart w:id="34" w:name="sE87FF630FAC6520FAE199D6FD570664C"/>
      <w:bookmarkEnd w:id="34"/>
      <w:r>
        <w:rPr>
          <w:rFonts w:ascii="inherit" w:hAnsi="inherit"/>
          <w:b/>
          <w:sz w:val="17"/>
        </w:rPr>
        <w:t>Item 1A. Risk Factors</w:t>
      </w:r>
    </w:p>
    <w:p>
      <w:pPr>
        <w:pStyle w:val="TextBody"/>
        <w:spacing w:lineRule="auto" w:line="288" w:before="0" w:after="0"/>
        <w:ind w:left="0" w:right="0" w:firstLine="450"/>
        <w:rPr>
          <w:sz w:val="17"/>
        </w:rPr>
      </w:pPr>
      <w:r>
        <w:rPr>
          <w:rFonts w:ascii="inherit" w:hAnsi="inherit"/>
          <w:sz w:val="17"/>
        </w:rPr>
        <w:t>For a discussion of risk factors, please read Item IA, "Risk Factors" in the 2018</w:t>
      </w:r>
      <w:r>
        <w:rPr>
          <w:sz w:val="17"/>
        </w:rPr>
        <w:t xml:space="preserve"> </w:t>
      </w:r>
      <w:r>
        <w:rPr>
          <w:rFonts w:ascii="inherit" w:hAnsi="inherit"/>
          <w:sz w:val="17"/>
        </w:rPr>
        <w:t>Form 10-K. There have been no material changes from those risk factors.</w:t>
      </w:r>
    </w:p>
    <w:p>
      <w:pPr>
        <w:pStyle w:val="TextBody"/>
        <w:spacing w:lineRule="auto" w:line="288" w:before="0" w:after="0"/>
        <w:jc w:val="left"/>
        <w:rPr>
          <w:rFonts w:ascii="inherit" w:hAnsi="inherit"/>
          <w:b/>
          <w:sz w:val="17"/>
        </w:rPr>
      </w:pPr>
      <w:bookmarkStart w:id="35" w:name="s3FE457B54E3D5745861EBEA591FE8D79"/>
      <w:bookmarkEnd w:id="35"/>
      <w:r>
        <w:rPr>
          <w:rFonts w:ascii="inherit" w:hAnsi="inherit"/>
          <w:b/>
          <w:sz w:val="17"/>
        </w:rPr>
        <w:t>Item 5. Other Information</w:t>
      </w:r>
    </w:p>
    <w:p>
      <w:pPr>
        <w:pStyle w:val="TextBody"/>
        <w:spacing w:lineRule="auto" w:line="288" w:before="0" w:after="0"/>
        <w:ind w:left="0" w:right="0" w:firstLine="450"/>
        <w:jc w:val="left"/>
        <w:rPr>
          <w:rFonts w:ascii="inherit" w:hAnsi="inherit"/>
          <w:sz w:val="17"/>
        </w:rPr>
      </w:pPr>
      <w:r>
        <w:rPr>
          <w:rFonts w:ascii="inherit" w:hAnsi="inherit"/>
          <w:sz w:val="17"/>
        </w:rPr>
        <w:t>None.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rFonts w:ascii="inherit" w:hAnsi="inherit"/>
          <w:sz w:val="17"/>
        </w:rPr>
      </w:pPr>
      <w:r>
        <w:rPr>
          <w:rFonts w:ascii="inherit" w:hAnsi="inherit"/>
          <w:sz w:val="17"/>
        </w:rPr>
      </w:r>
      <w:bookmarkStart w:id="36" w:name="s8954B8E61DF85D94A4AB015089EE0741"/>
      <w:bookmarkStart w:id="37" w:name="s8954B8E61DF85D94A4AB015089EE0741"/>
      <w:bookmarkEnd w:id="37"/>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6. Exhibits</w:t>
      </w:r>
    </w:p>
    <w:tbl>
      <w:tblPr>
        <w:tblW w:w="10205" w:type="dxa"/>
        <w:jc w:val="left"/>
        <w:tblInd w:w="0" w:type="dxa"/>
        <w:tblCellMar>
          <w:top w:w="0" w:type="dxa"/>
          <w:left w:w="0" w:type="dxa"/>
          <w:bottom w:w="0" w:type="dxa"/>
          <w:right w:w="0" w:type="dxa"/>
        </w:tblCellMar>
      </w:tblPr>
      <w:tblGrid>
        <w:gridCol w:w="875"/>
        <w:gridCol w:w="90"/>
        <w:gridCol w:w="924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75"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 No.</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center"/>
              <w:rPr>
                <w:rFonts w:ascii="inherit" w:hAnsi="inherit"/>
                <w:b/>
                <w:sz w:val="13"/>
                <w:u w:val="single"/>
              </w:rPr>
            </w:pPr>
            <w:r>
              <w:rPr>
                <w:rFonts w:ascii="inherit" w:hAnsi="inherit"/>
                <w:b/>
                <w:sz w:val="13"/>
                <w:u w:val="single"/>
              </w:rPr>
              <w:t xml:space="preserve">Exhibit </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1120190630.htm">
              <w:r>
                <w:rPr>
                  <w:rStyle w:val="InternetLink"/>
                  <w:rFonts w:ascii="inherit" w:hAnsi="inherit"/>
                  <w:color w:val="0000FF"/>
                  <w:sz w:val="17"/>
                  <w:u w:val="single"/>
                </w:rPr>
                <w:t>Rule 13a – 14(a) / 15d – 14(a) Certification (Principal Executive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1220190630.htm">
              <w:r>
                <w:rPr>
                  <w:rStyle w:val="InternetLink"/>
                  <w:rFonts w:ascii="inherit" w:hAnsi="inherit"/>
                  <w:color w:val="0000FF"/>
                  <w:sz w:val="17"/>
                  <w:u w:val="single"/>
                </w:rPr>
                <w:t>Rule 13a – 14(a) / 15d – 14(a) Certification (Principal Financial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2120190630.htm">
              <w:r>
                <w:rPr>
                  <w:rStyle w:val="InternetLink"/>
                  <w:rFonts w:ascii="inherit" w:hAnsi="inherit"/>
                  <w:color w:val="0000FF"/>
                  <w:sz w:val="17"/>
                  <w:u w:val="single"/>
                </w:rPr>
                <w:t>Section 1350 Certification (Principal Executive Officer and Principal Financial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Document–The instance document does not appear in the interactive data file because its XBRL tags are embedded within the Inline XBRL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jc w:val="left"/>
        <w:rPr>
          <w:rFonts w:ascii="inherit" w:hAnsi="inherit"/>
          <w:sz w:val="17"/>
        </w:rPr>
      </w:pPr>
      <w:r>
        <w:rPr>
          <w:rFonts w:ascii="inherit" w:hAnsi="inherit"/>
          <w:sz w:val="17"/>
        </w:rPr>
        <w:t>_____________</w:t>
      </w:r>
    </w:p>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pPr>
            <w:r>
              <w:rPr/>
              <w:t>†</w:t>
            </w:r>
          </w:p>
        </w:tc>
        <w:tc>
          <w:tcPr>
            <w:tcW w:w="12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Filed herewith.</w:t>
            </w:r>
          </w:p>
        </w:tc>
      </w:tr>
    </w:tbl>
    <w:tbl>
      <w:tblPr>
        <w:tblW w:w="1855" w:type="dxa"/>
        <w:jc w:val="left"/>
        <w:tblInd w:w="0" w:type="dxa"/>
        <w:tblCellMar>
          <w:top w:w="0" w:type="dxa"/>
          <w:left w:w="0" w:type="dxa"/>
          <w:bottom w:w="0" w:type="dxa"/>
          <w:right w:w="0" w:type="dxa"/>
        </w:tblCellMar>
      </w:tblPr>
      <w:tblGrid>
        <w:gridCol w:w="170"/>
        <w:gridCol w:w="1685"/>
      </w:tblGrid>
      <w:tr>
        <w:trPr/>
        <w:tc>
          <w:tcPr>
            <w:tcW w:w="17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6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Furnished herewith.</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rFonts w:ascii="inherit" w:hAnsi="inherit"/>
          <w:sz w:val="17"/>
        </w:rPr>
      </w:pPr>
      <w:r>
        <w:rPr>
          <w:rFonts w:ascii="inherit" w:hAnsi="inherit"/>
          <w:sz w:val="17"/>
        </w:rPr>
      </w:r>
      <w:bookmarkStart w:id="38" w:name="s416BB1E677865DB0818E1DBC2D7D3A01"/>
      <w:bookmarkStart w:id="39" w:name="s416BB1E677865DB0818E1DBC2D7D3A01"/>
      <w:bookmarkEnd w:id="39"/>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0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48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6110" w:type="dxa"/>
        <w:jc w:val="left"/>
        <w:tblInd w:w="0" w:type="dxa"/>
        <w:tblCellMar>
          <w:top w:w="0" w:type="dxa"/>
          <w:left w:w="0" w:type="dxa"/>
          <w:bottom w:w="0" w:type="dxa"/>
          <w:right w:w="0" w:type="dxa"/>
        </w:tblCellMar>
      </w:tblPr>
      <w:tblGrid>
        <w:gridCol w:w="515"/>
        <w:gridCol w:w="1295"/>
        <w:gridCol w:w="90"/>
        <w:gridCol w:w="90"/>
        <w:gridCol w:w="335"/>
        <w:gridCol w:w="90"/>
        <w:gridCol w:w="3695"/>
      </w:tblGrid>
      <w:tr>
        <w:trPr/>
        <w:tc>
          <w:tcPr>
            <w:tcW w:w="6110" w:type="dxa"/>
            <w:gridSpan w:val="7"/>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20" w:type="dxa"/>
            <w:gridSpan w:val="3"/>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WESTLAKE CHEMICAL PARTNERS LP</w:t>
            </w:r>
          </w:p>
        </w:tc>
      </w:tr>
      <w:tr>
        <w:trPr/>
        <w:tc>
          <w:tcPr>
            <w:tcW w:w="515" w:type="dxa"/>
            <w:tcBorders/>
            <w:shd w:fill="auto" w:val="clear"/>
            <w:vAlign w:val="center"/>
          </w:tcPr>
          <w:p>
            <w:pPr>
              <w:pStyle w:val="TableContents"/>
              <w:spacing w:before="0" w:after="0"/>
              <w:ind w:left="0" w:right="0" w:firstLine="30"/>
              <w:rPr/>
            </w:pPr>
            <w:r>
              <w:rPr/>
              <w:t> </w:t>
            </w:r>
          </w:p>
        </w:tc>
        <w:tc>
          <w:tcPr>
            <w:tcW w:w="1385" w:type="dxa"/>
            <w:gridSpan w:val="2"/>
            <w:tcBorders/>
            <w:shd w:fill="auto" w:val="clear"/>
            <w:vAlign w:val="center"/>
          </w:tcPr>
          <w:p>
            <w:pPr>
              <w:pStyle w:val="TableContents"/>
              <w:spacing w:before="0" w:after="0"/>
              <w:ind w:left="0" w:right="0" w:firstLine="30"/>
              <w:rPr/>
            </w:pPr>
            <w:r>
              <w:rPr/>
              <w:t> </w:t>
            </w:r>
          </w:p>
        </w:tc>
        <w:tc>
          <w:tcPr>
            <w:tcW w:w="425" w:type="dxa"/>
            <w:gridSpan w:val="2"/>
            <w:tcBorders/>
            <w:shd w:fill="auto" w:val="clear"/>
            <w:vAlign w:val="center"/>
          </w:tcPr>
          <w:p>
            <w:pPr>
              <w:pStyle w:val="TableContents"/>
              <w:spacing w:before="0" w:after="0"/>
              <w:ind w:left="0" w:right="0" w:firstLine="30"/>
              <w:rPr/>
            </w:pPr>
            <w:r>
              <w:rPr/>
              <w:t> </w:t>
            </w:r>
          </w:p>
        </w:tc>
        <w:tc>
          <w:tcPr>
            <w:tcW w:w="3785"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jc w:val="center"/>
              <w:rPr>
                <w:rFonts w:ascii="inherit" w:hAnsi="inherit"/>
                <w:b/>
                <w:sz w:val="13"/>
              </w:rPr>
            </w:pPr>
            <w:r>
              <w:rPr>
                <w:rFonts w:ascii="inherit" w:hAnsi="inherit"/>
                <w:b/>
                <w:sz w:val="13"/>
              </w:rPr>
              <w:t>President, Chief Executive Officer and Director of</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1385" w:type="dxa"/>
            <w:gridSpan w:val="2"/>
            <w:tcBorders/>
            <w:shd w:fill="auto" w:val="clear"/>
            <w:vAlign w:val="center"/>
          </w:tcPr>
          <w:p>
            <w:pPr>
              <w:pStyle w:val="TableContents"/>
              <w:spacing w:before="0" w:after="0"/>
              <w:ind w:left="0" w:right="0" w:firstLine="30"/>
              <w:rPr/>
            </w:pPr>
            <w:r>
              <w:rPr/>
              <w:t> </w:t>
            </w:r>
          </w:p>
        </w:tc>
        <w:tc>
          <w:tcPr>
            <w:tcW w:w="425" w:type="dxa"/>
            <w:gridSpan w:val="2"/>
            <w:tcBorders/>
            <w:shd w:fill="auto" w:val="clear"/>
            <w:vAlign w:val="center"/>
          </w:tcPr>
          <w:p>
            <w:pPr>
              <w:pStyle w:val="TableContents"/>
              <w:spacing w:before="0" w:after="0"/>
              <w:ind w:left="0" w:right="0" w:firstLine="30"/>
              <w:rPr/>
            </w:pPr>
            <w:r>
              <w:rPr/>
              <w:t> </w:t>
            </w:r>
          </w:p>
        </w:tc>
        <w:tc>
          <w:tcPr>
            <w:tcW w:w="3785"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Chief Financial Officer and </w:t>
            </w:r>
          </w:p>
          <w:p>
            <w:pPr>
              <w:pStyle w:val="TableContents"/>
              <w:spacing w:before="0" w:after="0"/>
              <w:jc w:val="center"/>
              <w:rPr>
                <w:rFonts w:ascii="inherit" w:hAnsi="inherit"/>
                <w:b/>
                <w:sz w:val="13"/>
              </w:rPr>
            </w:pPr>
            <w:r>
              <w:rPr>
                <w:rFonts w:ascii="inherit" w:hAnsi="inherit"/>
                <w:b/>
                <w:sz w:val="13"/>
              </w:rPr>
              <w:t>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rFonts w:ascii="inherit" w:hAnsi="inherit"/>
          <w:sz w:val="17"/>
        </w:rPr>
      </w:pPr>
      <w:r>
        <w:rPr>
          <w:rFonts w:ascii="inherit" w:hAnsi="inherit"/>
          <w:sz w:val="17"/>
        </w:rPr>
      </w:r>
      <w:bookmarkStart w:id="40" w:name="s4A44C6823EBB5863B4527B93D2227725"/>
      <w:bookmarkStart w:id="41" w:name="exhibit31120190630.htm"/>
      <w:bookmarkStart w:id="42" w:name="ksexhibit31120190630"/>
      <w:bookmarkStart w:id="43" w:name="s4A44C6823EBB5863B4527B93D2227725"/>
      <w:bookmarkStart w:id="44" w:name="exhibit31120190630.htm"/>
      <w:bookmarkStart w:id="45" w:name="ksexhibit31120190630"/>
      <w:bookmarkEnd w:id="43"/>
      <w:bookmarkEnd w:id="44"/>
      <w:bookmarkEnd w:id="45"/>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31.1</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Albert Chao, certify that:</w:t>
      </w:r>
    </w:p>
    <w:tbl>
      <w:tblPr>
        <w:tblW w:w="7495" w:type="dxa"/>
        <w:jc w:val="left"/>
        <w:tblInd w:w="0" w:type="dxa"/>
        <w:tblCellMar>
          <w:top w:w="0" w:type="dxa"/>
          <w:left w:w="0" w:type="dxa"/>
          <w:bottom w:w="0" w:type="dxa"/>
          <w:right w:w="0" w:type="dxa"/>
        </w:tblCellMar>
      </w:tblPr>
      <w:tblGrid>
        <w:gridCol w:w="215"/>
        <w:gridCol w:w="7280"/>
      </w:tblGrid>
      <w:tr>
        <w:trPr/>
        <w:tc>
          <w:tcPr>
            <w:tcW w:w="74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7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280"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05"/>
        <w:gridCol w:w="164"/>
        <w:gridCol w:w="993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36"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05"/>
        <w:gridCol w:w="180"/>
        <w:gridCol w:w="9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05"/>
        <w:gridCol w:w="195"/>
        <w:gridCol w:w="990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pPr>
      <w:r>
        <w:rPr/>
        <w:t> </w:t>
      </w:r>
    </w:p>
    <w:tbl>
      <w:tblPr>
        <w:tblW w:w="6015" w:type="dxa"/>
        <w:jc w:val="left"/>
        <w:tblInd w:w="0" w:type="dxa"/>
        <w:tblCellMar>
          <w:top w:w="0" w:type="dxa"/>
          <w:left w:w="0" w:type="dxa"/>
          <w:bottom w:w="0" w:type="dxa"/>
          <w:right w:w="0" w:type="dxa"/>
        </w:tblCellMar>
      </w:tblPr>
      <w:tblGrid>
        <w:gridCol w:w="560"/>
        <w:gridCol w:w="1295"/>
        <w:gridCol w:w="90"/>
        <w:gridCol w:w="90"/>
        <w:gridCol w:w="90"/>
        <w:gridCol w:w="90"/>
        <w:gridCol w:w="90"/>
        <w:gridCol w:w="3710"/>
      </w:tblGrid>
      <w:tr>
        <w:trPr/>
        <w:tc>
          <w:tcPr>
            <w:tcW w:w="6015" w:type="dxa"/>
            <w:gridSpan w:val="8"/>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Date: </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60"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60"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President, Chief Executive Officer and Director of </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jc w:val="center"/>
              <w:rPr>
                <w:rFonts w:ascii="inherit" w:hAnsi="inherit"/>
                <w:b/>
                <w:sz w:val="13"/>
              </w:rPr>
            </w:pPr>
            <w:r>
              <w:rPr>
                <w:rFonts w:ascii="inherit" w:hAnsi="inherit"/>
                <w:b/>
                <w:sz w:val="13"/>
              </w:rPr>
              <w:t>(Principal Executive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46" w:name="s9532AB11A9A65423AA56E6F8E449442E"/>
      <w:bookmarkStart w:id="47" w:name="exhibit31220190630.htm"/>
      <w:bookmarkStart w:id="48" w:name="ksexhibit31220190630"/>
      <w:bookmarkStart w:id="49" w:name="s9532AB11A9A65423AA56E6F8E449442E"/>
      <w:bookmarkStart w:id="50" w:name="exhibit31220190630.htm"/>
      <w:bookmarkStart w:id="51" w:name="ksexhibit31220190630"/>
      <w:bookmarkEnd w:id="49"/>
      <w:bookmarkEnd w:id="50"/>
      <w:bookmarkEnd w:id="51"/>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31.2</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M. Steven Bender, certify that:</w:t>
      </w:r>
    </w:p>
    <w:tbl>
      <w:tblPr>
        <w:tblW w:w="7495" w:type="dxa"/>
        <w:jc w:val="left"/>
        <w:tblInd w:w="0" w:type="dxa"/>
        <w:tblCellMar>
          <w:top w:w="0" w:type="dxa"/>
          <w:left w:w="0" w:type="dxa"/>
          <w:bottom w:w="0" w:type="dxa"/>
          <w:right w:w="0" w:type="dxa"/>
        </w:tblCellMar>
      </w:tblPr>
      <w:tblGrid>
        <w:gridCol w:w="215"/>
        <w:gridCol w:w="7280"/>
      </w:tblGrid>
      <w:tr>
        <w:trPr/>
        <w:tc>
          <w:tcPr>
            <w:tcW w:w="74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7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280"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05"/>
        <w:gridCol w:w="164"/>
        <w:gridCol w:w="993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36"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05"/>
        <w:gridCol w:w="180"/>
        <w:gridCol w:w="9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05"/>
        <w:gridCol w:w="195"/>
        <w:gridCol w:w="990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inherit" w:hAnsi="inherit"/>
          <w:sz w:val="17"/>
        </w:rPr>
      </w:pPr>
      <w:r>
        <w:rPr>
          <w:rFonts w:ascii="inherit" w:hAnsi="inherit"/>
          <w:sz w:val="17"/>
        </w:rPr>
      </w:r>
    </w:p>
    <w:tbl>
      <w:tblPr>
        <w:tblW w:w="9450" w:type="dxa"/>
        <w:jc w:val="left"/>
        <w:tblInd w:w="0" w:type="dxa"/>
        <w:tblCellMar>
          <w:top w:w="0" w:type="dxa"/>
          <w:left w:w="0" w:type="dxa"/>
          <w:bottom w:w="0" w:type="dxa"/>
          <w:right w:w="0" w:type="dxa"/>
        </w:tblCellMar>
      </w:tblPr>
      <w:tblGrid>
        <w:gridCol w:w="515"/>
        <w:gridCol w:w="1295"/>
        <w:gridCol w:w="90"/>
        <w:gridCol w:w="90"/>
        <w:gridCol w:w="90"/>
        <w:gridCol w:w="90"/>
        <w:gridCol w:w="90"/>
        <w:gridCol w:w="7190"/>
      </w:tblGrid>
      <w:tr>
        <w:trPr/>
        <w:tc>
          <w:tcPr>
            <w:tcW w:w="9450"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719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719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7190" w:type="dxa"/>
            <w:tcBorders/>
            <w:shd w:fill="auto" w:val="clear"/>
            <w:vAlign w:val="center"/>
          </w:tcPr>
          <w:p>
            <w:pPr>
              <w:pStyle w:val="TableContents"/>
              <w:spacing w:before="0" w:after="0"/>
              <w:jc w:val="center"/>
              <w:rPr>
                <w:rFonts w:ascii="inherit" w:hAnsi="inherit"/>
                <w:b/>
                <w:sz w:val="13"/>
              </w:rPr>
            </w:pPr>
            <w:r>
              <w:rPr>
                <w:rFonts w:ascii="inherit" w:hAnsi="inherit"/>
                <w:b/>
                <w:sz w:val="13"/>
              </w:rPr>
              <w:t>Senior Vice President, Chief Financial Officer and 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52" w:name="sE4AE36989A945827A62ED9895E08FE6F"/>
      <w:bookmarkStart w:id="53" w:name="exhibit32120190630.htm"/>
      <w:bookmarkStart w:id="54" w:name="ksexhibit32120190630"/>
      <w:bookmarkStart w:id="55" w:name="sE4AE36989A945827A62ED9895E08FE6F"/>
      <w:bookmarkStart w:id="56" w:name="exhibit32120190630.htm"/>
      <w:bookmarkStart w:id="57" w:name="ksexhibit32120190630"/>
      <w:bookmarkEnd w:id="55"/>
      <w:bookmarkEnd w:id="56"/>
      <w:bookmarkEnd w:id="57"/>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32.1</w:t>
      </w:r>
    </w:p>
    <w:p>
      <w:pPr>
        <w:pStyle w:val="TextBody"/>
        <w:spacing w:lineRule="auto" w:line="288" w:before="0" w:after="0"/>
        <w:jc w:val="center"/>
        <w:rPr>
          <w:rFonts w:ascii="inherit" w:hAnsi="inherit"/>
          <w:b/>
          <w:sz w:val="17"/>
        </w:rPr>
      </w:pPr>
      <w:r>
        <w:rPr>
          <w:rFonts w:ascii="inherit" w:hAnsi="inherit"/>
          <w:b/>
          <w:sz w:val="17"/>
        </w:rPr>
        <w:t>CERTIFICATION PURSUANT TO</w:t>
      </w:r>
    </w:p>
    <w:p>
      <w:pPr>
        <w:pStyle w:val="TextBody"/>
        <w:spacing w:lineRule="auto" w:line="288" w:before="0" w:after="0"/>
        <w:jc w:val="center"/>
        <w:rPr>
          <w:rFonts w:ascii="inherit" w:hAnsi="inherit"/>
          <w:b/>
          <w:sz w:val="17"/>
        </w:rPr>
      </w:pPr>
      <w:r>
        <w:rPr>
          <w:rFonts w:ascii="inherit" w:hAnsi="inherit"/>
          <w:b/>
          <w:sz w:val="17"/>
        </w:rPr>
        <w:t>18 U.S.C. SECTION 1350</w:t>
      </w:r>
    </w:p>
    <w:p>
      <w:pPr>
        <w:pStyle w:val="TextBody"/>
        <w:spacing w:lineRule="auto" w:line="288" w:before="0" w:after="0"/>
        <w:jc w:val="center"/>
        <w:rPr>
          <w:rFonts w:ascii="inherit" w:hAnsi="inherit"/>
          <w:b/>
          <w:sz w:val="17"/>
        </w:rPr>
      </w:pPr>
      <w:r>
        <w:rPr>
          <w:rFonts w:ascii="inherit" w:hAnsi="inherit"/>
          <w:b/>
          <w:sz w:val="17"/>
        </w:rPr>
        <w:t>AS ADOPTED PURSUANT TO</w:t>
      </w:r>
    </w:p>
    <w:p>
      <w:pPr>
        <w:pStyle w:val="TextBody"/>
        <w:spacing w:lineRule="auto" w:line="288" w:before="0" w:after="0"/>
        <w:jc w:val="center"/>
        <w:rPr>
          <w:rFonts w:ascii="inherit" w:hAnsi="inherit"/>
          <w:b/>
          <w:sz w:val="17"/>
        </w:rPr>
      </w:pPr>
      <w:r>
        <w:rPr>
          <w:rFonts w:ascii="inherit" w:hAnsi="inherit"/>
          <w:b/>
          <w:sz w:val="17"/>
        </w:rPr>
        <w:t>SECTION 906 OF THE SARBANES-OXLEY ACT OF 2002</w:t>
      </w:r>
    </w:p>
    <w:p>
      <w:pPr>
        <w:pStyle w:val="TextBody"/>
        <w:spacing w:lineRule="auto" w:line="288" w:before="0" w:after="0"/>
        <w:ind w:left="0" w:right="0" w:firstLine="480"/>
        <w:rPr>
          <w:sz w:val="17"/>
        </w:rPr>
      </w:pPr>
      <w:r>
        <w:rPr>
          <w:rFonts w:ascii="inherit" w:hAnsi="inherit"/>
          <w:sz w:val="17"/>
        </w:rPr>
        <w:t xml:space="preserve">In connection with the Quarterly Report of Westlake Chemical Partners LP (the "Partnership") on Form 10-Q for the fiscal quarter ended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tbl>
      <w:tblPr>
        <w:tblW w:w="10205" w:type="dxa"/>
        <w:jc w:val="left"/>
        <w:tblInd w:w="0" w:type="dxa"/>
        <w:tblCellMar>
          <w:top w:w="0" w:type="dxa"/>
          <w:left w:w="0" w:type="dxa"/>
          <w:bottom w:w="0" w:type="dxa"/>
          <w:right w:w="0" w:type="dxa"/>
        </w:tblCellMar>
      </w:tblPr>
      <w:tblGrid>
        <w:gridCol w:w="499"/>
        <w:gridCol w:w="9706"/>
      </w:tblGrid>
      <w:tr>
        <w:trPr/>
        <w:tc>
          <w:tcPr>
            <w:tcW w:w="499" w:type="dxa"/>
            <w:tcBorders/>
            <w:shd w:fill="auto" w:val="clear"/>
            <w:vAlign w:val="center"/>
          </w:tcPr>
          <w:p>
            <w:pPr>
              <w:pStyle w:val="TableContents"/>
              <w:spacing w:before="0" w:after="283"/>
              <w:rPr>
                <w:sz w:val="4"/>
                <w:szCs w:val="4"/>
              </w:rPr>
            </w:pPr>
            <w:r>
              <w:rPr>
                <w:sz w:val="4"/>
                <w:szCs w:val="4"/>
              </w:rPr>
            </w:r>
          </w:p>
        </w:tc>
        <w:tc>
          <w:tcPr>
            <w:tcW w:w="9706" w:type="dxa"/>
            <w:tcBorders/>
            <w:shd w:fill="auto" w:val="clear"/>
            <w:vAlign w:val="center"/>
          </w:tcPr>
          <w:p>
            <w:pPr>
              <w:pStyle w:val="TableContents"/>
              <w:spacing w:before="0" w:after="283"/>
              <w:rPr>
                <w:sz w:val="4"/>
                <w:szCs w:val="4"/>
              </w:rPr>
            </w:pPr>
            <w:r>
              <w:rPr>
                <w:sz w:val="4"/>
                <w:szCs w:val="4"/>
              </w:rPr>
            </w:r>
          </w:p>
        </w:tc>
      </w:tr>
      <w:tr>
        <w:trPr/>
        <w:tc>
          <w:tcPr>
            <w:tcW w:w="499"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(1)</w:t>
            </w:r>
          </w:p>
        </w:tc>
        <w:tc>
          <w:tcPr>
            <w:tcW w:w="970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486"/>
        <w:gridCol w:w="9719"/>
      </w:tblGrid>
      <w:tr>
        <w:trPr/>
        <w:tc>
          <w:tcPr>
            <w:tcW w:w="486" w:type="dxa"/>
            <w:tcBorders/>
            <w:shd w:fill="auto" w:val="clear"/>
            <w:vAlign w:val="center"/>
          </w:tcPr>
          <w:p>
            <w:pPr>
              <w:pStyle w:val="TableContents"/>
              <w:spacing w:before="0" w:after="283"/>
              <w:rPr>
                <w:sz w:val="4"/>
                <w:szCs w:val="4"/>
              </w:rPr>
            </w:pPr>
            <w:r>
              <w:rPr>
                <w:sz w:val="4"/>
                <w:szCs w:val="4"/>
              </w:rPr>
            </w:r>
          </w:p>
        </w:tc>
        <w:tc>
          <w:tcPr>
            <w:tcW w:w="9719"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(2)</w:t>
            </w:r>
          </w:p>
        </w:tc>
        <w:tc>
          <w:tcPr>
            <w:tcW w:w="971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information contained in the Report fairly presents, in all material aspects, the financial condition and results of operations of the Partnership.</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5970" w:type="dxa"/>
        <w:jc w:val="left"/>
        <w:tblInd w:w="0" w:type="dxa"/>
        <w:tblCellMar>
          <w:top w:w="0" w:type="dxa"/>
          <w:left w:w="0" w:type="dxa"/>
          <w:bottom w:w="0" w:type="dxa"/>
          <w:right w:w="0" w:type="dxa"/>
        </w:tblCellMar>
      </w:tblPr>
      <w:tblGrid>
        <w:gridCol w:w="515"/>
        <w:gridCol w:w="1295"/>
        <w:gridCol w:w="90"/>
        <w:gridCol w:w="90"/>
        <w:gridCol w:w="90"/>
        <w:gridCol w:w="90"/>
        <w:gridCol w:w="90"/>
        <w:gridCol w:w="3710"/>
      </w:tblGrid>
      <w:tr>
        <w:trPr/>
        <w:tc>
          <w:tcPr>
            <w:tcW w:w="5970"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President, Chief Executive Officer and Director of </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180" w:type="dxa"/>
            <w:gridSpan w:val="2"/>
            <w:tcBorders/>
            <w:shd w:fill="auto" w:val="clear"/>
            <w:vAlign w:val="center"/>
          </w:tcPr>
          <w:p>
            <w:pPr>
              <w:pStyle w:val="TableContents"/>
              <w:spacing w:before="0" w:after="0"/>
              <w:ind w:left="0" w:right="0" w:firstLine="30"/>
              <w:rPr/>
            </w:pPr>
            <w:r>
              <w:rPr/>
              <w:t> </w:t>
            </w:r>
          </w:p>
        </w:tc>
        <w:tc>
          <w:tcPr>
            <w:tcW w:w="180" w:type="dxa"/>
            <w:gridSpan w:val="2"/>
            <w:tcBorders/>
            <w:shd w:fill="auto" w:val="clear"/>
            <w:vAlign w:val="center"/>
          </w:tcPr>
          <w:p>
            <w:pPr>
              <w:pStyle w:val="TableContents"/>
              <w:spacing w:before="0" w:after="0"/>
              <w:ind w:left="0" w:right="0" w:firstLine="30"/>
              <w:rPr/>
            </w:pPr>
            <w:r>
              <w:rPr/>
              <w:t> </w:t>
            </w:r>
          </w:p>
        </w:tc>
        <w:tc>
          <w:tcPr>
            <w:tcW w:w="3800"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2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6,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2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Chief Financial Officer and </w:t>
            </w:r>
          </w:p>
          <w:p>
            <w:pPr>
              <w:pStyle w:val="TableContents"/>
              <w:spacing w:before="0" w:after="0"/>
              <w:jc w:val="center"/>
              <w:rPr>
                <w:rFonts w:ascii="inherit" w:hAnsi="inherit"/>
                <w:b/>
                <w:sz w:val="13"/>
              </w:rPr>
            </w:pPr>
            <w:r>
              <w:rPr>
                <w:rFonts w:ascii="inherit" w:hAnsi="inherit"/>
                <w:b/>
                <w:sz w:val="13"/>
              </w:rPr>
              <w:t>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34</Pages>
  <Words>14918</Words>
  <CharactersWithSpaces>96732</CharactersWithSpaces>
  <Paragraphs>3227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