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80" w:after="283"/>
        <w:jc w:val="center"/>
        <w:rPr/>
      </w:pPr>
      <w:r>
        <w:rPr/>
      </w:r>
    </w:p>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80" w:after="283"/>
        <w:jc w:val="center"/>
        <w:rPr/>
      </w:pPr>
      <w:r>
        <w:rPr/>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Securities Exchange Act of 1934</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August 4, 2026 </w:t>
      </w:r>
    </w:p>
    <w:p>
      <w:pPr>
        <w:pStyle w:val="TextBody"/>
        <w:bidi w:val="0"/>
        <w:spacing w:before="80" w:after="283"/>
        <w:jc w:val="center"/>
        <w:rPr/>
      </w:pPr>
      <w:r>
        <w:rPr/>
      </w:r>
    </w:p>
    <w:p>
      <w:pPr>
        <w:pStyle w:val="TextBody"/>
        <w:bidi w:val="0"/>
        <w:spacing w:lineRule="auto" w:line="288" w:before="100" w:after="283"/>
        <w:jc w:val="center"/>
        <w:rPr>
          <w:rFonts w:ascii="Times New Roman;serif" w:hAnsi="Times New Roman;serif"/>
          <w:b/>
          <w:color w:val="000000"/>
          <w:sz w:val="48"/>
        </w:rPr>
      </w:pPr>
      <w:r>
        <w:rPr>
          <w:rFonts w:ascii="Times New Roman;serif" w:hAnsi="Times New Roman;serif"/>
          <w:b/>
          <w:color w:val="000000"/>
          <w:sz w:val="48"/>
        </w:rPr>
        <w:t xml:space="preserve">Westlake Chemical Partners LP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before="80" w:after="283"/>
        <w:jc w:val="center"/>
        <w:rPr/>
      </w:pPr>
      <w:r>
        <w:rPr/>
      </w:r>
    </w:p>
    <w:tbl>
      <w:tblPr>
        <w:tblW w:w="6246"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677"/>
        <w:gridCol w:w="677"/>
        <w:gridCol w:w="685"/>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001-36567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32-0436529</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tbl>
      <w:tblPr>
        <w:tblW w:w="5065" w:type="dxa"/>
        <w:jc w:val="left"/>
        <w:tblInd w:w="0" w:type="dxa"/>
        <w:tblLayout w:type="fixed"/>
        <w:tblCellMar>
          <w:top w:w="28" w:type="dxa"/>
          <w:left w:w="28" w:type="dxa"/>
          <w:bottom w:w="28" w:type="dxa"/>
          <w:right w:w="28" w:type="dxa"/>
        </w:tblCellMar>
      </w:tblPr>
      <w:tblGrid>
        <w:gridCol w:w="1060"/>
        <w:gridCol w:w="931"/>
        <w:gridCol w:w="934"/>
        <w:gridCol w:w="294"/>
        <w:gridCol w:w="294"/>
        <w:gridCol w:w="296"/>
        <w:gridCol w:w="109"/>
        <w:gridCol w:w="109"/>
        <w:gridCol w:w="109"/>
        <w:gridCol w:w="272"/>
        <w:gridCol w:w="272"/>
        <w:gridCol w:w="385"/>
      </w:tblGrid>
      <w:tr>
        <w:trPr/>
        <w:tc>
          <w:tcPr>
            <w:tcW w:w="106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2801 Post Oak Boulevard,</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Suite 600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77056</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Houston,</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(713) 585-2900 </w:t>
      </w:r>
    </w:p>
    <w:p>
      <w:pPr>
        <w:pStyle w:val="TextBody"/>
        <w:bidi w:val="0"/>
        <w:spacing w:before="80" w:after="283"/>
        <w:jc w:val="center"/>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10199" w:type="dxa"/>
        <w:jc w:val="center"/>
        <w:tblInd w:w="0" w:type="dxa"/>
        <w:tblLayout w:type="fixed"/>
        <w:tblCellMar>
          <w:top w:w="28" w:type="dxa"/>
          <w:left w:w="28" w:type="dxa"/>
          <w:bottom w:w="28" w:type="dxa"/>
          <w:right w:w="28" w:type="dxa"/>
        </w:tblCellMar>
      </w:tblPr>
      <w:tblGrid>
        <w:gridCol w:w="1691"/>
        <w:gridCol w:w="1486"/>
        <w:gridCol w:w="1503"/>
        <w:gridCol w:w="564"/>
        <w:gridCol w:w="564"/>
        <w:gridCol w:w="566"/>
        <w:gridCol w:w="1118"/>
        <w:gridCol w:w="1118"/>
        <w:gridCol w:w="1589"/>
      </w:tblGrid>
      <w:tr>
        <w:trPr/>
        <w:tc>
          <w:tcPr>
            <w:tcW w:w="169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68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units representing limited partnership interests</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WLKP</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August 4, 2026, Westlake Chemical Partners LP (the "Partnership") issued a press release announcing its 2026 second quarter results. A copy of the press release is furnished with this Current Report as Exhibit 99.1.</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information furnished pursuant to this Current Report, including Exhibit 99.1, shall not be deemed to be "filed" for the purposes of Section 18 of the Securities Exchange Act of 1934, as amended, and will not be incorporated by reference into any filing by Westlake Chemical Partners LP under the Securities Act of 1933, as amended, or the Securities Exchange Act of 1934, as amended, unless specifically identified as being incorporated therein.</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Partnership is holding a conference call on August 4, 2026 to discuss its 2026 second quarter results. Information about the call can be found in the press release furnished with this Current Report as Exhibit 99.1.</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furnished herewith:</w:t>
      </w:r>
    </w:p>
    <w:p>
      <w:pPr>
        <w:pStyle w:val="TextBody"/>
        <w:bidi w:val="0"/>
        <w:spacing w:lineRule="auto" w:line="288" w:before="100" w:after="283"/>
        <w:ind w:left="0" w:right="0" w:firstLine="540"/>
        <w:jc w:val="left"/>
        <w:rPr/>
      </w:pPr>
      <w:r>
        <w:rPr>
          <w:rFonts w:ascii="Times New Roman;serif" w:hAnsi="Times New Roman;serif"/>
          <w:b w:val="false"/>
          <w:color w:val="000000"/>
          <w:sz w:val="20"/>
        </w:rPr>
        <w:t>99.1    </w:t>
      </w:r>
      <w:hyperlink w:anchor="ex991_20260630earningsrele.htm">
        <w:r>
          <w:rPr>
            <w:rStyle w:val="InternetLink"/>
            <w:rFonts w:ascii="Times New Roman;serif" w:hAnsi="Times New Roman;serif"/>
            <w:b w:val="false"/>
            <w:color w:val="0000FF"/>
            <w:sz w:val="20"/>
            <w:u w:val="single"/>
          </w:rPr>
          <w:t>Press release issued on August 4, 2026.</w:t>
        </w:r>
      </w:hyperlink>
    </w:p>
    <w:p>
      <w:pPr>
        <w:pStyle w:val="TextBody"/>
        <w:bidi w:val="0"/>
        <w:spacing w:lineRule="auto" w:line="288"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104    The cover page from this Current Report on Form 8-K, formatted in Inline XBRL.</w:t>
      </w:r>
    </w:p>
    <w:p>
      <w:pPr>
        <w:pStyle w:val="TextBody"/>
        <w:bidi w:val="0"/>
        <w:spacing w:before="100" w:after="283"/>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18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8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6415"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34"/>
        <w:gridCol w:w="134"/>
        <w:gridCol w:w="136"/>
        <w:gridCol w:w="1105"/>
        <w:gridCol w:w="1105"/>
        <w:gridCol w:w="157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WESTLAKE CHEMICAL PARTNERS LP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By: Westlake Chemical Partners GP LLC</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78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J</w:t>
            </w:r>
            <w:r>
              <w:rPr>
                <w:rFonts w:ascii="Times New Roman;serif" w:hAnsi="Times New Roman;serif"/>
                <w:b w:val="false"/>
                <w:color w:val="000000"/>
                <w:sz w:val="16"/>
              </w:rPr>
              <w:t>EAN</w:t>
            </w:r>
            <w:r>
              <w:rPr>
                <w:rFonts w:ascii="Times New Roman;serif" w:hAnsi="Times New Roman;serif"/>
                <w:b w:val="false"/>
                <w:color w:val="000000"/>
                <w:sz w:val="20"/>
              </w:rPr>
              <w:t>-M</w:t>
            </w:r>
            <w:r>
              <w:rPr>
                <w:rFonts w:ascii="Times New Roman;serif" w:hAnsi="Times New Roman;serif"/>
                <w:b w:val="false"/>
                <w:color w:val="000000"/>
                <w:sz w:val="16"/>
              </w:rPr>
              <w:t>ARC</w:t>
            </w:r>
            <w:r>
              <w:rPr>
                <w:color w:val="000000"/>
              </w:rPr>
              <w:t xml:space="preserve"> </w:t>
            </w:r>
            <w:r>
              <w:rPr>
                <w:rFonts w:ascii="Times New Roman;serif" w:hAnsi="Times New Roman;serif"/>
                <w:b w:val="false"/>
                <w:color w:val="000000"/>
                <w:sz w:val="20"/>
              </w:rPr>
              <w:t>G</w:t>
            </w:r>
            <w:r>
              <w:rPr>
                <w:rFonts w:ascii="Times New Roman;serif" w:hAnsi="Times New Roman;serif"/>
                <w:b w:val="false"/>
                <w:color w:val="000000"/>
                <w:sz w:val="16"/>
              </w:rPr>
              <w:t>ILSON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Jean-Marc Gilson</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President, Chief Executive Officer and Director</w:t>
            </w:r>
          </w:p>
        </w:tc>
      </w:tr>
    </w:tbl>
    <w:p>
      <w:pPr>
        <w:pStyle w:val="TextBody"/>
        <w:bidi w:val="0"/>
        <w:spacing w:before="180" w:after="283"/>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240" w:after="283"/>
        <w:jc w:val="left"/>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WESTLAKE CHEMICAL PARTNERS LP</w:t>
      </w:r>
    </w:p>
    <w:p>
      <w:pPr>
        <w:pStyle w:val="TextBody"/>
        <w:bidi w:val="0"/>
        <w:spacing w:before="0" w:after="0"/>
        <w:jc w:val="left"/>
        <w:rPr/>
      </w:pPr>
      <w:r>
        <w:rPr/>
      </w:r>
    </w:p>
    <w:p>
      <w:pPr>
        <w:pStyle w:val="TextBody"/>
        <w:bidi w:val="0"/>
        <w:spacing w:lineRule="auto" w:line="288" w:before="198" w:after="283"/>
        <w:jc w:val="left"/>
        <w:rPr>
          <w:rFonts w:ascii="Times New Roman;serif" w:hAnsi="Times New Roman;serif"/>
          <w:b w:val="false"/>
          <w:color w:val="000000"/>
          <w:sz w:val="20"/>
        </w:rPr>
      </w:pPr>
      <w:r>
        <w:rPr>
          <w:rFonts w:ascii="Times New Roman;serif" w:hAnsi="Times New Roman;serif"/>
          <w:b w:val="false"/>
          <w:color w:val="000000"/>
          <w:sz w:val="20"/>
        </w:rPr>
        <w:t>Contact—(713) 585-2900</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Investors—Jonathan Baksht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Media—L. Benjamin Ederington</w: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60" w:before="0" w:after="0"/>
        <w:jc w:val="center"/>
        <w:rPr>
          <w:rFonts w:ascii="Times New Roman;serif" w:hAnsi="Times New Roman;serif"/>
          <w:b/>
          <w:color w:val="000000"/>
          <w:sz w:val="24"/>
        </w:rPr>
      </w:pPr>
      <w:r>
        <w:rPr>
          <w:rFonts w:ascii="Times New Roman;serif" w:hAnsi="Times New Roman;serif"/>
          <w:b/>
          <w:color w:val="000000"/>
          <w:sz w:val="24"/>
        </w:rPr>
        <w:t>Westlake Chemical Partners LP Announces Second Quarter 2026 Results</w:t>
      </w:r>
    </w:p>
    <w:p>
      <w:pPr>
        <w:pStyle w:val="TextBody"/>
        <w:bidi w:val="0"/>
        <w:spacing w:lineRule="auto" w:line="360" w:before="0" w:after="0"/>
        <w:jc w:val="left"/>
        <w:rPr/>
      </w:pPr>
      <w:r>
        <w:rPr>
          <w:color w:val="000000"/>
          <w:shd w:fill="FFFFFF" w:val="clear"/>
        </w:rPr>
        <w:t>•</w:t>
      </w:r>
      <w:r>
        <w:rPr>
          <w:rFonts w:ascii="Times New Roman;serif" w:hAnsi="Times New Roman;serif"/>
          <w:b w:val="false"/>
          <w:color w:val="000000"/>
          <w:sz w:val="20"/>
          <w:shd w:fill="FFFFFF" w:val="clear"/>
        </w:rPr>
        <w:t xml:space="preserve">Declared quarterly distribution of </w:t>
      </w:r>
      <w:r>
        <w:rPr>
          <w:rFonts w:ascii="Times New Roman;serif" w:hAnsi="Times New Roman;serif"/>
          <w:b w:val="false"/>
          <w:color w:val="000000"/>
          <w:sz w:val="20"/>
        </w:rPr>
        <w:t>$0.4714</w:t>
      </w:r>
      <w:r>
        <w:rPr>
          <w:color w:val="000000"/>
          <w:shd w:fill="FFFFFF" w:val="clear"/>
        </w:rPr>
        <w:t xml:space="preserve"> </w:t>
      </w:r>
      <w:r>
        <w:rPr>
          <w:rFonts w:ascii="Times New Roman;serif" w:hAnsi="Times New Roman;serif"/>
          <w:b w:val="false"/>
          <w:color w:val="000000"/>
          <w:sz w:val="20"/>
          <w:shd w:fill="FFFFFF" w:val="clear"/>
        </w:rPr>
        <w:t>per unit; 48</w:t>
      </w:r>
      <w:r>
        <w:rPr>
          <w:rFonts w:ascii="Times New Roman;serif" w:hAnsi="Times New Roman;serif"/>
          <w:b w:val="false"/>
          <w:color w:val="000000"/>
          <w:sz w:val="13"/>
          <w:shd w:fill="FFFFFF" w:val="clear"/>
        </w:rPr>
        <w:t>th</w:t>
      </w:r>
      <w:r>
        <w:rPr>
          <w:color w:val="000000"/>
          <w:shd w:fill="FFFFFF" w:val="clear"/>
        </w:rPr>
        <w:t xml:space="preserve"> </w:t>
      </w:r>
      <w:r>
        <w:rPr>
          <w:rFonts w:ascii="Times New Roman;serif" w:hAnsi="Times New Roman;serif"/>
          <w:b w:val="false"/>
          <w:color w:val="000000"/>
          <w:sz w:val="20"/>
          <w:shd w:fill="FFFFFF" w:val="clear"/>
        </w:rPr>
        <w:t>consecutive quarterly distribution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HOUSTON, Aug. 04, 2026 (GLOBE NEWSWIRE)--Westlake Chemical Partners LP (NYSE: WLKP) (the "Partnership") today reported net income attributable to the Partnership in the second quarter of 2026 of $14.2 million, or $0.40 per limited partner unit, which was slightly below second quarter 2025 net income of $14.6 million. Cash flows from operating activities in the second quarter of 2026 were $129.8 million, an increase of $120.7 million compared to second quarter 2025 cash flows from operating activities of $9.1 million, primarily due to higher production and sales volume and lower maintenance capital expenditures as the result of the prior year's Petro 1 turnaround. For the three months ended June 30, 2026, MLP distributable cash flow was $17.6 million, an increase of $2.6 million compared to second quarter 2025 MLP distributable cash flow of $15.0 million. The increase in MLP distributable cash flow and associated trailing twelve-month coverage ratio of 1.04x was primarily due to higher production and sales volume and lower maintenance capital expenditures as a result of the prior year's Petro 1 turnaround.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Compared to the first quarter, second quarter 2026 net income attributable to the Partnership was unchanged at $14.2 million. Second quarter 2026 cash flows from operating activities of $129.8 million increased by $19.6 million due to working capital changes. Second quarter 2026 MLP distributable cash flow of $17.6 million decreased by $0.3 million compared to first quarter 2026 MLP distributable cash flow of $17.9 million due to higher maintenance capital expenditures.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were pleased with the Partnership's performance in the second quarter as we benefited from higher third-party ethylene prices and the continued stability of our cash flows due to the ethylene sales agreement with Westlake," said Jean-Marc Gilson, President and Chief Executive Officer. "Looking forward, we expect to continue to provide strong returns and predictable cash flows to our unitholders."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On July 8, 2026, both the Partnership and Westlake Chemical OpCo LP ("OpCo") entered into amendments to their respective senior unsecured revolving credit agreements with Westlake Corporation. These amendments extended the maturity dates of the facilities to July 2031.</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On August 3, 2026, the Partnership announced that the Board of Directors of Westlake Chemical Partners GP LLC had approved a quarterly distribution for the second quarter of 2026 of $0.4714 per common unit to be payable on August 28, 2026 to unitholders of record as of August 13, 2026, representing the 48th consecutive quarterly distribution to our unitholders. MLP distributable cash flow provided trailing twelve-month coverage that was 1.04x the declared distributions for the second quarter of 2026, which was above the trailing twelve-month coverage ratio of 1.00x at the end of the first quarter. Since our IPO in July of 2014 our cumulative coverage ratio is approximately 1.05x.</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OpCo's Ethylene Sales Agreement with Westlake is designed to provide for stable and predictable cash flows. The agreement provides that 95% of OpCo's ethylene production is sold to Westlake for a cash margin of $0.10 per pound, net of operating costs, maintenance capital expenditures and reserves for future turnaround expenditures.</w:t>
      </w:r>
    </w:p>
    <w:p>
      <w:pPr>
        <w:pStyle w:val="TextBody"/>
        <w:bidi w:val="0"/>
        <w:spacing w:before="180" w:after="283"/>
        <w:jc w:val="left"/>
        <w:rPr/>
      </w:pPr>
      <w:r>
        <w:rPr/>
      </w:r>
    </w:p>
    <w:p>
      <w:pPr>
        <w:pStyle w:val="TextBody"/>
        <w:bidi w:val="0"/>
        <w:spacing w:lineRule="auto" w:line="288" w:before="1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statements in this release and the related teleconference relating to matters that are not historical facts, such as those with respect to: our financing arrangements with Westlake; the timing and results of our turnaround activities, our outlook for third-party ethylene margins, the impact of the conflict in the Middle East on global demand for our products, our expectations regarding feedstock and energy costs, our ability to deliver value, returns, predictable cash flows and distributions to unitholders; our relationship with Westlake and the benefits of the ethylene sales agreement, are forward-looking statements. These forward-looking statements are subject to significant risks and uncertainties. Actual results could differ materially, based on factors including, but not limited to: operating difficulties or disruptions; the volume of ethylene that we are able to sell; the price at which we are able to sell ethylene; changes in the price and availability of feedstocks; changes in prevailing economic conditions; actions and commitments of Westlake, including determinations made pursuant to contractual arrangements with Westlake; the effects of legal proceedings; actions of third parties; inclement or hazardous weather conditions; environmental hazards; changes in laws and regulations (or the interpretation thereof); inability to acquire or maintain necessary permits; inability to obtain necessary production equipment or replacement parts; technical difficulties or failures; labor disputes; inability of our customers to take delivery; fires, explosions or other industrial accidents; political tension and conflict in the Middle East and elsewhere; the supply/demand balance for our products; and other risk factors. For more detailed information about the factors that could cause actual results to differ materially, please refer to the Partnership's Annual Report on Form 10-K for the year ended December 31, 2025, which was filed with the SEC in March 2026, and the Partnership’s Quarterly Report on Form 10-Q for the quarter ended March 31, 2026, which was filed with the SEC in May 2026.</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18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This release is intended to be a qualified notice under Treasury Regulation Section 1.1446-4(b). Brokers and nominees should treat one hundred percent (100.0%) of the Partnership's distributions to non-U.S. investors as being attributable to income that is effectively connected with a United States trade or business. Accordingly, the Partnership's distributions to non-U.S. investors are subject to federal income tax withholding at the highest applicable effective tax rate.</w:t>
      </w:r>
    </w:p>
    <w:p>
      <w:pPr>
        <w:pStyle w:val="TextBody"/>
        <w:bidi w:val="0"/>
        <w:spacing w:lineRule="auto" w:line="288" w:before="28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Use of Non-GAAP Financial Measures</w:t>
      </w:r>
    </w:p>
    <w:p>
      <w:pPr>
        <w:pStyle w:val="TextBody"/>
        <w:bidi w:val="0"/>
        <w:spacing w:lineRule="auto" w:line="288" w:before="1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This release makes reference to certain "non-GAAP" financial measures, such as MLP distributable cash flow, coverage ratio and EBITDA. For this purpose, a non-GAAP financial measure is generally defined by the Securities and Exchange Commission ("SEC") as a numerical measure of a registrant's historical or future financial performance, financial position or cash flows that (1) excludes amounts, or is subject to adjustments that have the effect of excluding amounts, that are included in the most directly comparable measure calculated and presented in accordance with U.S. generally accepted accounting principles ("U.S. GAAP") in the statement of operations, balance sheet or statement of cash flows (or equivalent statements) of the registrant; or (2) includes amounts, or is subject to adjustments that have the effect of including amounts, that are excluded from the most directly comparable measure so calculated and presented. We report our financial results in accordance with U.S. GAAP, but believe that certain non-GAAP financial measures, such as MLP distributable cash flow, coverage ratio and EBITDA, provide useful supplemental information to investors regarding the underlying business trends and performance of our ongoing operations and are useful for period-over-period comparisons of such operations. These non-GAAP financial measures should be considered as a supplement to, and not as a substitute for, or superior to, the financial measures prepared in accordance with U.S. GAAP. We define MLP distributable cash flow as distributable cash flow less distributable cash flow attributable to Westlake Corporation's noncontrolling interest in OpCo and distributions attributable to the incentive distribution rights holder. MLP distributable cash flow does not reflect changes in working capital balances. We define EBITDA as net income before interest expense, income taxes, depreciation and amortization. MLP distributable cash flow, coverage ratio and EBITDA are non-GAAP supplemental financial measures that management and external users of our consolidated financial statements, such as industry analysts, investors, lenders and rating agencies, may use to assess our operating performance as compared to other publicly traded partnerships, our ability to incur and service debt and fund capital expenditures and the viability of acquisitions and other capital expenditure projects and the returns on investment of various investment opportunities. Reconciliations of MLP distributable cash flow to net income and to net cash provided by operating activities and of EBITDA to net income, income from operations and net cash provided by operating activities can be found in the financial schedules at the end of this press release.</w:t>
      </w:r>
    </w:p>
    <w:p>
      <w:pPr>
        <w:pStyle w:val="TextBody"/>
        <w:bidi w:val="0"/>
        <w:spacing w:lineRule="auto" w:line="288" w:before="28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Westlake Chemical Partners LP</w:t>
      </w:r>
    </w:p>
    <w:p>
      <w:pPr>
        <w:pStyle w:val="TextBody"/>
        <w:bidi w:val="0"/>
        <w:spacing w:lineRule="auto" w:line="288" w:before="100" w:after="283"/>
        <w:jc w:val="left"/>
        <w:rPr/>
      </w:pPr>
      <w:r>
        <w:rPr>
          <w:rFonts w:ascii="Times New Roman;serif" w:hAnsi="Times New Roman;serif"/>
          <w:b w:val="false"/>
          <w:color w:val="000000"/>
          <w:sz w:val="20"/>
          <w:shd w:fill="FFFFFF" w:val="clear"/>
        </w:rPr>
        <w:t xml:space="preserve">Westlake Chemical Partners is a limited partnership formed by Westlake Corporation to operate, acquire and develop ethylene production facilities and other qualified assets. Headquartered in Houston, the Partnership owns a </w:t>
      </w:r>
      <w:r>
        <w:rPr>
          <w:rFonts w:ascii="Times New Roman;serif" w:hAnsi="Times New Roman;serif"/>
          <w:b w:val="false"/>
          <w:color w:val="000000"/>
          <w:sz w:val="20"/>
        </w:rPr>
        <w:t>22.8%</w:t>
      </w:r>
      <w:r>
        <w:rPr>
          <w:color w:val="000000"/>
          <w:shd w:fill="FFFFFF" w:val="clear"/>
        </w:rPr>
        <w:t xml:space="preserve"> </w:t>
      </w:r>
      <w:r>
        <w:rPr>
          <w:rFonts w:ascii="Times New Roman;serif" w:hAnsi="Times New Roman;serif"/>
          <w:b w:val="false"/>
          <w:color w:val="000000"/>
          <w:sz w:val="20"/>
          <w:shd w:fill="FFFFFF" w:val="clear"/>
        </w:rPr>
        <w:t>interest in Westlake Chemical OpCo LP. Westlake Chemical OpCo LP's assets consist of three ethylene production facilities in Calvert City, Kentucky, and Lake Charles, Louisiana, and an ethylene pipeline. For more information about Westlake Chemical Partners LP, please visit</w:t>
      </w:r>
      <w:r>
        <w:rPr>
          <w:color w:val="0000FF"/>
          <w:shd w:fill="FFFFFF" w:val="clear"/>
        </w:rPr>
        <w:t xml:space="preserve"> </w:t>
      </w:r>
      <w:r>
        <w:rPr>
          <w:rFonts w:ascii="Times New Roman;serif" w:hAnsi="Times New Roman;serif"/>
          <w:b w:val="false"/>
          <w:color w:val="0000FF"/>
          <w:sz w:val="20"/>
          <w:shd w:fill="FFFFFF" w:val="clear"/>
        </w:rPr>
        <w:t>http://www.wlkpartners.com</w:t>
      </w:r>
      <w:r>
        <w:rPr>
          <w:rFonts w:ascii="Times New Roman;serif" w:hAnsi="Times New Roman;serif"/>
          <w:b w:val="false"/>
          <w:color w:val="000000"/>
          <w:sz w:val="20"/>
          <w:shd w:fill="FFFFFF" w:val="clear"/>
        </w:rPr>
        <w:t>.</w:t>
      </w:r>
    </w:p>
    <w:p>
      <w:pPr>
        <w:pStyle w:val="TextBody"/>
        <w:bidi w:val="0"/>
        <w:spacing w:lineRule="auto" w:line="288" w:before="28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Westlake Chemical Partners LP Conference Call Information:</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100" w:after="283"/>
        <w:jc w:val="left"/>
        <w:rPr/>
      </w:pPr>
      <w:r>
        <w:rPr>
          <w:rFonts w:ascii="Times New Roman;serif" w:hAnsi="Times New Roman;serif"/>
          <w:b w:val="false"/>
          <w:color w:val="000000"/>
          <w:sz w:val="20"/>
        </w:rPr>
        <w:t xml:space="preserve">A conference call to discuss Westlake Chemical Partners' second quarter 2026 results will be held Tuesday, August 4, 2026 at 1:00 PM Eastern Time (12:00 PM Central Time). To access the conference call, please register at: </w:t>
      </w:r>
      <w:r>
        <w:rPr>
          <w:rFonts w:ascii="Times New Roman;serif" w:hAnsi="Times New Roman;serif"/>
          <w:b w:val="false"/>
          <w:color w:val="0000FF"/>
          <w:sz w:val="20"/>
          <w:shd w:fill="FFFFFF" w:val="clear"/>
        </w:rPr>
        <w:t>https://register-conf.media-server.com/register/BI51826be52fb84f029203dae034f42aa3</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A dial-in will be provided upon registration.</w:t>
      </w:r>
    </w:p>
    <w:p>
      <w:pPr>
        <w:pStyle w:val="TextBody"/>
        <w:bidi w:val="0"/>
        <w:spacing w:lineRule="auto" w:line="288" w:before="180" w:after="283"/>
        <w:jc w:val="left"/>
        <w:rPr/>
      </w:pPr>
      <w:r>
        <w:rPr>
          <w:rFonts w:ascii="Times New Roman;serif" w:hAnsi="Times New Roman;serif"/>
          <w:b w:val="false"/>
          <w:color w:val="000000"/>
          <w:sz w:val="20"/>
          <w:shd w:fill="FFFFFF" w:val="clear"/>
        </w:rPr>
        <w:t>The conference call will also be available via webcast at:</w:t>
      </w:r>
      <w:r>
        <w:rPr>
          <w:color w:val="0000FF"/>
          <w:shd w:fill="FFFFFF" w:val="clear"/>
        </w:rPr>
        <w:t xml:space="preserve"> </w:t>
      </w:r>
      <w:r>
        <w:rPr>
          <w:rFonts w:ascii="Times New Roman;serif" w:hAnsi="Times New Roman;serif"/>
          <w:b w:val="false"/>
          <w:color w:val="0000FF"/>
          <w:sz w:val="20"/>
          <w:shd w:fill="FFFFFF" w:val="clear"/>
        </w:rPr>
        <w:t xml:space="preserve">https://edge.media-server.com/mmc/p/ssbetq3b </w:t>
      </w:r>
      <w:r>
        <w:rPr>
          <w:rFonts w:ascii="Times New Roman;serif" w:hAnsi="Times New Roman;serif"/>
          <w:b w:val="false"/>
          <w:color w:val="000000"/>
          <w:sz w:val="20"/>
          <w:shd w:fill="FFFFFF" w:val="clear"/>
        </w:rPr>
        <w:t xml:space="preserve">and the earnings release can be obtained via the Partnership web page at: </w:t>
      </w:r>
      <w:r>
        <w:rPr>
          <w:rFonts w:ascii="Times New Roman;serif" w:hAnsi="Times New Roman;serif"/>
          <w:b w:val="false"/>
          <w:color w:val="0000FF"/>
          <w:sz w:val="20"/>
          <w:shd w:fill="FFFFFF" w:val="clear"/>
        </w:rPr>
        <w:t>https://investors.wlkpartners.com/corporate-profile/default.aspx</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WESTLAKE CHEMICAL PARTNERS LP ("WESTLAKE PARTNERS")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26"/>
        <w:gridCol w:w="1316"/>
        <w:gridCol w:w="1324"/>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62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of dollars, except per unit data)</w:t>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sales—Westlake Corporation ("Westlake")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459,857 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co-products, ethylene and other sales—third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602,775 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534,748 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151,613 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137,839 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expense—Westlake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128,416 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128,104 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 in Westlake Chemical OpCo LP ("OpCo")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Westlake Partners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14,238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14,558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28,407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19,506</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limited partner unit attributable to Westlake Partners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declared per unit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0.9428 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MLP distributable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declared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Limited partner units—publicly and privately 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Limited partner units—Westlake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distributions declared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33,223 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122,687 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124,391 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243,903 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199,412 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WESTLAKE CHEMICAL PARTNERS LP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081" w:type="dxa"/>
        <w:jc w:val="left"/>
        <w:tblInd w:w="0" w:type="dxa"/>
        <w:tblLayout w:type="fixed"/>
        <w:tblCellMar>
          <w:top w:w="28" w:type="dxa"/>
          <w:left w:w="28" w:type="dxa"/>
          <w:bottom w:w="28" w:type="dxa"/>
          <w:right w:w="28" w:type="dxa"/>
        </w:tblCellMar>
      </w:tblPr>
      <w:tblGrid>
        <w:gridCol w:w="2093"/>
        <w:gridCol w:w="1846"/>
        <w:gridCol w:w="1851"/>
        <w:gridCol w:w="109"/>
        <w:gridCol w:w="109"/>
        <w:gridCol w:w="109"/>
        <w:gridCol w:w="211"/>
        <w:gridCol w:w="976"/>
        <w:gridCol w:w="109"/>
        <w:gridCol w:w="109"/>
        <w:gridCol w:w="109"/>
        <w:gridCol w:w="109"/>
        <w:gridCol w:w="211"/>
        <w:gridCol w:w="976"/>
        <w:gridCol w:w="154"/>
      </w:tblGrid>
      <w:tr>
        <w:trPr/>
        <w:tc>
          <w:tcPr>
            <w:tcW w:w="209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5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of dollars)</w:t>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44,269 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 under the Investment Management Agreement—Westlake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net—Westlake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net—third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886,012 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1,256,533 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(accounts payable and accrued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payable to Westlake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447,935 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454,181 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unitholders—publicly and privately held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unitholder—Westlake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partner—Westlake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Westlake Partners partners'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 in OpCo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543,816 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769,413 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802,352 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1,217,348 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1,256,533 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WESTLAKE CHEMICAL PARTNERS LP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176" w:type="dxa"/>
        <w:jc w:val="left"/>
        <w:tblInd w:w="0" w:type="dxa"/>
        <w:tblLayout w:type="fixed"/>
        <w:tblCellMar>
          <w:top w:w="28" w:type="dxa"/>
          <w:left w:w="28" w:type="dxa"/>
          <w:bottom w:w="28" w:type="dxa"/>
          <w:right w:w="28" w:type="dxa"/>
        </w:tblCellMar>
      </w:tblPr>
      <w:tblGrid>
        <w:gridCol w:w="2597"/>
        <w:gridCol w:w="2286"/>
        <w:gridCol w:w="2302"/>
        <w:gridCol w:w="109"/>
        <w:gridCol w:w="109"/>
        <w:gridCol w:w="109"/>
        <w:gridCol w:w="211"/>
        <w:gridCol w:w="826"/>
        <w:gridCol w:w="109"/>
        <w:gridCol w:w="109"/>
        <w:gridCol w:w="109"/>
        <w:gridCol w:w="109"/>
        <w:gridCol w:w="211"/>
        <w:gridCol w:w="826"/>
        <w:gridCol w:w="154"/>
      </w:tblGrid>
      <w:tr>
        <w:trPr/>
        <w:tc>
          <w:tcPr>
            <w:tcW w:w="2597"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of dollars)</w:t>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disposition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balance sheet 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with Westlake under the Investment Management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investments with Westlake under the Investment Management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(used for)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debt payable to Westlake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debt payable to Westlake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 retained in OpCo by Westlake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unitholders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(126,253)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45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vi</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WESTLAKE CHEMICAL PARTNERS LP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RECONCILIATION OF MLP DISTRIBUTABLE CASH FLOW TO NET INCOME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NET CASH PROVIDED BY OPERATING ACTIVITIES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152"/>
        <w:gridCol w:w="752"/>
        <w:gridCol w:w="757"/>
        <w:gridCol w:w="109"/>
        <w:gridCol w:w="109"/>
        <w:gridCol w:w="109"/>
        <w:gridCol w:w="274"/>
        <w:gridCol w:w="1073"/>
        <w:gridCol w:w="141"/>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6"/>
      </w:tblGrid>
      <w:tr>
        <w:trPr/>
        <w:tc>
          <w:tcPr>
            <w:tcW w:w="11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7" w:type="dxa"/>
            <w:gridSpan w:val="27"/>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(In thousands of dollars)</w:t>
            </w:r>
          </w:p>
        </w:tc>
      </w:tr>
      <w:tr>
        <w:trPr/>
        <w:tc>
          <w:tcPr>
            <w:tcW w:w="2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110,198 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54,852 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81,655 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128,104 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disposition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to turnaround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(10,232)</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(41,083)</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Distributable cash flow attributable to noncontrolling interest in OpCo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(80,087)</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(109,325)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MLP distributable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17,886 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45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WESTLAKE CHEMICAL PARTNERS LP</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33.1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vii</w:t>
                      </w:r>
                    </w:p>
                  </w:txbxContent>
                </v:textbox>
                <w10:wrap type="none"/>
              </v:rect>
            </w:pict>
          </mc:Fallback>
        </mc:AlternateConten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RECONCILIATION OF EBITDA TO NET INCOME, INCOME FROM OPERATIONS AND NET CASH</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PROVIDED BY OPERATING ACTIVITIES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931"/>
        <w:gridCol w:w="693"/>
        <w:gridCol w:w="698"/>
        <w:gridCol w:w="109"/>
        <w:gridCol w:w="109"/>
        <w:gridCol w:w="109"/>
        <w:gridCol w:w="297"/>
        <w:gridCol w:w="1165"/>
        <w:gridCol w:w="153"/>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8"/>
      </w:tblGrid>
      <w:tr>
        <w:trPr/>
        <w:tc>
          <w:tcPr>
            <w:tcW w:w="93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6" w:type="dxa"/>
            <w:gridSpan w:val="27"/>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(In thousands of dollars)</w:t>
            </w:r>
          </w:p>
        </w:tc>
      </w:tr>
      <w:tr>
        <w:trPr/>
        <w:tc>
          <w:tcPr>
            <w:tcW w:w="2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110,198 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54,852 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73,252 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81,655 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128,104 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expense—Westlake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86,569 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137,839 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34,299 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59,552 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121,216 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199,412 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viii</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2921</Words>
  <Characters>16947</Characters>
  <CharactersWithSpaces>19537</CharactersWithSpaces>
  <Paragraphs>550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