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137160</wp:posOffset>
            </wp:positionV>
            <wp:extent cx="3206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139065</wp:posOffset>
            </wp:positionV>
            <wp:extent cx="32061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ind w:left="680" w:right="80" w:hanging="654"/>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680"/>
        <w:spacing w:after="0"/>
        <w:tabs>
          <w:tab w:leader="none" w:pos="3760" w:val="left"/>
        </w:tabs>
        <w:rPr>
          <w:sz w:val="20"/>
          <w:szCs w:val="20"/>
          <w:color w:val="auto"/>
        </w:rPr>
      </w:pPr>
      <w:r>
        <w:rPr>
          <w:rFonts w:ascii="Times New Roman" w:cs="Times New Roman" w:eastAsia="Times New Roman" w:hAnsi="Times New Roman"/>
          <w:sz w:val="18"/>
          <w:szCs w:val="18"/>
          <w:b w:val="1"/>
          <w:bCs w:val="1"/>
          <w:color w:val="auto"/>
        </w:rPr>
        <w:t>For the quarterly period ended</w:t>
      </w:r>
      <w:r>
        <w:rPr>
          <w:sz w:val="20"/>
          <w:szCs w:val="20"/>
          <w:color w:val="auto"/>
        </w:rPr>
        <w:tab/>
      </w:r>
      <w:r>
        <w:rPr>
          <w:rFonts w:ascii="Times New Roman" w:cs="Times New Roman" w:eastAsia="Times New Roman" w:hAnsi="Times New Roman"/>
          <w:sz w:val="17"/>
          <w:szCs w:val="17"/>
          <w:b w:val="1"/>
          <w:bCs w:val="1"/>
          <w:color w:val="auto"/>
        </w:rPr>
        <w:t>September 30, 2022</w:t>
      </w: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80" w:right="40" w:hanging="641"/>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680"/>
        <w:spacing w:after="0"/>
        <w:tabs>
          <w:tab w:leader="none" w:pos="39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165735</wp:posOffset>
            </wp:positionV>
            <wp:extent cx="32061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Westlake Chemical Partners LP</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107315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60" w:type="dxa"/>
            <w:vAlign w:val="bottom"/>
          </w:tcPr>
          <w:p>
            <w:pPr>
              <w:spacing w:after="0"/>
              <w:rPr>
                <w:sz w:val="19"/>
                <w:szCs w:val="19"/>
                <w:color w:val="auto"/>
              </w:rPr>
            </w:pPr>
          </w:p>
        </w:tc>
        <w:tc>
          <w:tcPr>
            <w:tcW w:w="3720" w:type="dxa"/>
            <w:vAlign w:val="bottom"/>
            <w:gridSpan w:val="2"/>
          </w:tcPr>
          <w:p>
            <w:pPr>
              <w:jc w:val="center"/>
              <w:ind w:left="163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0" w:type="dxa"/>
            <w:vAlign w:val="bottom"/>
          </w:tcPr>
          <w:p>
            <w:pPr>
              <w:jc w:val="center"/>
              <w:ind w:right="1297"/>
              <w:spacing w:after="0"/>
              <w:rPr>
                <w:sz w:val="20"/>
                <w:szCs w:val="20"/>
                <w:color w:val="auto"/>
              </w:rPr>
            </w:pPr>
            <w:r>
              <w:rPr>
                <w:rFonts w:ascii="Times New Roman" w:cs="Times New Roman" w:eastAsia="Times New Roman" w:hAnsi="Times New Roman"/>
                <w:sz w:val="18"/>
                <w:szCs w:val="18"/>
                <w:b w:val="1"/>
                <w:bCs w:val="1"/>
                <w:color w:val="auto"/>
                <w:w w:val="98"/>
              </w:rPr>
              <w:t>32-0436529</w:t>
            </w:r>
          </w:p>
        </w:tc>
      </w:tr>
      <w:tr>
        <w:trPr>
          <w:trHeight w:val="149"/>
        </w:trPr>
        <w:tc>
          <w:tcPr>
            <w:tcW w:w="60" w:type="dxa"/>
            <w:vAlign w:val="bottom"/>
          </w:tcPr>
          <w:p>
            <w:pPr>
              <w:spacing w:after="0"/>
              <w:rPr>
                <w:sz w:val="12"/>
                <w:szCs w:val="12"/>
                <w:color w:val="auto"/>
              </w:rPr>
            </w:pPr>
          </w:p>
        </w:tc>
        <w:tc>
          <w:tcPr>
            <w:tcW w:w="3720" w:type="dxa"/>
            <w:vAlign w:val="bottom"/>
            <w:gridSpan w:val="2"/>
          </w:tcPr>
          <w:p>
            <w:pPr>
              <w:jc w:val="center"/>
              <w:ind w:left="163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0" w:type="dxa"/>
            <w:vAlign w:val="bottom"/>
          </w:tcPr>
          <w:p>
            <w:pPr>
              <w:jc w:val="center"/>
              <w:ind w:right="131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 w:type="dxa"/>
            <w:vAlign w:val="bottom"/>
          </w:tcPr>
          <w:p>
            <w:pPr>
              <w:spacing w:after="0"/>
              <w:rPr>
                <w:sz w:val="16"/>
                <w:szCs w:val="16"/>
                <w:color w:val="auto"/>
              </w:rPr>
            </w:pPr>
          </w:p>
        </w:tc>
        <w:tc>
          <w:tcPr>
            <w:tcW w:w="3720" w:type="dxa"/>
            <w:vAlign w:val="bottom"/>
            <w:gridSpan w:val="2"/>
          </w:tcPr>
          <w:p>
            <w:pPr>
              <w:jc w:val="center"/>
              <w:ind w:left="163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0" w:type="dxa"/>
            <w:vAlign w:val="bottom"/>
          </w:tcPr>
          <w:p>
            <w:pPr>
              <w:jc w:val="center"/>
              <w:ind w:right="1297"/>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60"/>
        </w:trPr>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60" w:type="dxa"/>
            <w:vAlign w:val="bottom"/>
            <w:gridSpan w:val="2"/>
          </w:tcPr>
          <w:p>
            <w:pPr>
              <w:jc w:val="center"/>
              <w:ind w:left="135"/>
              <w:spacing w:after="0"/>
              <w:rPr>
                <w:sz w:val="20"/>
                <w:szCs w:val="20"/>
                <w:color w:val="auto"/>
              </w:rPr>
            </w:pPr>
            <w:r>
              <w:rPr>
                <w:rFonts w:ascii="Times New Roman" w:cs="Times New Roman" w:eastAsia="Times New Roman" w:hAnsi="Times New Roman"/>
                <w:sz w:val="18"/>
                <w:szCs w:val="18"/>
                <w:b w:val="1"/>
                <w:bCs w:val="1"/>
                <w:color w:val="auto"/>
              </w:rPr>
              <w:t>2801 Post Oak Boulevard, Suite 600</w:t>
            </w:r>
          </w:p>
        </w:tc>
        <w:tc>
          <w:tcPr>
            <w:tcW w:w="4000" w:type="dxa"/>
            <w:vAlign w:val="bottom"/>
          </w:tcPr>
          <w:p>
            <w:pPr>
              <w:spacing w:after="0"/>
              <w:rPr>
                <w:sz w:val="24"/>
                <w:szCs w:val="24"/>
                <w:color w:val="auto"/>
              </w:rPr>
            </w:pPr>
          </w:p>
        </w:tc>
      </w:tr>
      <w:tr>
        <w:trPr>
          <w:trHeight w:val="214"/>
        </w:trPr>
        <w:tc>
          <w:tcPr>
            <w:tcW w:w="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60" w:type="dxa"/>
            <w:vAlign w:val="bottom"/>
            <w:gridSpan w:val="2"/>
          </w:tcPr>
          <w:p>
            <w:pPr>
              <w:jc w:val="center"/>
              <w:ind w:left="155"/>
              <w:spacing w:after="0"/>
              <w:rPr>
                <w:sz w:val="20"/>
                <w:szCs w:val="20"/>
                <w:color w:val="auto"/>
              </w:rPr>
            </w:pPr>
            <w:r>
              <w:rPr>
                <w:rFonts w:ascii="Times New Roman" w:cs="Times New Roman" w:eastAsia="Times New Roman" w:hAnsi="Times New Roman"/>
                <w:sz w:val="18"/>
                <w:szCs w:val="18"/>
                <w:b w:val="1"/>
                <w:bCs w:val="1"/>
                <w:color w:val="auto"/>
                <w:w w:val="98"/>
              </w:rPr>
              <w:t>Houston, Texas 77056</w:t>
            </w:r>
          </w:p>
        </w:tc>
        <w:tc>
          <w:tcPr>
            <w:tcW w:w="4000" w:type="dxa"/>
            <w:vAlign w:val="bottom"/>
          </w:tcPr>
          <w:p>
            <w:pPr>
              <w:spacing w:after="0"/>
              <w:rPr>
                <w:sz w:val="18"/>
                <w:szCs w:val="18"/>
                <w:color w:val="auto"/>
              </w:rPr>
            </w:pPr>
          </w:p>
        </w:tc>
      </w:tr>
      <w:tr>
        <w:trPr>
          <w:trHeight w:val="190"/>
        </w:trPr>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60" w:type="dxa"/>
            <w:vAlign w:val="bottom"/>
            <w:gridSpan w:val="3"/>
          </w:tcPr>
          <w:p>
            <w:pPr>
              <w:jc w:val="center"/>
              <w:ind w:right="369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r>
      <w:tr>
        <w:trPr>
          <w:trHeight w:val="363"/>
        </w:trPr>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jc w:val="center"/>
              <w:ind w:left="755"/>
              <w:spacing w:after="0"/>
              <w:rPr>
                <w:sz w:val="20"/>
                <w:szCs w:val="20"/>
                <w:color w:val="auto"/>
              </w:rPr>
            </w:pPr>
            <w:r>
              <w:rPr>
                <w:rFonts w:ascii="Times New Roman" w:cs="Times New Roman" w:eastAsia="Times New Roman" w:hAnsi="Times New Roman"/>
                <w:sz w:val="18"/>
                <w:szCs w:val="18"/>
                <w:b w:val="1"/>
                <w:bCs w:val="1"/>
                <w:color w:val="auto"/>
                <w:w w:val="99"/>
              </w:rPr>
              <w:t>(713) 585-2900</w:t>
            </w:r>
          </w:p>
        </w:tc>
        <w:tc>
          <w:tcPr>
            <w:tcW w:w="6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90"/>
        </w:trPr>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6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4000" w:type="dxa"/>
            <w:vAlign w:val="bottom"/>
          </w:tcPr>
          <w:p>
            <w:pPr>
              <w:spacing w:after="0"/>
              <w:rPr>
                <w:sz w:val="16"/>
                <w:szCs w:val="16"/>
                <w:color w:val="auto"/>
              </w:rPr>
            </w:pPr>
          </w:p>
        </w:tc>
      </w:tr>
      <w:tr>
        <w:trPr>
          <w:trHeight w:val="469"/>
        </w:trPr>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4000" w:type="dxa"/>
            <w:vAlign w:val="bottom"/>
          </w:tcPr>
          <w:p>
            <w:pPr>
              <w:spacing w:after="0"/>
              <w:rPr>
                <w:sz w:val="24"/>
                <w:szCs w:val="24"/>
                <w:color w:val="auto"/>
              </w:rPr>
            </w:pPr>
          </w:p>
        </w:tc>
      </w:tr>
      <w:tr>
        <w:trPr>
          <w:trHeight w:val="108"/>
        </w:trPr>
        <w:tc>
          <w:tcPr>
            <w:tcW w:w="60" w:type="dxa"/>
            <w:vAlign w:val="bottom"/>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500" w:type="dxa"/>
            <w:vAlign w:val="bottom"/>
            <w:tcBorders>
              <w:bottom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jc w:val="center"/>
              <w:ind w:right="435"/>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620" w:type="dxa"/>
            <w:vAlign w:val="bottom"/>
            <w:tcBorders>
              <w:bottom w:val="single" w:sz="8" w:color="auto"/>
            </w:tcBorders>
          </w:tcPr>
          <w:p>
            <w:pPr>
              <w:spacing w:after="0"/>
              <w:rPr>
                <w:sz w:val="19"/>
                <w:szCs w:val="19"/>
                <w:color w:val="auto"/>
              </w:rPr>
            </w:pPr>
          </w:p>
        </w:tc>
        <w:tc>
          <w:tcPr>
            <w:tcW w:w="4000" w:type="dxa"/>
            <w:vAlign w:val="bottom"/>
            <w:tcBorders>
              <w:bottom w:val="single" w:sz="8" w:color="auto"/>
              <w:right w:val="single" w:sz="8" w:color="auto"/>
            </w:tcBorders>
          </w:tcPr>
          <w:p>
            <w:pPr>
              <w:jc w:val="center"/>
              <w:ind w:right="577"/>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78"/>
        </w:trPr>
        <w:tc>
          <w:tcPr>
            <w:tcW w:w="60" w:type="dxa"/>
            <w:vAlign w:val="bottom"/>
            <w:tcBorders>
              <w:right w:val="single" w:sz="8" w:color="auto"/>
            </w:tcBorders>
          </w:tcPr>
          <w:p>
            <w:pPr>
              <w:spacing w:after="0"/>
              <w:rPr>
                <w:sz w:val="15"/>
                <w:szCs w:val="15"/>
                <w:color w:val="auto"/>
              </w:rPr>
            </w:pPr>
          </w:p>
        </w:tc>
        <w:tc>
          <w:tcPr>
            <w:tcW w:w="322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Common units representing limited</w:t>
            </w:r>
          </w:p>
        </w:tc>
        <w:tc>
          <w:tcPr>
            <w:tcW w:w="500" w:type="dxa"/>
            <w:vAlign w:val="bottom"/>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4000" w:type="dxa"/>
            <w:vAlign w:val="bottom"/>
            <w:tcBorders>
              <w:right w:val="single" w:sz="8" w:color="auto"/>
            </w:tcBorders>
          </w:tcPr>
          <w:p>
            <w:pPr>
              <w:spacing w:after="0"/>
              <w:rPr>
                <w:sz w:val="15"/>
                <w:szCs w:val="15"/>
                <w:color w:val="auto"/>
              </w:rPr>
            </w:pPr>
          </w:p>
        </w:tc>
      </w:tr>
      <w:tr>
        <w:trPr>
          <w:trHeight w:val="234"/>
        </w:trPr>
        <w:tc>
          <w:tcPr>
            <w:tcW w:w="60" w:type="dxa"/>
            <w:vAlign w:val="bottom"/>
            <w:tcBorders>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partnership interests</w:t>
            </w:r>
          </w:p>
        </w:tc>
        <w:tc>
          <w:tcPr>
            <w:tcW w:w="50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jc w:val="center"/>
              <w:ind w:right="435"/>
              <w:spacing w:after="0"/>
              <w:rPr>
                <w:sz w:val="20"/>
                <w:szCs w:val="20"/>
                <w:color w:val="auto"/>
              </w:rPr>
            </w:pPr>
            <w:r>
              <w:rPr>
                <w:rFonts w:ascii="Times New Roman" w:cs="Times New Roman" w:eastAsia="Times New Roman" w:hAnsi="Times New Roman"/>
                <w:sz w:val="18"/>
                <w:szCs w:val="18"/>
                <w:color w:val="auto"/>
              </w:rPr>
              <w:t>WLKP</w:t>
            </w:r>
          </w:p>
        </w:tc>
        <w:tc>
          <w:tcPr>
            <w:tcW w:w="620" w:type="dxa"/>
            <w:vAlign w:val="bottom"/>
            <w:tcBorders>
              <w:bottom w:val="single" w:sz="8" w:color="auto"/>
            </w:tcBorders>
          </w:tcPr>
          <w:p>
            <w:pPr>
              <w:spacing w:after="0"/>
              <w:rPr>
                <w:sz w:val="20"/>
                <w:szCs w:val="20"/>
                <w:color w:val="auto"/>
              </w:rPr>
            </w:pPr>
          </w:p>
        </w:tc>
        <w:tc>
          <w:tcPr>
            <w:tcW w:w="4000" w:type="dxa"/>
            <w:vAlign w:val="bottom"/>
            <w:tcBorders>
              <w:bottom w:val="single" w:sz="8" w:color="auto"/>
              <w:right w:val="single" w:sz="8" w:color="auto"/>
            </w:tcBorders>
          </w:tcPr>
          <w:p>
            <w:pPr>
              <w:jc w:val="center"/>
              <w:ind w:right="557"/>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200" w:lineRule="exact"/>
        <w:rPr>
          <w:sz w:val="24"/>
          <w:szCs w:val="24"/>
          <w:color w:val="auto"/>
        </w:rPr>
      </w:pPr>
    </w:p>
    <w:p>
      <w:pPr>
        <w:spacing w:after="0" w:line="295" w:lineRule="exact"/>
        <w:rPr>
          <w:sz w:val="24"/>
          <w:szCs w:val="24"/>
          <w:color w:val="auto"/>
        </w:rPr>
      </w:pPr>
    </w:p>
    <w:p>
      <w:pPr>
        <w:ind w:right="240"/>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26" w:lineRule="exact"/>
        <w:rPr>
          <w:sz w:val="24"/>
          <w:szCs w:val="24"/>
          <w:color w:val="auto"/>
        </w:rPr>
      </w:pPr>
    </w:p>
    <w:p>
      <w:pPr>
        <w:ind w:right="360"/>
        <w:spacing w:after="0" w:line="23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24"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28"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Large accelerated filer</w:t>
            </w:r>
          </w:p>
        </w:tc>
        <w:tc>
          <w:tcPr>
            <w:tcW w:w="30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Accelerated filer</w:t>
            </w:r>
          </w:p>
        </w:tc>
        <w:tc>
          <w:tcPr>
            <w:tcW w:w="680" w:type="dxa"/>
            <w:vAlign w:val="bottom"/>
          </w:tcPr>
          <w:p>
            <w:pPr>
              <w:ind w:left="520"/>
              <w:spacing w:after="0"/>
              <w:rPr>
                <w:sz w:val="20"/>
                <w:szCs w:val="20"/>
                <w:color w:val="auto"/>
              </w:rPr>
            </w:pPr>
            <w:r>
              <w:rPr>
                <w:rFonts w:ascii="Arial" w:cs="Arial" w:eastAsia="Arial" w:hAnsi="Arial"/>
                <w:sz w:val="18"/>
                <w:szCs w:val="18"/>
                <w:color w:val="auto"/>
              </w:rPr>
              <w:t>x</w:t>
            </w:r>
          </w:p>
        </w:tc>
      </w:tr>
      <w:tr>
        <w:trPr>
          <w:trHeight w:val="338"/>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Non-accelerated filer</w:t>
            </w:r>
          </w:p>
        </w:tc>
        <w:tc>
          <w:tcPr>
            <w:tcW w:w="30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8"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8" w:lineRule="exact"/>
        <w:tabs>
          <w:tab w:leader="none" w:pos="8340" w:val="left"/>
          <w:tab w:leader="none" w:pos="91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ab/>
        <w:t xml:space="preserve">No  </w:t>
      </w:r>
      <w:r>
        <w:rPr>
          <w:rFonts w:ascii="Arial" w:cs="Arial" w:eastAsia="Arial" w:hAnsi="Arial"/>
          <w:sz w:val="18"/>
          <w:szCs w:val="18"/>
          <w:color w:val="auto"/>
        </w:rPr>
        <w:t>x</w:t>
      </w: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35,221,868 common units outstanding as of October 28, 2022.</w:t>
      </w:r>
    </w:p>
    <w:p>
      <w:pPr>
        <w:sectPr>
          <w:pgSz w:w="11900" w:h="16838" w:orient="portrait"/>
          <w:cols w:equalWidth="0" w:num="1">
            <w:col w:w="11240"/>
          </w:cols>
          <w:pgMar w:left="320" w:top="1037" w:right="339" w:bottom="231"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222250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200" w:type="dxa"/>
            <w:vAlign w:val="bottom"/>
          </w:tcPr>
          <w:p>
            <w:pPr>
              <w:spacing w:after="0"/>
              <w:rPr>
                <w:sz w:val="13"/>
                <w:szCs w:val="13"/>
                <w:color w:val="auto"/>
              </w:rPr>
            </w:pPr>
          </w:p>
        </w:tc>
        <w:tc>
          <w:tcPr>
            <w:tcW w:w="9920" w:type="dxa"/>
            <w:vAlign w:val="bottom"/>
          </w:tcPr>
          <w:p>
            <w:pPr>
              <w:spacing w:after="0"/>
              <w:rPr>
                <w:sz w:val="13"/>
                <w:szCs w:val="13"/>
                <w:color w:val="auto"/>
              </w:rPr>
            </w:pP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04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0420" w:type="dxa"/>
            <w:vAlign w:val="bottom"/>
            <w:gridSpan w:val="3"/>
            <w:vMerge w:val="continue"/>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3"/>
              </w:rPr>
              <w:t>1)</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3"/>
              </w:rPr>
              <w:t>2)</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3"/>
              </w:rPr>
              <w:t>3)</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3"/>
              </w:rPr>
              <w:t>4)</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20" w:type="dxa"/>
            <w:vAlign w:val="bottom"/>
          </w:tcPr>
          <w:p>
            <w:pPr>
              <w:spacing w:after="0"/>
              <w:rPr>
                <w:sz w:val="24"/>
                <w:szCs w:val="24"/>
                <w:color w:val="auto"/>
              </w:rPr>
            </w:pPr>
          </w:p>
        </w:tc>
        <w:tc>
          <w:tcPr>
            <w:tcW w:w="10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3"/>
              </w:rPr>
              <w:t>1)</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1A) 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3"/>
              </w:rPr>
              <w:t>6)</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8"/>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9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9"/>
        </w:trPr>
        <w:tc>
          <w:tcPr>
            <w:tcW w:w="8260" w:type="dxa"/>
            <w:vAlign w:val="bottom"/>
          </w:tcPr>
          <w:p>
            <w:pPr>
              <w:spacing w:after="0"/>
              <w:rPr>
                <w:sz w:val="19"/>
                <w:szCs w:val="19"/>
                <w:color w:val="auto"/>
              </w:rPr>
            </w:pPr>
          </w:p>
        </w:tc>
        <w:tc>
          <w:tcPr>
            <w:tcW w:w="29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of dollars, except unit amounts)</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2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17,057</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 under the Investment Management Agreement—Westlake Corporation ("Westlake")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106,243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net—Westlake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142,791</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281,210</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1,006,633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1,043,539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150,135</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1,431,166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1,480,698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payable—Westlake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35,105</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60,895</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106,796</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479,002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508,000</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EQUITY</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unitholders—publicly and privately held (21,099,638 and 21,092,186 units</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issued and outstanding at September 30, 2022 and December 31, 2021, respectively)</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480,535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481,796</w:t>
            </w: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unitholder—Westlake (14,122,230 and 14,122,230 units issued and outstanding</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 September 30, 2022 and December 31, 2021, respectively)</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partner—Westlake</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0" w:type="dxa"/>
            <w:vAlign w:val="bottom"/>
          </w:tcPr>
          <w:p>
            <w:pPr>
              <w:spacing w:after="0"/>
              <w:rPr>
                <w:sz w:val="1"/>
                <w:szCs w:val="1"/>
                <w:color w:val="auto"/>
              </w:rPr>
            </w:pP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Westlake Chemical Partners LP partners' capital</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293,978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in Westlake Chemical OpCo LP ("OpCo")</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678,720</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952,164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972,698</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1,431,166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1,480,698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9"/>
        </w:trPr>
        <w:tc>
          <w:tcPr>
            <w:tcW w:w="5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2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of dollars, except unit amounts and per unit data)</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sales—Westlake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364,273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247,887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1,020,042</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708,646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co-products, ethylene and other sales—third parties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206,266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175,756</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1,226,308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884,402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324,629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218,038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947,073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589,746</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90,494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294,656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24,734</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269,922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expense—Westlake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244,391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263,324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243,569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262,991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OpCo</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196,180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209,956</w:t>
            </w:r>
          </w:p>
        </w:tc>
        <w:tc>
          <w:tcPr>
            <w:tcW w:w="0" w:type="dxa"/>
            <w:vAlign w:val="bottom"/>
          </w:tcPr>
          <w:p>
            <w:pPr>
              <w:spacing w:after="0"/>
              <w:rPr>
                <w:sz w:val="1"/>
                <w:szCs w:val="1"/>
                <w:color w:val="auto"/>
              </w:rPr>
            </w:pPr>
          </w:p>
        </w:tc>
      </w:tr>
      <w:tr>
        <w:trPr>
          <w:trHeight w:val="155"/>
        </w:trPr>
        <w:tc>
          <w:tcPr>
            <w:tcW w:w="52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attributable to Westlake Chemical Partners LP and</w:t>
            </w: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14,757</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12,790</w:t>
            </w:r>
          </w:p>
        </w:tc>
        <w:tc>
          <w:tcPr>
            <w:tcW w:w="100" w:type="dxa"/>
            <w:vAlign w:val="bottom"/>
          </w:tcPr>
          <w:p>
            <w:pPr>
              <w:spacing w:after="0"/>
              <w:rPr>
                <w:sz w:val="13"/>
                <w:szCs w:val="13"/>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47,389</w:t>
            </w:r>
          </w:p>
        </w:tc>
        <w:tc>
          <w:tcPr>
            <w:tcW w:w="100" w:type="dxa"/>
            <w:vAlign w:val="bottom"/>
          </w:tcPr>
          <w:p>
            <w:pPr>
              <w:spacing w:after="0"/>
              <w:rPr>
                <w:sz w:val="13"/>
                <w:szCs w:val="13"/>
                <w:color w:val="auto"/>
              </w:rPr>
            </w:pPr>
          </w:p>
        </w:tc>
        <w:tc>
          <w:tcPr>
            <w:tcW w:w="4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53,035</w:t>
            </w:r>
          </w:p>
        </w:tc>
        <w:tc>
          <w:tcPr>
            <w:tcW w:w="0" w:type="dxa"/>
            <w:vAlign w:val="bottom"/>
          </w:tcPr>
          <w:p>
            <w:pPr>
              <w:spacing w:after="0"/>
              <w:rPr>
                <w:sz w:val="1"/>
                <w:szCs w:val="1"/>
                <w:color w:val="auto"/>
              </w:rPr>
            </w:pPr>
          </w:p>
        </w:tc>
      </w:tr>
      <w:tr>
        <w:trPr>
          <w:trHeight w:val="221"/>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limited partners' interest in net income</w:t>
            </w:r>
          </w:p>
        </w:tc>
        <w:tc>
          <w:tcPr>
            <w:tcW w:w="24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Net income per limited partner unit attributable to Westlake</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b w:val="1"/>
                <w:bCs w:val="1"/>
                <w:color w:val="auto"/>
              </w:rPr>
              <w:t>Chemical Partners LP per limited partner unit (basic and</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units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Weighted average limited partner units outstanding (basic and</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units—publicly and privately held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21,096,317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21,087,746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21,093,578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21,081,379</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units—Westlake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Partnership</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0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Unitholders</w:t>
            </w: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Public and</w:t>
            </w:r>
          </w:p>
        </w:tc>
        <w:tc>
          <w:tcPr>
            <w:tcW w:w="1040" w:type="dxa"/>
            <w:vAlign w:val="bottom"/>
            <w:gridSpan w:val="3"/>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Unitholder</w:t>
            </w: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20" w:type="dxa"/>
            <w:vAlign w:val="bottom"/>
            <w:gridSpan w:val="2"/>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Partner</w:t>
            </w: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80" w:type="dxa"/>
            <w:vAlign w:val="bottom"/>
            <w:gridSpan w:val="2"/>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200" w:type="dxa"/>
            <w:vAlign w:val="bottom"/>
          </w:tcPr>
          <w:p>
            <w:pPr>
              <w:spacing w:after="0"/>
              <w:rPr>
                <w:sz w:val="11"/>
                <w:szCs w:val="11"/>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6020" w:type="dxa"/>
            <w:vAlign w:val="bottom"/>
          </w:tcPr>
          <w:p>
            <w:pPr>
              <w:spacing w:after="0"/>
              <w:rPr>
                <w:sz w:val="16"/>
                <w:szCs w:val="16"/>
                <w:color w:val="auto"/>
              </w:rPr>
            </w:pP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Privately Held</w:t>
            </w:r>
          </w:p>
        </w:tc>
        <w:tc>
          <w:tcPr>
            <w:tcW w:w="1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4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8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OpCo</w:t>
            </w: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678,720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972,698</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80,825</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Quarterly distribution to unitholders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(16,603)</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distribution to noncontrolling interest retained in OpCo by Westlake</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(60,688)</w:t>
            </w:r>
          </w:p>
        </w:tc>
        <w:tc>
          <w:tcPr>
            <w:tcW w:w="0" w:type="dxa"/>
            <w:vAlign w:val="bottom"/>
          </w:tcPr>
          <w:p>
            <w:pPr>
              <w:spacing w:after="0"/>
              <w:rPr>
                <w:sz w:val="1"/>
                <w:szCs w:val="1"/>
                <w:color w:val="auto"/>
              </w:rPr>
            </w:pP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481,550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682,663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976,232</w:t>
            </w:r>
          </w:p>
        </w:tc>
        <w:tc>
          <w:tcPr>
            <w:tcW w:w="0" w:type="dxa"/>
            <w:vAlign w:val="bottom"/>
          </w:tcPr>
          <w:p>
            <w:pPr>
              <w:spacing w:after="0"/>
              <w:rPr>
                <w:sz w:val="1"/>
                <w:szCs w:val="1"/>
                <w:color w:val="auto"/>
              </w:rPr>
            </w:pPr>
          </w:p>
        </w:tc>
      </w:tr>
      <w:tr>
        <w:trPr>
          <w:trHeight w:val="256"/>
        </w:trPr>
        <w:tc>
          <w:tcPr>
            <w:tcW w:w="6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84,439</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distribution to unitholders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(16,600)</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Quarterly distribution to noncontrolling interest retained in OpCo by Westlake</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(75,130)</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481,453</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54,526</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tcPr>
          <w:p>
            <w:pPr>
              <w:spacing w:after="0"/>
              <w:rPr>
                <w:sz w:val="19"/>
                <w:szCs w:val="19"/>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675,534</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968,941</w:t>
            </w:r>
          </w:p>
        </w:tc>
        <w:tc>
          <w:tcPr>
            <w:tcW w:w="0" w:type="dxa"/>
            <w:vAlign w:val="bottom"/>
          </w:tcPr>
          <w:p>
            <w:pPr>
              <w:spacing w:after="0"/>
              <w:rPr>
                <w:sz w:val="1"/>
                <w:szCs w:val="1"/>
                <w:color w:val="auto"/>
              </w:rPr>
            </w:pPr>
          </w:p>
        </w:tc>
      </w:tr>
      <w:tr>
        <w:trPr>
          <w:trHeight w:val="257"/>
        </w:trPr>
        <w:tc>
          <w:tcPr>
            <w:tcW w:w="6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78,305</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issued for vested phantom units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distribution to unitholders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(16,604)</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Quarterly distribution to noncontrolling interest retained in OpCo by Westlake</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(78,668)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(78,668)</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480,535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53,787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660,414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952,164</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Partnership</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0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Unitholders—</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Public and</w:t>
            </w:r>
          </w:p>
        </w:tc>
        <w:tc>
          <w:tcPr>
            <w:tcW w:w="1040" w:type="dxa"/>
            <w:vAlign w:val="bottom"/>
            <w:gridSpan w:val="3"/>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Unitholder—</w:t>
            </w:r>
          </w:p>
        </w:tc>
        <w:tc>
          <w:tcPr>
            <w:tcW w:w="140" w:type="dxa"/>
            <w:vAlign w:val="bottom"/>
          </w:tcPr>
          <w:p>
            <w:pPr>
              <w:spacing w:after="0"/>
              <w:rPr>
                <w:sz w:val="11"/>
                <w:szCs w:val="11"/>
                <w:color w:val="auto"/>
              </w:rPr>
            </w:pPr>
          </w:p>
        </w:tc>
        <w:tc>
          <w:tcPr>
            <w:tcW w:w="920" w:type="dxa"/>
            <w:vAlign w:val="bottom"/>
            <w:gridSpan w:val="2"/>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Partner—</w:t>
            </w:r>
          </w:p>
        </w:tc>
        <w:tc>
          <w:tcPr>
            <w:tcW w:w="180" w:type="dxa"/>
            <w:vAlign w:val="bottom"/>
          </w:tcPr>
          <w:p>
            <w:pPr>
              <w:spacing w:after="0"/>
              <w:rPr>
                <w:sz w:val="11"/>
                <w:szCs w:val="11"/>
                <w:color w:val="auto"/>
              </w:rPr>
            </w:pPr>
          </w:p>
        </w:tc>
        <w:tc>
          <w:tcPr>
            <w:tcW w:w="880" w:type="dxa"/>
            <w:vAlign w:val="bottom"/>
            <w:gridSpan w:val="2"/>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200" w:type="dxa"/>
            <w:vAlign w:val="bottom"/>
          </w:tcPr>
          <w:p>
            <w:pPr>
              <w:spacing w:after="0"/>
              <w:rPr>
                <w:sz w:val="11"/>
                <w:szCs w:val="11"/>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6020" w:type="dxa"/>
            <w:vAlign w:val="bottom"/>
          </w:tcPr>
          <w:p>
            <w:pPr>
              <w:spacing w:after="0"/>
              <w:rPr>
                <w:sz w:val="16"/>
                <w:szCs w:val="16"/>
                <w:color w:val="auto"/>
              </w:rPr>
            </w:pP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Privately Held</w:t>
            </w:r>
          </w:p>
        </w:tc>
        <w:tc>
          <w:tcPr>
            <w:tcW w:w="1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4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8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OpCo</w:t>
            </w: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637,738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915,137</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76,622</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Quarterly distribution to unitholders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(16,593)</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distribution to noncontrolling interest retained in OpCo by Westlake</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(62,058)</w:t>
            </w:r>
          </w:p>
        </w:tc>
        <w:tc>
          <w:tcPr>
            <w:tcW w:w="0" w:type="dxa"/>
            <w:vAlign w:val="bottom"/>
          </w:tcPr>
          <w:p>
            <w:pPr>
              <w:spacing w:after="0"/>
              <w:rPr>
                <w:sz w:val="1"/>
                <w:szCs w:val="1"/>
                <w:color w:val="auto"/>
              </w:rPr>
            </w:pP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470,834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637,156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913,108</w:t>
            </w:r>
          </w:p>
        </w:tc>
        <w:tc>
          <w:tcPr>
            <w:tcW w:w="0" w:type="dxa"/>
            <w:vAlign w:val="bottom"/>
          </w:tcPr>
          <w:p>
            <w:pPr>
              <w:spacing w:after="0"/>
              <w:rPr>
                <w:sz w:val="1"/>
                <w:szCs w:val="1"/>
                <w:color w:val="auto"/>
              </w:rPr>
            </w:pPr>
          </w:p>
        </w:tc>
      </w:tr>
      <w:tr>
        <w:trPr>
          <w:trHeight w:val="257"/>
        </w:trPr>
        <w:tc>
          <w:tcPr>
            <w:tcW w:w="6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120,294</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 issued for vested phantom units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Quarterly distribution to unitholders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(16,593)</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distribution to noncontrolling interest retained in OpCo by Westlake</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(65,200)</w:t>
            </w:r>
          </w:p>
        </w:tc>
        <w:tc>
          <w:tcPr>
            <w:tcW w:w="0" w:type="dxa"/>
            <w:vAlign w:val="bottom"/>
          </w:tcPr>
          <w:p>
            <w:pPr>
              <w:spacing w:after="0"/>
              <w:rPr>
                <w:sz w:val="1"/>
                <w:szCs w:val="1"/>
                <w:color w:val="auto"/>
              </w:rPr>
            </w:pP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476,076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667,151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951,758</w:t>
            </w:r>
          </w:p>
        </w:tc>
        <w:tc>
          <w:tcPr>
            <w:tcW w:w="0" w:type="dxa"/>
            <w:vAlign w:val="bottom"/>
          </w:tcPr>
          <w:p>
            <w:pPr>
              <w:spacing w:after="0"/>
              <w:rPr>
                <w:sz w:val="1"/>
                <w:szCs w:val="1"/>
                <w:color w:val="auto"/>
              </w:rPr>
            </w:pPr>
          </w:p>
        </w:tc>
      </w:tr>
      <w:tr>
        <w:trPr>
          <w:trHeight w:val="257"/>
        </w:trPr>
        <w:tc>
          <w:tcPr>
            <w:tcW w:w="6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66,075</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 issued for vested phantom units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Quarterly distribution to unitholders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(16,593)</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distribution to noncontrolling interest retained in OpCo by Westlake</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(96,683)</w:t>
            </w:r>
          </w:p>
        </w:tc>
        <w:tc>
          <w:tcPr>
            <w:tcW w:w="0" w:type="dxa"/>
            <w:vAlign w:val="bottom"/>
          </w:tcPr>
          <w:p>
            <w:pPr>
              <w:spacing w:after="0"/>
              <w:rPr>
                <w:sz w:val="1"/>
                <w:szCs w:val="1"/>
                <w:color w:val="auto"/>
              </w:rPr>
            </w:pPr>
          </w:p>
        </w:tc>
      </w:tr>
      <w:tr>
        <w:trPr>
          <w:trHeight w:val="248"/>
        </w:trPr>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474,062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904,819</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9"/>
        </w:trPr>
        <w:tc>
          <w:tcPr>
            <w:tcW w:w="8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r>
      <w:tr>
        <w:trPr>
          <w:trHeight w:val="23"/>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243,569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262,991</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82,830</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losses,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receivable—third parties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accounts receivable—Westlake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56,228</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(19,153)</w:t>
            </w: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386,577</w:t>
            </w: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(38,490)</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of investments with Westlake under the Investment Management Agreement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203,000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with Westlake under the Investment Management Agreement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(276,000)</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3"/>
        </w:trPr>
        <w:tc>
          <w:tcPr>
            <w:tcW w:w="82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(74,458)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(111,364)</w:t>
            </w: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Quarterly distributions to noncontrolling interest retained in OpCo by Westlake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(223,941)</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Quarterly distributions to unitholders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(49,779)</w:t>
            </w: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(273,720)</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17,154</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18,647</w:t>
            </w:r>
          </w:p>
        </w:tc>
      </w:tr>
      <w:tr>
        <w:trPr>
          <w:trHeight w:val="21"/>
        </w:trPr>
        <w:tc>
          <w:tcPr>
            <w:tcW w:w="8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7280" w:firstLine="8"/>
        <w:spacing w:after="0" w:line="354"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and Basis of Presentation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Westlake Chemical Partners LP (the "Partnership") is a Delaware limited partnership formed in March 2014 to operate, acquire and develop ethylene production facilities and related assets. On August 4, 2014, the Partnership completed its initial public offering (the "IPO") of 12,937,500 common units representing limited partner interests.</w:t>
      </w:r>
    </w:p>
    <w:p>
      <w:pPr>
        <w:spacing w:after="0" w:line="122" w:lineRule="exact"/>
        <w:rPr>
          <w:sz w:val="20"/>
          <w:szCs w:val="20"/>
          <w:color w:val="auto"/>
        </w:rPr>
      </w:pPr>
    </w:p>
    <w:p>
      <w:pPr>
        <w:ind w:right="160" w:firstLine="405"/>
        <w:spacing w:after="0" w:line="276" w:lineRule="auto"/>
        <w:rPr>
          <w:sz w:val="20"/>
          <w:szCs w:val="20"/>
          <w:color w:val="auto"/>
        </w:rPr>
      </w:pPr>
      <w:r>
        <w:rPr>
          <w:rFonts w:ascii="Times New Roman" w:cs="Times New Roman" w:eastAsia="Times New Roman" w:hAnsi="Times New Roman"/>
          <w:sz w:val="17"/>
          <w:szCs w:val="17"/>
          <w:color w:val="auto"/>
        </w:rPr>
        <w:t>In connection with the IPO, the Partnership acquired a 10.6% limited partner interest in Westlake Chemical OpCo LP ("OpCo") and a 100% interest in Westlake Chemical OpCo GP LLC ("OpCo GP"), which is the general partner of OpCo. OpCo owns three ethylene production facilities and one</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common carrier ethylene pipeline (collectively, the "Contributed Assets"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Since the IPO, the Partnership has periodically purchased additional limited partner interest in OpCo. Most recently, on March 29, 2019, the Partnership purchased an additional 4.5% newly-issued limited partner interest in OpCo for approximately $201,445, resulting in an aggregate 22.8% limited partner interest in OpCo, effective January 1, 2019. The remaining 77.2% limited partner interest in OpCo is owned by Westlake Corporation.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ind w:right="200" w:firstLine="405"/>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consolidated financial statements and notes thereto of the Partnership included in the annual report on Form 10-K for the fiscal year ended December 31, 2021 (the "2021 Form 10-K"), filed with the SEC on March 2, 2022. These financial statements have been prepared in conformity with the accounting principles and practices as disclosed in the notes to the consolidated financial statements of the Partnership for the fiscal year ended December 31, 2021.</w:t>
      </w:r>
    </w:p>
    <w:p>
      <w:pPr>
        <w:spacing w:after="0" w:line="135"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References to "Westlake" refer collectively to Westlake Corporation (formerly known as Westlake Chemical Corporation) and its subsidiaries, other than the Partnership, OpCo and OpCo GP.</w:t>
      </w:r>
    </w:p>
    <w:p>
      <w:pPr>
        <w:spacing w:after="0" w:line="10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Partnership holds a 22.8% limited partner interest and the entire non-economic general partner interest in OpCo. The remaining 77.2% limited partner interest in OpCo is owned directly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Westlake's retained interest of 77.2% is recorded as noncontrolling interest in the Partnership's consolidated financial statements.</w:t>
      </w:r>
    </w:p>
    <w:p>
      <w:pPr>
        <w:spacing w:after="0" w:line="13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the opinion of the Partnership's management, the accompanying unaudited consolidated interim financial statements reflect all adjustments (consisting only of normal recurring adjustments) that are necessary for a fair statement of the Partnership's financial position as of September 30, 2022, its results of operations for the three and nine months ended September 30, 2022 and 2021 and the changes in its cash position for the nine months ended September 30, 2022 and 2021.</w:t>
      </w:r>
    </w:p>
    <w:p>
      <w:pPr>
        <w:spacing w:after="0" w:line="126"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Results of operations and changes in cash position for the interim periods presented are not necessarily indicative of the results that will be realized for the fiscal year ending December 31, 2022 or any other interim period. The preparation of financial 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Accounts Receivable—Third Parties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Accounts receivable—third parties consist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customers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2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7"/>
                <w:szCs w:val="17"/>
                <w:color w:val="auto"/>
              </w:rPr>
            </w:pPr>
          </w:p>
        </w:tc>
        <w:tc>
          <w:tcPr>
            <w:tcW w:w="122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Feedstock, additives and chemicals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Plant and Equipment</w:t>
      </w:r>
    </w:p>
    <w:p>
      <w:pPr>
        <w:spacing w:after="0" w:line="108" w:lineRule="exact"/>
        <w:rPr>
          <w:sz w:val="20"/>
          <w:szCs w:val="20"/>
          <w:color w:val="auto"/>
        </w:rPr>
      </w:pPr>
    </w:p>
    <w:p>
      <w:pPr>
        <w:ind w:right="160" w:firstLine="405"/>
        <w:spacing w:after="0" w:line="289" w:lineRule="auto"/>
        <w:rPr>
          <w:sz w:val="20"/>
          <w:szCs w:val="20"/>
          <w:color w:val="auto"/>
        </w:rPr>
      </w:pPr>
      <w:r>
        <w:rPr>
          <w:rFonts w:ascii="Times New Roman" w:cs="Times New Roman" w:eastAsia="Times New Roman" w:hAnsi="Times New Roman"/>
          <w:sz w:val="17"/>
          <w:szCs w:val="17"/>
          <w:color w:val="auto"/>
        </w:rPr>
        <w:t>Depreciation expense on property, plant and equipment of $23,368 and $23,010 is included in cost of sales in the consolidated statements of operations for the three months ended September 30, 2022 and 2021, respectively. Depreciation expense on property, plant and equipment of $71,252 and $68,795 is included in cost of sales in the consolidated statements of operations for the nine months ended September 30, 2022 and 2021,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Deferred Charges and Other Assets</w:t>
      </w:r>
    </w:p>
    <w:p>
      <w:pPr>
        <w:spacing w:after="0" w:line="108"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Amortization expense on other assets of $6,023 and $3,576 is included in cost of sales in the consolidated statements of operations for the three months ended September 30, 2022 and 2021, respectively. Amortization expense on other assets of $20,430 and $14,035 is included in cost of sales in the consolidated statements of operations for the nine months ended September 30, 2022 and 2021,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Distributions and Net Income Per Limited Partner Unit</w:t>
      </w:r>
    </w:p>
    <w:p>
      <w:pPr>
        <w:spacing w:after="0" w:line="94"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On October 31, 2022, the board of directors of Westlake Chemical Partners GP LLC ("Westlake GP"), the Partnership's general partner, declared a quarterly cash distribution for the three months ended September 30, 2022 of $0.4714 per unit. This distribution is payable on November 28, 2022 to unitholders of record as of November 10, 2022.</w:t>
      </w:r>
    </w:p>
    <w:p>
      <w:pPr>
        <w:spacing w:after="0" w:line="12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Distributions are declared subsequent to quarter end; therefore, the table below represents total cash distributions declared from earnings of the related periods pertaining to such distributions.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14,757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12,790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47,389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53,035</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Limited partners' distribution declared on common units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16,604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16,600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49,799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49,788</w:t>
            </w:r>
          </w:p>
        </w:tc>
        <w:tc>
          <w:tcPr>
            <w:tcW w:w="0" w:type="dxa"/>
            <w:vAlign w:val="bottom"/>
          </w:tcPr>
          <w:p>
            <w:pPr>
              <w:spacing w:after="0"/>
              <w:rPr>
                <w:sz w:val="1"/>
                <w:szCs w:val="1"/>
                <w:color w:val="auto"/>
              </w:rPr>
            </w:pPr>
          </w:p>
        </w:tc>
      </w:tr>
      <w:tr>
        <w:trPr>
          <w:trHeight w:val="155"/>
        </w:trPr>
        <w:tc>
          <w:tcPr>
            <w:tcW w:w="52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income in excess of distribution (Distribution in excess of net</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w w:val="98"/>
              </w:rPr>
              <w:t>(1,847)</w:t>
            </w:r>
          </w:p>
        </w:tc>
        <w:tc>
          <w:tcPr>
            <w:tcW w:w="120" w:type="dxa"/>
            <w:vAlign w:val="bottom"/>
          </w:tcPr>
          <w:p>
            <w:pPr>
              <w:spacing w:after="0"/>
              <w:rPr>
                <w:sz w:val="13"/>
                <w:szCs w:val="13"/>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(3,810)</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Pr>
          <w:p>
            <w:pPr>
              <w:spacing w:after="0"/>
              <w:rPr>
                <w:sz w:val="13"/>
                <w:szCs w:val="13"/>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0" w:type="dxa"/>
            <w:vAlign w:val="bottom"/>
          </w:tcPr>
          <w:p>
            <w:pPr>
              <w:spacing w:after="0"/>
              <w:rPr>
                <w:sz w:val="1"/>
                <w:szCs w:val="1"/>
                <w:color w:val="auto"/>
              </w:rPr>
            </w:pPr>
          </w:p>
        </w:tc>
      </w:tr>
      <w:tr>
        <w:trPr>
          <w:trHeight w:val="221"/>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2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Net income per unit applicable to common limited partner units is computed by dividing the respective limited partners' interest in net income by the weighted-average number of common units outstanding for the period. Because the Partnership has more than one class of participating securities, it uses the two-class method when calculating the net income per unit applicable to limited partners. The classes of participating securities include common units and incentive distribution rights. Net income attributable to the Partnership is allocated to the unitholders in accordance with their respective ownership percentages in preparation of the consolidated statements of changes in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6"/>
          </w:tcPr>
          <w:p>
            <w:pPr>
              <w:jc w:val="center"/>
              <w:ind w:left="737"/>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3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7"/>
              <w:spacing w:after="0" w:line="129"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500" w:type="dxa"/>
            <w:vAlign w:val="bottom"/>
          </w:tcPr>
          <w:p>
            <w:pPr>
              <w:spacing w:after="0"/>
              <w:rPr>
                <w:sz w:val="11"/>
                <w:szCs w:val="11"/>
                <w:color w:val="auto"/>
              </w:rPr>
            </w:pPr>
          </w:p>
        </w:tc>
        <w:tc>
          <w:tcPr>
            <w:tcW w:w="94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5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2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0" w:type="dxa"/>
            <w:vAlign w:val="bottom"/>
          </w:tcPr>
          <w:p>
            <w:pPr>
              <w:spacing w:after="0"/>
              <w:rPr>
                <w:sz w:val="1"/>
                <w:szCs w:val="1"/>
                <w:color w:val="auto"/>
              </w:rPr>
            </w:pPr>
          </w:p>
        </w:tc>
      </w:tr>
      <w:tr>
        <w:trPr>
          <w:trHeight w:val="223"/>
        </w:trPr>
        <w:tc>
          <w:tcPr>
            <w:tcW w:w="4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2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14,757</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35,218,547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35,218,547</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4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5"/>
        </w:trPr>
        <w:tc>
          <w:tcPr>
            <w:tcW w:w="4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6"/>
          </w:tcPr>
          <w:p>
            <w:pPr>
              <w:jc w:val="center"/>
              <w:ind w:left="737"/>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7"/>
              <w:spacing w:after="0" w:line="131"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500" w:type="dxa"/>
            <w:vAlign w:val="bottom"/>
          </w:tcPr>
          <w:p>
            <w:pPr>
              <w:spacing w:after="0"/>
              <w:rPr>
                <w:sz w:val="11"/>
                <w:szCs w:val="11"/>
                <w:color w:val="auto"/>
              </w:rPr>
            </w:pPr>
          </w:p>
        </w:tc>
        <w:tc>
          <w:tcPr>
            <w:tcW w:w="94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5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2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16,600</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16,600</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0" w:type="dxa"/>
            <w:vAlign w:val="bottom"/>
          </w:tcPr>
          <w:p>
            <w:pPr>
              <w:spacing w:after="0"/>
              <w:rPr>
                <w:sz w:val="1"/>
                <w:szCs w:val="1"/>
                <w:color w:val="auto"/>
              </w:rPr>
            </w:pPr>
          </w:p>
        </w:tc>
      </w:tr>
      <w:tr>
        <w:trPr>
          <w:trHeight w:val="223"/>
        </w:trPr>
        <w:tc>
          <w:tcPr>
            <w:tcW w:w="4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2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12,790</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35,209,976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35,209,976</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4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4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6"/>
          </w:tcPr>
          <w:p>
            <w:pPr>
              <w:jc w:val="center"/>
              <w:ind w:left="737"/>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3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7"/>
              <w:spacing w:after="0" w:line="129"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500" w:type="dxa"/>
            <w:vAlign w:val="bottom"/>
          </w:tcPr>
          <w:p>
            <w:pPr>
              <w:spacing w:after="0"/>
              <w:rPr>
                <w:sz w:val="11"/>
                <w:szCs w:val="11"/>
                <w:color w:val="auto"/>
              </w:rPr>
            </w:pPr>
          </w:p>
        </w:tc>
        <w:tc>
          <w:tcPr>
            <w:tcW w:w="94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5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2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49,799</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49,799</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0" w:type="dxa"/>
            <w:vAlign w:val="bottom"/>
          </w:tcPr>
          <w:p>
            <w:pPr>
              <w:spacing w:after="0"/>
              <w:rPr>
                <w:sz w:val="1"/>
                <w:szCs w:val="1"/>
                <w:color w:val="auto"/>
              </w:rPr>
            </w:pPr>
          </w:p>
        </w:tc>
      </w:tr>
      <w:tr>
        <w:trPr>
          <w:trHeight w:val="223"/>
        </w:trPr>
        <w:tc>
          <w:tcPr>
            <w:tcW w:w="4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2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47,389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47,389</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35,215,808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35,215,808</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2400" w:type="dxa"/>
            <w:vAlign w:val="bottom"/>
            <w:vMerge w:val="restart"/>
          </w:tcPr>
          <w:p>
            <w:pPr>
              <w:jc w:val="right"/>
              <w:ind w:right="99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3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6"/>
          </w:tcPr>
          <w:p>
            <w:pPr>
              <w:jc w:val="center"/>
              <w:ind w:left="757"/>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480" w:type="dxa"/>
            <w:vAlign w:val="bottom"/>
          </w:tcPr>
          <w:p>
            <w:pPr>
              <w:spacing w:after="0"/>
              <w:rPr>
                <w:sz w:val="11"/>
                <w:szCs w:val="11"/>
                <w:color w:val="auto"/>
              </w:rPr>
            </w:pPr>
          </w:p>
        </w:tc>
        <w:tc>
          <w:tcPr>
            <w:tcW w:w="96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4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49,788</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49,788</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in excess of distribution</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0" w:type="dxa"/>
            <w:vAlign w:val="bottom"/>
          </w:tcPr>
          <w:p>
            <w:pPr>
              <w:spacing w:after="0"/>
              <w:rPr>
                <w:sz w:val="1"/>
                <w:szCs w:val="1"/>
                <w:color w:val="auto"/>
              </w:rPr>
            </w:pPr>
          </w:p>
        </w:tc>
      </w:tr>
      <w:tr>
        <w:trPr>
          <w:trHeight w:val="223"/>
        </w:trPr>
        <w:tc>
          <w:tcPr>
            <w:tcW w:w="6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53,035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53,035</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35,203,609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35,203,609</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The amended Partnership Agreement provides that the Partnership will distribute cash that is deemed to be operating surplus each quarter to all the unitholders, pro rata, until each unit has received a distribution of $1.2938. If cash distributions to the Partnership's unitholders exceed $1.2938 per common unit in any quarter, the Partnership's unitholders and Westlake, as the holder of the Partnership's incentive distribution rights, will receive distributions according to the following percentage allocations: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3"/>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Marginal Percentage Interest in Distributions</w:t>
            </w:r>
          </w:p>
        </w:tc>
        <w:tc>
          <w:tcPr>
            <w:tcW w:w="0" w:type="dxa"/>
            <w:vAlign w:val="bottom"/>
          </w:tcPr>
          <w:p>
            <w:pPr>
              <w:spacing w:after="0"/>
              <w:rPr>
                <w:sz w:val="1"/>
                <w:szCs w:val="1"/>
                <w:color w:val="auto"/>
              </w:rPr>
            </w:pPr>
          </w:p>
        </w:tc>
      </w:tr>
      <w:tr>
        <w:trPr>
          <w:trHeight w:val="23"/>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Quarterly Distribution Per Unit</w:t>
            </w:r>
          </w:p>
        </w:tc>
        <w:tc>
          <w:tcPr>
            <w:tcW w:w="16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gridSpan w:val="2"/>
            <w:vMerge w:val="continue"/>
          </w:tcPr>
          <w:p>
            <w:pPr>
              <w:spacing w:after="0"/>
              <w:rPr>
                <w:sz w:val="16"/>
                <w:szCs w:val="16"/>
                <w:color w:val="auto"/>
              </w:rPr>
            </w:pPr>
          </w:p>
        </w:tc>
        <w:tc>
          <w:tcPr>
            <w:tcW w:w="16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5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IDR Holders</w:t>
            </w:r>
          </w:p>
        </w:tc>
        <w:tc>
          <w:tcPr>
            <w:tcW w:w="0" w:type="dxa"/>
            <w:vAlign w:val="bottom"/>
          </w:tcPr>
          <w:p>
            <w:pPr>
              <w:spacing w:after="0"/>
              <w:rPr>
                <w:sz w:val="1"/>
                <w:szCs w:val="1"/>
                <w:color w:val="auto"/>
              </w:rPr>
            </w:pPr>
          </w:p>
        </w:tc>
      </w:tr>
      <w:tr>
        <w:trPr>
          <w:trHeight w:val="229"/>
        </w:trPr>
        <w:tc>
          <w:tcPr>
            <w:tcW w:w="7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 $1.2938 up to $1.4063</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Above $1.4063 up to $1.6875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 $1.6875</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The Partnership's distribution for the three months ended September 30, 2022 did not exceed the $1.2938 per unit threshold, and, as a result, no distribution was made with respect to the Partnership's incentive distribution rights to Westlake, as the holder of the Partnership's incentive distribution rights.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Per Common Unit</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Distributions per common unit for the three and nine months ended September 30, 2022 and 2021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4"/>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per common unit</w:t>
            </w:r>
          </w:p>
        </w:tc>
        <w:tc>
          <w:tcPr>
            <w:tcW w:w="840" w:type="dxa"/>
            <w:vAlign w:val="bottom"/>
            <w:tcBorders>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0.4714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1.4142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1.4142</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Partners' Equity</w:t>
      </w:r>
    </w:p>
    <w:p>
      <w:pPr>
        <w:spacing w:after="0" w:line="108"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On October 4, 2018, the Partnership and Westlake Chemical Partners GP LLC, the general partner of the Partnership, entered into an Equity Distribution Agreement with UBS Securities LLC, Barclays Capital Inc., Citigroup Global Markets Inc., Deutsche Bank Securities Inc., RBC Capital Markets, LLC, Merrill Lynch, Pierce, Fenner &amp; Smith Incorporated and Wells Fargo Securities, LLC to offer and sell the Partnership's common units, from time to time, up to an aggregate offering amount of $50,000. The Equity Distribution Agreement was amended on February 28, 2020 to reference a new shelf registration for utilization under this agreement. No common units were issued under this program as of September 30, 2022.</w:t>
      </w:r>
    </w:p>
    <w:p>
      <w:pPr>
        <w:spacing w:after="0" w:line="129"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On March 29, 2019, the Partnership completed the issuance and sale of 2,940,818 common units at a price of $21.40 per unit through a private placement. TTWF LP, Westlake's principal stockholder and a related party, acquired 1,401,869 common units out of 2,940,818 common units issued in the private placement.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 Party Transactions</w:t>
      </w:r>
    </w:p>
    <w:p>
      <w:pPr>
        <w:spacing w:after="0" w:line="94"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The Partnership and OpCo regularly enter into related party transactions with Westlake. See below for a description of transactions with related parties.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Related Parties</w:t>
      </w:r>
    </w:p>
    <w:p>
      <w:pPr>
        <w:spacing w:after="0" w:line="108"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OpCo sells ethylene to Westlake under the Ethylene Sales Agreement. Additionally, the Partnership and OpCo from time to time provide other services or products for which it charges Westlake a fee.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Sales to related parties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4"/>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sales—Westlake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364,273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1,020,042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708,646</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As of September 30, 2022, OpCo has estimated an annual deficiency for the full year 2022, and thus, the Partnership has recognized buyer deficiency fees of $13,940 during the three and nine months ended September 30, 2022. The buyer deficiency fee is measured based upon the lower of the actual production deficiency at period end or the estimated annual production deficiency. The buyer deficiency fees are classified as a component of net sales— Westlake.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from Related Parties</w:t>
      </w:r>
    </w:p>
    <w:p>
      <w:pPr>
        <w:spacing w:after="0" w:line="94"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in cost of sales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Feedstock purchased from Westlake and included in cost of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302,095</w:t>
            </w:r>
          </w:p>
        </w:tc>
      </w:tr>
      <w:tr>
        <w:trPr>
          <w:trHeight w:val="22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charges from Westlake and included in cost of sales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94,923</w:t>
            </w: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397,018</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879"/>
        </w:trPr>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from Related Parties Included in Selling, General and Administrative Expenses</w:t>
      </w:r>
    </w:p>
    <w:p>
      <w:pPr>
        <w:spacing w:after="0" w:line="94"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included within selling, general and administrative expenses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62"/>
        </w:trPr>
        <w:tc>
          <w:tcPr>
            <w:tcW w:w="52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Services received from Westlake and included in selling, general and</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7,080</w:t>
            </w:r>
          </w:p>
        </w:tc>
        <w:tc>
          <w:tcPr>
            <w:tcW w:w="1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20,510</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21,837</w:t>
            </w:r>
          </w:p>
        </w:tc>
        <w:tc>
          <w:tcPr>
            <w:tcW w:w="0" w:type="dxa"/>
            <w:vAlign w:val="bottom"/>
          </w:tcPr>
          <w:p>
            <w:pPr>
              <w:spacing w:after="0"/>
              <w:rPr>
                <w:sz w:val="1"/>
                <w:szCs w:val="1"/>
                <w:color w:val="auto"/>
              </w:rPr>
            </w:pPr>
          </w:p>
        </w:tc>
      </w:tr>
      <w:tr>
        <w:trPr>
          <w:trHeight w:val="236"/>
        </w:trPr>
        <w:tc>
          <w:tcPr>
            <w:tcW w:w="5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administrative expenses</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from Related Parties Capitalized as Assets</w:t>
      </w:r>
    </w:p>
    <w:p>
      <w:pPr>
        <w:spacing w:after="0" w:line="108"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for goods and services capitalized as assets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62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4"/>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Goods and services purchased from Westlake and capitalized as assets</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2,205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 under the Investment Management Agreement</w:t>
      </w:r>
    </w:p>
    <w:p>
      <w:pPr>
        <w:spacing w:after="0" w:line="10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On August 1, 2017, the Partnership, OpCo and Westlake executed an investment management agreement (the "Investment Management Agreement") that authorized Westlake to invest the Partnership's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Accrued interest of $691 and $71 was included in the receivable under the Investment Management Agreement balance at September 30, 2022 and December 31, 2021, respectively. Total interest earned related to the Investment Management Agreement was $691 and $81 for the three months ended September 30, 2022 and 2021, respectively, and $934 and $225 for the nine months ended September 30, 2022 and 2021, respectively.</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receivable under the Investment Management Agreement was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880" w:type="dxa"/>
            <w:vAlign w:val="bottom"/>
            <w:tcBorders>
              <w:bottom w:val="single" w:sz="8" w:color="CCEEFF"/>
            </w:tcBorders>
          </w:tcPr>
          <w:p>
            <w:pPr>
              <w:spacing w:after="0"/>
              <w:rPr>
                <w:sz w:val="16"/>
                <w:szCs w:val="16"/>
                <w:color w:val="auto"/>
              </w:rPr>
            </w:pPr>
          </w:p>
        </w:tc>
        <w:tc>
          <w:tcPr>
            <w:tcW w:w="3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3"/>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under the Investment Management Agreement</w:t>
            </w:r>
          </w:p>
        </w:tc>
        <w:tc>
          <w:tcPr>
            <w:tcW w:w="3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135,863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106,243</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88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8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from Related Parties</w:t>
      </w:r>
    </w:p>
    <w:p>
      <w:pPr>
        <w:spacing w:after="0" w:line="94"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Partnership's accounts receivable from Westlake result primarily from ethylene sales to Westlake and the buyer deficiency fee and shortfall fee recognized under the Ethylene Sales Agreement.</w:t>
      </w:r>
    </w:p>
    <w:p>
      <w:pPr>
        <w:spacing w:after="0" w:line="108"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buyer deficiency fees discussed above under "Sales to Related Parties" recognized in the nine months ended September 30, 2022 are scheduled to be received by the Partnership after December 31, 2022.</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a result of the force majeure events in 2021, the Partnership recognized revenue for a buyer deficiency fee of $51,395 and a shortfall fee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$58,906 during 2021. The buyer deficiency fee was collected from Westlake in January 2022 and the shortfall fee recognized in 2021 is recoverable during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per the Ethylene Sales Agreement.</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accounts receivable from Westlake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receivable—Westlake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98,399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142,791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to Related Parties</w:t>
      </w:r>
    </w:p>
    <w:p>
      <w:pPr>
        <w:spacing w:after="0" w:line="108"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The Partnership's accounts payable to Westlake result primarily from feedstock purchases under the Feedstock Supply Agreement and services provided under the Services and Secondment Agreement and the Omnibus Agreement.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accounts payable to Westlake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4"/>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payable—Westlake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35,583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10,796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Leases</w:t>
      </w:r>
    </w:p>
    <w:p>
      <w:pPr>
        <w:spacing w:after="0" w:line="108"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OpCo is obligated to Westlake under various long-term and short-term noncancelable operating leases, primarily related to rail car leases and land. Operating lease rentals paid to Westlake for such leases were $719 and $997 for the three months ended September 30, 2022 and 2021, respectively, and $1,979 and $2,292 for the nine months ended September 30, 2022 and 2021, respectively, and reflected in other charges from Westlake that are included in cost of sales.</w:t>
      </w:r>
    </w:p>
    <w:p>
      <w:pPr>
        <w:spacing w:after="0" w:line="126"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OpCo has two site lease agreements with Westlake, each of which has a term of 50 years. Pursuant to the site lease agreements, OpCo pays Westlake one dollar per site per year.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Payable to Related Parties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9 for a description of related party debt payable balances.</w:t>
      </w:r>
    </w:p>
    <w:p>
      <w:pPr>
        <w:spacing w:after="0" w:line="17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Interest on related party debt payable balances for the three months ended September 30, 2022 and 2021 was $3,645 and $2,190, respectively. Interest on related party debt payable balances for the nine months ended September 30, 2022 and 2021 was $8,703 and $6,650, respectively. Interest on related party debt payable is presented as interest expense—Westlake in the consolidated statements of operations. At September 30, 2022 and December 31, 2021, accrued interest on related party debt was $3,544 and $2,176, respectively, and is reflected as a component of accrued and other liabilities in the consolidated balance sheets.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Debt payable to related parties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payable to Westlake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399,674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Major Customer and Concentration of Credit Risk</w:t>
      </w:r>
    </w:p>
    <w:p>
      <w:pPr>
        <w:spacing w:after="0" w:line="10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2022 and 2021, Westlake accounted for approximately 87.8% and 84.3%, respectively, of the Partnership's net sales. During the nine months ended September 30, 2022 and 2021, Westlake accounted for approximately 83.2% and 80.1%, respectively, of the Partnership's net sales.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Long-Term Debt Payable to Westlake</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payable to Westlake consists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Revolver</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MLP Revolver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377,055</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On July 12, 2022, OpCo entered into the Second Amendment (the "OpCo Revolver Amendment") to the Amended and Restated Senior Unsecured Revolving Credit Agreement (as so amended, the "OpCo Revolver"). Prior to the OpCo Revolver Amendment, the OpCo Revolver bore interest at the London Interbank Offered Rate ("LIBOR") plus 2.0%. The OpCo Revolver Amendment, among other things, extended the maturity date of the OpCo Revolver from September 25, 2023 to July 12, 2027 and provided for the replacement of LIBOR with the Secured Overnight Financing Rate, as administered by the Federal Reserve Bank of New York ("SOFR"). Borrowings under the OpCo Revolver now bear interest at a variable rate of either (a) SOFR plus the Applicable Margin plus a 0.10% credit spread adjustment or, if SOFR is no longer available, (b) the Alternate Base Rate plus the Applicable Margin minus 1.0%. The Applicable Margin under the OpCo Revolver is 1.75%. As of September 30, 2022, outstanding borrowings under the OpCo Revolver bore interest at SOFR plus the Applicable Margin and credit spread adjustment.</w:t>
      </w:r>
    </w:p>
    <w:p>
      <w:pPr>
        <w:spacing w:after="0" w:line="138" w:lineRule="exact"/>
        <w:rPr>
          <w:sz w:val="20"/>
          <w:szCs w:val="20"/>
          <w:color w:val="auto"/>
        </w:rPr>
      </w:pPr>
    </w:p>
    <w:p>
      <w:pPr>
        <w:ind w:right="140" w:firstLine="405"/>
        <w:spacing w:after="0" w:line="276" w:lineRule="auto"/>
        <w:rPr>
          <w:sz w:val="20"/>
          <w:szCs w:val="20"/>
          <w:color w:val="auto"/>
        </w:rPr>
      </w:pPr>
      <w:r>
        <w:rPr>
          <w:rFonts w:ascii="Times New Roman" w:cs="Times New Roman" w:eastAsia="Times New Roman" w:hAnsi="Times New Roman"/>
          <w:sz w:val="17"/>
          <w:szCs w:val="17"/>
          <w:color w:val="auto"/>
        </w:rPr>
        <w:t>On July 12, 2022, the Partnership entered into the Fourth Amendment (the "MLP Revolver Amendment") to the Senior Unsecured Revolving Credit Agreement (the "MLP Revolver"). Prior to the MLP Revolver Amendment, the MLP Revolver bore interest at a variable rate of either (a) LIBOR plus</w:t>
      </w:r>
    </w:p>
    <w:p>
      <w:pPr>
        <w:spacing w:after="0" w:line="1"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2.0% or, if LIBOR were no longer available, (b) the Alternate Base Rate plus 1.0%. The MLP Revolver Amendment, among other things, extended the maturity date of the MLP Revolver from March 19, 2023 to July 12, 2027 and provided for the replacement of LIBOR with SOFR. Borrowings under the MLP Revolver now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 As of September 30, 2022, outstanding borrowings under the MLP Revolver bore interest at SOFR plus the Applicable Margin and credit spread adjustment.</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weighted average interest rate on all debt was 3.4% and 2.1% at September 30, 2022 and December 31, 2021, respectively.</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2022, the Partnership was in compliance with all of the covenants under the OpCo Revolver and the MLP Revolver.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108"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The Partnership has financial assets and liabilities subject to fair value measures. These financial assets and liabilities include cash and cash equivalents, accounts receivable, net, accounts payable and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debt at September 30, 2022 and December 31, 2021 are summarized in the table below. The Partnership's debt includes the OpCo Revolver and the MLP Revolver at September 30, 2022. The fair value of debt is determined based on the present value of expected future cash flows using a discounted cash flow methodology. Because the Partnership's valuation methodology used for debt requires the use of significant unobservable inputs, the inputs used to measure the fair value of the Partnership's debt are classified as Level 3 within the fair value hierarchy. Inputs used to estimate the fair values of the Partnership's debt include the selection of an appropriate discount rate.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900" w:type="dxa"/>
            <w:vAlign w:val="bottom"/>
          </w:tcPr>
          <w:p>
            <w:pPr>
              <w:spacing w:after="0"/>
              <w:rPr>
                <w:sz w:val="16"/>
                <w:szCs w:val="16"/>
                <w:color w:val="auto"/>
              </w:rPr>
            </w:pPr>
          </w:p>
        </w:tc>
      </w:tr>
      <w:tr>
        <w:trPr>
          <w:trHeight w:val="23"/>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28"/>
        </w:trPr>
        <w:tc>
          <w:tcPr>
            <w:tcW w:w="5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239"/>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499"/>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6"/>
        </w:trPr>
        <w:tc>
          <w:tcPr>
            <w:tcW w:w="5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20" w:type="dxa"/>
            <w:vAlign w:val="bottom"/>
          </w:tcPr>
          <w:p>
            <w:pPr>
              <w:spacing w:after="0"/>
              <w:rPr>
                <w:sz w:val="17"/>
                <w:szCs w:val="17"/>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40" w:type="dxa"/>
            <w:vAlign w:val="bottom"/>
          </w:tcPr>
          <w:p>
            <w:pPr>
              <w:spacing w:after="0"/>
              <w:rPr>
                <w:sz w:val="17"/>
                <w:szCs w:val="17"/>
                <w:color w:val="auto"/>
              </w:rPr>
            </w:pPr>
          </w:p>
        </w:tc>
        <w:tc>
          <w:tcPr>
            <w:tcW w:w="90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29"/>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Revolver</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22,619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22,619</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23,276</w:t>
            </w:r>
          </w:p>
        </w:tc>
      </w:t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MLP Revolver</w:t>
            </w:r>
          </w:p>
        </w:tc>
        <w:tc>
          <w:tcPr>
            <w:tcW w:w="26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377,055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382,278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377,055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383,574</w:t>
            </w:r>
          </w:p>
        </w:tc>
      </w:tr>
    </w:tbl>
    <w:p>
      <w:pPr>
        <w:spacing w:after="0" w:line="310" w:lineRule="exact"/>
        <w:rPr>
          <w:sz w:val="20"/>
          <w:szCs w:val="20"/>
          <w:color w:val="auto"/>
        </w:rPr>
      </w:pPr>
    </w:p>
    <w:p>
      <w:pPr>
        <w:ind w:right="8920" w:firstLine="8"/>
        <w:spacing w:after="0" w:line="354" w:lineRule="auto"/>
        <w:tabs>
          <w:tab w:leader="none" w:pos="2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Information </w:t>
      </w:r>
      <w:r>
        <w:rPr>
          <w:rFonts w:ascii="Times New Roman" w:cs="Times New Roman" w:eastAsia="Times New Roman" w:hAnsi="Times New Roman"/>
          <w:sz w:val="18"/>
          <w:szCs w:val="18"/>
          <w:b w:val="1"/>
          <w:bCs w:val="1"/>
          <w:i w:val="1"/>
          <w:iCs w:val="1"/>
          <w:color w:val="auto"/>
        </w:rPr>
        <w:t>Accrued and Other Liabilities</w:t>
      </w:r>
    </w:p>
    <w:p>
      <w:pPr>
        <w:spacing w:after="0" w:line="1" w:lineRule="exact"/>
        <w:rPr>
          <w:sz w:val="20"/>
          <w:szCs w:val="20"/>
          <w:color w:val="auto"/>
        </w:rPr>
      </w:pPr>
    </w:p>
    <w:p>
      <w:pPr>
        <w:ind w:right="180" w:firstLine="405"/>
        <w:spacing w:after="0" w:line="289" w:lineRule="auto"/>
        <w:rPr>
          <w:sz w:val="20"/>
          <w:szCs w:val="20"/>
          <w:color w:val="auto"/>
        </w:rPr>
      </w:pPr>
      <w:r>
        <w:rPr>
          <w:rFonts w:ascii="Times New Roman" w:cs="Times New Roman" w:eastAsia="Times New Roman" w:hAnsi="Times New Roman"/>
          <w:sz w:val="17"/>
          <w:szCs w:val="17"/>
          <w:color w:val="auto"/>
        </w:rPr>
        <w:t>Accrued and other liabilities were $22,615 and $60,895 at September 30, 2022 and December 31, 2021, respectively. Accrued maintenance expense and accrued taxes, which are components of accrued and other liabilities, were $6,128 and $5,462, respectively, at September 30, 2022 and $5,597 and $2,264, respectively, at December 31, 2021. No other component of accrued and other liabilities was more than five percent of total current liabilities.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Investing Activity</w:t>
      </w:r>
    </w:p>
    <w:p>
      <w:pPr>
        <w:spacing w:after="0" w:line="108"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Capital expenditure related liabilities, included in accounts payable—third parties and accrued and other liabilities, were $7,654 and $10,517 at September 30, 2022 and 2021,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08"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("RCRA"),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Westlake will indemnify the Partnership for liabilities that occurred or existed prior to August 4, 2014.</w:t>
      </w:r>
    </w:p>
    <w:p>
      <w:pPr>
        <w:spacing w:after="0" w:line="138"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On September 27, 2021, shortly after the turnaround on Petro 2 commenced, there was a flash fire at the quench tower of the Petro 2 facility. Several contractors working on the quench tower were injured. There are lawsuits pending in connection with the flash fire. We expect insurance to cover most of the costs associated with these lawsuits.</w:t>
      </w:r>
    </w:p>
    <w:p>
      <w:pPr>
        <w:spacing w:after="0" w:line="122"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Partnership is also involved in other legal proceedings incidental to the conduct of its business. The Partnership does not believe that any of these legal proceedings will have a material adverse effect on its financial condition, results of operations or cash flows.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160" w:firstLine="405"/>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section should be read in conjunction with the accompanying consolidated financial statements and the notes thereto and the consolidated financial statements and notes thereto included in Westlake Chemical Partners LP's annual report on Form 10-K for the fiscal year ended December 31, 2021 (the "2021 Form 10-K"), as filed with the SEC on March 2, 2022. Unless otherwise indicated, references in this report to "we," "our," "us" or like terms, refer to Westlake Chemical Partners LP (the "Partnership"), Westlake Chemical OpCo LP ("OpCo") and Westlake Chemical OpCo GP LLC ("OpCo GP"). References to "Westlake" refer to Westlake Corporation (formerly known as Westlake Chemical Corporation) and its consolidated subsidiaries other than the Partnership, OpCo GP and OpCo. The following discussion contains forward-looking statements. Please read "Forward-Looking Statements" for a discussion of limitations inherent in such statements.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 Overview</w:t>
      </w:r>
    </w:p>
    <w:p>
      <w:pPr>
        <w:spacing w:after="0" w:line="108"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We are a Delaware limited partnership formed by Westlake to operate, acquire and develop ethylene production facilities and related assets. On August 4, 2014, we closed our initial public offering (the "IPO") of 12,937,500 common units.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The 12,686,115 subordinated units of the Partnership, all of which were previously owned by Westlake, were converted into common units of the Partnership on August 30, 2017. On September 29, 2017, we completed a secondary public offering of 5,175,000 common units and purchased an additional 5.0% newly-issued limited partner interest in OpCo, resulting in an aggregate 18.3% limited partner interest in OpCo, effective July 1, 2017. On March 29, 2019, we completed a private placement of 2,940,818 common units and used the net proceeds to purchase an additional 4.5% interest in OpCo, effective January 1, 2019, resulting in us owning an aggregate 22.8% limited partner interest in OpCo.</w:t>
      </w:r>
    </w:p>
    <w:p>
      <w:pPr>
        <w:spacing w:after="0" w:line="13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Currently, our sole revenue generating asset is our 22.8% limited partner interest in OpCo, a limited partnership formed by Westlake and us in anticipation of the IPO to own and operate an ethylene production business. We control OpCo through our ownership of its general partner. Westlake retains the remaining 77.2% limited partner interest in OpCo as well as a significant interest in us through its ownership of our general partner, 40.1% of our limited partner units (consisting of 14,122,230 common units)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10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Pursuant to the Ethylene Sales Agreement, Westlake's obligation to pay for the annual minimum commitment (95% of OpCo's budgeted ethylene production), which is measured on an annual basis, is not reduced for a force majeure event lasting fewer than 45 consecutive days. In the event of a force majeure event, we recognize buyer deficiency fees representing fixed margin and unavoided operating and maintenance capital expenditures and maintenance expenses per pound of volume committed by Westlake during the force majeure period. In the event Westlake purchases less than its annual commitment, we recognize buyer deficiency fees representing fixed margin and all expenses and expenditures incurred per pound of volume committed but not taken by Westlake. Payment for the buyer deficiency fee is scheduled to be received by the Partnership after the conclusion of the year.</w:t>
      </w:r>
    </w:p>
    <w:p>
      <w:pPr>
        <w:spacing w:after="0" w:line="136"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 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generally recognized during the period in which the related operating, maintenance or turnaround activities occur.</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 Maintenance Capital Expenditures and Turnaround Costs</w:t>
      </w:r>
    </w:p>
    <w:p>
      <w:pPr>
        <w:spacing w:after="0" w:line="94"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spacing w:after="0" w:line="138" w:lineRule="exact"/>
        <w:rPr>
          <w:sz w:val="20"/>
          <w:szCs w:val="20"/>
          <w:color w:val="auto"/>
        </w:rPr>
      </w:pPr>
    </w:p>
    <w:p>
      <w:pPr>
        <w:ind w:right="180" w:firstLine="405"/>
        <w:spacing w:after="0" w:line="271" w:lineRule="auto"/>
        <w:rPr>
          <w:sz w:val="20"/>
          <w:szCs w:val="20"/>
          <w:color w:val="auto"/>
        </w:rPr>
      </w:pPr>
      <w:r>
        <w:rPr>
          <w:rFonts w:ascii="Times New Roman" w:cs="Times New Roman" w:eastAsia="Times New Roman" w:hAnsi="Times New Roman"/>
          <w:sz w:val="17"/>
          <w:szCs w:val="17"/>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costs may directly affect our profitability and cash flows. The impact on profitability is partially mitigated by the fact that we generally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MLP Distributable Cash Flow and EBITDA</w:t>
      </w:r>
    </w:p>
    <w:p>
      <w:pPr>
        <w:spacing w:after="0" w:line="108" w:lineRule="exact"/>
        <w:rPr>
          <w:sz w:val="20"/>
          <w:szCs w:val="20"/>
          <w:color w:val="auto"/>
        </w:rPr>
      </w:pPr>
    </w:p>
    <w:p>
      <w:pPr>
        <w:ind w:right="80" w:firstLine="405"/>
        <w:spacing w:after="0" w:line="252" w:lineRule="auto"/>
        <w:rPr>
          <w:sz w:val="20"/>
          <w:szCs w:val="20"/>
          <w:color w:val="auto"/>
        </w:rPr>
      </w:pPr>
      <w:r>
        <w:rPr>
          <w:rFonts w:ascii="Times New Roman" w:cs="Times New Roman" w:eastAsia="Times New Roman" w:hAnsi="Times New Roman"/>
          <w:sz w:val="18"/>
          <w:szCs w:val="18"/>
          <w:color w:val="auto"/>
        </w:rPr>
        <w:t>The body of accounting principles generally accepted in the United States is commonly referred to as "GAAP."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We use the non-GAAP measures of MLP distributable cash flow and EBITDA to analyze our performance. We define distributable cash flow as net income plus depreciation, amortization and disposition of property, plant and equipment, less contributions for turnaround reserves, maintenance capital expenditures and mark-to-market adjustment on derivative contracts.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We use each of MLP distributable cash flow and EBITDA to analyze our performance. Fees for a buyer deficiency and Shortfall are included in net income in the periods in which they are recognized. MLP distributable cash flow and EBITDA are non-GAAP supplemental financial measures that management and external users of our consolidated financial statements, such as industry analysts, investors, lenders and rating agencies, may use to assess our operating performance as compared to other publicly-traded partnerships; our ability to incur and service debt and fund capital expenditures; and the viability of acquisitions and other capital expenditure projects and the returns on investment of various investment opportunities.</w:t>
      </w:r>
    </w:p>
    <w:p>
      <w:pPr>
        <w:spacing w:after="0" w:line="14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MLP distributable cash flow is not a substitute for the GAAP measures of net income and net cash provided by operating activities. MLP distributable cash flow has important limitations as an analytical tool because it excludes some but not all items that affect net income and net cash provided by operating activities. EBITDA is not a substitute for the GAAP measures of net income, income from operations and net cash provided by operating activities. In addition, it should be noted that companies calculate EBITDA differently and, therefore, EBITDA as presented for us may not be comparable to EBITDA reported by other companies. EBITDA has material limitations as a performance measure because it excludes interest expense, depreciation and amortization, and income taxes. Reconciliations for each of MLP distributable cash flow and EBITDA are included in the "Results of Operations" section below.</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9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On July 12, 2022, OpCo entered into the Second Amendment (the "OpCo Revolver Amendment") to the Amended and Restated Senior Unsecured Revolving Credit Agreement (as so amended, the "OpCo Revolver"). The OpCo Revolver Amendment, among other things, extended the maturity date of the OpCo Revolver to July 12, 2027 and provided for the replacement of the London Interbank Offered Rate ("LIBOR") with the Secured Overnight Financing Rate, as administered by the Federal Reserve Bank of New York ("SOFR"). Borrowings under the OpCo Revolver now bear interest at a variable rate of either (a) SOFR plus the Applicable Margin plus a 0.10% credit spread adjustment or, if SOFR is no longer available, (b) the Alternate Base Rate plus the Applicable Margin minus 1.0%. The Applicable Margin under the OpCo Revolver is 1.75%.</w:t>
      </w:r>
    </w:p>
    <w:p>
      <w:pPr>
        <w:spacing w:after="0" w:line="133"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On July 12, 2022, the Partnership entered into the Fourth Amendment (the "MLP Revolver Amendment") to the Senior Unsecured Revolving Credit Agreement (the "MLP Revolver"). The MLP Revolver Amendment, among other things, extended the maturity date of the MLP Revolver to July 12, 2027 and provided for the replacement of LIBOR with SOFR. Borrowings under the MLP Revolver now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84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4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9"/>
        </w:trPr>
        <w:tc>
          <w:tcPr>
            <w:tcW w:w="4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
        </w:trPr>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sales—Westlake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364,273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247,887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1,020,042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708,646</w:t>
            </w:r>
          </w:p>
        </w:tc>
      </w:tr>
      <w:tr>
        <w:trPr>
          <w:trHeight w:val="230"/>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co-products, ethylene and other sales—third parties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50,850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46,079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206,266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175,756</w:t>
            </w: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415,123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293,966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1,226,308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884,402</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324,629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218,038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947,073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589,746</w:t>
            </w: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90,494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75,928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279,235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294,656</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8,678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7,792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26,824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24,734</w:t>
            </w: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81,816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68,136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252,411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269,922</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expense—Westlake</w:t>
            </w:r>
          </w:p>
        </w:tc>
        <w:tc>
          <w:tcPr>
            <w:tcW w:w="280" w:type="dxa"/>
            <w:vAlign w:val="bottom"/>
          </w:tcPr>
          <w:p>
            <w:pPr>
              <w:spacing w:after="0"/>
              <w:rPr>
                <w:sz w:val="19"/>
                <w:szCs w:val="19"/>
                <w:color w:val="auto"/>
              </w:rPr>
            </w:pP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(3,645)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(2,190)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(8,703)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(6,650)</w:t>
            </w:r>
          </w:p>
        </w:tc>
      </w:tr>
      <w:tr>
        <w:trPr>
          <w:trHeight w:val="230"/>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78,789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65,970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244,391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263,324</w:t>
            </w:r>
          </w:p>
        </w:tc>
      </w:tr>
      <w:tr>
        <w:trPr>
          <w:trHeight w:val="229"/>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333</w:t>
            </w: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78,305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66,075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243,569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262,991</w:t>
            </w:r>
          </w:p>
        </w:tc>
      </w:tr>
      <w:tr>
        <w:trPr>
          <w:trHeight w:val="176"/>
        </w:trPr>
        <w:tc>
          <w:tcPr>
            <w:tcW w:w="48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Less: Net income attributable to noncontrolling interest in</w:t>
            </w: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43"/>
        </w:trPr>
        <w:tc>
          <w:tcPr>
            <w:tcW w:w="4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OpCo</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63,548</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53,285</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196,180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209,956</w:t>
            </w: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Westlake Chemical Partners LP</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14,757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12,790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47,389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53,035</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48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MLP distributable cash flow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16,734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12,977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55,609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54,760</w:t>
            </w:r>
          </w:p>
        </w:tc>
      </w:tr>
      <w:tr>
        <w:trPr>
          <w:trHeight w:val="225"/>
        </w:trPr>
        <w:tc>
          <w:tcPr>
            <w:tcW w:w="486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3"/>
                <w:szCs w:val="23"/>
                <w:color w:val="auto"/>
                <w:vertAlign w:val="superscript"/>
              </w:rPr>
              <w:t>(2)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111,825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94,746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344,776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352,804</w:t>
            </w: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____________</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306" w:lineRule="exact"/>
        <w:rPr>
          <w:sz w:val="20"/>
          <w:szCs w:val="20"/>
          <w:color w:val="auto"/>
        </w:rPr>
      </w:pPr>
    </w:p>
    <w:p>
      <w:pPr>
        <w:ind w:left="280" w:hanging="254"/>
        <w:spacing w:after="0"/>
        <w:tabs>
          <w:tab w:leader="none" w:pos="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MLP Distributable Cash Flow to Net Income and Net Cash Provided by Operating Activities" below.</w:t>
      </w:r>
    </w:p>
    <w:p>
      <w:pPr>
        <w:spacing w:after="0" w:line="76" w:lineRule="exact"/>
        <w:rPr>
          <w:rFonts w:ascii="Times New Roman" w:cs="Times New Roman" w:eastAsia="Times New Roman" w:hAnsi="Times New Roman"/>
          <w:sz w:val="18"/>
          <w:szCs w:val="18"/>
          <w:color w:val="auto"/>
        </w:rPr>
      </w:pPr>
    </w:p>
    <w:p>
      <w:pPr>
        <w:ind w:left="280" w:hanging="254"/>
        <w:spacing w:after="0"/>
        <w:tabs>
          <w:tab w:leader="none" w:pos="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EBITDA to Net Income, Income from Operations and Net Cash Provided by Operating Activities" below.</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60" w:hanging="242"/>
        <w:spacing w:after="0" w:line="237" w:lineRule="auto"/>
        <w:rPr>
          <w:sz w:val="20"/>
          <w:szCs w:val="20"/>
          <w:color w:val="auto"/>
        </w:rPr>
      </w:pPr>
      <w:r>
        <w:rPr>
          <w:rFonts w:ascii="Times New Roman" w:cs="Times New Roman" w:eastAsia="Times New Roman" w:hAnsi="Times New Roman"/>
          <w:sz w:val="18"/>
          <w:szCs w:val="18"/>
          <w:color w:val="auto"/>
        </w:rPr>
        <w:t>Product sales prices and volume percentage change from prior-year period</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24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3140" w:type="dxa"/>
            <w:vAlign w:val="bottom"/>
            <w:gridSpan w:val="3"/>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0" w:type="dxa"/>
            <w:vAlign w:val="bottom"/>
          </w:tcPr>
          <w:p>
            <w:pPr>
              <w:spacing w:after="0"/>
              <w:rPr>
                <w:sz w:val="1"/>
                <w:szCs w:val="1"/>
                <w:color w:val="auto"/>
              </w:rPr>
            </w:pPr>
          </w:p>
        </w:tc>
      </w:tr>
      <w:tr>
        <w:trPr>
          <w:trHeight w:val="23"/>
        </w:trPr>
        <w:tc>
          <w:tcPr>
            <w:tcW w:w="16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62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62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0" w:type="dxa"/>
            <w:vAlign w:val="bottom"/>
          </w:tcPr>
          <w:p>
            <w:pPr>
              <w:spacing w:after="0"/>
              <w:rPr>
                <w:sz w:val="1"/>
                <w:szCs w:val="1"/>
                <w:color w:val="auto"/>
              </w:rPr>
            </w:pPr>
          </w:p>
        </w:tc>
      </w:tr>
      <w:tr>
        <w:trPr>
          <w:trHeight w:val="196"/>
        </w:trPr>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1620" w:type="dxa"/>
            <w:vAlign w:val="bottom"/>
            <w:gridSpan w:val="2"/>
            <w:vMerge w:val="continue"/>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20" w:type="dxa"/>
            <w:vAlign w:val="bottom"/>
          </w:tcPr>
          <w:p>
            <w:pPr>
              <w:spacing w:after="0"/>
              <w:rPr>
                <w:sz w:val="24"/>
                <w:szCs w:val="24"/>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20" w:type="dxa"/>
            <w:vAlign w:val="bottom"/>
          </w:tcPr>
          <w:p>
            <w:pPr>
              <w:spacing w:after="0"/>
              <w:rPr>
                <w:sz w:val="24"/>
                <w:szCs w:val="24"/>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+28.4 %</w:t>
            </w:r>
          </w:p>
        </w:tc>
        <w:tc>
          <w:tcPr>
            <w:tcW w:w="100" w:type="dxa"/>
            <w:vAlign w:val="bottom"/>
          </w:tcPr>
          <w:p>
            <w:pPr>
              <w:spacing w:after="0"/>
              <w:rPr>
                <w:sz w:val="24"/>
                <w:szCs w:val="24"/>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391"/>
        </w:trPr>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-634365</wp:posOffset>
            </wp:positionV>
            <wp:extent cx="7132320" cy="265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560" w:space="300"/>
            <w:col w:w="638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US prices percentage change from prior-year period for fuel cost and feedstock</w:t>
            </w: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cost (Natural Gas)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+107.1 %</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Feedstock (Ethane)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MLP Distributable Cash Flow to Net Income and Net Cash Provided by Operating Activities</w:t>
      </w:r>
    </w:p>
    <w:p>
      <w:pPr>
        <w:spacing w:after="0" w:line="94"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MLP distributable cash flow to net income and net cash provided by operating activities, the most directly comparable GAAP financial measures, for each of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9"/>
        </w:trPr>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386,577</w:t>
            </w: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(121,823)</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78,305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66,075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262,991</w:t>
            </w:r>
          </w:p>
        </w:tc>
      </w:tr>
      <w:tr>
        <w:trPr>
          <w:trHeight w:val="20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76"/>
        </w:trPr>
        <w:tc>
          <w:tcPr>
            <w:tcW w:w="52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Depreciation, amortization and disposition of property, plant and</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5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equipment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84,590</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 to turnaround reserves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(35,590)</w:t>
            </w: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(41,433)</w:t>
            </w:r>
          </w:p>
        </w:tc>
      </w:tr>
      <w:tr>
        <w:trPr>
          <w:trHeight w:val="175"/>
        </w:trPr>
        <w:tc>
          <w:tcPr>
            <w:tcW w:w="52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Distributable cash flow attributable to noncontrolling interest in</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52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OpCo</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(70,249)</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(53,915)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(224,047)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(215,798)</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MLP distributable cash flow</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54,760</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EBITDA to Net Income, Income from Operations and Net Cash Provided by Operating Activities</w:t>
      </w:r>
    </w:p>
    <w:p>
      <w:pPr>
        <w:spacing w:after="0" w:line="108"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EBITDA to net income, income from operations and net cash provided by operating activities, the most directly comparable GAAP financial measures, for each of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9"/>
        </w:trPr>
        <w:tc>
          <w:tcPr>
            <w:tcW w:w="5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386,577</w:t>
            </w:r>
          </w:p>
        </w:tc>
      </w:tr>
      <w:tr>
        <w:trPr>
          <w:trHeight w:val="229"/>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r>
      <w:tr>
        <w:trPr>
          <w:trHeight w:val="230"/>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(121,823)</w:t>
            </w:r>
          </w:p>
        </w:tc>
      </w:tr>
      <w:tr>
        <w:trPr>
          <w:trHeight w:val="223"/>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262,991</w:t>
            </w:r>
          </w:p>
        </w:tc>
      </w:tr>
      <w:tr>
        <w:trPr>
          <w:trHeight w:val="21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w:t>
            </w:r>
          </w:p>
        </w:tc>
      </w:tr>
      <w:tr>
        <w:trPr>
          <w:trHeight w:val="230"/>
        </w:trPr>
        <w:tc>
          <w:tcPr>
            <w:tcW w:w="5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269,922</w:t>
            </w:r>
          </w:p>
        </w:tc>
      </w:tr>
      <w:tr>
        <w:trPr>
          <w:trHeight w:val="21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82,830</w:t>
            </w:r>
          </w:p>
        </w:tc>
      </w:tr>
      <w:tr>
        <w:trPr>
          <w:trHeight w:val="230"/>
        </w:trPr>
        <w:tc>
          <w:tcPr>
            <w:tcW w:w="5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352,804</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825"/>
        </w:trPr>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108" w:lineRule="exact"/>
        <w:rPr>
          <w:sz w:val="20"/>
          <w:szCs w:val="20"/>
          <w:color w:val="auto"/>
        </w:rPr>
      </w:pPr>
    </w:p>
    <w:p>
      <w:pPr>
        <w:jc w:val="both"/>
        <w:ind w:right="60" w:firstLine="405"/>
        <w:spacing w:after="0" w:line="257" w:lineRule="auto"/>
        <w:rPr>
          <w:sz w:val="20"/>
          <w:szCs w:val="20"/>
          <w:color w:val="auto"/>
        </w:rPr>
      </w:pPr>
      <w:r>
        <w:rPr>
          <w:rFonts w:ascii="Times New Roman" w:cs="Times New Roman" w:eastAsia="Times New Roman" w:hAnsi="Times New Roman"/>
          <w:sz w:val="18"/>
          <w:szCs w:val="18"/>
          <w:color w:val="auto"/>
        </w:rPr>
        <w:t>For the quarter ended September 30, 2022, net income was $78.3 million on net sales of $415.1 million. This represents an increase in net income of $12.2 million as compared to net income of $66.1 million on net sales of $294.0 million for the quarter ended September 30, 2021. Net income attributable to the Partnership for the third quarter of 2022 was $14.8 million as compared to $12.8 million for the third quarter of 2021, an increase of $2.0 million.</w:t>
      </w:r>
    </w:p>
    <w:p>
      <w:pPr>
        <w:spacing w:after="0" w:line="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Income from operations was $81.8 million for the third quarter of 2022 as compared to $68.1 million for the third quarter of 2021. Net income, net income attributable to the Partnership and operating income for the third quarter of 2022 as compared to the third quarter of 2021 were higher primarily due to higher ethylene sales prices and volumes to Westlake per the terms of the Ethylene Sales Agreement, higher co-products sales prices and volumes, and a buyer deficiency fee of $13.9 million recognized during the third quarter of 2022 resulting from lower planned ethylene offtake by Westlake, partially offset by higher ethane feedstock costs and natural gas prices. Net sales for the third quarter of 2022 increased by $121.1 million as compared to net sales for the third quarter of 2021, mainly due to higher production during the third quarter of 2022 following the Petro 2 turnaround activities that occurred in the third quarter of 2021, resulting in higher sales volumes for co-products and ethylene sold to Westlake, higher ethylene sales prices to Westlake, and the $13.9 million buyer deficiency fee recognized during the third quarter of 2022.</w:t>
      </w:r>
    </w:p>
    <w:p>
      <w:pPr>
        <w:spacing w:after="0" w:line="140" w:lineRule="exact"/>
        <w:rPr>
          <w:sz w:val="20"/>
          <w:szCs w:val="20"/>
          <w:color w:val="auto"/>
        </w:rPr>
      </w:pPr>
    </w:p>
    <w:p>
      <w:pPr>
        <w:ind w:right="60" w:firstLine="405"/>
        <w:spacing w:after="0" w:line="252" w:lineRule="auto"/>
        <w:rPr>
          <w:sz w:val="20"/>
          <w:szCs w:val="20"/>
          <w:color w:val="auto"/>
        </w:rPr>
      </w:pPr>
      <w:r>
        <w:rPr>
          <w:rFonts w:ascii="Times New Roman" w:cs="Times New Roman" w:eastAsia="Times New Roman" w:hAnsi="Times New Roman"/>
          <w:sz w:val="18"/>
          <w:szCs w:val="18"/>
          <w:color w:val="auto"/>
        </w:rPr>
        <w:t>For the nine months ended September 30, 2022, net income was $243.6 million on net sales of $1,226.3 million. This represents a decrease in net income of $19.4 million as compared to net income of $263.0 million on net sales of $884.4 million for the nine months ended September 30, 2021. Net income attributable to the Partnership for the nine months ended September 30, 2022 was $47.4 million as compared to $53.0 million for the nine months ended September 30, 2021, a decrease of $5.6 million. Income from operations was $252.4 million for the nine months ended September 30, 2022 as compared to $269.9 million for the nine months ended September 30, 2021. Net income, net income attributable to the Partnership and operating income for the nine months ended September 30, 2022 as compared to the nine months ended September 30, 2021 were lower primarily due to increased ethane feedstock costs and natural gas prices and lower ethylene sales prices and volumes to third parties, partially offset by higher ethylene sales prices and volumes to Westlake per the terms of the Ethylene Sales Agreement and higher co-products sales prices and volumes. A buyer deficiency fee of $13.9 million was recognized in the nine months ended September 30, 2022 as compared to a buyer deficiency and Shortfall of $21.5 million in the nine months ended September 30, 2021. Net sales for the nine months ended September 30, 2022 increased by $341.9 million as compared to net sales for the nine months ended September 30, 2021, mainly due to higher co-products sales prices and volumes and higher ethylene sales prices and volumes to Westlake per the terms of the Ethylene Sales Agreement, partially offset by lower ethylene sales prices and volumes to third parties and the larger buyer deficiency fee and Shortfall recognized during the nine months ended September 30, 2021 as compared to the buyer deficiency fee recognized during the nine months ended September 30, 2022.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Quarter 2022 Compared with Third Quarter 2021</w:t>
      </w:r>
    </w:p>
    <w:p>
      <w:pPr>
        <w:spacing w:after="0" w:line="106"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Total net sales increased by $121.1 million, or 41.2%, to $415.1 million in the third quarter of 2022 from $294.0 million in the third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2021. The increase in net sales in the third quarter of 2022 was primarily due to higher sales prices and volumes for ethylene sold to Westlake and co-products driven by increased production during the third quarter of 2022 compared to the third quarter of 2021 due to the Petro 2 turnaround activities that occurred in the third quarter of 2021 and the buyer deficiency fee recognized during the third quarter of 2022. The average sales price in the third quarter of 2022 increased by 24.5%, primarily due to higher ethylene sales prices to Westlake and co-products sales prices. The average sales volume in the third quarter of 2022 increased by 13.4%, primarily due to higher production resulting in increased sales volumes to Westlake and increased co-products sales volumes as compared to the third quarter of 2021.</w:t>
      </w:r>
    </w:p>
    <w:p>
      <w:pPr>
        <w:spacing w:after="0" w:line="129" w:lineRule="exact"/>
        <w:rPr>
          <w:sz w:val="20"/>
          <w:szCs w:val="20"/>
          <w:color w:val="auto"/>
        </w:rPr>
      </w:pPr>
    </w:p>
    <w:p>
      <w:pPr>
        <w:ind w:right="6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to $90.5 million in the third quarter of 2022 from $75.9 million in the third quarter of 2021. The gross profit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 in the third quarter of 2022 was 21.8%, as compared to 25.8% for the third quarter of 2021. The increase in gross profit was primarily due to higher ethylene sales prices and volumes sold to Westlake and higher co-products sales prices and volumes in the third quarter of 2022 compared to the third quarter of 2021, partially offset by higher ethane feedstock costs and natural gas prices. The third quarter 2022 gross profit margin was lower than the third quarter of 2021 mainly due to higher ethane feedstock costs and natural gas prices, partially offset by higher sales prices and volumes for co-products and ethylene sold to Westlake in the third quarter of 2022.</w:t>
      </w:r>
    </w:p>
    <w:p>
      <w:pPr>
        <w:spacing w:after="0" w:line="128" w:lineRule="exact"/>
        <w:rPr>
          <w:sz w:val="20"/>
          <w:szCs w:val="20"/>
          <w:color w:val="auto"/>
        </w:rPr>
      </w:pPr>
    </w:p>
    <w:p>
      <w:pPr>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$0.9 million, or 11.5%, to $8.7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 quarter of 2022 as compared to $7.8 million in the third quarter of 2021. The increase in the third quarter of 2022 was mainly attributable to an increase in the provision for doubtful accounts as compared to the third quarter of 2021.</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30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of $3.6 million in the third quarter of 2022 increased from $2.2 million in the third quarter 2021 due to a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interest rate on debt compared to the third quarter of 2021.</w:t>
      </w:r>
    </w:p>
    <w:p>
      <w:pPr>
        <w:spacing w:after="0" w:line="104" w:lineRule="exact"/>
        <w:rPr>
          <w:sz w:val="20"/>
          <w:szCs w:val="20"/>
          <w:color w:val="auto"/>
        </w:rPr>
      </w:pPr>
    </w:p>
    <w:p>
      <w:pPr>
        <w:jc w:val="both"/>
        <w:ind w:right="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MLP Distributable Cash Flow. </w:t>
      </w:r>
      <w:r>
        <w:rPr>
          <w:rFonts w:ascii="Times New Roman" w:cs="Times New Roman" w:eastAsia="Times New Roman" w:hAnsi="Times New Roman"/>
          <w:sz w:val="18"/>
          <w:szCs w:val="18"/>
          <w:color w:val="auto"/>
        </w:rPr>
        <w:t>MLP distributable cash flow increased by $3.7 million to $16.7 million in the third quarter of 2022 from $13.0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third quarter of 2021. The increase in the third quarter of 2022, as compared to the prior-year period, was primarily attributable to increased earnings at OpCo, as well as decreased turnaround reserves and maintenance expense.</w:t>
      </w:r>
    </w:p>
    <w:p>
      <w:pPr>
        <w:spacing w:after="0" w:line="119" w:lineRule="exact"/>
        <w:rPr>
          <w:sz w:val="20"/>
          <w:szCs w:val="20"/>
          <w:color w:val="auto"/>
        </w:rPr>
      </w:pPr>
    </w:p>
    <w:p>
      <w:pPr>
        <w:ind w:right="44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EBITDA increased by $17.1 million to $111.8 million in the third quarter of 2022 from $94.7 million in the third quarter of 2021.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primarily due to higher ethylene sales prices and volumes sold to Westlake, higher co-products sales prices and volumes and the buyer deficiency fee recognized during the third quarter of 2022, partially offset by higher ethane feedstock costs and natural gas prices.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2022 Compared with Nine Months Ended September 30, 2021</w:t>
      </w:r>
    </w:p>
    <w:p>
      <w:pPr>
        <w:spacing w:after="0" w:line="92"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Total net sales increased by $341.9 million, or 38.7%, to $1,226.3 million in the nine months ended September 30, 2022 from $884.4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nine months ended September 30, 2021. The increase in net sales in the nine months ended September 30, 2022 was primarily due to higher co-products sales prices and volumes and higher ethylene sales prices and volumes to Westlake, partially offset by lower ethylene sales prices and volumes to third parties. In addition, the buyer deficiency fee of $13.9 million during the nine months ended September 30, 2022 was lower than the buyer deficiency fee and Shortfall of $21.5 million recognized during the nine months ended September 30, 2021. The average sales price in the nine months ended September 30, 2022 increased by 28.4% compared to the nine months ended September 30, 2021, primarily due to higher co-products and ethylene sales prices to Westlake, partially offset by lower ethylene sales prices to third parties. The average sales volume increased by 12.1% in the nine months ended September 30, 2022 compared to the nine months ended September 30, 2021. The increase in sales volumes for the nine months ended September 30, 2022 was primarily due to higher production resulting in increased co-products and ethylene sales volumes to Westlake, partially offset by lower ethylene sales volumes to third parties.</w:t>
      </w:r>
    </w:p>
    <w:p>
      <w:pPr>
        <w:spacing w:after="0" w:line="131" w:lineRule="exact"/>
        <w:rPr>
          <w:sz w:val="20"/>
          <w:szCs w:val="20"/>
          <w:color w:val="auto"/>
        </w:rPr>
      </w:pPr>
    </w:p>
    <w:p>
      <w:pPr>
        <w:ind w:right="4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decreased to $279.2 million for the nine months ended September 30, 2022 from $294.7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2021. The gross profit margin in the nine months ended September 30, 2022 was 22.8%, as compared to 33.3% for the nine months ended September 30, 2021. The nine months ended September 30, 2022 gross profit margin was lower mainly due to increased ethane feedstock costs and natural gas prices, lower third party ethylene sales prices and volumes and the larger buyer deficiency fee and Shortfall recognized during the nine months ended September 30, 2021, partially offset by higher sales prices and volumes for co-products and ethylene sold to Westlake compared to the nine months ended September 30, 2021.</w:t>
      </w:r>
    </w:p>
    <w:p>
      <w:pPr>
        <w:spacing w:after="0" w:line="12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$2.1 million, or 8.5%, to $26.8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30, 2022 as compared to $24.7 million in the nine months ended September 30, 2021. The increase in the nine months ended September 30, 2022 was mainly attributable to a higher provision for doubtful accounts, partially offset by a decrease in service costs as compared to the nine months ended September 30, 2021.</w:t>
      </w:r>
    </w:p>
    <w:p>
      <w:pPr>
        <w:spacing w:after="0" w:line="126" w:lineRule="exact"/>
        <w:rPr>
          <w:sz w:val="20"/>
          <w:szCs w:val="20"/>
          <w:color w:val="auto"/>
        </w:rPr>
      </w:pPr>
    </w:p>
    <w:p>
      <w:pPr>
        <w:ind w:right="26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increased by $2.0 million to $8.7 million in the nine months ended September 30, 2022 from $6.7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2021, due to a higher average interest rate on debt.</w:t>
      </w:r>
    </w:p>
    <w:p>
      <w:pPr>
        <w:spacing w:after="0" w:line="104" w:lineRule="exact"/>
        <w:rPr>
          <w:sz w:val="20"/>
          <w:szCs w:val="20"/>
          <w:color w:val="auto"/>
        </w:rPr>
      </w:pPr>
    </w:p>
    <w:p>
      <w:pPr>
        <w:ind w:right="6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MLP Distributable Cash Flow. </w:t>
      </w:r>
      <w:r>
        <w:rPr>
          <w:rFonts w:ascii="Times New Roman" w:cs="Times New Roman" w:eastAsia="Times New Roman" w:hAnsi="Times New Roman"/>
          <w:sz w:val="18"/>
          <w:szCs w:val="18"/>
          <w:color w:val="auto"/>
        </w:rPr>
        <w:t>MLP distributable cash flow increased by $0.8 million to $55.6 million in the nine months ended September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$54.8 million in the nine months ended September 30, 2021. The increase in the nine months ended September 30, 2022, as compared to the prior-year period, was primarily attributable to decreased turnaround reserves and maintenance expense, partially offset by lower earnings at OpCo.</w:t>
      </w:r>
    </w:p>
    <w:p>
      <w:pPr>
        <w:spacing w:after="0" w:line="11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EBITDA decreased by $8.0 million to $344.8 million in the nine months ended September 30, 2022 from $352.8 million in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2021. The decrease, as compared to the prior-year period, was primarily due to higher ethane feedstock costs and natural gas prices for third party sales, lower ethylene sales prices and volumes to third parties, and the larger buyer deficiency fee and Shortfall recognized during the nine months ended September 30, 2021, partially offset by higher sales prices and volumes for co-products and ethylene sold to Westlake in the nine months ended September 30, 2022.</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3440"/>
        <w:spacing w:after="0" w:line="354" w:lineRule="auto"/>
        <w:rPr>
          <w:sz w:val="20"/>
          <w:szCs w:val="20"/>
          <w:color w:val="auto"/>
        </w:rPr>
      </w:pPr>
      <w:r>
        <w:rPr>
          <w:rFonts w:ascii="Times New Roman" w:cs="Times New Roman" w:eastAsia="Times New Roman" w:hAnsi="Times New Roman"/>
          <w:sz w:val="18"/>
          <w:szCs w:val="18"/>
          <w:b w:val="1"/>
          <w:bCs w:val="1"/>
          <w:color w:val="auto"/>
        </w:rPr>
        <w:t xml:space="preserve">CASH FLOW DISCUSSION FOR THE NINE MONTHS ENDED SEPTEMBER 30, 2022 AND 2021 </w:t>
      </w:r>
      <w:r>
        <w:rPr>
          <w:rFonts w:ascii="Times New Roman" w:cs="Times New Roman" w:eastAsia="Times New Roman" w:hAnsi="Times New Roman"/>
          <w:sz w:val="18"/>
          <w:szCs w:val="18"/>
          <w:b w:val="1"/>
          <w:bCs w:val="1"/>
          <w:i w:val="1"/>
          <w:iCs w:val="1"/>
          <w:color w:val="auto"/>
        </w:rPr>
        <w:t>Operating Activities</w:t>
      </w:r>
    </w:p>
    <w:p>
      <w:pPr>
        <w:spacing w:after="0" w:line="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Operating activities provided cash of $341.2 million in the first nine months of 2022 compared to cash provided by operating activities of $386.6 million in the first nine months of 2021. The $45.4 million decrease in cash flows from operating activities was mainly due to a decrease in cash provided by working capital during the nine months ended September 30, 2022 as compared to the prior-year period. Changes in components of working capital, which we define for the purposes of this cash flow discussion as accounts receivable, net—Westlake, accounts receivable, net—third parties, inventories, prepaid expenses and other current assets less accounts payable—Westlake, accounts payable—third parties and accrued and other liabilities, provided cash of $2.3 million in the first nine months of 2022 as compared to $57.3 million of cash provided in the first nine months of 2021, resulting in an overall unfavorable change of $55.0 million. The unfavorable change in working capital was mainly attributable to an unfavorable change in accounts payable and accrued and other liabilities due to the timing of payment of accruals related to the Petro 2 turnaround activities in 2021, as well as accounts receivable— third parties due to higher sales in the nine months ended September 30, 2022 since our Petro 2 turnaround in the second half of 2021. These changes were partially offset by a favorable change in accounts receivable—Westlake due to the collection of the 2021 buyer deficiency fee and a portion of the 2021 Shortfall during the first nine months of 2022.</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jc w:val="both"/>
        <w:ind w:right="120" w:firstLine="405"/>
        <w:spacing w:after="0" w:line="258" w:lineRule="auto"/>
        <w:rPr>
          <w:sz w:val="20"/>
          <w:szCs w:val="20"/>
          <w:color w:val="auto"/>
        </w:rPr>
      </w:pPr>
      <w:r>
        <w:rPr>
          <w:rFonts w:ascii="Times New Roman" w:cs="Times New Roman" w:eastAsia="Times New Roman" w:hAnsi="Times New Roman"/>
          <w:sz w:val="18"/>
          <w:szCs w:val="18"/>
          <w:color w:val="auto"/>
        </w:rPr>
        <w:t>Net cash used for investing activities during the first nine months of 2022 was $74.5 million as compared to net cash used for investing activities of $111.4 million in the first nine months of 2021. The $36.9 million decrease in net cash used for investing activities was mainly due to decreased net cash used under the Investment Management Agreement, partially offset by increased capital expenditures in the first nine months of 2022, as compared to the prior-year period. Capital expenditures during the first nine months of 2022 and 2021 were primarily related to projects to improve production capacity or reduce costs, maintenance and safety and environmental projects at our facilities.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Net cash used for financing activities during the first nine months of 2022 was $264.3 million as compared to net cash used for financing activities of $273.7 million in the first nine months of 2021. The outflows during the first nine months of 2022 were related to distributions of $214.5 million to Westlake and of $49.8 million to other unitholders by the Partnership. The cash outflows during the first nine months of 2021 were related to distributions of $223.9 million to Westlake and of $49.8 million to other unitholders by the Partnership.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Financing Arrangements</w:t>
      </w:r>
    </w:p>
    <w:p>
      <w:pPr>
        <w:spacing w:after="0" w:line="10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Pursuant to the terms of the Equity Distribution Agreement, entered in October 2018 and amended in February 2020, among the Partnership and various investment banks, the Partnership may offer and sell the Partnership's common units from time to time to or through the investment banks, as the Partnership's sales agents or as principals, having an aggregate offering amount of up to $50.0 million (the "ATM Program"). The Partnership intends to use the net proceeds of sales of the common units, if any, for general partnership purposes, including the funding of potential drop-downs and other acquisitions. No common units had been issued under the ATM Program as of September 30, 2022.</w:t>
      </w:r>
    </w:p>
    <w:p>
      <w:pPr>
        <w:spacing w:after="0" w:line="129"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interests or debt.</w:t>
      </w:r>
    </w:p>
    <w:p>
      <w:pPr>
        <w:spacing w:after="0" w:line="122"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Partnership maintains separate bank accounts, but Westlake continues to provide treasury services on our behalf under the Services and Secondment Agreement. Our sources of liquidity include cash generated from operations, the OpCo Revolver, the MLP Revolver and, if necessary and possible under then current market conditions, the issuance of additional equity interests or debt.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obligated to do so.</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order to fund non-annual turnaround expenditures, we cause OpCo to reserve an amount for turnaround costs during each twelve-month period designed to cover future turnaround activities. Each of OpCo's ethylene production facilities requires turnaround maintenance approximately every five years. By reserving additional cash annually, we intend to reduce the variability in OpCo's cash flow. Westlake's purchase price for ethylene purchased under the Ethylene Sales Agreement includes a component (adjusted annually) designed to cover, over the long term, substantially all of OpCo's turnaround expenditures.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Westlake's credit facility and various indentures do not prevent OpCo from making distributions to us.</w:t>
      </w:r>
    </w:p>
    <w:p>
      <w:pPr>
        <w:spacing w:after="0" w:line="171"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On October 31, 2022, the board of directors of Westlake Chemical Partners GP LLC, our general partner, approved a quarterly distribution of $0.4714 per unit payable on November 28, 2022 to unitholders of record as of November 10, 2022, which equates to a total amount of approximately $16.6 million per quarter, or approximately $66.4 million per year in aggregate, based on the number of common units outstanding on September 30, 2022. We do not have a legal or contractual obligation to pay distributions on a quarterly basis or any other basis at our minimum quarterly distribution rate or any other rate.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9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Westlake has historically funded expansion capital expenditures related to Lake Charles Olefins and Calvert City Olefins. Total capital expenditures for the nine months ended September 30, 2022 and 2021 were $45.5 million and $38.5 million, respectively. No such funding was required by OpCo during the nine months ended September 30, 2022 and 2021. We expect that Westlake will loan additional cash to OpCo to fund its expansion capital expenditures in the future, but Westlake is under no obligation to do so.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08"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As of September 30, 2022, our cash and cash equivalents totaled $19.5 million. In addition, we have cash invested under the Investment Management Agreement (as described below) and a revolving credit facility with Westlake available to supplement cash if needed, as described under "Indebtedness" below.</w:t>
      </w:r>
    </w:p>
    <w:p>
      <w:pPr>
        <w:spacing w:after="0" w:line="122"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In August 2017, the Partnership, OpCo and Westlake executed the Investment Management Agreement that authorized Westlake to invest the Partnership's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$135.9 million of cash invested under the Investment Management Agreement at September 30, 2022.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OpCo Revolver</w:t>
      </w:r>
    </w:p>
    <w:p>
      <w:pPr>
        <w:spacing w:after="0" w:line="106"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In connection with the IPO, OpCo entered into a $600.0 million revolving credit facility with an affiliate of Westlake, as amended in June 2017, September 2018, March 2020 and July 2022 (the "OpCo Revolver") that may be used to fund growth projects and working capital needs. The OpCo Revolver is scheduled to mature on July 12, 2027. On July 12, 2022, OpCo entered into the Second Amendment (the "OpCo Revolver Amendment") to the OpCo Revolver. The OpCo Revolver Amendment, among other things, extended the maturity date to July 12, 2027 and provided for the replacement of LIBOR with the Secured Overnight Financing Rate, as administered by the Federal Reserve Bank of New York ("SOFR"). Borrowings under the OpCo Revolver now bear interest at a variable rate of either (a) SOFR plus the Applicable Margin plus a 0.10% credit spread adjustment or, if SOFR is no longer available, (b) the Alternate Base Rate plus the Applicable Margin minus 1.0%. The Applicable Margin under the OpCo Revolver is 1.75%. As of September 30, 2022, outstanding borrowings under the OpCo Revolver totaled $22.6 million and bore interest at SOFR plus the Applicable Margin and credit spread adjustment, which is accrued in arrears quarterly.</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MLP Revolver</w:t>
      </w:r>
    </w:p>
    <w:p>
      <w:pPr>
        <w:spacing w:after="0" w:line="106" w:lineRule="exact"/>
        <w:rPr>
          <w:sz w:val="20"/>
          <w:szCs w:val="20"/>
          <w:color w:val="auto"/>
        </w:rPr>
      </w:pPr>
    </w:p>
    <w:p>
      <w:pPr>
        <w:ind w:firstLine="405"/>
        <w:spacing w:after="0" w:line="268" w:lineRule="auto"/>
        <w:rPr>
          <w:sz w:val="20"/>
          <w:szCs w:val="20"/>
          <w:color w:val="auto"/>
        </w:rPr>
      </w:pPr>
      <w:r>
        <w:rPr>
          <w:rFonts w:ascii="Times New Roman" w:cs="Times New Roman" w:eastAsia="Times New Roman" w:hAnsi="Times New Roman"/>
          <w:sz w:val="17"/>
          <w:szCs w:val="17"/>
          <w:color w:val="auto"/>
        </w:rPr>
        <w:t>In 2015, we entered into a senior, unsecured revolving credit agreement with an affiliate of Westlake, as amended in August and November 2017, March 2020 and July 2022 (the "MLP Revolver"). The MLP Revolver has a borrowing capacity of $600.0 million and is scheduled to mature on July 12, 2027. On July 12, 2022, the Partnership entered into the Fourth Amendment (the "MLP Revolver Amendment") to the MLP Revolver. The MLP Revolver Amendment, among other things, extended the maturity date to July 12, 2027 and provided for the replacement of LIBOR with the SOFR. Borrowings under the MLP Revolver now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 or less, or (2) during any other period, 4.50:1.00 or less. The MLP Revolver also contains certain other customary covenants. The repayment of borrowings under the MLP Revolver is subject to acceleration upon the occurrence of an event of default. As of September 30, 2022, outstanding borrowings under the MLP Revolver totaled $377.1 million and bore interest at SOFR plus the Applicable Margin and credit spread adjustment, which is accrued in arrears quarterly. We intend to use the MLP Revolver to purchase additional limited partnership interests in OpCo in the future, in the event OpCo desires to sell such additional interests to us, for other acquisitions and for general corporate purposes.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jc w:val="both"/>
        <w:ind w:right="80" w:firstLine="405"/>
        <w:spacing w:after="0" w:line="257" w:lineRule="auto"/>
        <w:rPr>
          <w:sz w:val="20"/>
          <w:szCs w:val="20"/>
          <w:color w:val="auto"/>
        </w:rPr>
      </w:pPr>
      <w:r>
        <w:rPr>
          <w:rFonts w:ascii="Times New Roman" w:cs="Times New Roman" w:eastAsia="Times New Roman" w:hAnsi="Times New Roman"/>
          <w:sz w:val="18"/>
          <w:szCs w:val="18"/>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w:t>
      </w:r>
    </w:p>
    <w:p>
      <w:pPr>
        <w:spacing w:after="0" w:line="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6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ethane that we are able to process, which could be adversely affected by, among other things, operating difficulties;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ethylene that we are able to sell;</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we are able to sell ethylene;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market outlook, including prices and margins in third-party ethylene and co-products sales;</w:t>
      </w:r>
    </w:p>
    <w:p>
      <w:pPr>
        <w:spacing w:after="0" w:line="10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outbreak of an illness or any other communicable disease, or any other public health crisis, including the coronavirus ("COVID-19") pandemic and efforts to contain its transmission;</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Westlake's plans to respond to the challenges presented by the COVID-19 pandemic;</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ongoing supply chain constraints and workforce availability caused by the COVID-19 pandemic and the conflict between Russia and Ukraine;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whom we will sell ethylene and on what basis;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volumes of ethylene that Westlake may purchase, in addition to the minimum commitment under the Ethylene Sales Agreement;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funding and results of capital expenditures;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intended quarterly distributions and the manner of making such distributions;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liquidity needs;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and amount of capital expenditures;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At-the-Market program and the use of any net proceeds from any sales under that program;</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OpCo's ability to extend our credit agreements with Westlake;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loans from Westlake to OpCo to fund OpCo's expansion capital expenditures in the future;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mitigation of exposure to commodity price fluctuations;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turnaround activities and the variability of OpCo's cash flow;</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any buyer deficiency fee and Shortfall under the Ethylene Sales Agreement;</w:t>
      </w:r>
    </w:p>
    <w:p>
      <w:pPr>
        <w:spacing w:after="0" w:line="90"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indemnification from Westlake for environmental and other losses;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pending legal proceedings.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under "Risk Factors" in the 2021 Form 10-K and the following:</w:t>
      </w:r>
    </w:p>
    <w:p>
      <w:pPr>
        <w:spacing w:after="0" w:line="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including inflation, interest rates and recession;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the chemical industry;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and volatility of raw materials and energy;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crude oil prices reducing the cost advantage of ethane-based ethylene producers;</w:t>
      </w:r>
    </w:p>
    <w:p>
      <w:pPr>
        <w:spacing w:after="0" w:line="90"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United States and worldwide economies, including those due to political tensions and unrest in the Middle East and elsewhere, including the conflict between Russia and Ukraine;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pandemic infectious diseases, particularly COVID-19;</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climate change;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on demand for ethylene due to initiatives such as recycling and customers seeking alternatives to polymers;</w:t>
      </w:r>
    </w:p>
    <w:p>
      <w:pPr>
        <w:spacing w:after="0" w:line="10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potential governmental regulatory actions in the United States and regulatory actions and political unrest in other countries, including environmental regulations;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production capacity and operating rates;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supply/demand balance for our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and pricing pressures;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credit and financial markets;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capital 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w:t>
      </w:r>
    </w:p>
    <w:p>
      <w:pPr>
        <w:spacing w:after="0" w:line="103"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systems failures and cyberattacks;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businesses;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risks;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creditworthiness of our customers.</w:t>
      </w:r>
    </w:p>
    <w:p>
      <w:pPr>
        <w:spacing w:after="0" w:line="17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0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 substantial portion of the Partnership's products and raw materials are commodities whose prices fluctuate as market supply and demand fundamentals change. However, our direct exposure to commodity price risk is limited to approximately 5.0% of our total ethylene production, which is the portion sold to third parties. We believe we have substantially mitigated our indirect exposure to commodity price fluctuation during the term of the Ethylene Sales Agreement through the minimum purchase commitment and the cost-plus based pricing. Additionally, we may use derivative instruments to reduce price volatility risk on feedstocks and ethylene associated with the production and sales to third parties. We did not have any open derivative position at September 30, 2022.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4"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We are exposed to interest rate risk with respect to our outstanding debt, all of which is variable rate debt. At September 30, 2022, we had total variable rate debt of $399.7 million outstanding, all of which was owed to wholly-owned subsidiaries of Westlake. On July 12, 2022, OpCo entered into the OpCo Revolver Amendment. The OpCo Revolver Amendment, among other things, provided for the replacement of LIBOR with SOFR. Borrowings under the OpCo Revolver now bear interest at a variable rate of either (a) SOFR plus the Applicable Margin plus a 0.10% credit spread adjustment or, if SOFR is no longer available, (b) the Alternate Base Rate plus the Applicable Margin minus 1.0%. The Applicable Margin under the OpCo Revolver is</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1.75%. On July 12, 2022, the Partnership entered into the MLP Revolver Amendment. The MLP Revolver Amendment, among other things, provided for the replacement of LIBOR with SOFR. Borrowings under the MLP Revolver now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 The weighted average variable interest rate of our debt as of September 30, 2022 was 3.4%. We will continue to be subject to interest rate risk with respect to our variable rate debt as well as the risk of higher interest cost if and when this debt is refinanced. A hypothetical increase in our average interest rate on variable rate debt by 100 basis points would increase our annual interest expense by approximately $4.0 million, of which $3.8 million would relate to the MLP Revolver and $0.2 million would relate to the OpCo Revolver, based on the September 30, 2022 debt balance.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8"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Securities Exchange Act of 1934, as amended (the "Exchange Act"), as of the end of the period covered by this report. Based upon that evaluation, our President and Chief Executive Officer and our Executive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135"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The 2021 Form 10-K, filed on March 2, 2022, contained a description of various legal proceedings in which we are involved, including environmental proceedings. See below and Note 12 to the unaudited consolidated financial statements within this Quarterly Report on Form 10-Q for a discussion on legal proceedings, which information is incorporated by reference herein.</w:t>
      </w:r>
    </w:p>
    <w:p>
      <w:pPr>
        <w:spacing w:after="0" w:line="122"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Under the Omnibus Agreement, Westlake Corporation ("Westlake") has agreed to indemnify the Partnership for certain environmental and other liabilities relating to OpCo's processing facilities and related assets that occurred or existed prior to August 4, 2014.</w:t>
      </w:r>
    </w:p>
    <w:p>
      <w:pPr>
        <w:spacing w:after="0" w:line="106" w:lineRule="exact"/>
        <w:rPr>
          <w:sz w:val="20"/>
          <w:szCs w:val="20"/>
          <w:color w:val="auto"/>
        </w:rPr>
      </w:pPr>
    </w:p>
    <w:p>
      <w:pPr>
        <w:ind w:firstLine="405"/>
        <w:spacing w:after="0" w:line="270" w:lineRule="auto"/>
        <w:rPr>
          <w:sz w:val="20"/>
          <w:szCs w:val="20"/>
          <w:color w:val="auto"/>
        </w:rPr>
      </w:pPr>
      <w:r>
        <w:rPr>
          <w:rFonts w:ascii="Times New Roman" w:cs="Times New Roman" w:eastAsia="Times New Roman" w:hAnsi="Times New Roman"/>
          <w:sz w:val="17"/>
          <w:szCs w:val="17"/>
          <w:i w:val="1"/>
          <w:iCs w:val="1"/>
          <w:color w:val="auto"/>
        </w:rPr>
        <w:t>Potential Flare Modifications</w:t>
      </w:r>
      <w:r>
        <w:rPr>
          <w:rFonts w:ascii="Times New Roman" w:cs="Times New Roman" w:eastAsia="Times New Roman" w:hAnsi="Times New Roman"/>
          <w:sz w:val="17"/>
          <w:szCs w:val="17"/>
          <w:color w:val="auto"/>
        </w:rPr>
        <w:t>. For several years, the Environmental Protection Agency ("EPA") has been conducting an enforcement initiative against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petroleum refineries and petrochemical plants with respect to emissions from flares. On April 21, 2014, Westlake received a Clean Air Act Section 114 Information Request from the EPA, which sought information regarding flares at the Calvert City and Lake Charles facilities. The EPA notified Westlake that it believes that some of the flares are out of compliance with applicable standards. In June 2022, the Department of Justice announced that Westlake, the EPA and state environmental agencies had reached agreement on a consent decree resolving this matter. The consent decree requires Westlake to install flare gas recovery units, implement fence line monitoring, install and operate flare monitoring and control equipment to meet certain performance standards, and pay a penalty of $1 million. Implementation of the requirements under the decree is estimated to cost approximately $110 million, which includes capital expenditures associated with installation of the flare gas recovery units we are required to install at our Calvert City and Lake Charles facilities. The capital expenditures and other costs required to comply with the consent decree have either been incurred in 2021 or will be incurred over the course of 2022 and 2023. The 30-day federal public comment period for the consent decree has concluded, as well as the public comment period for the states. When the court enters the consent decree, it will become effective. As discussed above, Westlake is expected to fully indemnify us for such costs.</w:t>
      </w:r>
    </w:p>
    <w:p>
      <w:pPr>
        <w:spacing w:after="0" w:line="119" w:lineRule="exact"/>
        <w:rPr>
          <w:sz w:val="20"/>
          <w:szCs w:val="20"/>
          <w:color w:val="auto"/>
        </w:rPr>
      </w:pPr>
    </w:p>
    <w:p>
      <w:pPr>
        <w:ind w:right="200" w:firstLine="405"/>
        <w:spacing w:after="0" w:line="277" w:lineRule="auto"/>
        <w:rPr>
          <w:sz w:val="20"/>
          <w:szCs w:val="20"/>
          <w:color w:val="auto"/>
        </w:rPr>
      </w:pPr>
      <w:r>
        <w:rPr>
          <w:rFonts w:ascii="Times New Roman" w:cs="Times New Roman" w:eastAsia="Times New Roman" w:hAnsi="Times New Roman"/>
          <w:sz w:val="17"/>
          <w:szCs w:val="17"/>
          <w:i w:val="1"/>
          <w:iCs w:val="1"/>
          <w:color w:val="auto"/>
        </w:rPr>
        <w:t>Flash Fire at Petro 2</w:t>
      </w:r>
      <w:r>
        <w:rPr>
          <w:rFonts w:ascii="Times New Roman" w:cs="Times New Roman" w:eastAsia="Times New Roman" w:hAnsi="Times New Roman"/>
          <w:sz w:val="17"/>
          <w:szCs w:val="17"/>
          <w:color w:val="auto"/>
        </w:rPr>
        <w:t>. There are lawsuits pending in connection with the flash fire at the quench tower that occurred in September 2021 during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Petro 2 turnaround, which are described in Note 12 to the consolidated financial statements included in Item 1 of this Form 10-Q. We expect insurance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most of the costs associated with these lawsuits</w:t>
      </w:r>
      <w:r>
        <w:rPr>
          <w:rFonts w:ascii="Times New Roman" w:cs="Times New Roman" w:eastAsia="Times New Roman" w:hAnsi="Times New Roman"/>
          <w:sz w:val="21"/>
          <w:szCs w:val="21"/>
          <w:color w:val="008080"/>
        </w:rPr>
        <w:t>.</w:t>
      </w:r>
    </w:p>
    <w:p>
      <w:pPr>
        <w:spacing w:after="0" w:line="159"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In addition to the matters described above, the Partnership is also involved in other legal proceedings incidental to the conduct of its business. The Partnership does not believe that any of these legal proceedings will have a material adverse effect on its financial condition, results of operations or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4"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For a discussion of risk factors, please read Item 1A, "Risk Factors" in the 2021 Form 10-K. There have been no material changes from those risk factors.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6920" w:type="dxa"/>
            <w:vAlign w:val="bottom"/>
            <w:gridSpan w:val="22"/>
          </w:tcPr>
          <w:p>
            <w:pPr>
              <w:ind w:left="1760"/>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0"/>
        </w:trPr>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20" w:type="dxa"/>
            <w:vAlign w:val="bottom"/>
          </w:tcPr>
          <w:p>
            <w:pPr>
              <w:spacing w:after="0"/>
              <w:rPr>
                <w:sz w:val="24"/>
                <w:szCs w:val="24"/>
                <w:color w:val="auto"/>
              </w:rPr>
            </w:pPr>
          </w:p>
        </w:tc>
        <w:tc>
          <w:tcPr>
            <w:tcW w:w="9860" w:type="dxa"/>
            <w:vAlign w:val="bottom"/>
            <w:gridSpan w:val="25"/>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Certificate of Limited Partnership of Westlake Chemical Partners LP (incorporated by reference to Exhibit 3.1 to Westlake Chemical</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54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Partners LP's Registration Statement on Form S-1 (File No. 333-195551), filed on April 29, 2014).</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20" w:type="dxa"/>
            <w:vAlign w:val="bottom"/>
          </w:tcPr>
          <w:p>
            <w:pPr>
              <w:spacing w:after="0"/>
              <w:rPr>
                <w:sz w:val="22"/>
                <w:szCs w:val="22"/>
                <w:color w:val="auto"/>
              </w:rPr>
            </w:pPr>
          </w:p>
        </w:tc>
        <w:tc>
          <w:tcPr>
            <w:tcW w:w="9860" w:type="dxa"/>
            <w:vAlign w:val="bottom"/>
            <w:gridSpan w:val="25"/>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First Amended and Restated Agreement of Limited Partnership of Westlake Chemical Partners LP (incorporated by reference to Exhibit</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38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3.</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Westlake Chemical Partners LP's Current Report on Form 8-K (File No. 001-36567) filed on August 8, 2014).</w:t>
              </w:r>
            </w:hyperlink>
          </w:p>
        </w:tc>
        <w:tc>
          <w:tcPr>
            <w:tcW w:w="1400" w:type="dxa"/>
            <w:vAlign w:val="bottom"/>
            <w:tcBorders>
              <w:top w:val="single" w:sz="8" w:color="0000FF"/>
            </w:tcBorders>
            <w:gridSpan w:val="11"/>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620" w:type="dxa"/>
            <w:vAlign w:val="bottom"/>
          </w:tcPr>
          <w:p>
            <w:pPr>
              <w:spacing w:after="0"/>
              <w:rPr>
                <w:sz w:val="22"/>
                <w:szCs w:val="22"/>
                <w:color w:val="auto"/>
              </w:rPr>
            </w:pPr>
          </w:p>
        </w:tc>
        <w:tc>
          <w:tcPr>
            <w:tcW w:w="97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Amendment No. 1 to the First Amended and Restated Agreement of Limited Partnership of Westlake Chemical Partners LP dated as of</w:t>
              </w:r>
            </w:hyperlink>
          </w:p>
        </w:tc>
        <w:tc>
          <w:tcPr>
            <w:tcW w:w="120" w:type="dxa"/>
            <w:vAlign w:val="bottom"/>
            <w:gridSpan w:val="3"/>
          </w:tcPr>
          <w:p>
            <w:pPr>
              <w:spacing w:after="0"/>
              <w:rPr>
                <w:sz w:val="22"/>
                <w:szCs w:val="22"/>
                <w:color w:val="auto"/>
              </w:rPr>
            </w:pPr>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60" w:type="dxa"/>
            <w:vAlign w:val="bottom"/>
            <w:gridSpan w:val="25"/>
          </w:tcPr>
          <w:p>
            <w:pPr>
              <w:spacing w:after="0" w:line="169" w:lineRule="exact"/>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November 16, 2017 (incorporated by Reference to Exhibit 3.1 to Westlake Chemical Partners LP's Current Report on Form 8-K, filed on</w:t>
              </w:r>
            </w:hyperlink>
          </w:p>
        </w:tc>
      </w:tr>
      <w:tr>
        <w:trPr>
          <w:trHeight w:val="156"/>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4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November 16, 2017, File No. 01-36567).</w:t>
              </w:r>
            </w:hyperlink>
          </w:p>
        </w:tc>
        <w:tc>
          <w:tcPr>
            <w:tcW w:w="20" w:type="dxa"/>
            <w:vAlign w:val="bottom"/>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620" w:type="dxa"/>
            <w:vAlign w:val="bottom"/>
          </w:tcPr>
          <w:p>
            <w:pPr>
              <w:spacing w:after="0"/>
              <w:rPr>
                <w:sz w:val="22"/>
                <w:szCs w:val="22"/>
                <w:color w:val="auto"/>
              </w:rPr>
            </w:pPr>
          </w:p>
        </w:tc>
        <w:tc>
          <w:tcPr>
            <w:tcW w:w="9860" w:type="dxa"/>
            <w:vAlign w:val="bottom"/>
            <w:gridSpan w:val="25"/>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Amendment No. 2 to the First Amended and Restated Agreement of Limited Partnership of Westlake Chemical Partners LP</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90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(incorporated by reference to Exhibit 3.1 to Westlake Chemical Partners LP's Current Report on Form 8-K filed on July 30,</w:t>
              </w:r>
            </w:hyperlink>
          </w:p>
        </w:tc>
        <w:tc>
          <w:tcPr>
            <w:tcW w:w="960" w:type="dxa"/>
            <w:vAlign w:val="bottom"/>
            <w:gridSpan w:val="12"/>
          </w:tcPr>
          <w:p>
            <w:pPr>
              <w:ind w:left="20"/>
              <w:spacing w:after="0" w:line="169"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2018 (File</w:t>
              </w:r>
            </w:hyperlink>
          </w:p>
        </w:tc>
      </w:tr>
      <w:tr>
        <w:trPr>
          <w:trHeight w:val="156"/>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53">
              <w:r>
                <w:rPr>
                  <w:rFonts w:ascii="Times New Roman" w:cs="Times New Roman" w:eastAsia="Times New Roman" w:hAnsi="Times New Roman"/>
                  <w:sz w:val="18"/>
                  <w:szCs w:val="18"/>
                  <w:color w:val="0000FF"/>
                  <w:w w:val="97"/>
                </w:rPr>
                <w:t>No. 01-36567)).</w:t>
              </w:r>
            </w:hyperlink>
          </w:p>
        </w:tc>
        <w:tc>
          <w:tcPr>
            <w:tcW w:w="8500" w:type="dxa"/>
            <w:vAlign w:val="bottom"/>
            <w:tcBorders>
              <w:top w:val="single" w:sz="8" w:color="0000FF"/>
            </w:tcBorders>
            <w:gridSpan w:val="18"/>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620" w:type="dxa"/>
            <w:vAlign w:val="bottom"/>
          </w:tcPr>
          <w:p>
            <w:pPr>
              <w:spacing w:after="0"/>
              <w:rPr>
                <w:sz w:val="22"/>
                <w:szCs w:val="22"/>
                <w:color w:val="auto"/>
              </w:rPr>
            </w:pPr>
          </w:p>
        </w:tc>
        <w:tc>
          <w:tcPr>
            <w:tcW w:w="9860" w:type="dxa"/>
            <w:vAlign w:val="bottom"/>
            <w:gridSpan w:val="25"/>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Amended and Restated Limited Partnership Agreement of Westlake Chemical OpCo LP (incorporated by reference to Exhibit 10.7 to</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Westlake Chemical Partners LP's Current Report on Form 8-K (File No. 001-36567) filed on August 8, 2014).</w:t>
              </w:r>
            </w:hyperlink>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39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620" w:type="dxa"/>
            <w:vAlign w:val="bottom"/>
          </w:tcPr>
          <w:p>
            <w:pPr>
              <w:spacing w:after="0"/>
              <w:rPr>
                <w:sz w:val="22"/>
                <w:szCs w:val="22"/>
                <w:color w:val="auto"/>
              </w:rPr>
            </w:pPr>
          </w:p>
        </w:tc>
        <w:tc>
          <w:tcPr>
            <w:tcW w:w="9860" w:type="dxa"/>
            <w:vAlign w:val="bottom"/>
            <w:gridSpan w:val="25"/>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Amendment No. 1 to the First Amended and Restated Agreement of Limited Partnership of Westlake Chemical OpCo LP dated as of</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58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December 1, 2017 (File No. 01-36567) (incorporated by reference to Exhibit 3.4 to Westlake Chemical Partners LP's Annual Report</w:t>
              </w:r>
            </w:hyperlink>
          </w:p>
        </w:tc>
        <w:tc>
          <w:tcPr>
            <w:tcW w:w="280" w:type="dxa"/>
            <w:vAlign w:val="bottom"/>
            <w:gridSpan w:val="8"/>
          </w:tcPr>
          <w:p>
            <w:pPr>
              <w:spacing w:after="0" w:line="169"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on</w:t>
              </w:r>
            </w:hyperlink>
          </w:p>
        </w:tc>
      </w:tr>
      <w:tr>
        <w:trPr>
          <w:trHeight w:val="156"/>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74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Form 10-K for the year ended December 31, 2017 (File No. 01-36567) filed on March 1, 2018).</w:t>
              </w:r>
            </w:hyperlink>
          </w:p>
        </w:tc>
        <w:tc>
          <w:tcPr>
            <w:tcW w:w="120" w:type="dxa"/>
            <w:vAlign w:val="bottom"/>
            <w:gridSpan w:val="3"/>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39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20" w:type="dxa"/>
            <w:vAlign w:val="bottom"/>
          </w:tcPr>
          <w:p>
            <w:pPr>
              <w:spacing w:after="0"/>
              <w:rPr>
                <w:sz w:val="22"/>
                <w:szCs w:val="22"/>
                <w:color w:val="auto"/>
              </w:rPr>
            </w:pPr>
          </w:p>
        </w:tc>
        <w:tc>
          <w:tcPr>
            <w:tcW w:w="9860" w:type="dxa"/>
            <w:vAlign w:val="bottom"/>
            <w:gridSpan w:val="25"/>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Amendment No. 2 to the Amended And Restated Senior Unsecured Revolving Credit Agreement of Westlake Chemical OpCo LP</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36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(incorporated by reference to Exhibit 10.1 to Westlake Chemical Partners LP's Current Report on Form 8-K (File No. 001-36567)</w:t>
              </w:r>
            </w:hyperlink>
          </w:p>
        </w:tc>
        <w:tc>
          <w:tcPr>
            <w:tcW w:w="500" w:type="dxa"/>
            <w:vAlign w:val="bottom"/>
            <w:gridSpan w:val="10"/>
          </w:tcPr>
          <w:p>
            <w:pPr>
              <w:ind w:left="20"/>
              <w:spacing w:after="0" w:line="169"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filed</w:t>
              </w:r>
            </w:hyperlink>
          </w:p>
        </w:tc>
      </w:tr>
      <w:tr>
        <w:trPr>
          <w:trHeight w:val="155"/>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56">
              <w:r>
                <w:rPr>
                  <w:rFonts w:ascii="Times New Roman" w:cs="Times New Roman" w:eastAsia="Times New Roman" w:hAnsi="Times New Roman"/>
                  <w:sz w:val="18"/>
                  <w:szCs w:val="18"/>
                  <w:color w:val="0000FF"/>
                  <w:w w:val="98"/>
                </w:rPr>
                <w:t>on July 15, 2022).</w:t>
              </w:r>
            </w:hyperlink>
          </w:p>
        </w:tc>
        <w:tc>
          <w:tcPr>
            <w:tcW w:w="840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620" w:type="dxa"/>
            <w:vAlign w:val="bottom"/>
          </w:tcPr>
          <w:p>
            <w:pPr>
              <w:spacing w:after="0"/>
              <w:rPr>
                <w:sz w:val="22"/>
                <w:szCs w:val="22"/>
                <w:color w:val="auto"/>
              </w:rPr>
            </w:pPr>
          </w:p>
        </w:tc>
        <w:tc>
          <w:tcPr>
            <w:tcW w:w="9860" w:type="dxa"/>
            <w:vAlign w:val="bottom"/>
            <w:gridSpan w:val="25"/>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Amendment No. 4 to the Senior Unsecured Revolving Credit Agreement of Westlake Chemical Partners LP (incorporated by reference</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10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to Exhibit 10.2 to Westlake Chemical Partners LP's Current Report on Form 8-K (File No. 001-36567) filed on July 15, 2022).</w:t>
              </w:r>
            </w:hyperlink>
          </w:p>
        </w:tc>
        <w:tc>
          <w:tcPr>
            <w:tcW w:w="620" w:type="dxa"/>
            <w:vAlign w:val="bottom"/>
            <w:tcBorders>
              <w:top w:val="single" w:sz="8" w:color="0000FF"/>
            </w:tcBorders>
            <w:gridSpan w:val="7"/>
          </w:tcPr>
          <w:p>
            <w:pPr>
              <w:spacing w:after="0"/>
              <w:rPr>
                <w:sz w:val="14"/>
                <w:szCs w:val="14"/>
                <w:color w:val="auto"/>
              </w:rPr>
            </w:pPr>
          </w:p>
        </w:tc>
        <w:tc>
          <w:tcPr>
            <w:tcW w:w="140" w:type="dxa"/>
            <w:vAlign w:val="bottom"/>
            <w:gridSpan w:val="4"/>
          </w:tcPr>
          <w:p>
            <w:pPr>
              <w:spacing w:after="0"/>
              <w:rPr>
                <w:sz w:val="14"/>
                <w:szCs w:val="14"/>
                <w:color w:val="auto"/>
              </w:rPr>
            </w:pPr>
          </w:p>
        </w:tc>
      </w:tr>
      <w:tr>
        <w:trPr>
          <w:trHeight w:val="26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98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Rule 13a – 14(a) / 15d – 14(a) Certification (Principal Executive Officer)</w:t>
            </w:r>
          </w:p>
        </w:tc>
      </w:tr>
      <w:tr>
        <w:trPr>
          <w:trHeight w:val="26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52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Rule 13a – 14(a) / 15d – 14(a) Certification (Principal Financial Officer)</w:t>
            </w:r>
          </w:p>
        </w:tc>
        <w:tc>
          <w:tcPr>
            <w:tcW w:w="40" w:type="dxa"/>
            <w:vAlign w:val="bottom"/>
            <w:tcBorders>
              <w:top w:val="single" w:sz="8" w:color="0000FF"/>
            </w:tcBorders>
          </w:tcPr>
          <w:p>
            <w:pPr>
              <w:spacing w:after="0"/>
              <w:rPr>
                <w:sz w:val="22"/>
                <w:szCs w:val="22"/>
                <w:color w:val="auto"/>
              </w:rPr>
            </w:pPr>
          </w:p>
        </w:tc>
        <w:tc>
          <w:tcPr>
            <w:tcW w:w="4600" w:type="dxa"/>
            <w:vAlign w:val="bottom"/>
            <w:gridSpan w:val="18"/>
          </w:tcPr>
          <w:p>
            <w:pPr>
              <w:spacing w:after="0"/>
              <w:rPr>
                <w:sz w:val="22"/>
                <w:szCs w:val="22"/>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20" w:type="dxa"/>
            <w:vAlign w:val="bottom"/>
          </w:tcPr>
          <w:p>
            <w:pPr>
              <w:spacing w:after="0"/>
              <w:rPr>
                <w:sz w:val="22"/>
                <w:szCs w:val="22"/>
                <w:color w:val="auto"/>
              </w:rPr>
            </w:pPr>
          </w:p>
        </w:tc>
        <w:tc>
          <w:tcPr>
            <w:tcW w:w="98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Section 1350 Certification (Principal Executive Officer and Principal Financial Officer)</w:t>
            </w:r>
          </w:p>
        </w:tc>
      </w:tr>
      <w:tr>
        <w:trPr>
          <w:trHeight w:val="20"/>
        </w:trPr>
        <w:tc>
          <w:tcPr>
            <w:tcW w:w="1320" w:type="dxa"/>
            <w:vAlign w:val="bottom"/>
            <w:gridSpan w:val="2"/>
          </w:tcPr>
          <w:p>
            <w:pPr>
              <w:spacing w:after="0" w:line="20" w:lineRule="exact"/>
              <w:rPr>
                <w:sz w:val="1"/>
                <w:szCs w:val="1"/>
                <w:color w:val="auto"/>
              </w:rPr>
            </w:pPr>
          </w:p>
        </w:tc>
        <w:tc>
          <w:tcPr>
            <w:tcW w:w="6300" w:type="dxa"/>
            <w:vAlign w:val="bottom"/>
            <w:gridSpan w:val="8"/>
            <w:shd w:val="clear" w:color="auto" w:fill="0000FF"/>
          </w:tcPr>
          <w:p>
            <w:pPr>
              <w:spacing w:after="0" w:line="20" w:lineRule="exact"/>
              <w:rPr>
                <w:sz w:val="1"/>
                <w:szCs w:val="1"/>
                <w:color w:val="auto"/>
              </w:rPr>
            </w:pPr>
          </w:p>
        </w:tc>
        <w:tc>
          <w:tcPr>
            <w:tcW w:w="3560" w:type="dxa"/>
            <w:vAlign w:val="bottom"/>
            <w:gridSpan w:val="17"/>
          </w:tcPr>
          <w:p>
            <w:pPr>
              <w:spacing w:after="0" w:line="20" w:lineRule="exact"/>
              <w:rPr>
                <w:sz w:val="1"/>
                <w:szCs w:val="1"/>
                <w:color w:val="auto"/>
              </w:rPr>
            </w:pPr>
          </w:p>
        </w:tc>
      </w:tr>
      <w:tr>
        <w:trPr>
          <w:trHeight w:val="259"/>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8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Instance Document–The instance document does not appear in the interactive data file because its XBRL tags are embedded</w:t>
            </w:r>
          </w:p>
        </w:tc>
      </w:tr>
      <w:tr>
        <w:trPr>
          <w:trHeight w:val="234"/>
        </w:trPr>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8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49" w:lineRule="exact"/>
        <w:rPr>
          <w:sz w:val="20"/>
          <w:szCs w:val="20"/>
          <w:color w:val="auto"/>
        </w:rPr>
      </w:pPr>
    </w:p>
    <w:p>
      <w:pPr>
        <w:ind w:left="1340" w:right="300" w:hanging="1314"/>
        <w:spacing w:after="0" w:line="250" w:lineRule="auto"/>
        <w:tabs>
          <w:tab w:leader="none" w:pos="1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243" w:lineRule="exact"/>
        <w:rPr>
          <w:sz w:val="20"/>
          <w:szCs w:val="20"/>
          <w:color w:val="auto"/>
        </w:rPr>
      </w:pPr>
    </w:p>
    <w:p>
      <w:pPr>
        <w:ind w:left="20"/>
        <w:spacing w:after="0"/>
        <w:tabs>
          <w:tab w:leader="none" w:pos="600" w:val="left"/>
          <w:tab w:leader="none" w:pos="6160" w:val="left"/>
          <w:tab w:leader="none" w:pos="8240" w:val="left"/>
          <w:tab w:leader="none" w:pos="8580" w:val="left"/>
        </w:tabs>
        <w:rPr>
          <w:sz w:val="20"/>
          <w:szCs w:val="20"/>
          <w:color w:val="auto"/>
        </w:rPr>
      </w:pPr>
      <w:r>
        <w:rPr>
          <w:rFonts w:ascii="Times New Roman" w:cs="Times New Roman" w:eastAsia="Times New Roman" w:hAnsi="Times New Roman"/>
          <w:sz w:val="18"/>
          <w:szCs w:val="18"/>
          <w:color w:val="auto"/>
        </w:rPr>
        <w:t>Date:</w:t>
        <w:tab/>
        <w:t>November 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A</w:t>
      </w:r>
      <w:r>
        <w:rPr>
          <w:rFonts w:ascii="Times New Roman" w:cs="Times New Roman" w:eastAsia="Times New Roman" w:hAnsi="Times New Roman"/>
          <w:sz w:val="14"/>
          <w:szCs w:val="14"/>
          <w:color w:val="auto"/>
        </w:rPr>
        <w:t>LBERT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117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3"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4"/>
          <w:szCs w:val="14"/>
          <w:b w:val="1"/>
          <w:bCs w:val="1"/>
          <w:color w:val="auto"/>
        </w:rPr>
        <w:t>Albert Chao</w:t>
      </w:r>
    </w:p>
    <w:p>
      <w:pPr>
        <w:spacing w:after="0" w:line="34"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40"/>
        <w:spacing w:after="0" w:line="221"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00" w:lineRule="exact"/>
        <w:rPr>
          <w:sz w:val="20"/>
          <w:szCs w:val="20"/>
          <w:color w:val="auto"/>
        </w:rPr>
      </w:pPr>
    </w:p>
    <w:p>
      <w:pPr>
        <w:ind w:left="20"/>
        <w:spacing w:after="0"/>
        <w:tabs>
          <w:tab w:leader="none" w:pos="600" w:val="left"/>
          <w:tab w:leader="none" w:pos="6160" w:val="left"/>
          <w:tab w:leader="none" w:pos="8020" w:val="left"/>
          <w:tab w:leader="none" w:pos="8380" w:val="left"/>
        </w:tabs>
        <w:rPr>
          <w:sz w:val="20"/>
          <w:szCs w:val="20"/>
          <w:color w:val="auto"/>
        </w:rPr>
      </w:pPr>
      <w:r>
        <w:rPr>
          <w:rFonts w:ascii="Times New Roman" w:cs="Times New Roman" w:eastAsia="Times New Roman" w:hAnsi="Times New Roman"/>
          <w:sz w:val="18"/>
          <w:szCs w:val="18"/>
          <w:color w:val="auto"/>
        </w:rPr>
        <w:t>Date:</w:t>
        <w:tab/>
        <w:t>November 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117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w:t>
      </w:r>
    </w:p>
    <w:p>
      <w:pPr>
        <w:jc w:val="center"/>
        <w:ind w:left="6940"/>
        <w:spacing w:after="0" w:line="221" w:lineRule="auto"/>
        <w:rPr>
          <w:sz w:val="20"/>
          <w:szCs w:val="20"/>
          <w:color w:val="auto"/>
        </w:rPr>
      </w:pPr>
      <w:r>
        <w:rPr>
          <w:rFonts w:ascii="Times New Roman" w:cs="Times New Roman" w:eastAsia="Times New Roman" w:hAnsi="Times New Roman"/>
          <w:sz w:val="14"/>
          <w:szCs w:val="14"/>
          <w:b w:val="1"/>
          <w:bCs w:val="1"/>
          <w:color w:val="auto"/>
        </w:rPr>
        <w:t>Director of Westlake Chemical Partners GP LLC</w:t>
      </w: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720"/>
          </w:cols>
          <w:pgMar w:left="320" w:top="118" w:right="85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Albert Chao, certify that:</w:t>
      </w:r>
    </w:p>
    <w:p>
      <w:pPr>
        <w:spacing w:after="0" w:line="144" w:lineRule="exact"/>
        <w:rPr>
          <w:sz w:val="20"/>
          <w:szCs w:val="20"/>
          <w:color w:val="auto"/>
        </w:rPr>
      </w:pPr>
    </w:p>
    <w:p>
      <w:pPr>
        <w:ind w:left="680" w:hanging="654"/>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Chemical Partners LP (the "registrant");</w:t>
      </w:r>
    </w:p>
    <w:p>
      <w:pPr>
        <w:spacing w:after="0" w:line="157" w:lineRule="exact"/>
        <w:rPr>
          <w:rFonts w:ascii="Times New Roman" w:cs="Times New Roman" w:eastAsia="Times New Roman" w:hAnsi="Times New Roman"/>
          <w:sz w:val="18"/>
          <w:szCs w:val="18"/>
          <w:color w:val="auto"/>
        </w:rPr>
      </w:pPr>
    </w:p>
    <w:p>
      <w:pPr>
        <w:jc w:val="both"/>
        <w:ind w:left="680" w:right="100" w:hanging="654"/>
        <w:spacing w:after="0" w:line="231"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Times New Roman" w:cs="Times New Roman" w:eastAsia="Times New Roman" w:hAnsi="Times New Roman"/>
          <w:sz w:val="18"/>
          <w:szCs w:val="18"/>
          <w:color w:val="auto"/>
        </w:rPr>
      </w:pPr>
    </w:p>
    <w:p>
      <w:pPr>
        <w:ind w:left="680" w:right="60" w:hanging="654"/>
        <w:spacing w:after="0" w:line="237"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Times New Roman" w:cs="Times New Roman" w:eastAsia="Times New Roman" w:hAnsi="Times New Roman"/>
          <w:sz w:val="18"/>
          <w:szCs w:val="18"/>
          <w:color w:val="auto"/>
        </w:rPr>
      </w:pPr>
    </w:p>
    <w:p>
      <w:pPr>
        <w:ind w:left="1340" w:right="100" w:hanging="666"/>
        <w:spacing w:after="0" w:line="226" w:lineRule="auto"/>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340" w:right="140" w:hanging="666"/>
        <w:spacing w:after="0" w:line="231" w:lineRule="auto"/>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1340" w:right="180" w:hanging="666"/>
        <w:spacing w:after="0" w:line="263" w:lineRule="auto"/>
        <w:tabs>
          <w:tab w:leader="none" w:pos="134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340" w:right="260" w:hanging="666"/>
        <w:spacing w:after="0" w:line="231" w:lineRule="auto"/>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480" w:hanging="666"/>
        <w:spacing w:after="0" w:line="250" w:lineRule="auto"/>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8"/>
          <w:szCs w:val="18"/>
          <w:color w:val="auto"/>
        </w:rPr>
      </w:pPr>
    </w:p>
    <w:p>
      <w:pPr>
        <w:ind w:left="1340" w:right="180" w:hanging="666"/>
        <w:spacing w:after="0" w:line="237" w:lineRule="auto"/>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00" w:val="left"/>
          <w:tab w:leader="none" w:pos="8220" w:val="left"/>
          <w:tab w:leader="none" w:pos="8580" w:val="left"/>
        </w:tabs>
        <w:rPr>
          <w:sz w:val="20"/>
          <w:szCs w:val="20"/>
          <w:color w:val="auto"/>
        </w:rPr>
      </w:pPr>
      <w:r>
        <w:rPr>
          <w:rFonts w:ascii="Times New Roman" w:cs="Times New Roman" w:eastAsia="Times New Roman" w:hAnsi="Times New Roman"/>
          <w:sz w:val="18"/>
          <w:szCs w:val="18"/>
          <w:color w:val="auto"/>
        </w:rPr>
        <w:t>Date:</w:t>
        <w:tab/>
        <w:t>November 3, 2022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w:t>
      </w:r>
      <w:r>
        <w:rPr>
          <w:rFonts w:ascii="Times New Roman" w:cs="Times New Roman" w:eastAsia="Times New Roman" w:hAnsi="Times New Roman"/>
          <w:sz w:val="13"/>
          <w:szCs w:val="13"/>
          <w:color w:val="auto"/>
        </w:rPr>
        <w:t>LBERT</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3"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Albert Chao</w:t>
      </w:r>
    </w:p>
    <w:p>
      <w:pPr>
        <w:spacing w:after="0" w:line="4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 Steven Bender, certify that:</w:t>
      </w:r>
    </w:p>
    <w:p>
      <w:pPr>
        <w:spacing w:after="0" w:line="144" w:lineRule="exact"/>
        <w:rPr>
          <w:sz w:val="20"/>
          <w:szCs w:val="20"/>
          <w:color w:val="auto"/>
        </w:rPr>
      </w:pPr>
    </w:p>
    <w:p>
      <w:pPr>
        <w:ind w:left="680" w:hanging="654"/>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Chemical Partners LP (the "registrant");</w:t>
      </w:r>
    </w:p>
    <w:p>
      <w:pPr>
        <w:spacing w:after="0" w:line="157" w:lineRule="exact"/>
        <w:rPr>
          <w:rFonts w:ascii="Times New Roman" w:cs="Times New Roman" w:eastAsia="Times New Roman" w:hAnsi="Times New Roman"/>
          <w:sz w:val="18"/>
          <w:szCs w:val="18"/>
          <w:color w:val="auto"/>
        </w:rPr>
      </w:pPr>
    </w:p>
    <w:p>
      <w:pPr>
        <w:jc w:val="both"/>
        <w:ind w:left="680" w:right="100" w:hanging="654"/>
        <w:spacing w:after="0" w:line="231"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Times New Roman" w:cs="Times New Roman" w:eastAsia="Times New Roman" w:hAnsi="Times New Roman"/>
          <w:sz w:val="18"/>
          <w:szCs w:val="18"/>
          <w:color w:val="auto"/>
        </w:rPr>
      </w:pPr>
    </w:p>
    <w:p>
      <w:pPr>
        <w:ind w:left="680" w:right="60" w:hanging="654"/>
        <w:spacing w:after="0" w:line="237"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Times New Roman" w:cs="Times New Roman" w:eastAsia="Times New Roman" w:hAnsi="Times New Roman"/>
          <w:sz w:val="18"/>
          <w:szCs w:val="18"/>
          <w:color w:val="auto"/>
        </w:rPr>
      </w:pPr>
    </w:p>
    <w:p>
      <w:pPr>
        <w:ind w:left="1340" w:right="100" w:hanging="666"/>
        <w:spacing w:after="0" w:line="226"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340" w:right="140" w:hanging="666"/>
        <w:spacing w:after="0" w:line="231"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1340" w:right="180" w:hanging="666"/>
        <w:spacing w:after="0" w:line="263" w:lineRule="auto"/>
        <w:tabs>
          <w:tab w:leader="none" w:pos="134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340" w:right="260" w:hanging="666"/>
        <w:spacing w:after="0" w:line="231"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480" w:hanging="666"/>
        <w:spacing w:after="0" w:line="250"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8"/>
          <w:szCs w:val="18"/>
          <w:color w:val="auto"/>
        </w:rPr>
      </w:pPr>
    </w:p>
    <w:p>
      <w:pPr>
        <w:ind w:left="1340" w:right="180" w:hanging="666"/>
        <w:spacing w:after="0" w:line="237"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00" w:val="left"/>
          <w:tab w:leader="none" w:pos="8220" w:val="left"/>
        </w:tabs>
        <w:rPr>
          <w:sz w:val="20"/>
          <w:szCs w:val="20"/>
          <w:color w:val="auto"/>
        </w:rPr>
      </w:pPr>
      <w:r>
        <w:rPr>
          <w:rFonts w:ascii="Times New Roman" w:cs="Times New Roman" w:eastAsia="Times New Roman" w:hAnsi="Times New Roman"/>
          <w:sz w:val="18"/>
          <w:szCs w:val="18"/>
          <w:color w:val="auto"/>
        </w:rPr>
        <w:t>Date:</w:t>
        <w:tab/>
        <w:t>November 3, 2022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42"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 Director of</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Westlake Chemical Partners LP (the "Partnership") on Form 10-Q for the fiscal quarter ended September 30, 2022 as filed with the Securities and Exchange Commission on the date hereof (the "Report"), I, Albert Chao, President, Chief Executive Officer and Director of the Partnership, and I, M. Steven Bender, Senior Vice President, Chief Financial Officer and Director of the Partnership, certify, to the best of our knowledge, pursuant to 18 U.S.C. §1350, as adopted pursuant to §906 of the Sarbanes-Oxley Act of 2002, that:</w:t>
      </w:r>
    </w:p>
    <w:p>
      <w:pPr>
        <w:spacing w:after="0" w:line="72" w:lineRule="exact"/>
        <w:rPr>
          <w:sz w:val="20"/>
          <w:szCs w:val="20"/>
          <w:color w:val="auto"/>
        </w:rPr>
      </w:pPr>
    </w:p>
    <w:p>
      <w:pPr>
        <w:ind w:left="560" w:hanging="309"/>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aspects, the financial condition and results of operations of the Partnership.</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600" w:val="left"/>
          <w:tab w:leader="none" w:pos="8220" w:val="left"/>
          <w:tab w:leader="none" w:pos="8580" w:val="left"/>
        </w:tabs>
        <w:rPr>
          <w:sz w:val="20"/>
          <w:szCs w:val="20"/>
          <w:color w:val="auto"/>
        </w:rPr>
      </w:pPr>
      <w:r>
        <w:rPr>
          <w:rFonts w:ascii="Times New Roman" w:cs="Times New Roman" w:eastAsia="Times New Roman" w:hAnsi="Times New Roman"/>
          <w:sz w:val="18"/>
          <w:szCs w:val="18"/>
          <w:color w:val="auto"/>
        </w:rPr>
        <w:t>Date:</w:t>
        <w:tab/>
        <w:t>November 3, 2022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w:t>
      </w:r>
      <w:r>
        <w:rPr>
          <w:rFonts w:ascii="Times New Roman" w:cs="Times New Roman" w:eastAsia="Times New Roman" w:hAnsi="Times New Roman"/>
          <w:sz w:val="13"/>
          <w:szCs w:val="13"/>
          <w:color w:val="auto"/>
        </w:rPr>
        <w:t>LBERT</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Albert Chao</w:t>
      </w:r>
    </w:p>
    <w:p>
      <w:pPr>
        <w:spacing w:after="0" w:line="4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27" w:lineRule="exact"/>
        <w:rPr>
          <w:sz w:val="20"/>
          <w:szCs w:val="20"/>
          <w:color w:val="auto"/>
        </w:rPr>
      </w:pPr>
    </w:p>
    <w:p>
      <w:pPr>
        <w:ind w:left="20"/>
        <w:spacing w:after="0"/>
        <w:tabs>
          <w:tab w:leader="none" w:pos="600" w:val="left"/>
          <w:tab w:leader="none" w:pos="8020" w:val="left"/>
          <w:tab w:leader="none" w:pos="8360" w:val="left"/>
        </w:tabs>
        <w:rPr>
          <w:sz w:val="20"/>
          <w:szCs w:val="20"/>
          <w:color w:val="auto"/>
        </w:rPr>
      </w:pPr>
      <w:r>
        <w:rPr>
          <w:rFonts w:ascii="Times New Roman" w:cs="Times New Roman" w:eastAsia="Times New Roman" w:hAnsi="Times New Roman"/>
          <w:sz w:val="18"/>
          <w:szCs w:val="18"/>
          <w:color w:val="auto"/>
        </w:rPr>
        <w:t>Date:</w:t>
        <w:tab/>
        <w:t>November 3, 2022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42"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Director of 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04"/>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50" Type="http://schemas.openxmlformats.org/officeDocument/2006/relationships/hyperlink" Target="http://www.sec.gov/Archives/edgar/data/1604665/000119312514164760/d715499dex31.htm" TargetMode="External"/><Relationship Id="rId51" Type="http://schemas.openxmlformats.org/officeDocument/2006/relationships/hyperlink" Target="http://www.sec.gov/Archives/edgar/data/1604665/000119312514303305/d756630dex31.htm" TargetMode="External"/><Relationship Id="rId52" Type="http://schemas.openxmlformats.org/officeDocument/2006/relationships/hyperlink" Target="http://www.sec.gov/Archives/edgar/data/1604665/000119312517345554/d493400dex31.htm" TargetMode="External"/><Relationship Id="rId53" Type="http://schemas.openxmlformats.org/officeDocument/2006/relationships/hyperlink" Target="http://www.sec.gov/Archives/edgar/data/1604665/000119312518231463/d583758dex31.htm" TargetMode="External"/><Relationship Id="rId54" Type="http://schemas.openxmlformats.org/officeDocument/2006/relationships/hyperlink" Target="http://www.sec.gov/Archives/edgar/data/1604665/000119312514303305/d756630dex107.htm" TargetMode="External"/><Relationship Id="rId55" Type="http://schemas.openxmlformats.org/officeDocument/2006/relationships/hyperlink" Target="http://www.sec.gov/Archives/edgar/data/1604665/000160466518000007/ex3412311710k.htm" TargetMode="External"/><Relationship Id="rId56" Type="http://schemas.openxmlformats.org/officeDocument/2006/relationships/hyperlink" Target="https://www.sec.gov/Archives/edgar/data/1604665/000119312522195001/d278975dex101.htm" TargetMode="External"/><Relationship Id="rId57" Type="http://schemas.openxmlformats.org/officeDocument/2006/relationships/hyperlink" Target="https://www.sec.gov/Archives/edgar/data/1604665/000119312522195001/d278975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2022-11-03T13:44:39Z</dcterms:created>
  <dcterms:modified xsi:type="dcterms:W3CDTF">2022-11-03T13:44:39Z</dcterms:modified>
</cp:coreProperties>
</file>