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138430</wp:posOffset>
            </wp:positionV>
            <wp:extent cx="32061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144145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700" w:right="80" w:hanging="674"/>
        <w:spacing w:after="0" w:line="235"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700"/>
        <w:spacing w:after="0"/>
        <w:tabs>
          <w:tab w:leader="none" w:pos="378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June 30, 2023</w:t>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700" w:right="40" w:hanging="666"/>
        <w:spacing w:after="0" w:line="235"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700"/>
        <w:spacing w:after="0"/>
        <w:tabs>
          <w:tab w:leader="none" w:pos="3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154305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Westlake Chemical Partners LP</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740" w:type="dxa"/>
            <w:vAlign w:val="bottom"/>
            <w:gridSpan w:val="2"/>
          </w:tcPr>
          <w:p>
            <w:pPr>
              <w:jc w:val="center"/>
              <w:ind w:left="1656"/>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77"/>
              <w:spacing w:after="0"/>
              <w:rPr>
                <w:sz w:val="20"/>
                <w:szCs w:val="20"/>
                <w:color w:val="auto"/>
              </w:rPr>
            </w:pPr>
            <w:r>
              <w:rPr>
                <w:rFonts w:ascii="Arial" w:cs="Arial" w:eastAsia="Arial" w:hAnsi="Arial"/>
                <w:sz w:val="18"/>
                <w:szCs w:val="18"/>
                <w:b w:val="1"/>
                <w:bCs w:val="1"/>
                <w:color w:val="auto"/>
                <w:w w:val="91"/>
              </w:rPr>
              <w:t>32-0436529</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740" w:type="dxa"/>
            <w:vAlign w:val="bottom"/>
            <w:gridSpan w:val="2"/>
          </w:tcPr>
          <w:p>
            <w:pPr>
              <w:jc w:val="center"/>
              <w:ind w:left="165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277"/>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740" w:type="dxa"/>
            <w:vAlign w:val="bottom"/>
            <w:gridSpan w:val="2"/>
          </w:tcPr>
          <w:p>
            <w:pPr>
              <w:jc w:val="center"/>
              <w:ind w:left="1656"/>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7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8"/>
                <w:szCs w:val="18"/>
                <w:b w:val="1"/>
                <w:bCs w:val="1"/>
                <w:color w:val="auto"/>
                <w:w w:val="90"/>
              </w:rPr>
              <w:t>2801 Post Oak Boulevard, Suite 600</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Arial" w:cs="Arial" w:eastAsia="Arial" w:hAnsi="Arial"/>
                <w:sz w:val="18"/>
                <w:szCs w:val="18"/>
                <w:b w:val="1"/>
                <w:bCs w:val="1"/>
                <w:color w:val="auto"/>
                <w:w w:val="87"/>
              </w:rPr>
              <w:t>Houston, Texas 77056</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0" w:type="dxa"/>
            <w:vAlign w:val="bottom"/>
          </w:tcPr>
          <w:p>
            <w:pPr>
              <w:spacing w:after="0"/>
              <w:rPr>
                <w:sz w:val="1"/>
                <w:szCs w:val="1"/>
                <w:color w:val="auto"/>
              </w:rPr>
            </w:pPr>
          </w:p>
        </w:tc>
      </w:tr>
      <w:tr>
        <w:trPr>
          <w:trHeight w:val="367"/>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Arial" w:cs="Arial" w:eastAsia="Arial" w:hAnsi="Arial"/>
                <w:sz w:val="18"/>
                <w:szCs w:val="18"/>
                <w:b w:val="1"/>
                <w:bCs w:val="1"/>
                <w:color w:val="auto"/>
                <w:w w:val="90"/>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724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Arial" w:cs="Arial" w:eastAsia="Arial" w:hAnsi="Arial"/>
                <w:sz w:val="18"/>
                <w:szCs w:val="18"/>
                <w:b w:val="1"/>
                <w:bCs w:val="1"/>
                <w:color w:val="auto"/>
                <w:w w:val="91"/>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2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Common units representing limited</w:t>
            </w:r>
          </w:p>
        </w:tc>
        <w:tc>
          <w:tcPr>
            <w:tcW w:w="500" w:type="dxa"/>
            <w:vAlign w:val="bottom"/>
          </w:tcPr>
          <w:p>
            <w:pPr>
              <w:spacing w:after="0"/>
              <w:rPr>
                <w:sz w:val="14"/>
                <w:szCs w:val="14"/>
                <w:color w:val="auto"/>
              </w:rPr>
            </w:pPr>
          </w:p>
        </w:tc>
        <w:tc>
          <w:tcPr>
            <w:tcW w:w="2840" w:type="dxa"/>
            <w:vAlign w:val="bottom"/>
            <w:tcBorders>
              <w:right w:val="single" w:sz="8" w:color="auto"/>
            </w:tcBorders>
            <w:vMerge w:val="restart"/>
          </w:tcPr>
          <w:p>
            <w:pPr>
              <w:jc w:val="center"/>
              <w:ind w:right="435"/>
              <w:spacing w:after="0"/>
              <w:rPr>
                <w:sz w:val="20"/>
                <w:szCs w:val="20"/>
                <w:color w:val="auto"/>
              </w:rPr>
            </w:pPr>
            <w:r>
              <w:rPr>
                <w:rFonts w:ascii="Arial" w:cs="Arial" w:eastAsia="Arial" w:hAnsi="Arial"/>
                <w:sz w:val="18"/>
                <w:szCs w:val="18"/>
                <w:color w:val="auto"/>
              </w:rPr>
              <w:t>WLKP</w:t>
            </w:r>
          </w:p>
        </w:tc>
        <w:tc>
          <w:tcPr>
            <w:tcW w:w="620" w:type="dxa"/>
            <w:vAlign w:val="bottom"/>
          </w:tcPr>
          <w:p>
            <w:pPr>
              <w:spacing w:after="0"/>
              <w:rPr>
                <w:sz w:val="14"/>
                <w:szCs w:val="14"/>
                <w:color w:val="auto"/>
              </w:rPr>
            </w:pPr>
          </w:p>
        </w:tc>
        <w:tc>
          <w:tcPr>
            <w:tcW w:w="4000" w:type="dxa"/>
            <w:vAlign w:val="bottom"/>
            <w:tcBorders>
              <w:right w:val="single" w:sz="8" w:color="auto"/>
            </w:tcBorders>
            <w:vMerge w:val="restart"/>
          </w:tcPr>
          <w:p>
            <w:pPr>
              <w:jc w:val="center"/>
              <w:ind w:right="577"/>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vMerge w:val="continue"/>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9" w:lineRule="exact"/>
        <w:rPr>
          <w:sz w:val="24"/>
          <w:szCs w:val="24"/>
          <w:color w:val="auto"/>
        </w:rPr>
      </w:pPr>
    </w:p>
    <w:p>
      <w:pPr>
        <w:ind w:right="24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22" w:lineRule="exact"/>
        <w:rPr>
          <w:sz w:val="24"/>
          <w:szCs w:val="24"/>
          <w:color w:val="auto"/>
        </w:rPr>
      </w:pPr>
    </w:p>
    <w:p>
      <w:pPr>
        <w:ind w:right="340"/>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40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00"/>
              <w:spacing w:after="0"/>
              <w:rPr>
                <w:sz w:val="20"/>
                <w:szCs w:val="20"/>
                <w:color w:val="auto"/>
              </w:rPr>
            </w:pPr>
            <w:r>
              <w:rPr>
                <w:rFonts w:ascii="Arial" w:cs="Arial" w:eastAsia="Arial" w:hAnsi="Arial"/>
                <w:sz w:val="18"/>
                <w:szCs w:val="18"/>
                <w:b w:val="1"/>
                <w:bCs w:val="1"/>
                <w:color w:val="auto"/>
              </w:rPr>
              <w:t>Accelerated filer</w:t>
            </w:r>
          </w:p>
        </w:tc>
        <w:tc>
          <w:tcPr>
            <w:tcW w:w="68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332"/>
        </w:trPr>
        <w:tc>
          <w:tcPr>
            <w:tcW w:w="240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00"/>
              <w:spacing w:after="0"/>
              <w:rPr>
                <w:sz w:val="20"/>
                <w:szCs w:val="20"/>
                <w:color w:val="auto"/>
              </w:rPr>
            </w:pPr>
            <w:r>
              <w:rPr>
                <w:rFonts w:ascii="Arial" w:cs="Arial" w:eastAsia="Arial" w:hAnsi="Arial"/>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40" w:type="dxa"/>
            <w:vAlign w:val="bottom"/>
          </w:tcPr>
          <w:p>
            <w:pPr>
              <w:ind w:left="2200"/>
              <w:spacing w:after="0"/>
              <w:rPr>
                <w:sz w:val="20"/>
                <w:szCs w:val="20"/>
                <w:color w:val="auto"/>
              </w:rPr>
            </w:pPr>
            <w:r>
              <w:rPr>
                <w:rFonts w:ascii="Arial" w:cs="Arial" w:eastAsia="Arial" w:hAnsi="Arial"/>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4"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Arial" w:cs="Arial" w:eastAsia="Arial" w:hAnsi="Arial"/>
          <w:sz w:val="18"/>
          <w:szCs w:val="18"/>
          <w:color w:val="auto"/>
        </w:rPr>
        <w:t>x</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35,221,868 common units outstanding as of July 27, 2023.</w:t>
      </w:r>
    </w:p>
    <w:p>
      <w:pPr>
        <w:sectPr>
          <w:pgSz w:w="11900" w:h="16838" w:orient="portrait"/>
          <w:cols w:equalWidth="0" w:num="1">
            <w:col w:w="11220"/>
          </w:cols>
          <w:pgMar w:left="320" w:top="1043" w:right="359" w:bottom="187"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247650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20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2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1)</w:t>
            </w:r>
          </w:p>
        </w:tc>
        <w:tc>
          <w:tcPr>
            <w:tcW w:w="992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2)</w:t>
            </w:r>
          </w:p>
        </w:tc>
        <w:tc>
          <w:tcPr>
            <w:tcW w:w="992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3)</w:t>
            </w:r>
          </w:p>
        </w:tc>
        <w:tc>
          <w:tcPr>
            <w:tcW w:w="992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4)</w:t>
            </w:r>
          </w:p>
        </w:tc>
        <w:tc>
          <w:tcPr>
            <w:tcW w:w="992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Arial" w:cs="Arial" w:eastAsia="Arial" w:hAnsi="Arial"/>
                <w:sz w:val="18"/>
                <w:szCs w:val="18"/>
                <w:b w:val="1"/>
                <w:bCs w:val="1"/>
                <w:color w:val="auto"/>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1)</w:t>
            </w:r>
          </w:p>
        </w:tc>
        <w:tc>
          <w:tcPr>
            <w:tcW w:w="992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120" w:type="dxa"/>
            <w:vAlign w:val="bottom"/>
            <w:gridSpan w:val="2"/>
          </w:tcPr>
          <w:p>
            <w:pPr>
              <w:ind w:left="40"/>
              <w:spacing w:after="0"/>
              <w:rPr>
                <w:sz w:val="20"/>
                <w:szCs w:val="20"/>
                <w:color w:val="auto"/>
              </w:rPr>
            </w:pPr>
            <w:r>
              <w:rPr>
                <w:rFonts w:ascii="Arial" w:cs="Arial" w:eastAsia="Arial" w:hAnsi="Arial"/>
                <w:sz w:val="18"/>
                <w:szCs w:val="18"/>
                <w:color w:val="auto"/>
              </w:rPr>
              <w:t>1A) 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5)</w:t>
            </w:r>
          </w:p>
        </w:tc>
        <w:tc>
          <w:tcPr>
            <w:tcW w:w="992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Arial" w:cs="Arial" w:eastAsia="Arial" w:hAnsi="Arial"/>
                <w:sz w:val="18"/>
                <w:szCs w:val="18"/>
                <w:color w:val="auto"/>
                <w:w w:val="87"/>
              </w:rPr>
              <w:t>6)</w:t>
            </w:r>
          </w:p>
        </w:tc>
        <w:tc>
          <w:tcPr>
            <w:tcW w:w="9920" w:type="dxa"/>
            <w:vAlign w:val="bottom"/>
          </w:tcPr>
          <w:p>
            <w:pPr>
              <w:ind w:left="20"/>
              <w:spacing w:after="0"/>
              <w:rPr>
                <w:sz w:val="20"/>
                <w:szCs w:val="20"/>
                <w:color w:val="auto"/>
              </w:rPr>
            </w:pPr>
            <w:r>
              <w:rPr>
                <w:rFonts w:ascii="Arial" w:cs="Arial" w:eastAsia="Arial" w:hAnsi="Arial"/>
                <w:sz w:val="18"/>
                <w:szCs w:val="18"/>
                <w:color w:val="auto"/>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2"/>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298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w w:val="93"/>
              </w:rPr>
              <w:t>(in thousands of dollars, except unit amounts)</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64,782</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Receivable under the Investment Management Agreement—Westlake Corporation ("Westlake")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64,996</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net—Westlake</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90,965</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 net—third parties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20,030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963,490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990,213</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charges and other assets,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145,731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130,159</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1,335,587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1,371,979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payable—Westlake</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34,087</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payable—third parties</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and other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399,674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467,629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468,271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2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Common unitholders—publicly and privately held (21,099,638 and 21,099,638 units</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476,791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480,643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at June 30, 2023 and December 31, 2022, respectively)</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rPr>
              <w:t>Common unitholder—Westlake (14,122,230 and 14,122,230 units issued and outstanding</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51,282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53,859</w:t>
            </w:r>
          </w:p>
        </w:tc>
        <w:tc>
          <w:tcPr>
            <w:tcW w:w="0" w:type="dxa"/>
            <w:vAlign w:val="bottom"/>
          </w:tcPr>
          <w:p>
            <w:pPr>
              <w:spacing w:after="0"/>
              <w:rPr>
                <w:sz w:val="1"/>
                <w:szCs w:val="1"/>
                <w:color w:val="auto"/>
              </w:rPr>
            </w:pPr>
          </w:p>
        </w:tc>
      </w:tr>
      <w:tr>
        <w:trPr>
          <w:trHeight w:val="237"/>
        </w:trPr>
        <w:tc>
          <w:tcPr>
            <w:tcW w:w="8260" w:type="dxa"/>
            <w:vAlign w:val="bottom"/>
          </w:tcPr>
          <w:p>
            <w:pPr>
              <w:ind w:left="160"/>
              <w:spacing w:after="0"/>
              <w:rPr>
                <w:sz w:val="20"/>
                <w:szCs w:val="20"/>
                <w:color w:val="auto"/>
              </w:rPr>
            </w:pPr>
            <w:r>
              <w:rPr>
                <w:rFonts w:ascii="Arial" w:cs="Arial" w:eastAsia="Arial" w:hAnsi="Arial"/>
                <w:sz w:val="18"/>
                <w:szCs w:val="18"/>
                <w:color w:val="auto"/>
              </w:rPr>
              <w:t>at June 30, 2023 and December 31, 2022, respectively)</w:t>
            </w:r>
          </w:p>
        </w:tc>
        <w:tc>
          <w:tcPr>
            <w:tcW w:w="2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partner—Westlake</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Total Westlake Chemical Partners LP partners' capital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285,501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291,930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in Westlake Chemical OpCo LP ("OpCo")</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582,457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611,778</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867,958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903,708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1,371,979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40" w:type="dxa"/>
            <w:vAlign w:val="bottom"/>
            <w:gridSpan w:val="9"/>
          </w:tcPr>
          <w:p>
            <w:pPr>
              <w:jc w:val="right"/>
              <w:ind w:right="100"/>
              <w:spacing w:after="0"/>
              <w:rPr>
                <w:sz w:val="20"/>
                <w:szCs w:val="20"/>
                <w:color w:val="auto"/>
              </w:rPr>
            </w:pPr>
            <w:r>
              <w:rPr>
                <w:rFonts w:ascii="Arial" w:cs="Arial" w:eastAsia="Arial" w:hAnsi="Arial"/>
                <w:sz w:val="14"/>
                <w:szCs w:val="14"/>
                <w:b w:val="1"/>
                <w:bCs w:val="1"/>
                <w:color w:val="auto"/>
              </w:rPr>
              <w:t>(in thousands of dollars, except unit amounts and per unit data)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224,575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365,112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482,046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655,769</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co-products, ethylene and other sales—third parties</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155,416</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448,785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571,854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811,185</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176,455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351,483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378,059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622,444</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87,722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193,795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188,741</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87,383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178,652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170,595</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84,614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167,101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165,602</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84,439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166,716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165,264</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Less: Net income attributable to noncontrolling interest in OpCo</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139,938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132,632</w:t>
            </w:r>
          </w:p>
        </w:tc>
        <w:tc>
          <w:tcPr>
            <w:tcW w:w="0" w:type="dxa"/>
            <w:vAlign w:val="bottom"/>
          </w:tcPr>
          <w:p>
            <w:pPr>
              <w:spacing w:after="0"/>
              <w:rPr>
                <w:sz w:val="1"/>
                <w:szCs w:val="1"/>
                <w:color w:val="auto"/>
              </w:rPr>
            </w:pPr>
          </w:p>
        </w:tc>
      </w:tr>
      <w:tr>
        <w:trPr>
          <w:trHeight w:val="169"/>
        </w:trPr>
        <w:tc>
          <w:tcPr>
            <w:tcW w:w="5180" w:type="dxa"/>
            <w:vAlign w:val="bottom"/>
          </w:tcPr>
          <w:p>
            <w:pPr>
              <w:ind w:left="20"/>
              <w:spacing w:after="0" w:line="169" w:lineRule="exact"/>
              <w:rPr>
                <w:sz w:val="20"/>
                <w:szCs w:val="20"/>
                <w:color w:val="auto"/>
              </w:rPr>
            </w:pPr>
            <w:r>
              <w:rPr>
                <w:rFonts w:ascii="Arial" w:cs="Arial" w:eastAsia="Arial" w:hAnsi="Arial"/>
                <w:sz w:val="18"/>
                <w:szCs w:val="18"/>
                <w:b w:val="1"/>
                <w:bCs w:val="1"/>
                <w:color w:val="auto"/>
                <w:w w:val="96"/>
              </w:rPr>
              <w:t>Net income attributable to Westlake Chemical Partners LP and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11,886</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16,438</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26,778</w:t>
            </w:r>
          </w:p>
        </w:tc>
        <w:tc>
          <w:tcPr>
            <w:tcW w:w="5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32,632</w:t>
            </w:r>
          </w:p>
        </w:tc>
        <w:tc>
          <w:tcPr>
            <w:tcW w:w="0" w:type="dxa"/>
            <w:vAlign w:val="bottom"/>
          </w:tcPr>
          <w:p>
            <w:pPr>
              <w:spacing w:after="0"/>
              <w:rPr>
                <w:sz w:val="1"/>
                <w:szCs w:val="1"/>
                <w:color w:val="auto"/>
              </w:rPr>
            </w:pPr>
          </w:p>
        </w:tc>
      </w:tr>
      <w:tr>
        <w:trPr>
          <w:trHeight w:val="203"/>
        </w:trPr>
        <w:tc>
          <w:tcPr>
            <w:tcW w:w="518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limited partners' interest in net income</w:t>
            </w:r>
          </w:p>
        </w:tc>
        <w:tc>
          <w:tcPr>
            <w:tcW w:w="34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w w:val="99"/>
              </w:rPr>
              <w:t>Net income per limited partner unit attributable to Westlake Chemical</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Partners LP (basic and diluted)</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0.76</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 average limited partner units outstanding (basic and</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Common units—publicly and privately held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21,099,638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21,086,988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21,099,638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21,089,573</w:t>
            </w:r>
          </w:p>
        </w:tc>
        <w:tc>
          <w:tcPr>
            <w:tcW w:w="0" w:type="dxa"/>
            <w:vAlign w:val="bottom"/>
          </w:tcPr>
          <w:p>
            <w:pPr>
              <w:spacing w:after="0"/>
              <w:rPr>
                <w:sz w:val="1"/>
                <w:szCs w:val="1"/>
                <w:color w:val="auto"/>
              </w:rPr>
            </w:pPr>
          </w:p>
        </w:tc>
      </w:tr>
      <w:tr>
        <w:trPr>
          <w:trHeight w:val="268"/>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Common units—Westlake</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14,122,230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2"/>
              </w:rPr>
              <w:t>Partnership</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2"/>
              <w:spacing w:after="0" w:line="139"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4"/>
                <w:szCs w:val="14"/>
                <w:color w:val="auto"/>
                <w:w w:val="93"/>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20" w:type="dxa"/>
            <w:vAlign w:val="bottom"/>
          </w:tcPr>
          <w:p>
            <w:pPr>
              <w:spacing w:after="0"/>
              <w:rPr>
                <w:sz w:val="12"/>
                <w:szCs w:val="12"/>
                <w:color w:val="auto"/>
              </w:rPr>
            </w:pPr>
          </w:p>
        </w:tc>
        <w:tc>
          <w:tcPr>
            <w:tcW w:w="9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4"/>
              </w:rPr>
              <w:t>Publicly and</w:t>
            </w:r>
          </w:p>
        </w:tc>
        <w:tc>
          <w:tcPr>
            <w:tcW w:w="100" w:type="dxa"/>
            <w:vAlign w:val="bottom"/>
          </w:tcPr>
          <w:p>
            <w:pPr>
              <w:spacing w:after="0"/>
              <w:rPr>
                <w:sz w:val="12"/>
                <w:szCs w:val="12"/>
                <w:color w:val="auto"/>
              </w:rPr>
            </w:pPr>
          </w:p>
        </w:tc>
        <w:tc>
          <w:tcPr>
            <w:tcW w:w="96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Unitholder</w:t>
            </w: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Partner</w:t>
            </w: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center"/>
              <w:ind w:right="93"/>
              <w:spacing w:after="0" w:line="145"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Privately Held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Westlake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Westlake</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of dollars)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611,778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903,708</w:t>
            </w:r>
          </w:p>
        </w:tc>
        <w:tc>
          <w:tcPr>
            <w:tcW w:w="0" w:type="dxa"/>
            <w:vAlign w:val="bottom"/>
          </w:tcPr>
          <w:p>
            <w:pPr>
              <w:spacing w:after="0"/>
              <w:rPr>
                <w:sz w:val="1"/>
                <w:szCs w:val="1"/>
                <w:color w:val="auto"/>
              </w:rPr>
            </w:pP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76,560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91,452</w:t>
            </w:r>
          </w:p>
        </w:tc>
        <w:tc>
          <w:tcPr>
            <w:tcW w:w="0" w:type="dxa"/>
            <w:vAlign w:val="bottom"/>
          </w:tcPr>
          <w:p>
            <w:pPr>
              <w:spacing w:after="0"/>
              <w:rPr>
                <w:sz w:val="1"/>
                <w:szCs w:val="1"/>
                <w:color w:val="auto"/>
              </w:rPr>
            </w:pPr>
          </w:p>
        </w:tc>
      </w:tr>
      <w:tr>
        <w:trPr>
          <w:trHeight w:val="23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unitholders</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(16,604)</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w w:val="96"/>
              </w:rPr>
              <w:t>Quarterly distribution to noncontrolling interest retained in OpCo by Westlake</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2"/>
              </w:rPr>
              <w:t>(88,678)</w:t>
            </w: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599,660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889,878</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75,264</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unitholders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(16,603)</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w w:val="96"/>
              </w:rPr>
              <w:t>Quarterly distribution to noncontrolling interest retained in OpCo by Westlake</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(80,581)</w:t>
            </w:r>
          </w:p>
        </w:tc>
        <w:tc>
          <w:tcPr>
            <w:tcW w:w="0" w:type="dxa"/>
            <w:vAlign w:val="bottom"/>
          </w:tcPr>
          <w:p>
            <w:pPr>
              <w:spacing w:after="0"/>
              <w:rPr>
                <w:sz w:val="1"/>
                <w:szCs w:val="1"/>
                <w:color w:val="auto"/>
              </w:rPr>
            </w:pPr>
          </w:p>
        </w:tc>
      </w:tr>
      <w:tr>
        <w:trPr>
          <w:trHeight w:val="24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867,958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2"/>
              </w:rPr>
              <w:t>Partnership</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2"/>
              <w:spacing w:after="0" w:line="139"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Unitholders—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20" w:type="dxa"/>
            <w:vAlign w:val="bottom"/>
          </w:tcPr>
          <w:p>
            <w:pPr>
              <w:spacing w:after="0"/>
              <w:rPr>
                <w:sz w:val="12"/>
                <w:szCs w:val="12"/>
                <w:color w:val="auto"/>
              </w:rPr>
            </w:pPr>
          </w:p>
        </w:tc>
        <w:tc>
          <w:tcPr>
            <w:tcW w:w="9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4"/>
              </w:rPr>
              <w:t>Publicly and</w:t>
            </w:r>
          </w:p>
        </w:tc>
        <w:tc>
          <w:tcPr>
            <w:tcW w:w="100" w:type="dxa"/>
            <w:vAlign w:val="bottom"/>
          </w:tcPr>
          <w:p>
            <w:pPr>
              <w:spacing w:after="0"/>
              <w:rPr>
                <w:sz w:val="12"/>
                <w:szCs w:val="12"/>
                <w:color w:val="auto"/>
              </w:rPr>
            </w:pPr>
          </w:p>
        </w:tc>
        <w:tc>
          <w:tcPr>
            <w:tcW w:w="96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Unitholder—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Partner—</w:t>
            </w:r>
          </w:p>
        </w:tc>
        <w:tc>
          <w:tcPr>
            <w:tcW w:w="200" w:type="dxa"/>
            <w:vAlign w:val="bottom"/>
          </w:tcPr>
          <w:p>
            <w:pPr>
              <w:spacing w:after="0"/>
              <w:rPr>
                <w:sz w:val="12"/>
                <w:szCs w:val="12"/>
                <w:color w:val="auto"/>
              </w:rPr>
            </w:pPr>
          </w:p>
        </w:tc>
        <w:tc>
          <w:tcPr>
            <w:tcW w:w="820" w:type="dxa"/>
            <w:vAlign w:val="bottom"/>
          </w:tcPr>
          <w:p>
            <w:pPr>
              <w:jc w:val="center"/>
              <w:ind w:right="93"/>
              <w:spacing w:after="0" w:line="145"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Privately Held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Westlake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Westlake</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of dollars)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678,720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972,698</w:t>
            </w:r>
          </w:p>
        </w:tc>
        <w:tc>
          <w:tcPr>
            <w:tcW w:w="0" w:type="dxa"/>
            <w:vAlign w:val="bottom"/>
          </w:tcPr>
          <w:p>
            <w:pPr>
              <w:spacing w:after="0"/>
              <w:rPr>
                <w:sz w:val="1"/>
                <w:szCs w:val="1"/>
                <w:color w:val="auto"/>
              </w:rPr>
            </w:pPr>
          </w:p>
        </w:tc>
      </w:tr>
      <w:tr>
        <w:trPr>
          <w:trHeight w:val="237"/>
        </w:trPr>
        <w:tc>
          <w:tcPr>
            <w:tcW w:w="5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80,825</w:t>
            </w:r>
          </w:p>
        </w:tc>
        <w:tc>
          <w:tcPr>
            <w:tcW w:w="0" w:type="dxa"/>
            <w:vAlign w:val="bottom"/>
          </w:tcPr>
          <w:p>
            <w:pPr>
              <w:spacing w:after="0"/>
              <w:rPr>
                <w:sz w:val="1"/>
                <w:szCs w:val="1"/>
                <w:color w:val="auto"/>
              </w:rPr>
            </w:pPr>
          </w:p>
        </w:tc>
      </w:tr>
      <w:tr>
        <w:trPr>
          <w:trHeight w:val="23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unitholders</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(16,603)</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w w:val="96"/>
              </w:rPr>
              <w:t>Quarterly distribution to noncontrolling interest retained in OpCo by Westlake</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2"/>
              </w:rPr>
              <w:t>(60,688)</w:t>
            </w: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682,663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976,232</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84,439</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unitholders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(16,600)</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w w:val="96"/>
              </w:rPr>
              <w:t>Quarterly distribution to noncontrolling interest retained in OpCo by Westlake</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(75,130)</w:t>
            </w:r>
          </w:p>
        </w:tc>
        <w:tc>
          <w:tcPr>
            <w:tcW w:w="0" w:type="dxa"/>
            <w:vAlign w:val="bottom"/>
          </w:tcPr>
          <w:p>
            <w:pPr>
              <w:spacing w:after="0"/>
              <w:rPr>
                <w:sz w:val="1"/>
                <w:szCs w:val="1"/>
                <w:color w:val="auto"/>
              </w:rPr>
            </w:pPr>
          </w:p>
        </w:tc>
      </w:tr>
      <w:tr>
        <w:trPr>
          <w:trHeight w:val="24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968,941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r>
      <w:tr>
        <w:trPr>
          <w:trHeight w:val="218"/>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(in thousands of dollars)</w:t>
            </w:r>
          </w:p>
        </w:tc>
      </w:tr>
      <w:tr>
        <w:trPr>
          <w:trHeight w:val="26"/>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166,716</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165,264</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62,291</w:t>
            </w: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disposition of property, plant and equipment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Other losses,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receivable—third parties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(39,027)</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accounts receivable—Westlake</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82,798</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4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Accounts payable—third parties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(12,485)</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(39,159)</w:t>
            </w:r>
          </w:p>
        </w:tc>
      </w:tr>
      <w:tr>
        <w:trPr>
          <w:trHeight w:val="24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r>
      <w:tr>
        <w:trPr>
          <w:trHeight w:val="223"/>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243,403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225,667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(32,334)</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(170,000)</w:t>
            </w:r>
          </w:p>
        </w:tc>
      </w:tr>
      <w:tr>
        <w:trPr>
          <w:trHeight w:val="22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147,000</w:t>
            </w:r>
          </w:p>
        </w:tc>
      </w:tr>
      <w:tr>
        <w:trPr>
          <w:trHeight w:val="236"/>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debt payable to Westlake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debt payable to Westlake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(169,259)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(135,818)</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distributions to unitholders</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(33,203)</w:t>
            </w:r>
          </w:p>
        </w:tc>
      </w:tr>
      <w:tr>
        <w:trPr>
          <w:trHeight w:val="223"/>
        </w:trPr>
        <w:tc>
          <w:tcPr>
            <w:tcW w:w="8260" w:type="dxa"/>
            <w:vAlign w:val="bottom"/>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(202,466)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(169,021)</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280" w:firstLine="8"/>
        <w:spacing w:after="0" w:line="35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30"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w:t>
      </w:r>
    </w:p>
    <w:p>
      <w:pPr>
        <w:ind w:right="20"/>
        <w:spacing w:after="0" w:line="255" w:lineRule="auto"/>
        <w:rPr>
          <w:sz w:val="20"/>
          <w:szCs w:val="20"/>
          <w:color w:val="auto"/>
        </w:rPr>
      </w:pPr>
      <w:r>
        <w:rPr>
          <w:rFonts w:ascii="Arial" w:cs="Arial" w:eastAsia="Arial" w:hAnsi="Arial"/>
          <w:sz w:val="18"/>
          <w:szCs w:val="18"/>
          <w:color w:val="auto"/>
        </w:rPr>
        <w:t>common carrier ethylene pipeline (collectively, the "Contributed Assets"</w:t>
      </w:r>
      <w:r>
        <w:rPr>
          <w:rFonts w:ascii="Arial" w:cs="Arial" w:eastAsia="Arial" w:hAnsi="Arial"/>
          <w:sz w:val="21"/>
          <w:szCs w:val="21"/>
          <w:color w:val="auto"/>
        </w:rPr>
        <w:t>)</w:t>
      </w:r>
      <w:r>
        <w:rPr>
          <w:rFonts w:ascii="Arial" w:cs="Arial" w:eastAsia="Arial" w:hAnsi="Arial"/>
          <w:sz w:val="18"/>
          <w:szCs w:val="18"/>
          <w:color w:val="auto"/>
        </w:rPr>
        <w:t>.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2022 (the "2022 Form 10-K"), filed with the SEC on March 1, 2023. These financial statements have been prepared in conformity with the accounting principles and practices as disclosed in the notes to the consolidated financial statements of the Partnership for the fiscal year ended December 31, 2022.</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References to "Westlake" refer collectively to Westlake Corporation and its subsidiaries, other than the Partnership, OpCo and OpCo GP.</w:t>
      </w:r>
    </w:p>
    <w:p>
      <w:pPr>
        <w:spacing w:after="0" w:line="18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2023, its results of operations for the three and six months ended June 30, 2023 and 2022 and the changes in its cash position for the six months ended June 30, 2023 and 2022.</w:t>
      </w:r>
    </w:p>
    <w:p>
      <w:pPr>
        <w:spacing w:after="0" w:line="133"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Results of operations and changes in cash position for the interim periods presented are not necessarily indicative of the results that will be realized for the fiscal year ending December 31, 2023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customers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Accounts receivable, net—third parties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20,030</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20"/>
              <w:spacing w:after="0"/>
              <w:rPr>
                <w:sz w:val="20"/>
                <w:szCs w:val="20"/>
                <w:color w:val="auto"/>
              </w:rPr>
            </w:pPr>
            <w:r>
              <w:rPr>
                <w:rFonts w:ascii="Arial" w:cs="Arial" w:eastAsia="Arial" w:hAnsi="Arial"/>
                <w:sz w:val="18"/>
                <w:szCs w:val="18"/>
                <w:color w:val="auto"/>
              </w:rPr>
              <w:t>Inventories consist of the following:</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center"/>
              <w:ind w:right="197"/>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Feedstock, additives and chemicals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5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94" w:lineRule="exact"/>
        <w:rPr>
          <w:sz w:val="20"/>
          <w:szCs w:val="20"/>
          <w:color w:val="auto"/>
        </w:rPr>
      </w:pPr>
    </w:p>
    <w:p>
      <w:pPr>
        <w:ind w:right="600" w:firstLine="405"/>
        <w:spacing w:after="0" w:line="311" w:lineRule="auto"/>
        <w:rPr>
          <w:sz w:val="20"/>
          <w:szCs w:val="20"/>
          <w:color w:val="auto"/>
        </w:rPr>
      </w:pPr>
      <w:r>
        <w:rPr>
          <w:rFonts w:ascii="Arial" w:cs="Arial" w:eastAsia="Arial" w:hAnsi="Arial"/>
          <w:sz w:val="16"/>
          <w:szCs w:val="16"/>
          <w:color w:val="auto"/>
        </w:rPr>
        <w:t>Depreciation expense on property, plant and equipment of $20,928 and $23,888 is included in cost of sales in the consolidated statements of operations for the three months ended June 30, 2023 and 2022, respectively. Depreciation expense on property, plant and equipment of $41,885 and $47,884 is included in cost of sales in the consolidated statements of operations for the six months ended June 30, 2023 and 2022,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Charges and Other Assets</w:t>
      </w:r>
    </w:p>
    <w:p>
      <w:pPr>
        <w:spacing w:after="0" w:line="108" w:lineRule="exact"/>
        <w:rPr>
          <w:sz w:val="20"/>
          <w:szCs w:val="20"/>
          <w:color w:val="auto"/>
        </w:rPr>
      </w:pPr>
    </w:p>
    <w:p>
      <w:pPr>
        <w:ind w:right="380" w:firstLine="405"/>
        <w:spacing w:after="0" w:line="311" w:lineRule="auto"/>
        <w:rPr>
          <w:sz w:val="20"/>
          <w:szCs w:val="20"/>
          <w:color w:val="auto"/>
        </w:rPr>
      </w:pPr>
      <w:r>
        <w:rPr>
          <w:rFonts w:ascii="Arial" w:cs="Arial" w:eastAsia="Arial" w:hAnsi="Arial"/>
          <w:sz w:val="16"/>
          <w:szCs w:val="16"/>
          <w:color w:val="auto"/>
        </w:rPr>
        <w:t>Amortization expense on deferred charges and other assets of $6,112 and $7,121 is included in cost of sales in the consolidated statements of operations for the three months ended June 30, 2023 and 2022, respectively. Amortization expense on deferred charges and other assets of $11,791 and $14,407 is included in cost of sales in the consolidated statements of operations for the six months ended June 30, 2023 and 2022,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108"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On August 1, 2023, the board of directors of Westlake Chemical Partners GP LLC ("Westlake GP"), the Partnership's general partner, declared a quarterly cash distribution for the three months ended June 30, 2023 of $0.4714 per unit. This distribution is payable on August 25, 2023 to unitholders of record as of August 11, 2023.</w:t>
      </w:r>
    </w:p>
    <w:p>
      <w:pPr>
        <w:spacing w:after="0" w:line="1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5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11,886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26,778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32,632</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Limited partners' distribution declared on common units</w:t>
            </w: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16,604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33,207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33,195</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Distribution in excess of net income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4"/>
              </w:rPr>
              <w:t>(4,718)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1"/>
              </w:rPr>
              <w:t>(6,429)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98"/>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797"/>
              <w:spacing w:after="0"/>
              <w:rPr>
                <w:sz w:val="20"/>
                <w:szCs w:val="20"/>
                <w:color w:val="auto"/>
              </w:rPr>
            </w:pPr>
            <w:r>
              <w:rPr>
                <w:rFonts w:ascii="Arial" w:cs="Arial" w:eastAsia="Arial" w:hAnsi="Arial"/>
                <w:sz w:val="14"/>
                <w:szCs w:val="14"/>
                <w:b w:val="1"/>
                <w:bCs w:val="1"/>
                <w:color w:val="auto"/>
                <w:w w:val="93"/>
              </w:rPr>
              <w:t>Three Months Ended June 30, 2023</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77"/>
              <w:spacing w:after="0" w:line="139"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2"/>
                <w:szCs w:val="12"/>
                <w:color w:val="auto"/>
              </w:rPr>
            </w:pPr>
          </w:p>
        </w:tc>
        <w:tc>
          <w:tcPr>
            <w:tcW w:w="14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4"/>
              </w:rPr>
              <w:t>Incentive Distribution</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Rights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16,604</w:t>
            </w:r>
          </w:p>
        </w:tc>
        <w:tc>
          <w:tcPr>
            <w:tcW w:w="420" w:type="dxa"/>
            <w:vAlign w:val="bottom"/>
            <w:gridSpan w:val="2"/>
          </w:tcPr>
          <w:p>
            <w:pPr>
              <w:jc w:val="right"/>
              <w:ind w:right="124"/>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16,604</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2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11,886</w:t>
            </w:r>
          </w:p>
        </w:tc>
        <w:tc>
          <w:tcPr>
            <w:tcW w:w="420" w:type="dxa"/>
            <w:vAlign w:val="bottom"/>
            <w:gridSpan w:val="2"/>
          </w:tcPr>
          <w:p>
            <w:pPr>
              <w:jc w:val="right"/>
              <w:ind w:right="124"/>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units outstanding:</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35,221,868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35,221,868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3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4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6"/>
          </w:tcPr>
          <w:p>
            <w:pPr>
              <w:jc w:val="center"/>
              <w:ind w:left="797"/>
              <w:spacing w:after="0"/>
              <w:rPr>
                <w:sz w:val="20"/>
                <w:szCs w:val="20"/>
                <w:color w:val="auto"/>
              </w:rPr>
            </w:pPr>
            <w:r>
              <w:rPr>
                <w:rFonts w:ascii="Arial" w:cs="Arial" w:eastAsia="Arial" w:hAnsi="Arial"/>
                <w:sz w:val="14"/>
                <w:szCs w:val="14"/>
                <w:b w:val="1"/>
                <w:bCs w:val="1"/>
                <w:color w:val="auto"/>
                <w:w w:val="93"/>
              </w:rPr>
              <w:t>Three Months Ended June 30, 2022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4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Incentive Distribution</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1"/>
              </w:rPr>
              <w:t>Rights</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16,595</w:t>
            </w:r>
          </w:p>
        </w:tc>
        <w:tc>
          <w:tcPr>
            <w:tcW w:w="420" w:type="dxa"/>
            <w:vAlign w:val="bottom"/>
            <w:gridSpan w:val="2"/>
          </w:tcPr>
          <w:p>
            <w:pPr>
              <w:jc w:val="right"/>
              <w:ind w:right="124"/>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16,595</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23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2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35,209,218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35,209,218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4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817"/>
              <w:spacing w:after="0"/>
              <w:rPr>
                <w:sz w:val="20"/>
                <w:szCs w:val="20"/>
                <w:color w:val="auto"/>
              </w:rPr>
            </w:pPr>
            <w:r>
              <w:rPr>
                <w:rFonts w:ascii="Arial" w:cs="Arial" w:eastAsia="Arial" w:hAnsi="Arial"/>
                <w:sz w:val="14"/>
                <w:szCs w:val="14"/>
                <w:b w:val="1"/>
                <w:bCs w:val="1"/>
                <w:color w:val="auto"/>
                <w:w w:val="92"/>
              </w:rPr>
              <w:t>Six Months Ended June 30, 2023</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3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77"/>
              <w:spacing w:after="0" w:line="139"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2"/>
                <w:szCs w:val="12"/>
                <w:color w:val="auto"/>
              </w:rPr>
            </w:pPr>
          </w:p>
        </w:tc>
        <w:tc>
          <w:tcPr>
            <w:tcW w:w="14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4"/>
              </w:rPr>
              <w:t>Incentive Distribution</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Rights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33,207</w:t>
            </w:r>
          </w:p>
        </w:tc>
        <w:tc>
          <w:tcPr>
            <w:tcW w:w="420" w:type="dxa"/>
            <w:vAlign w:val="bottom"/>
            <w:gridSpan w:val="2"/>
          </w:tcPr>
          <w:p>
            <w:pPr>
              <w:jc w:val="right"/>
              <w:ind w:right="124"/>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33,207</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2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37"/>
        </w:trPr>
        <w:tc>
          <w:tcPr>
            <w:tcW w:w="43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26,778</w:t>
            </w:r>
          </w:p>
        </w:tc>
        <w:tc>
          <w:tcPr>
            <w:tcW w:w="420" w:type="dxa"/>
            <w:vAlign w:val="bottom"/>
            <w:gridSpan w:val="2"/>
          </w:tcPr>
          <w:p>
            <w:pPr>
              <w:jc w:val="right"/>
              <w:ind w:right="124"/>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26,778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35,221,868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35,221,868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340" w:type="dxa"/>
            <w:vAlign w:val="bottom"/>
            <w:vMerge w:val="restart"/>
          </w:tcPr>
          <w:p>
            <w:pPr>
              <w:jc w:val="right"/>
              <w:ind w:right="93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gridSpan w:val="6"/>
          </w:tcPr>
          <w:p>
            <w:pPr>
              <w:jc w:val="center"/>
              <w:ind w:left="857"/>
              <w:spacing w:after="0"/>
              <w:rPr>
                <w:sz w:val="20"/>
                <w:szCs w:val="20"/>
                <w:color w:val="auto"/>
              </w:rPr>
            </w:pPr>
            <w:r>
              <w:rPr>
                <w:rFonts w:ascii="Arial" w:cs="Arial" w:eastAsia="Arial" w:hAnsi="Arial"/>
                <w:sz w:val="14"/>
                <w:szCs w:val="14"/>
                <w:b w:val="1"/>
                <w:bCs w:val="1"/>
                <w:color w:val="auto"/>
                <w:w w:val="92"/>
              </w:rPr>
              <w:t>Six Months Ended June 30, 2022</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4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Incentive Distribution</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1"/>
              </w:rPr>
              <w:t>Rights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33,195</w:t>
            </w:r>
          </w:p>
        </w:tc>
        <w:tc>
          <w:tcPr>
            <w:tcW w:w="4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33,195</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7"/>
        </w:trPr>
        <w:tc>
          <w:tcPr>
            <w:tcW w:w="668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32,632</w:t>
            </w:r>
          </w:p>
        </w:tc>
        <w:tc>
          <w:tcPr>
            <w:tcW w:w="4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35,211,803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35,211,803</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amended Partnership Agreement provides that the Partnership will distribute cash that is deemed to be operating surplus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Quarterly Distribution Per Unit</w:t>
            </w: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560" w:type="dxa"/>
            <w:vAlign w:val="bottom"/>
          </w:tcPr>
          <w:p>
            <w:pPr>
              <w:jc w:val="right"/>
              <w:ind w:right="317"/>
              <w:spacing w:after="0"/>
              <w:rPr>
                <w:sz w:val="20"/>
                <w:szCs w:val="20"/>
                <w:color w:val="auto"/>
              </w:rPr>
            </w:pPr>
            <w:r>
              <w:rPr>
                <w:rFonts w:ascii="Arial" w:cs="Arial" w:eastAsia="Arial" w:hAnsi="Arial"/>
                <w:sz w:val="14"/>
                <w:szCs w:val="14"/>
                <w:b w:val="1"/>
                <w:bCs w:val="1"/>
                <w:color w:val="auto"/>
              </w:rPr>
              <w:t>Unitholders</w:t>
            </w:r>
          </w:p>
        </w:tc>
        <w:tc>
          <w:tcPr>
            <w:tcW w:w="120" w:type="dxa"/>
            <w:vAlign w:val="bottom"/>
          </w:tcPr>
          <w:p>
            <w:pPr>
              <w:spacing w:after="0"/>
              <w:rPr>
                <w:sz w:val="16"/>
                <w:szCs w:val="16"/>
                <w:color w:val="auto"/>
              </w:rPr>
            </w:pPr>
          </w:p>
        </w:tc>
        <w:tc>
          <w:tcPr>
            <w:tcW w:w="1540" w:type="dxa"/>
            <w:vAlign w:val="bottom"/>
          </w:tcPr>
          <w:p>
            <w:pPr>
              <w:jc w:val="right"/>
              <w:ind w:right="299"/>
              <w:spacing w:after="0"/>
              <w:rPr>
                <w:sz w:val="20"/>
                <w:szCs w:val="20"/>
                <w:color w:val="auto"/>
              </w:rPr>
            </w:pPr>
            <w:r>
              <w:rPr>
                <w:rFonts w:ascii="Arial" w:cs="Arial" w:eastAsia="Arial" w:hAnsi="Arial"/>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Above $1.2938 up to $1.4063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4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Partnership's distribution for the three months ended June 30, 2023 did not exceed the $1.2938 per unit threshold, and, as a result, no distribution was made with respect to the Partnership's incentive distribution rights to Westlake, as the holder of the Partnership's incentive distribution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Per Common Unit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three and six months ended June 30, 2023 and 2022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96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83"/>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common unit</w:t>
            </w:r>
          </w:p>
        </w:tc>
        <w:tc>
          <w:tcPr>
            <w:tcW w:w="86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0.9428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10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No common units were issued under this program as of June 30, 2023.</w:t>
      </w:r>
    </w:p>
    <w:p>
      <w:pPr>
        <w:spacing w:after="0" w:line="138"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Partnership and OpCo regularly enter into related party transactions with Westlake. See below for a description of transactions with related 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10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sales—Westlake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482,046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655,769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104"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Feedstock purchased from Westlake and included in cost of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402,199</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charges from Westlake and included in cost of sales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86,430</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488,629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104"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4"/>
              </w:rPr>
              <w:t>Services received from Westlake and included in selling, general and</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6,625</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13,296</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administrative expenses</w:t>
            </w:r>
          </w:p>
        </w:tc>
        <w:tc>
          <w:tcPr>
            <w:tcW w:w="3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10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5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7"/>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5220" w:type="dxa"/>
            <w:vAlign w:val="bottom"/>
          </w:tcPr>
          <w:p>
            <w:pPr>
              <w:spacing w:after="0"/>
              <w:rPr>
                <w:sz w:val="17"/>
                <w:szCs w:val="17"/>
                <w:color w:val="auto"/>
              </w:rPr>
            </w:pPr>
          </w:p>
        </w:tc>
        <w:tc>
          <w:tcPr>
            <w:tcW w:w="900" w:type="dxa"/>
            <w:vAlign w:val="bottom"/>
          </w:tcPr>
          <w:p>
            <w:pPr>
              <w:ind w:left="560"/>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7"/>
                <w:szCs w:val="17"/>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2022</w:t>
            </w:r>
          </w:p>
        </w:tc>
      </w:tr>
      <w:tr>
        <w:trPr>
          <w:trHeight w:val="255"/>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Goods and services purchased from Westlake and capitalized as assets</w:t>
            </w:r>
          </w:p>
        </w:tc>
        <w:tc>
          <w:tcPr>
            <w:tcW w:w="90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$1,058 and $940 was included in the receivable under the Investment Management Agreement balance at June 30, 2023 and December 31, 2022, respectively. Total interest earned related to the Investment Management Agreement was $1,058 and $191 for the three months ended June 30, 2023 and 2022, respectively, and $1,965 and $243 for the six months ended June 30, 2023 and 2022, respectively.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6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under the Investment Management Agreement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64,996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Related Parties</w:t>
      </w:r>
    </w:p>
    <w:p>
      <w:pPr>
        <w:spacing w:after="0" w:line="10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Partnership's accounts receivable from Westlake result primarily from ethylene sales to Westlake and the buyer deficiency fee and shortfall fee recognized under the Ethylene Sales Agreement.</w:t>
      </w:r>
    </w:p>
    <w:p>
      <w:pPr>
        <w:spacing w:after="0" w:line="116"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Based on OpCo's 2022 production, the Partnership recognized buyer deficiency fees of $23,835 during 2022. The buyer deficiency fee was received by the Partnership in January 2023. Additionally, as a result of force majeure events in 2021, the Partnership recognized a shortfall fee of $58,906 during 2021, of which $7,193 remained to be collected by the Partnership as of December 31, 2022. Of this amount, $5,890 was received in the six months ended June 30, 2023 and the remaining amount will be collected during the remainder of 2023 pursuant to the terms of the Ethylene Sales Agreement.</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5"/>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receivable—Westlake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90,965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accounts payable to Westlake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5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payable—Westlake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34,087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0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OpCo is obligated to Westlake under various long-term and short-term noncancelable operating leases, primarily related to rail cars and land. Operating lease rentals paid to Westlake for such leases were $310 and $574 for the three months ended June 30, 2023 and 2022, respectively, and $1,047 and $1,260 for the six months ended June 30, 2023 and 2022, respectively, and are reflected in other charges from Westlake that are included in cost of sales.</w:t>
      </w:r>
    </w:p>
    <w:p>
      <w:pPr>
        <w:spacing w:after="0" w:line="13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9 for a description of related party debt payable balances.</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Interest on related party debt payable balances, net of capitalized interest, for the three months ended June 30, 2023 and 2022 was $6,117 and $2,859, respectively. Interest on related party debt payable balances, net of capitalized interest, for the six months ended June 30, 2023 and 2022 was $13,432 and $5,058, respectively. Interest on related party debt payable is presented as interest expense—Westlake in the consolidated statements of operations. At June 30, 2023 and December 31, 2022, accrued interest on related party debt was $6,156 and $4,733, respectively, and is reflected as a component of accrued and other liabilities in the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6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104"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During the three months ended June 30, 2023 and 2022, Westlake accounted for approximately 85.0% and 81.4%, respectively, of the Partnership's net sales. During the six months ended June 30, 2023 and 2022, Westlake accounted for approximately 84.3% and 80.8%, respectively, of the Partnership's net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Revolver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MLP Revolver</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As of June 30, 2023,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The OpCo Revolver and the MLP Revolver are scheduled to mature on July 12, 2027.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interest rate on all long-term debt was 6.7% and 4.8% at June 30, 2023 and December 31, 2022,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2023,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08"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June 30, 2023 and December 31, 2022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Borders>
              <w:bottom w:val="single" w:sz="8" w:color="auto"/>
            </w:tcBorders>
          </w:tcPr>
          <w:p>
            <w:pPr>
              <w:spacing w:after="0"/>
              <w:rPr>
                <w:sz w:val="16"/>
                <w:szCs w:val="16"/>
                <w:color w:val="auto"/>
              </w:rPr>
            </w:pPr>
          </w:p>
        </w:tc>
      </w:tr>
      <w:tr>
        <w:trPr>
          <w:trHeight w:val="139"/>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84"/>
              <w:spacing w:after="0" w:line="13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center"/>
              <w:ind w:right="362"/>
              <w:spacing w:after="0" w:line="13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84"/>
              <w:spacing w:after="0" w:line="13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center"/>
              <w:ind w:right="442"/>
              <w:spacing w:after="0" w:line="139" w:lineRule="exact"/>
              <w:rPr>
                <w:sz w:val="20"/>
                <w:szCs w:val="20"/>
                <w:color w:val="auto"/>
              </w:rPr>
            </w:pPr>
            <w:r>
              <w:rPr>
                <w:rFonts w:ascii="Arial" w:cs="Arial" w:eastAsia="Arial" w:hAnsi="Arial"/>
                <w:sz w:val="14"/>
                <w:szCs w:val="14"/>
                <w:b w:val="1"/>
                <w:bCs w:val="1"/>
                <w:color w:val="auto"/>
              </w:rPr>
              <w:t>Fair</w:t>
            </w:r>
          </w:p>
        </w:tc>
      </w:tr>
      <w:tr>
        <w:trPr>
          <w:trHeight w:val="186"/>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center"/>
              <w:ind w:right="36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center"/>
              <w:ind w:right="442"/>
              <w:spacing w:after="0"/>
              <w:rPr>
                <w:sz w:val="20"/>
                <w:szCs w:val="20"/>
                <w:color w:val="auto"/>
              </w:rPr>
            </w:pPr>
            <w:r>
              <w:rPr>
                <w:rFonts w:ascii="Arial" w:cs="Arial" w:eastAsia="Arial" w:hAnsi="Arial"/>
                <w:sz w:val="14"/>
                <w:szCs w:val="14"/>
                <w:b w:val="1"/>
                <w:bCs w:val="1"/>
                <w:color w:val="auto"/>
                <w:w w:val="90"/>
              </w:rPr>
              <w:t>Value</w:t>
            </w:r>
          </w:p>
        </w:tc>
      </w:tr>
      <w:tr>
        <w:trPr>
          <w:trHeight w:val="26"/>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405,879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920" w:firstLine="8"/>
        <w:spacing w:after="0" w:line="407" w:lineRule="auto"/>
        <w:tabs>
          <w:tab w:leader="none" w:pos="2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and Other Liabilities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Accrued and other liabilities were $26,952 and $17,537 at June 30, 2023 and December 31, 2022, respectively. Accrued maintenance expense,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accrued turnaround costs, accrued interest on related party debt and accrued taxes, which are components of accrued and other liabilities, were $3,780,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$6,748, $6,156 and $4,423, respectively, at June 30, 2023 and $3,752, $674, $4,733 and $2,652, respectively, at December 31, 2022. No other component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accrued and other liabilities was more than five percent of total current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10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Capital expenditure related liabilities, included in accounts payable—third parties and accrued and other liabilities, were $4,368 and $6,557 at June 30, 2023 and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Paid</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paid by the Partnership, net of interest capitalized, was $11,987 and $4,237 for the six months ended June 30, 2023 and 2022,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4"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liabilities that occurred or existed prior to August 4, 2014.</w:t>
      </w:r>
    </w:p>
    <w:p>
      <w:pPr>
        <w:spacing w:after="0" w:line="127"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On September 27, 2021, shortly after the turnaround on Petro 2 commenced, there was a flash fire at the quench tower of the Petro 2 facility. Several contractors working on the quench tower were injured. There are lawsuits pending in connection with the flash fire. The Partnership expects insurance to cover most of the costs associated with these lawsuits.</w:t>
      </w:r>
    </w:p>
    <w:p>
      <w:pPr>
        <w:spacing w:after="0" w:line="13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2022 (the "2022 Form 10-K"), as filed with the SEC on March 1, 2023.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108"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0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12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4" w:lineRule="exact"/>
        <w:rPr>
          <w:sz w:val="20"/>
          <w:szCs w:val="20"/>
          <w:color w:val="auto"/>
        </w:rPr>
      </w:pPr>
    </w:p>
    <w:p>
      <w:pPr>
        <w:ind w:right="160" w:firstLine="405"/>
        <w:spacing w:after="0" w:line="289"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108" w:lineRule="exact"/>
        <w:rPr>
          <w:sz w:val="20"/>
          <w:szCs w:val="20"/>
          <w:color w:val="auto"/>
        </w:rPr>
      </w:pPr>
    </w:p>
    <w:p>
      <w:pPr>
        <w:ind w:right="60" w:firstLine="405"/>
        <w:spacing w:after="0" w:line="285" w:lineRule="auto"/>
        <w:rPr>
          <w:sz w:val="20"/>
          <w:szCs w:val="20"/>
          <w:color w:val="auto"/>
        </w:rPr>
      </w:pPr>
      <w:r>
        <w:rPr>
          <w:rFonts w:ascii="Arial" w:cs="Arial" w:eastAsia="Arial" w:hAnsi="Arial"/>
          <w:sz w:val="16"/>
          <w:szCs w:val="16"/>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2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MLP distributable cash flow is not a substitute for the GAAP measures of net income or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or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 City Olefins Turnaround</w:t>
      </w:r>
    </w:p>
    <w:p>
      <w:pPr>
        <w:spacing w:after="0" w:line="10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May 2023, we performed our planned major maintenance activities, or turnaround, of OpCo's Calvert City Olefins production facility located at Westlake's Calvert City, Kentucky site.</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6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224,575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365,112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482,046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655,769</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co-products, ethylene and other sales—third parties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39,602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83,673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89,808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155,416</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264,177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448,785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571,854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811,185</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176,455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351,483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378,059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622,444</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87,722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97,302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193,795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188,741</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7,229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9,919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15,143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18,146</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80,493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87,383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178,652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170,595</w:t>
            </w:r>
          </w:p>
        </w:tc>
        <w:tc>
          <w:tcPr>
            <w:tcW w:w="0" w:type="dxa"/>
            <w:vAlign w:val="bottom"/>
          </w:tcPr>
          <w:p>
            <w:pPr>
              <w:spacing w:after="0"/>
              <w:rPr>
                <w:sz w:val="1"/>
                <w:szCs w:val="1"/>
                <w:color w:val="auto"/>
              </w:rPr>
            </w:pPr>
          </w:p>
        </w:tc>
      </w:tr>
      <w:tr>
        <w:trPr>
          <w:trHeight w:val="23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(13,432)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75,437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84,614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167,101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165,602</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75,264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84,439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166,716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165,264</w:t>
            </w: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Less: Net income attributable to noncontrolling interest in</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63,378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68,001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139,938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132,632</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OpCo</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w w:val="97"/>
              </w:rPr>
              <w:t>Net income attributable to Westlake Chemical Partners LP</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11,886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16,438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880" w:type="dxa"/>
            <w:vAlign w:val="bottom"/>
            <w:tcBorders>
              <w:bottom w:val="single" w:sz="8" w:color="CCEEFF"/>
            </w:tcBorders>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14,985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19,584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32,536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38,875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(2)</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108,594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2"/>
              <w:spacing w:after="0" w:line="203" w:lineRule="exact"/>
              <w:rPr>
                <w:sz w:val="20"/>
                <w:szCs w:val="20"/>
                <w:color w:val="auto"/>
              </w:rPr>
            </w:pPr>
            <w:r>
              <w:rPr>
                <w:rFonts w:ascii="Arial" w:cs="Arial" w:eastAsia="Arial" w:hAnsi="Arial"/>
                <w:sz w:val="18"/>
                <w:szCs w:val="18"/>
                <w:color w:val="auto"/>
              </w:rPr>
              <w:t>118,482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234,209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232,951</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80" w:hanging="25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76" w:lineRule="exact"/>
        <w:rPr>
          <w:rFonts w:ascii="Arial" w:cs="Arial" w:eastAsia="Arial" w:hAnsi="Arial"/>
          <w:sz w:val="18"/>
          <w:szCs w:val="18"/>
          <w:color w:val="auto"/>
        </w:rPr>
      </w:pPr>
    </w:p>
    <w:p>
      <w:pPr>
        <w:ind w:left="280" w:hanging="25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EBITDA to Net Income, Income from Operations and Net Cash Provided by Operating Activities"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 June 30, 2023</w:t>
            </w:r>
          </w:p>
        </w:tc>
        <w:tc>
          <w:tcPr>
            <w:tcW w:w="10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Six Months Ended June 30, 2023</w:t>
            </w: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2040" w:type="dxa"/>
            <w:vAlign w:val="bottom"/>
            <w:gridSpan w:val="3"/>
          </w:tcPr>
          <w:p>
            <w:pPr>
              <w:jc w:val="center"/>
              <w:ind w:right="540"/>
              <w:spacing w:after="0" w:line="13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2"/>
                <w:szCs w:val="12"/>
                <w:color w:val="auto"/>
              </w:rPr>
            </w:pP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Volume</w:t>
            </w: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Sales Price</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Sales Price</w:t>
            </w:r>
          </w:p>
        </w:tc>
        <w:tc>
          <w:tcPr>
            <w:tcW w:w="10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Net sales percentage change from prior-year period due to</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6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6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average sales price and volume</w:t>
            </w:r>
          </w:p>
        </w:tc>
        <w:tc>
          <w:tcPr>
            <w:tcW w:w="15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620" w:type="dxa"/>
            <w:vAlign w:val="bottom"/>
            <w:gridSpan w:val="2"/>
            <w:vMerge w:val="continue"/>
            <w:shd w:val="clear" w:color="auto" w:fill="CCEEFF"/>
          </w:tcPr>
          <w:p>
            <w:pPr>
              <w:spacing w:after="0"/>
              <w:rPr>
                <w:sz w:val="21"/>
                <w:szCs w:val="21"/>
                <w:color w:val="auto"/>
              </w:rPr>
            </w:pPr>
          </w:p>
        </w:tc>
        <w:tc>
          <w:tcPr>
            <w:tcW w:w="16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4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86"/>
        </w:trPr>
        <w:tc>
          <w:tcPr>
            <w:tcW w:w="4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2023</w:t>
            </w:r>
          </w:p>
        </w:tc>
        <w:tc>
          <w:tcPr>
            <w:tcW w:w="162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1"/>
              </w:rPr>
              <w:t>30, 2023</w:t>
            </w:r>
          </w:p>
        </w:tc>
        <w:tc>
          <w:tcPr>
            <w:tcW w:w="0" w:type="dxa"/>
            <w:vAlign w:val="bottom"/>
          </w:tcPr>
          <w:p>
            <w:pPr>
              <w:spacing w:after="0"/>
              <w:rPr>
                <w:sz w:val="1"/>
                <w:szCs w:val="1"/>
                <w:color w:val="auto"/>
              </w:rPr>
            </w:pPr>
          </w:p>
        </w:tc>
      </w:tr>
      <w:tr>
        <w:trPr>
          <w:trHeight w:val="25"/>
        </w:trPr>
        <w:tc>
          <w:tcPr>
            <w:tcW w:w="64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92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89"/>
              </w:rPr>
              <w:t>Domestic US prices percentage change from prior-year period for fuel cost and feedstock</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Fuel cost (Natural Gas)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-71.3 %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-55.0 %</w:t>
            </w:r>
          </w:p>
        </w:tc>
        <w:tc>
          <w:tcPr>
            <w:tcW w:w="0" w:type="dxa"/>
            <w:vAlign w:val="bottom"/>
          </w:tcPr>
          <w:p>
            <w:pPr>
              <w:spacing w:after="0"/>
              <w:rPr>
                <w:sz w:val="1"/>
                <w:szCs w:val="1"/>
                <w:color w:val="auto"/>
              </w:rPr>
            </w:pPr>
          </w:p>
        </w:tc>
      </w:tr>
      <w:tr>
        <w:trPr>
          <w:trHeight w:val="23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Feedstock (Ethane)</w:t>
            </w: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2"/>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2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243,403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225,667</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Loss from disposition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(56,973)</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84,439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166,716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165,264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0" w:type="dxa"/>
            <w:vAlign w:val="bottom"/>
          </w:tcPr>
          <w:p>
            <w:pPr>
              <w:ind w:left="360"/>
              <w:spacing w:after="0" w:line="176" w:lineRule="exact"/>
              <w:rPr>
                <w:sz w:val="20"/>
                <w:szCs w:val="20"/>
                <w:color w:val="auto"/>
              </w:rPr>
            </w:pPr>
            <w:r>
              <w:rPr>
                <w:rFonts w:ascii="Arial" w:cs="Arial" w:eastAsia="Arial" w:hAnsi="Arial"/>
                <w:sz w:val="18"/>
                <w:szCs w:val="18"/>
                <w:color w:val="auto"/>
                <w:w w:val="94"/>
              </w:rPr>
              <w:t>Depreciation, amortization and disposition of property, plant and</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27,095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31,469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54,098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65,722</w:t>
            </w:r>
          </w:p>
        </w:tc>
        <w:tc>
          <w:tcPr>
            <w:tcW w:w="0" w:type="dxa"/>
            <w:vAlign w:val="bottom"/>
          </w:tcPr>
          <w:p>
            <w:pPr>
              <w:spacing w:after="0"/>
              <w:rPr>
                <w:sz w:val="1"/>
                <w:szCs w:val="1"/>
                <w:color w:val="auto"/>
              </w:rPr>
            </w:pPr>
          </w:p>
        </w:tc>
      </w:tr>
      <w:tr>
        <w:trPr>
          <w:trHeight w:val="230"/>
        </w:trPr>
        <w:tc>
          <w:tcPr>
            <w:tcW w:w="5200" w:type="dxa"/>
            <w:vAlign w:val="bottom"/>
          </w:tcPr>
          <w:p>
            <w:pPr>
              <w:ind w:left="520"/>
              <w:spacing w:after="0"/>
              <w:rPr>
                <w:sz w:val="20"/>
                <w:szCs w:val="20"/>
                <w:color w:val="auto"/>
              </w:rPr>
            </w:pPr>
            <w:r>
              <w:rPr>
                <w:rFonts w:ascii="Arial" w:cs="Arial" w:eastAsia="Arial" w:hAnsi="Arial"/>
                <w:sz w:val="18"/>
                <w:szCs w:val="18"/>
                <w:color w:val="auto"/>
              </w:rPr>
              <w:t>equipment</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Contribution to turnaround reserves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(14,488)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(23,825)</w:t>
            </w:r>
          </w:p>
        </w:tc>
        <w:tc>
          <w:tcPr>
            <w:tcW w:w="0" w:type="dxa"/>
            <w:vAlign w:val="bottom"/>
          </w:tcPr>
          <w:p>
            <w:pPr>
              <w:spacing w:after="0"/>
              <w:rPr>
                <w:sz w:val="1"/>
                <w:szCs w:val="1"/>
                <w:color w:val="auto"/>
              </w:rPr>
            </w:pPr>
          </w:p>
        </w:tc>
      </w:tr>
      <w:tr>
        <w:trPr>
          <w:trHeight w:val="188"/>
        </w:trPr>
        <w:tc>
          <w:tcPr>
            <w:tcW w:w="5200" w:type="dxa"/>
            <w:vAlign w:val="bottom"/>
          </w:tcPr>
          <w:p>
            <w:pPr>
              <w:ind w:left="360"/>
              <w:spacing w:after="0" w:line="189" w:lineRule="exact"/>
              <w:rPr>
                <w:sz w:val="20"/>
                <w:szCs w:val="20"/>
                <w:color w:val="auto"/>
              </w:rPr>
            </w:pPr>
            <w:r>
              <w:rPr>
                <w:rFonts w:ascii="Arial" w:cs="Arial" w:eastAsia="Arial" w:hAnsi="Arial"/>
                <w:sz w:val="18"/>
                <w:szCs w:val="18"/>
                <w:color w:val="auto"/>
                <w:w w:val="97"/>
              </w:rPr>
              <w:t>Distributable cash flow attributable to noncontrolling interest in</w:t>
            </w: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(73,886)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(78,668)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(159,460)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(153,798)</w:t>
            </w:r>
          </w:p>
        </w:tc>
        <w:tc>
          <w:tcPr>
            <w:tcW w:w="0" w:type="dxa"/>
            <w:vAlign w:val="bottom"/>
          </w:tcPr>
          <w:p>
            <w:pPr>
              <w:spacing w:after="0"/>
              <w:rPr>
                <w:sz w:val="1"/>
                <w:szCs w:val="1"/>
                <w:color w:val="auto"/>
              </w:rPr>
            </w:pPr>
          </w:p>
        </w:tc>
      </w:tr>
      <w:tr>
        <w:trPr>
          <w:trHeight w:val="217"/>
        </w:trPr>
        <w:tc>
          <w:tcPr>
            <w:tcW w:w="5200" w:type="dxa"/>
            <w:vAlign w:val="bottom"/>
          </w:tcPr>
          <w:p>
            <w:pPr>
              <w:ind w:left="520"/>
              <w:spacing w:after="0"/>
              <w:rPr>
                <w:sz w:val="20"/>
                <w:szCs w:val="20"/>
                <w:color w:val="auto"/>
              </w:rPr>
            </w:pPr>
            <w:r>
              <w:rPr>
                <w:rFonts w:ascii="Arial" w:cs="Arial" w:eastAsia="Arial" w:hAnsi="Arial"/>
                <w:sz w:val="18"/>
                <w:szCs w:val="18"/>
                <w:color w:val="auto"/>
              </w:rPr>
              <w:t>OpCo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MLP distributable cash flow</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18"/>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243,403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225,667</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Loss from disposition of property, plant and equipment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(3,430)</w:t>
            </w:r>
          </w:p>
        </w:tc>
      </w:tr>
      <w:tr>
        <w:trPr>
          <w:trHeight w:val="24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(56,973)</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84,439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166,716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165,264</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expense—Westlake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r>
      <w:tr>
        <w:trPr>
          <w:trHeight w:val="229"/>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178,652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170,595</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62,291</w:t>
            </w:r>
          </w:p>
        </w:tc>
      </w:tr>
      <w:tr>
        <w:trPr>
          <w:trHeight w:val="24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232,951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8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0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For the quarter ended June 30, 2023, net income was $75.3 million on net sales of $264.2 million. This represents a decrease in net income of $9.1 million as compared to net income of $84.4 million on net sales of $448.8 million for the quarter ended June 30, 2022. Net income attributable to the Partnership for the second quarter of 2023 was $11.9 million as compared to $16.4 million for the second quarter of 2022, a decrease of $4.5 million. Income from operations was $80.5 million for the second quarter of 2023 as compared to $87.4 million for the second quarter of 2022. Income from operations, net income and net income attributable to the Partnership for the second quarter of 2023 as compared to the second quarter of 2022 were lower primarily due to lower ethylene and co-products sales prices and lower volumes due to the planned Calvert City Olefins turnaround in the second quarter of 2023 compared to the second quarter of 2022, partially offset by lower ethane feedstock costs and natural gas prices. Net income attributable to the Partnership was also impacted by higher interest expense attributable to the Partnership for the second quarter of 2023 as compared to the second quarter of 2022, primarily due to a higher average interest rate on debt owed to Westlake. Net sales for the second quarter of 2023 decreased by $184.6 million as compared to net sales for the second quarter of 2022, mainly due to lower ethylene and co-products sales prices and lower volumes due to the turnaround during the second quarter of 2023 as compared to the second quarter of 2022.</w:t>
      </w:r>
    </w:p>
    <w:p>
      <w:pPr>
        <w:spacing w:after="0" w:line="128"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For the six months ended June 30, 2023, net income was $166.7 million on net sales of $571.9 million. This represents an increase in net income of $1.4 million as compared to net income of $165.3 million on net sales of $811.2 million for the six months ended June 30, 2022. Net income attributable to the Partnership for the six months ended June 30, 2023 was $26.8 million as compared to $32.6 million for the six months ended June 30, 2022, a decrease of $5.8 million. Income from operations was $178.7 million for the six months ended June 30, 2023 as compared to $170.6 million for the six months ended June 30, 2022. Income from operations and net income for the six months ended June 30, 2023 as compared to the six months ended June 30, 2022 were higher primarily due to lower ethane feedstock costs and natural gas prices in the six months ended June 30, 2023 compared to the six months ended June 30, 2022, partially offset by lower ethylene and co-products sales prices and lower volumes due to the turnaround. Net income attributable to the Partnership for the six months ended June 30, 2023 decreased as compared to the six months ended June 30, 2022 primarily due to higher interest expense attributable to the Partnership, partially offset by the higher income from operations as discussed above. Net sales for the six months ended June 30, 2023 decreased by $239.3 million as compared to net sales for the six months ended June 30, 2022, mainly due to lower ethylene and co-products sales prices and lower volumes due to the turnaround during the six months ended June 30, 2023 as compared to the six months ended June 30,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2023 Compared with Second Quarter 2022</w:t>
      </w:r>
    </w:p>
    <w:p>
      <w:pPr>
        <w:spacing w:after="0" w:line="104"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Total net sales decreased by $184.6 million, or 41.1%, to $264.2 million in the second quarter of 2023 from $448.8 million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2022. The decrease in net sales in the second quarter of 2023 was primarily due to lower ethylene and co-products sales prices and volumes during the second quarter of 2023 as compared to the second quarter of 2022. The lower average sales prices in the second quarter of 2023 contributed to a 33.0% decrease in net sales compared to the second quarter of 2022. The lower sales volumes in the second quarter of 2023 contributed to an 8.1% decrease in net sales compared to the second quarter of 2022. The lower sales volumes were primarily due to the turnaround in the second quarter of 2023.</w:t>
      </w:r>
    </w:p>
    <w:p>
      <w:pPr>
        <w:spacing w:after="0" w:line="10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decreased to $87.7 million in the second quarter of 2023 from $97.3 million in the second quarter of 2022. The gross profit</w:t>
      </w:r>
      <w:r>
        <w:rPr>
          <w:rFonts w:ascii="Arial" w:cs="Arial" w:eastAsia="Arial" w:hAnsi="Arial"/>
          <w:sz w:val="17"/>
          <w:szCs w:val="17"/>
          <w:i w:val="1"/>
          <w:iCs w:val="1"/>
          <w:color w:val="auto"/>
        </w:rPr>
        <w:t xml:space="preserve"> </w:t>
      </w:r>
      <w:r>
        <w:rPr>
          <w:rFonts w:ascii="Arial" w:cs="Arial" w:eastAsia="Arial" w:hAnsi="Arial"/>
          <w:sz w:val="17"/>
          <w:szCs w:val="17"/>
          <w:color w:val="auto"/>
        </w:rPr>
        <w:t>margin in the second quarter of 2023 was 33.2%, as compared to 21.7% for the second quarter of 2022. The increase in gross profit margin was primarily due to lower ethane feedstock costs and natural gas prices in the second quarter of 2023 as compared to the second quarter of 2022.</w:t>
      </w:r>
    </w:p>
    <w:p>
      <w:pPr>
        <w:spacing w:after="0" w:line="11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$2.7 million, or 27.3%, to $7.2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2023 as compared to $9.9 million in the second quarter of 2022. The decrease in the second quarter of 2023 was mainly attributable to the provision for credit losses recognized in the second quarter of 2022.</w:t>
      </w:r>
    </w:p>
    <w:p>
      <w:pPr>
        <w:spacing w:after="0" w:line="13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 xml:space="preserve">Interest Expense—Westlake. </w:t>
      </w:r>
      <w:r>
        <w:rPr>
          <w:rFonts w:ascii="Arial" w:cs="Arial" w:eastAsia="Arial" w:hAnsi="Arial"/>
          <w:sz w:val="18"/>
          <w:szCs w:val="18"/>
          <w:color w:val="auto"/>
        </w:rPr>
        <w:t>Interest expense of $6.1 million in the second quarter of 2023 increased from $2.9 million in the second quarter of 2022</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 higher average interest rate on debt owed to Westlake.</w:t>
      </w:r>
    </w:p>
    <w:p>
      <w:pPr>
        <w:spacing w:after="0" w:line="11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of $1.1 million in the second quarter of 2023 primarily represents interest earned on the balance with Westlake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Investment Management Agreement.</w:t>
      </w:r>
    </w:p>
    <w:p>
      <w:pPr>
        <w:spacing w:after="0" w:line="116"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decreased by $4.6 million to $15.0 million in the second quarter of 2023 from $19.6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second quarter of 2022. The decrease in the second quarter of 2023, as compared to the prior-year period, was primarily attributable to higher interest expense and decreased earnings at OpCo, partially offset by decreased maintenance capital expenditures.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$9.9 million to $108.6 million in the second quarter of 2023 from $118.5 million in the second quarter of 2022.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due to lower ethylene and co-products sales prices and volumes during the second quarter of 2023 as compared to the second quarter of 2022, partially offset by lower ethane feedstock costs and natural gas prices.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with Six Months Ended June 30, 2022</w:t>
      </w:r>
    </w:p>
    <w:p>
      <w:pPr>
        <w:spacing w:after="0" w:line="9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Total net sales decreased by $239.3 million, or 29.5%, to $571.9 million in the six months ended June 30, 2023 from $811.2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2022. The decrease in net sales in the six months ended June 30, 2023 was primarily due to lower ethylene and co-products sales prices and volumes during the six months ended June 30, 2023 as compared to the six months ended June 30, 2022. The lower average sales prices in the six months ended June 30, 2023 contributed to a 26.8% decrease in net sales compared to the six months ended June 30, 2022. The lower sales volumes in the six months ended June 30, 2023 contributed to a 2.7% decrease in net sales as compared to the six months ended June 30, 2022. The lower sales volumes were primarily due to the turnaround in the six months ended June 30, 2023.</w:t>
      </w:r>
    </w:p>
    <w:p>
      <w:pPr>
        <w:spacing w:after="0" w:line="1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to $193.8 million in the six months ended June 30, 2023 from $188.7 million in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gross profit margin in the six months ended June 30, 2023 was 33.9%, as compared to 23.3% for the six months ended June 30, 2022. The increase in gross profit margin was primarily due to lower ethane feedstock costs and natural gas prices in the six months ended June 30, 2023 compared to the six months ended June 30, 2022.</w:t>
      </w:r>
    </w:p>
    <w:p>
      <w:pPr>
        <w:spacing w:after="0" w:line="133"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decreased by $3.0 million, or 16.6%, to $15.1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2023 as compared to $18.1 million in the six months ended June 30, 2022. The decrease in the six months ended June 30, 2023 was mainly attributable to the provision for credit losses recognized in the six months ended June 30, 2022.</w:t>
      </w:r>
    </w:p>
    <w:p>
      <w:pPr>
        <w:spacing w:after="0" w:line="11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i w:val="1"/>
          <w:iCs w:val="1"/>
          <w:color w:val="auto"/>
        </w:rPr>
        <w:t xml:space="preserve">Interest Expense—Westlake. </w:t>
      </w:r>
      <w:r>
        <w:rPr>
          <w:rFonts w:ascii="Arial" w:cs="Arial" w:eastAsia="Arial" w:hAnsi="Arial"/>
          <w:sz w:val="18"/>
          <w:szCs w:val="18"/>
          <w:color w:val="auto"/>
        </w:rPr>
        <w:t>Interest expense of $13.4 million in the six months ended June 30, 2023 increased from $5.1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due to a higher average interest rate on debt owed to Westlake.</w:t>
      </w:r>
    </w:p>
    <w:p>
      <w:pPr>
        <w:spacing w:after="0" w:line="11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of $1.9 million in the six months ended June 30, 2023 primarily represents interest earned on the balance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under the Investment Management Agreement.</w:t>
      </w:r>
    </w:p>
    <w:p>
      <w:pPr>
        <w:spacing w:after="0" w:line="116" w:lineRule="exact"/>
        <w:rPr>
          <w:sz w:val="20"/>
          <w:szCs w:val="20"/>
          <w:color w:val="auto"/>
        </w:rPr>
      </w:pPr>
    </w:p>
    <w:p>
      <w:pPr>
        <w:ind w:right="220" w:firstLine="405"/>
        <w:spacing w:after="0" w:line="311" w:lineRule="auto"/>
        <w:rPr>
          <w:sz w:val="20"/>
          <w:szCs w:val="20"/>
          <w:color w:val="auto"/>
        </w:rPr>
      </w:pPr>
      <w:r>
        <w:rPr>
          <w:rFonts w:ascii="Arial" w:cs="Arial" w:eastAsia="Arial" w:hAnsi="Arial"/>
          <w:sz w:val="16"/>
          <w:szCs w:val="16"/>
          <w:i w:val="1"/>
          <w:iCs w:val="1"/>
          <w:color w:val="auto"/>
        </w:rPr>
        <w:t xml:space="preserve">MLP Distributable Cash Flow. </w:t>
      </w:r>
      <w:r>
        <w:rPr>
          <w:rFonts w:ascii="Arial" w:cs="Arial" w:eastAsia="Arial" w:hAnsi="Arial"/>
          <w:sz w:val="16"/>
          <w:szCs w:val="16"/>
          <w:color w:val="auto"/>
        </w:rPr>
        <w:t>MLP distributable cash flow decreased by $6.4 million to $32.5 million in the six months ended June 30, 2023 from</w:t>
      </w:r>
      <w:r>
        <w:rPr>
          <w:rFonts w:ascii="Arial" w:cs="Arial" w:eastAsia="Arial" w:hAnsi="Arial"/>
          <w:sz w:val="16"/>
          <w:szCs w:val="16"/>
          <w:i w:val="1"/>
          <w:iCs w:val="1"/>
          <w:color w:val="auto"/>
        </w:rPr>
        <w:t xml:space="preserve"> </w:t>
      </w:r>
      <w:r>
        <w:rPr>
          <w:rFonts w:ascii="Arial" w:cs="Arial" w:eastAsia="Arial" w:hAnsi="Arial"/>
          <w:sz w:val="16"/>
          <w:szCs w:val="16"/>
          <w:color w:val="auto"/>
        </w:rPr>
        <w:t>$38.9 million in the six months ended June 30, 2022. The decrease in the six months ended June 30, 2023, as compared to the prior-year period, was primarily attributable to higher interest expense, partially offset by increased earnings at OpCo and decreased maintenance capital expenditures.</w:t>
      </w:r>
    </w:p>
    <w:p>
      <w:pPr>
        <w:spacing w:after="0" w:line="95"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EBITDA increased by $1.2 million to $234.2 million in the six months ended June 30, 2023 from $233.0 million in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2022. The increase was primarily due to lower ethane feedstock costs and natural gas prices during the six months ended June 30, 2023 as compared to the six months ended June 30, 2022, partially offset by lower ethylene and co-products sales prices and volumes.</w:t>
      </w:r>
    </w:p>
    <w:p>
      <w:pPr>
        <w:spacing w:after="0" w:line="202" w:lineRule="exact"/>
        <w:rPr>
          <w:sz w:val="20"/>
          <w:szCs w:val="20"/>
          <w:color w:val="auto"/>
        </w:rPr>
      </w:pPr>
    </w:p>
    <w:p>
      <w:pPr>
        <w:ind w:right="4260"/>
        <w:spacing w:after="0" w:line="354" w:lineRule="auto"/>
        <w:rPr>
          <w:sz w:val="20"/>
          <w:szCs w:val="20"/>
          <w:color w:val="auto"/>
        </w:rPr>
      </w:pPr>
      <w:r>
        <w:rPr>
          <w:rFonts w:ascii="Arial" w:cs="Arial" w:eastAsia="Arial" w:hAnsi="Arial"/>
          <w:sz w:val="18"/>
          <w:szCs w:val="18"/>
          <w:b w:val="1"/>
          <w:bCs w:val="1"/>
          <w:color w:val="auto"/>
        </w:rPr>
        <w:t xml:space="preserve">CASH FLOW DISCUSSION FOR THE SIX MONTHS ENDED JUNE 30, 2023 AND 2022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Operating activities provided cash of $243.4 million in the first six months of 2023 compared to cash provided by operating activities of $225.7 million in the first six months of 2022. The $17.7 million increase in cash flows from operating activities was mainly due to an increase in cash provided by working capital during the six months ended June 30, 2023 as compared to the prior-year period, which was partially offset by the cash used for the Calvert City Olefins turnaround activity.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and other liabilities, provided cash of $49.7 million in the first six months of 2023 as compared to $6.1 million of cash used in the first six months of 2022, resulting in an overall favorable change of $55.8 million. The favorable change in working capital was mainly attributable to a favorable change in accounts receivable—third parties, accounts payable—third parties and accrued and other liabilities primarily due to the timing of payment of accruals and the impact on accounts receivable of the Petro 2 turnaround activities in 2021, which impacted the changes in working capital in the first six months of 2022. These favorable changes were partially offset by an unfavorable change in net accounts receivable— Westlake primarily due to an unfavorable change in accounts payable—Westlake due to fluctuating ethane feedstock costs and a smaller buyer deficiency fee and Shortfall collected in the first six months of 2023 as compared to the first six months of 2022.</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cash used for investing activities in the first six months of 2023 was $46.3 million as compared to net cash used for investing activities of $55.3 million in the first six months of 2022. The $9.0 million decrease in net cash used for investing activities was mainly due to the decrease in capital expenditures in the first six months of 2023 as compared to the prior-year period, partially offset by an increase in net cash invested under the Investment Management Agreement. Capital expenditures in the first six months of 2023 and 2022 were primarily related to projects to improve production capacity or reduce costs, maintenance and safety and environmental projects at our facilities.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Net cash used for financing activities in the first six months of 2023 was $202.5 million as compared to net cash used for financing activities of $169.0 million in the first six months of 2022. The outflows in the first six months of 2023 were related to distributions of $169.3 million to the noncontrolling interest retained in OpCo by Westlake and of $33.2 million to unitholders by the Partnership. The cash outflows in the first six months of 2022 were related to distributions of $135.8 million to the noncontrolling interest retained in OpCo by Westlake and of $33.2 million to unitholders by the Partnership.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04"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June 30, 2023.</w:t>
      </w:r>
    </w:p>
    <w:p>
      <w:pPr>
        <w:spacing w:after="0" w:line="122"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30"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12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Westlake's credit facility and various indentures do not prevent OpCo from making distributions to us.</w:t>
      </w:r>
    </w:p>
    <w:p>
      <w:pPr>
        <w:spacing w:after="0" w:line="171"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On August 1, 2023, the board of directors of Westlake Chemical Partners GP LLC, our general partner, approved a quarterly distribution of $0.4714 per unit payable on August 25, 2023 to unitholders of record as of August 11, 2023, which equates to a total amount of approximately $16.6 million per quarter, or approximately $66.4 million per year in aggregate, based on the number of common units outstanding on June 30, 2023. We do not have a legal or contractual obligation to pay distributions on a quarterly basis or any other basis at our minimum quarterly distribution rate or any other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0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No such funding was required by OpCo during the six months ended June 30, 2023 and 2022. Total capital expenditures for the six months ended June 30, 2023 and 2022 were $17.2 million and $32.3 million, respectively. We expect that Westlake will loan additional cash to OpCo to fund its expansion capital expenditures in the future, but Westlake is under no obligation to do so.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As of June 30, 2023, our cash and cash equivalents totaled $59.4 million. In addition, we have cash invested under the Investment Management Agreement (as described below) and a revolving credit facility with Westlake available to supplement cash if needed, as described under "Indebtedness" below.</w:t>
      </w:r>
    </w:p>
    <w:p>
      <w:pPr>
        <w:spacing w:after="0" w:line="130"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$94.2 million of cash invested under the Investment Management Agreement at June 30,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June 30, 2023, outstanding borrowings under the OpCo Revolver totaled $22.6 million and bore interest at SOFR plus the Applicable Margin and credit spread adjustment, which is accrued in arrears quarterly.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10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the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June 30, 2023,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corporate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right="80" w:firstLine="405"/>
        <w:spacing w:after="0" w:line="287" w:lineRule="auto"/>
        <w:rPr>
          <w:sz w:val="20"/>
          <w:szCs w:val="20"/>
          <w:color w:val="auto"/>
        </w:rPr>
      </w:pPr>
      <w:r>
        <w:rPr>
          <w:rFonts w:ascii="Arial" w:cs="Arial" w:eastAsia="Arial" w:hAnsi="Arial"/>
          <w:sz w:val="16"/>
          <w:szCs w:val="16"/>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widespread outbreak of an illness or any other communicable disease, or any other public health crisis, including the coronavirus ("COVID-19") pandemic and efforts to contain its transmission;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and Westlake's plans to respond to the challenges presented by the COVID-19 pandemic;</w:t>
      </w:r>
    </w:p>
    <w:p>
      <w:pPr>
        <w:spacing w:after="0" w:line="10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ongoing supply chain constraints and workforce availability caused by the COVID-19 pandemic and the conflict between Russia and Ukraine;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funding and results of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intended quarterly distributions and the manner of making such distributions;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At-the-Market program and the use of any net proceeds from any sales under that program;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and OpCo's ability to extend our credit agreements with Westlake;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any buyer deficiency fee and Shortfall under the Ethylene Sales Agreement;</w:t>
      </w:r>
    </w:p>
    <w:p>
      <w:pPr>
        <w:spacing w:after="0" w:line="90"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receive indemnification from Westlake for environmental and other losses;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2022 Form 10-K and the following:</w:t>
      </w:r>
    </w:p>
    <w:p>
      <w:pPr>
        <w:spacing w:after="0" w:line="6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business conditions, including inflation, interest rates and possible recession;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crude oil prices reducing the cost advantage of ethane-based ethylene producers;</w:t>
      </w:r>
    </w:p>
    <w:p>
      <w:pPr>
        <w:spacing w:after="0" w:line="9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 including the conflict between Russia and Ukraine;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 particularly COVID-19;</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associated with climate change;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impact on demand for ethylene due to initiatives such as recycling and customers seeking alternatives to polymers;</w:t>
      </w:r>
    </w:p>
    <w:p>
      <w:pPr>
        <w:spacing w:after="0" w:line="103"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0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systems failures and cyberattacks;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June 30,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June 30, 2023,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June 30, 2023 was 6.7%.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June 30, 2023 debt balance.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1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The 2022 Form 10-K, filed on March 1, 2023, contained a description of various legal proceedings in which we are involved, including environmental proceedings. See Note 12 to the unaudited consolidated financial statements within this Quarterly Report on Form 10-Q for an updated discussion on legal proceedings, which information is incorporated by reference herein.</w:t>
      </w:r>
    </w:p>
    <w:p>
      <w:pPr>
        <w:spacing w:after="0" w:line="130"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w:t>
      </w:r>
    </w:p>
    <w:p>
      <w:pPr>
        <w:spacing w:after="0" w:line="70"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For a discussion of risk factors, please read Item 1A, "Risk Factors" in the 2022 Form 10-K. There have been no material changes from those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i w:val="1"/>
          <w:iCs w:val="1"/>
          <w:color w:val="auto"/>
        </w:rPr>
        <w:t xml:space="preserve">Rule 10b5-1 Trading Arrangements. </w:t>
      </w:r>
      <w:r>
        <w:rPr>
          <w:rFonts w:ascii="Arial" w:cs="Arial" w:eastAsia="Arial" w:hAnsi="Arial"/>
          <w:sz w:val="16"/>
          <w:szCs w:val="16"/>
          <w:color w:val="auto"/>
        </w:rPr>
        <w:t>During the three months ended June 30, 2023, no director or officer of the Partnership's general partner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0" w:type="dxa"/>
            <w:vAlign w:val="bottom"/>
            <w:gridSpan w:val="18"/>
          </w:tcPr>
          <w:p>
            <w:pPr>
              <w:ind w:left="150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Certificate of Limited Partnership of Westlake Chemical Partners LP (incorporated by reference to Exhibit 3.1 to Westlake Chemical</w:t>
              </w:r>
            </w:hyperlink>
          </w:p>
        </w:tc>
      </w:tr>
      <w:tr>
        <w:trPr>
          <w:trHeight w:val="156"/>
        </w:trPr>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1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Partners LP's Registration Statement on Form S-1 (File No. 333-195551), filed on April 29, 2014).</w:t>
              </w:r>
            </w:hyperlink>
          </w:p>
        </w:tc>
        <w:tc>
          <w:tcPr>
            <w:tcW w:w="244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780" w:type="dxa"/>
            <w:vAlign w:val="bottom"/>
            <w:gridSpan w:val="20"/>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First Amended and Restated Agreement of Limited Partnership of Westlake Chemical Partners LP (incorporated by reference to Exhibit</w:t>
              </w:r>
            </w:hyperlink>
          </w:p>
        </w:tc>
      </w:tr>
      <w:tr>
        <w:trPr>
          <w:trHeight w:val="156"/>
        </w:trPr>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45">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Westlake Chemical Partners LP's Current Report on Form 8-K (File No. 001-36567) filed on August 8, 2014).</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2"/>
                <w:szCs w:val="22"/>
                <w:color w:val="auto"/>
              </w:rPr>
            </w:pPr>
          </w:p>
        </w:tc>
        <w:tc>
          <w:tcPr>
            <w:tcW w:w="9780" w:type="dxa"/>
            <w:vAlign w:val="bottom"/>
            <w:gridSpan w:val="20"/>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Amendment No. 1 to the First Amended and Restated Agreement of Limited Partnership of Westlake Chemical Partners LP dated as of</w:t>
              </w:r>
            </w:hyperlink>
          </w:p>
        </w:tc>
      </w:tr>
      <w:tr>
        <w:trPr>
          <w:trHeight w:val="169"/>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700" w:type="dxa"/>
            <w:vAlign w:val="bottom"/>
            <w:tcBorders>
              <w:top w:val="single" w:sz="8" w:color="0000FF"/>
            </w:tcBorders>
            <w:gridSpan w:val="17"/>
          </w:tcPr>
          <w:p>
            <w:pPr>
              <w:spacing w:after="0" w:line="169"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November 16, 2017 (incorporated by Reference to Exhibit 3.1 to Westlake Chemical Partners LP's Current Report on Form 8-K, filed</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55"/>
        </w:trPr>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on November 16, 2017, File No. 01-36567).</w:t>
              </w:r>
            </w:hyperlink>
          </w:p>
        </w:tc>
        <w:tc>
          <w:tcPr>
            <w:tcW w:w="644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2"/>
                <w:szCs w:val="22"/>
                <w:color w:val="auto"/>
              </w:rPr>
            </w:pPr>
          </w:p>
        </w:tc>
        <w:tc>
          <w:tcPr>
            <w:tcW w:w="9780" w:type="dxa"/>
            <w:vAlign w:val="bottom"/>
            <w:gridSpan w:val="20"/>
          </w:tcPr>
          <w:p>
            <w:pP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80" w:type="dxa"/>
            <w:vAlign w:val="bottom"/>
            <w:tcBorders>
              <w:top w:val="single" w:sz="8" w:color="0000FF"/>
            </w:tcBorders>
            <w:gridSpan w:val="12"/>
          </w:tcPr>
          <w:p>
            <w:pPr>
              <w:spacing w:after="0" w:line="169"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(incorporated by reference to Exhibit 3.1 to Westlake Chemical Partners LP's Current Report on Form 8-K filed on July 30,</w:t>
              </w:r>
            </w:hyperlink>
          </w:p>
        </w:tc>
        <w:tc>
          <w:tcPr>
            <w:tcW w:w="900" w:type="dxa"/>
            <w:vAlign w:val="bottom"/>
            <w:gridSpan w:val="8"/>
          </w:tcPr>
          <w:p>
            <w:pPr>
              <w:ind w:left="40"/>
              <w:spacing w:after="0" w:line="169" w:lineRule="exact"/>
              <w:rPr>
                <w:rFonts w:ascii="Arial" w:cs="Arial" w:eastAsia="Arial" w:hAnsi="Arial"/>
                <w:sz w:val="18"/>
                <w:szCs w:val="18"/>
                <w:color w:val="0000FF"/>
              </w:rPr>
            </w:pPr>
            <w:hyperlink r:id="rId47">
              <w:r>
                <w:rPr>
                  <w:rFonts w:ascii="Arial" w:cs="Arial" w:eastAsia="Arial" w:hAnsi="Arial"/>
                  <w:sz w:val="18"/>
                  <w:szCs w:val="18"/>
                  <w:color w:val="0000FF"/>
                </w:rPr>
                <w:t>2018 (File</w:t>
              </w:r>
            </w:hyperlink>
          </w:p>
        </w:tc>
      </w:tr>
      <w:tr>
        <w:trPr>
          <w:trHeight w:val="156"/>
        </w:trPr>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No. 01-36567)).</w:t>
              </w:r>
            </w:hyperlink>
          </w:p>
        </w:tc>
        <w:tc>
          <w:tcPr>
            <w:tcW w:w="850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22"/>
                <w:szCs w:val="22"/>
                <w:color w:val="auto"/>
              </w:rPr>
            </w:pPr>
          </w:p>
        </w:tc>
        <w:tc>
          <w:tcPr>
            <w:tcW w:w="9780" w:type="dxa"/>
            <w:vAlign w:val="bottom"/>
            <w:tcBorders>
              <w:bottom w:val="single" w:sz="8" w:color="0000FF"/>
            </w:tcBorders>
            <w:gridSpan w:val="20"/>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920" w:type="dxa"/>
            <w:vAlign w:val="bottom"/>
            <w:tcBorders>
              <w:bottom w:val="single" w:sz="8" w:color="0000FF"/>
            </w:tcBorders>
            <w:gridSpan w:val="10"/>
          </w:tcPr>
          <w:p>
            <w:pPr>
              <w:spacing w:after="0" w:line="169"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Westlake Chemical Partners LP's Current Report on Form 8-K (File No. 001-36567) filed on August 8, 2014).</w:t>
              </w:r>
            </w:hyperlink>
          </w:p>
        </w:tc>
        <w:tc>
          <w:tcPr>
            <w:tcW w:w="1860" w:type="dxa"/>
            <w:vAlign w:val="bottom"/>
            <w:gridSpan w:val="10"/>
          </w:tcPr>
          <w:p>
            <w:pPr>
              <w:spacing w:after="0"/>
              <w:rPr>
                <w:sz w:val="14"/>
                <w:szCs w:val="14"/>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22"/>
                <w:szCs w:val="22"/>
                <w:color w:val="auto"/>
              </w:rPr>
            </w:pPr>
          </w:p>
        </w:tc>
        <w:tc>
          <w:tcPr>
            <w:tcW w:w="9780" w:type="dxa"/>
            <w:vAlign w:val="bottom"/>
            <w:gridSpan w:val="20"/>
          </w:tcPr>
          <w:p>
            <w:pPr>
              <w:spacing w:after="0"/>
              <w:rPr>
                <w:rFonts w:ascii="Arial" w:cs="Arial" w:eastAsia="Arial" w:hAnsi="Arial"/>
                <w:sz w:val="18"/>
                <w:szCs w:val="18"/>
                <w:color w:val="0000FF"/>
                <w:w w:val="96"/>
              </w:rPr>
            </w:pPr>
            <w:hyperlink r:id="rId49">
              <w:r>
                <w:rPr>
                  <w:rFonts w:ascii="Arial" w:cs="Arial" w:eastAsia="Arial" w:hAnsi="Arial"/>
                  <w:sz w:val="18"/>
                  <w:szCs w:val="18"/>
                  <w:color w:val="0000FF"/>
                  <w:w w:val="96"/>
                </w:rPr>
                <w:t>Amendment No. 1 to the Amended and Restated Agreement of Limited Partnership of Westlake Chemical OpCo LP dated as of</w:t>
              </w:r>
            </w:hyperlink>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780" w:type="dxa"/>
            <w:vAlign w:val="bottom"/>
            <w:gridSpan w:val="20"/>
          </w:tcPr>
          <w:p>
            <w:pPr>
              <w:spacing w:after="0" w:line="15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December 1, 2017 (File No. 01-36567) (incorporated by reference to Exhibit 3.4 to Westlake Chemical Partners LP's Annual Report on</w:t>
              </w:r>
            </w:hyperlink>
          </w:p>
        </w:tc>
      </w:tr>
      <w:tr>
        <w:trPr>
          <w:trHeight w:val="169"/>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90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Form 10-K for the year ended December 31, 2017 (File No. 01-36567) filed on March 1, 2018).</w:t>
              </w:r>
            </w:hyperlink>
          </w:p>
        </w:tc>
        <w:tc>
          <w:tcPr>
            <w:tcW w:w="2820" w:type="dxa"/>
            <w:vAlign w:val="bottom"/>
            <w:tcBorders>
              <w:top w:val="single" w:sz="8" w:color="0000FF"/>
            </w:tcBorders>
            <w:gridSpan w:val="10"/>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64"/>
        </w:trPr>
        <w:tc>
          <w:tcPr>
            <w:tcW w:w="1360" w:type="dxa"/>
            <w:vAlign w:val="bottom"/>
            <w:gridSpan w:val="2"/>
          </w:tcPr>
          <w:p>
            <w:pPr>
              <w:spacing w:after="0"/>
              <w:rPr>
                <w:sz w:val="20"/>
                <w:szCs w:val="20"/>
                <w:color w:val="auto"/>
              </w:rPr>
            </w:pPr>
            <w:r>
              <w:rPr>
                <w:rFonts w:ascii="Arial" w:cs="Arial" w:eastAsia="Arial" w:hAnsi="Arial"/>
                <w:sz w:val="18"/>
                <w:szCs w:val="18"/>
                <w:color w:val="auto"/>
              </w:rPr>
              <w:t>31.1†</w:t>
            </w:r>
          </w:p>
        </w:tc>
        <w:tc>
          <w:tcPr>
            <w:tcW w:w="9780" w:type="dxa"/>
            <w:vAlign w:val="bottom"/>
            <w:gridSpan w:val="20"/>
          </w:tcPr>
          <w:p>
            <w:pPr>
              <w:spacing w:after="0"/>
              <w:rPr>
                <w:sz w:val="20"/>
                <w:szCs w:val="20"/>
                <w:color w:val="auto"/>
              </w:rPr>
            </w:pPr>
            <w:r>
              <w:rPr>
                <w:rFonts w:ascii="Arial" w:cs="Arial" w:eastAsia="Arial" w:hAnsi="Arial"/>
                <w:sz w:val="18"/>
                <w:szCs w:val="18"/>
                <w:color w:val="0000FF"/>
              </w:rPr>
              <w:t>Rule 13a – 14(a) / 15d – 14(a) Certification (Principal Executive Officer)</w:t>
            </w:r>
          </w:p>
        </w:tc>
      </w:tr>
      <w:tr>
        <w:trPr>
          <w:trHeight w:val="263"/>
        </w:trPr>
        <w:tc>
          <w:tcPr>
            <w:tcW w:w="1360" w:type="dxa"/>
            <w:vAlign w:val="bottom"/>
            <w:gridSpan w:val="2"/>
          </w:tcPr>
          <w:p>
            <w:pPr>
              <w:spacing w:after="0"/>
              <w:rPr>
                <w:sz w:val="20"/>
                <w:szCs w:val="20"/>
                <w:color w:val="auto"/>
              </w:rPr>
            </w:pPr>
            <w:r>
              <w:rPr>
                <w:rFonts w:ascii="Arial" w:cs="Arial" w:eastAsia="Arial" w:hAnsi="Arial"/>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520" w:type="dxa"/>
            <w:vAlign w:val="bottom"/>
            <w:gridSpan w:val="14"/>
          </w:tcPr>
          <w:p>
            <w:pPr>
              <w:spacing w:after="0"/>
              <w:rPr>
                <w:sz w:val="22"/>
                <w:szCs w:val="22"/>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Arial" w:cs="Arial" w:eastAsia="Arial" w:hAnsi="Arial"/>
                <w:sz w:val="18"/>
                <w:szCs w:val="18"/>
                <w:color w:val="0000FF"/>
              </w:rPr>
              <w:t>Section 1350 Certification (Principal Executive Officer and Principal Financial Officer)</w:t>
            </w:r>
          </w:p>
        </w:tc>
      </w:tr>
      <w:tr>
        <w:trPr>
          <w:trHeight w:val="20"/>
        </w:trPr>
        <w:tc>
          <w:tcPr>
            <w:tcW w:w="136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80" w:type="dxa"/>
            <w:vAlign w:val="bottom"/>
            <w:gridSpan w:val="20"/>
          </w:tcPr>
          <w:p>
            <w:pPr>
              <w:spacing w:after="0"/>
              <w:rPr>
                <w:sz w:val="20"/>
                <w:szCs w:val="20"/>
                <w:color w:val="auto"/>
              </w:rPr>
            </w:pPr>
            <w:r>
              <w:rPr>
                <w:rFonts w:ascii="Arial" w:cs="Arial" w:eastAsia="Arial" w:hAnsi="Arial"/>
                <w:sz w:val="18"/>
                <w:szCs w:val="18"/>
                <w:color w:val="auto"/>
                <w:w w:val="92"/>
              </w:rPr>
              <w:t>XBRL Instance Document–The instance document does not appear in the interactive data file because its XBRL tags are embedded</w:t>
            </w: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80" w:type="dxa"/>
            <w:vAlign w:val="bottom"/>
            <w:gridSpan w:val="20"/>
          </w:tcPr>
          <w:p>
            <w:pPr>
              <w:spacing w:after="0"/>
              <w:rPr>
                <w:sz w:val="20"/>
                <w:szCs w:val="20"/>
                <w:color w:val="auto"/>
              </w:rPr>
            </w:pPr>
            <w:r>
              <w:rPr>
                <w:rFonts w:ascii="Arial" w:cs="Arial" w:eastAsia="Arial" w:hAnsi="Arial"/>
                <w:sz w:val="18"/>
                <w:szCs w:val="18"/>
                <w:color w:val="auto"/>
              </w:rPr>
              <w:t>within the Inline XBRL document.</w:t>
            </w:r>
          </w:p>
        </w:tc>
      </w:tr>
      <w:tr>
        <w:trPr>
          <w:trHeight w:val="296"/>
        </w:trPr>
        <w:tc>
          <w:tcPr>
            <w:tcW w:w="13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13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3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97"/>
        </w:trPr>
        <w:tc>
          <w:tcPr>
            <w:tcW w:w="13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8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3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8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380" w:right="240" w:hanging="1354"/>
        <w:spacing w:after="0" w:line="246"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WESTLAKE CHEMICAL PARTNERS LP</w:t>
      </w:r>
    </w:p>
    <w:p>
      <w:pPr>
        <w:spacing w:after="0" w:line="243" w:lineRule="exact"/>
        <w:rPr>
          <w:sz w:val="20"/>
          <w:szCs w:val="20"/>
          <w:color w:val="auto"/>
        </w:rPr>
      </w:pPr>
    </w:p>
    <w:p>
      <w:pPr>
        <w:ind w:left="20"/>
        <w:spacing w:after="0"/>
        <w:tabs>
          <w:tab w:leader="none" w:pos="640" w:val="left"/>
          <w:tab w:leader="none" w:pos="6160" w:val="left"/>
          <w:tab w:leader="none" w:pos="8240" w:val="left"/>
          <w:tab w:leader="none" w:pos="860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03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2803525" cy="8890"/>
                    </a:xfrm>
                    <a:prstGeom prst="rect">
                      <a:avLst/>
                    </a:prstGeom>
                    <a:noFill/>
                  </pic:spPr>
                </pic:pic>
              </a:graphicData>
            </a:graphic>
          </wp:anchor>
        </w:drawing>
      </w:r>
    </w:p>
    <w:p>
      <w:pPr>
        <w:spacing w:after="0" w:line="21"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Albert Chao</w:t>
      </w:r>
    </w:p>
    <w:p>
      <w:pPr>
        <w:spacing w:after="0" w:line="28" w:lineRule="exact"/>
        <w:rPr>
          <w:sz w:val="20"/>
          <w:szCs w:val="20"/>
          <w:color w:val="auto"/>
        </w:rPr>
      </w:pPr>
    </w:p>
    <w:p>
      <w:pPr>
        <w:ind w:left="7580"/>
        <w:spacing w:after="0"/>
        <w:rPr>
          <w:sz w:val="20"/>
          <w:szCs w:val="20"/>
          <w:color w:val="auto"/>
        </w:rPr>
      </w:pPr>
      <w:r>
        <w:rPr>
          <w:rFonts w:ascii="Arial" w:cs="Arial" w:eastAsia="Arial" w:hAnsi="Arial"/>
          <w:sz w:val="13"/>
          <w:szCs w:val="13"/>
          <w:b w:val="1"/>
          <w:bCs w:val="1"/>
          <w:color w:val="auto"/>
        </w:rPr>
        <w:t>President, Chief Executive Officer and Director of</w:t>
      </w:r>
    </w:p>
    <w:p>
      <w:pPr>
        <w:spacing w:after="0" w:line="3"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6980"/>
        <w:spacing w:after="0"/>
        <w:rPr>
          <w:sz w:val="20"/>
          <w:szCs w:val="20"/>
          <w:color w:val="auto"/>
        </w:rPr>
      </w:pPr>
      <w:r>
        <w:rPr>
          <w:rFonts w:ascii="Arial" w:cs="Arial" w:eastAsia="Arial" w:hAnsi="Arial"/>
          <w:sz w:val="14"/>
          <w:szCs w:val="14"/>
          <w:b w:val="1"/>
          <w:bCs w:val="1"/>
          <w:color w:val="auto"/>
        </w:rPr>
        <w:t>(Principal Executive Officer)</w:t>
      </w:r>
    </w:p>
    <w:p>
      <w:pPr>
        <w:spacing w:after="0" w:line="290" w:lineRule="exact"/>
        <w:rPr>
          <w:sz w:val="20"/>
          <w:szCs w:val="20"/>
          <w:color w:val="auto"/>
        </w:rPr>
      </w:pPr>
    </w:p>
    <w:p>
      <w:pPr>
        <w:ind w:left="20"/>
        <w:spacing w:after="0"/>
        <w:tabs>
          <w:tab w:leader="none" w:pos="640" w:val="left"/>
          <w:tab w:leader="none" w:pos="6160" w:val="left"/>
          <w:tab w:leader="none" w:pos="8040" w:val="left"/>
          <w:tab w:leader="none" w:pos="840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03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2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980"/>
        <w:spacing w:after="0" w:line="22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8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60"/>
          </w:cols>
          <w:pgMar w:left="320" w:top="121" w:right="8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44" w:lineRule="exact"/>
        <w:rPr>
          <w:sz w:val="20"/>
          <w:szCs w:val="20"/>
          <w:color w:val="auto"/>
        </w:rPr>
      </w:pPr>
    </w:p>
    <w:p>
      <w:pPr>
        <w:ind w:left="700" w:hanging="6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 (the "registrant");</w:t>
      </w:r>
    </w:p>
    <w:p>
      <w:pPr>
        <w:spacing w:after="0" w:line="157" w:lineRule="exact"/>
        <w:rPr>
          <w:rFonts w:ascii="Arial" w:cs="Arial" w:eastAsia="Arial" w:hAnsi="Arial"/>
          <w:sz w:val="18"/>
          <w:szCs w:val="18"/>
          <w:color w:val="auto"/>
        </w:rPr>
      </w:pPr>
    </w:p>
    <w:p>
      <w:pPr>
        <w:jc w:val="both"/>
        <w:ind w:left="700" w:right="80" w:hanging="674"/>
        <w:spacing w:after="0" w:line="229"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7" w:lineRule="exact"/>
        <w:rPr>
          <w:rFonts w:ascii="Arial" w:cs="Arial" w:eastAsia="Arial" w:hAnsi="Arial"/>
          <w:sz w:val="18"/>
          <w:szCs w:val="18"/>
          <w:color w:val="auto"/>
        </w:rPr>
      </w:pPr>
    </w:p>
    <w:p>
      <w:pPr>
        <w:ind w:left="700" w:right="40" w:hanging="674"/>
        <w:spacing w:after="0" w:line="258"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700" w:right="80" w:hanging="674"/>
        <w:spacing w:after="0" w:line="229"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8"/>
          <w:szCs w:val="18"/>
          <w:color w:val="auto"/>
        </w:rPr>
      </w:pPr>
    </w:p>
    <w:p>
      <w:pPr>
        <w:ind w:left="1360" w:right="60" w:hanging="665"/>
        <w:spacing w:after="0" w:line="229"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8"/>
          <w:szCs w:val="18"/>
          <w:color w:val="auto"/>
        </w:rPr>
      </w:pPr>
    </w:p>
    <w:p>
      <w:pPr>
        <w:ind w:left="1360" w:right="100" w:hanging="665"/>
        <w:spacing w:after="0" w:line="224"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360" w:right="140" w:hanging="665"/>
        <w:spacing w:after="0" w:line="289"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60" w:right="220" w:hanging="665"/>
        <w:spacing w:after="0" w:line="229"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700" w:right="240" w:hanging="674"/>
        <w:spacing w:after="0" w:line="289"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60" w:right="440" w:hanging="665"/>
        <w:spacing w:after="0" w:line="289"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60" w:right="140" w:hanging="665"/>
        <w:spacing w:after="0" w:line="235"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640" w:val="left"/>
          <w:tab w:leader="none" w:pos="8240" w:val="left"/>
          <w:tab w:leader="none" w:pos="860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03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2803525" cy="8890"/>
                    </a:xfrm>
                    <a:prstGeom prst="rect">
                      <a:avLst/>
                    </a:prstGeom>
                    <a:noFill/>
                  </pic:spPr>
                </pic:pic>
              </a:graphicData>
            </a:graphic>
          </wp:anchor>
        </w:drawing>
      </w:r>
    </w:p>
    <w:p>
      <w:pPr>
        <w:spacing w:after="0" w:line="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40"/>
        <w:spacing w:after="0" w:line="206" w:lineRule="auto"/>
        <w:rPr>
          <w:sz w:val="20"/>
          <w:szCs w:val="20"/>
          <w:color w:val="auto"/>
        </w:rPr>
      </w:pPr>
      <w:r>
        <w:rPr>
          <w:rFonts w:ascii="Arial" w:cs="Arial" w:eastAsia="Arial" w:hAnsi="Arial"/>
          <w:sz w:val="14"/>
          <w:szCs w:val="14"/>
          <w:b w:val="1"/>
          <w:bCs w:val="1"/>
          <w:color w:val="auto"/>
        </w:rPr>
        <w:t>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44" w:lineRule="exact"/>
        <w:rPr>
          <w:sz w:val="20"/>
          <w:szCs w:val="20"/>
          <w:color w:val="auto"/>
        </w:rPr>
      </w:pPr>
    </w:p>
    <w:p>
      <w:pPr>
        <w:ind w:left="700" w:hanging="6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 (the "registrant");</w:t>
      </w:r>
    </w:p>
    <w:p>
      <w:pPr>
        <w:spacing w:after="0" w:line="157" w:lineRule="exact"/>
        <w:rPr>
          <w:rFonts w:ascii="Arial" w:cs="Arial" w:eastAsia="Arial" w:hAnsi="Arial"/>
          <w:sz w:val="18"/>
          <w:szCs w:val="18"/>
          <w:color w:val="auto"/>
        </w:rPr>
      </w:pPr>
    </w:p>
    <w:p>
      <w:pPr>
        <w:jc w:val="both"/>
        <w:ind w:left="700" w:right="80" w:hanging="674"/>
        <w:spacing w:after="0" w:line="22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7" w:lineRule="exact"/>
        <w:rPr>
          <w:rFonts w:ascii="Arial" w:cs="Arial" w:eastAsia="Arial" w:hAnsi="Arial"/>
          <w:sz w:val="18"/>
          <w:szCs w:val="18"/>
          <w:color w:val="auto"/>
        </w:rPr>
      </w:pPr>
    </w:p>
    <w:p>
      <w:pPr>
        <w:ind w:left="700" w:right="40" w:hanging="674"/>
        <w:spacing w:after="0" w:line="258"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700" w:right="80" w:hanging="674"/>
        <w:spacing w:after="0" w:line="22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8"/>
          <w:szCs w:val="18"/>
          <w:color w:val="auto"/>
        </w:rPr>
      </w:pPr>
    </w:p>
    <w:p>
      <w:pPr>
        <w:ind w:left="1360" w:right="60" w:hanging="665"/>
        <w:spacing w:after="0" w:line="229"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8"/>
          <w:szCs w:val="18"/>
          <w:color w:val="auto"/>
        </w:rPr>
      </w:pPr>
    </w:p>
    <w:p>
      <w:pPr>
        <w:ind w:left="1360" w:right="100" w:hanging="665"/>
        <w:spacing w:after="0" w:line="224"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360" w:right="140" w:hanging="665"/>
        <w:spacing w:after="0" w:line="289"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60" w:right="220" w:hanging="665"/>
        <w:spacing w:after="0" w:line="229"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700" w:right="240" w:hanging="674"/>
        <w:spacing w:after="0" w:line="289"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60" w:right="440" w:hanging="665"/>
        <w:spacing w:after="0" w:line="289" w:lineRule="auto"/>
        <w:tabs>
          <w:tab w:leader="none" w:pos="13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60" w:right="140" w:hanging="665"/>
        <w:spacing w:after="0" w:line="235"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640" w:val="left"/>
          <w:tab w:leader="none" w:pos="824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03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803525" cy="8890"/>
                    </a:xfrm>
                    <a:prstGeom prst="rect">
                      <a:avLst/>
                    </a:prstGeom>
                    <a:noFill/>
                  </pic:spPr>
                </pic:pic>
              </a:graphicData>
            </a:graphic>
          </wp:anchor>
        </w:drawing>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120"/>
        <w:spacing w:after="0"/>
        <w:rPr>
          <w:sz w:val="20"/>
          <w:szCs w:val="20"/>
          <w:color w:val="auto"/>
        </w:rPr>
      </w:pPr>
      <w:r>
        <w:rPr>
          <w:rFonts w:ascii="Arial" w:cs="Arial" w:eastAsia="Arial" w:hAnsi="Arial"/>
          <w:sz w:val="13"/>
          <w:szCs w:val="13"/>
          <w:b w:val="1"/>
          <w:bCs w:val="1"/>
          <w:color w:val="auto"/>
        </w:rPr>
        <w:t>Executive Vice President, Chief Financial Officer and Director of</w:t>
      </w:r>
    </w:p>
    <w:p>
      <w:pPr>
        <w:jc w:val="center"/>
        <w:ind w:left="6940"/>
        <w:spacing w:after="0" w:line="223" w:lineRule="auto"/>
        <w:rPr>
          <w:sz w:val="20"/>
          <w:szCs w:val="20"/>
          <w:color w:val="auto"/>
        </w:rPr>
      </w:pPr>
      <w:r>
        <w:rPr>
          <w:rFonts w:ascii="Arial" w:cs="Arial" w:eastAsia="Arial" w:hAnsi="Arial"/>
          <w:sz w:val="14"/>
          <w:szCs w:val="14"/>
          <w:b w:val="1"/>
          <w:bCs w:val="1"/>
          <w:color w:val="auto"/>
        </w:rPr>
        <w:t>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46"/>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June 30, 2023 as filed with the Securities and Exchange Commission on the date hereof (the "Report"), I, Albert Chao,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80" w:hanging="329"/>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640" w:val="left"/>
          <w:tab w:leader="none" w:pos="8240" w:val="left"/>
          <w:tab w:leader="none" w:pos="860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03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21"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Albert Chao</w:t>
      </w:r>
    </w:p>
    <w:p>
      <w:pPr>
        <w:spacing w:after="0" w:line="3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Executive Officer)</w:t>
      </w:r>
    </w:p>
    <w:p>
      <w:pPr>
        <w:spacing w:after="0" w:line="331" w:lineRule="exact"/>
        <w:rPr>
          <w:sz w:val="20"/>
          <w:szCs w:val="20"/>
          <w:color w:val="auto"/>
        </w:rPr>
      </w:pPr>
    </w:p>
    <w:p>
      <w:pPr>
        <w:ind w:left="20"/>
        <w:spacing w:after="0"/>
        <w:tabs>
          <w:tab w:leader="none" w:pos="640" w:val="left"/>
          <w:tab w:leader="none" w:pos="8020" w:val="left"/>
          <w:tab w:leader="none" w:pos="838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03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2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32"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44" Type="http://schemas.openxmlformats.org/officeDocument/2006/relationships/hyperlink" Target="http://www.sec.gov/Archives/edgar/data/1604665/000119312514164760/d715499dex31.htm" TargetMode="External"/><Relationship Id="rId45" Type="http://schemas.openxmlformats.org/officeDocument/2006/relationships/hyperlink" Target="http://www.sec.gov/Archives/edgar/data/1604665/000119312514303305/d756630dex31.htm" TargetMode="External"/><Relationship Id="rId46" Type="http://schemas.openxmlformats.org/officeDocument/2006/relationships/hyperlink" Target="http://www.sec.gov/Archives/edgar/data/1604665/000119312517345554/d493400dex31.htm" TargetMode="External"/><Relationship Id="rId47" Type="http://schemas.openxmlformats.org/officeDocument/2006/relationships/hyperlink" Target="http://www.sec.gov/Archives/edgar/data/1604665/000119312518231463/d583758dex31.htm" TargetMode="External"/><Relationship Id="rId48" Type="http://schemas.openxmlformats.org/officeDocument/2006/relationships/hyperlink" Target="http://www.sec.gov/Archives/edgar/data/1604665/000119312514303305/d756630dex107.htm" TargetMode="External"/><Relationship Id="rId49" Type="http://schemas.openxmlformats.org/officeDocument/2006/relationships/hyperlink" Target="http://www.sec.gov/Archives/edgar/data/1604665/000160466518000007/ex34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2023-08-03T14:18:20Z</dcterms:created>
  <dcterms:modified xsi:type="dcterms:W3CDTF">2023-08-03T14:18:20Z</dcterms:modified>
</cp:coreProperties>
</file>