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111760</wp:posOffset>
            </wp:positionV>
            <wp:extent cx="33686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139065</wp:posOffset>
            </wp:positionV>
            <wp:extent cx="33686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393" w:lineRule="exact"/>
        <w:rPr>
          <w:sz w:val="24"/>
          <w:szCs w:val="24"/>
          <w:color w:val="auto"/>
        </w:rPr>
      </w:pPr>
    </w:p>
    <w:p>
      <w:pPr>
        <w:ind w:left="700" w:hanging="654"/>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700"/>
        <w:spacing w:after="0"/>
        <w:tabs>
          <w:tab w:leader="none" w:pos="3780" w:val="left"/>
        </w:tabs>
        <w:rPr>
          <w:sz w:val="20"/>
          <w:szCs w:val="20"/>
          <w:color w:val="auto"/>
        </w:rPr>
      </w:pPr>
      <w:r>
        <w:rPr>
          <w:rFonts w:ascii="Times New Roman" w:cs="Times New Roman" w:eastAsia="Times New Roman" w:hAnsi="Times New Roman"/>
          <w:sz w:val="18"/>
          <w:szCs w:val="18"/>
          <w:b w:val="1"/>
          <w:bCs w:val="1"/>
          <w:color w:val="auto"/>
        </w:rPr>
        <w:t>For the Fiscal Year Ended</w:t>
      </w:r>
      <w:r>
        <w:rPr>
          <w:sz w:val="20"/>
          <w:szCs w:val="20"/>
          <w:color w:val="auto"/>
        </w:rPr>
        <w:tab/>
      </w:r>
      <w:r>
        <w:rPr>
          <w:rFonts w:ascii="Times New Roman" w:cs="Times New Roman" w:eastAsia="Times New Roman" w:hAnsi="Times New Roman"/>
          <w:sz w:val="18"/>
          <w:szCs w:val="18"/>
          <w:b w:val="1"/>
          <w:bCs w:val="1"/>
          <w:color w:val="auto"/>
        </w:rPr>
        <w:t>December 31, 2024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680" w:hanging="641"/>
        <w:spacing w:after="0" w:line="199" w:lineRule="auto"/>
        <w:tabs>
          <w:tab w:leader="none" w:pos="680" w:val="left"/>
        </w:tabs>
        <w:numPr>
          <w:ilvl w:val="0"/>
          <w:numId w:val="2"/>
        </w:numPr>
        <w:rPr>
          <w:rFonts w:ascii="MS PGothic" w:cs="MS PGothic" w:eastAsia="MS PGothic" w:hAnsi="MS PGothic"/>
          <w:sz w:val="7"/>
          <w:szCs w:val="7"/>
          <w:color w:val="auto"/>
        </w:rPr>
      </w:pPr>
      <w:r>
        <w:rPr>
          <w:rFonts w:ascii="Times New Roman" w:cs="Times New Roman" w:eastAsia="Times New Roman" w:hAnsi="Times New Roman"/>
          <w:sz w:val="7"/>
          <w:szCs w:val="7"/>
          <w:b w:val="1"/>
          <w:bCs w:val="1"/>
          <w:color w:val="auto"/>
        </w:rPr>
        <w:t>TRANSITION REPORT PURSUANT TO SECTION 13 OR 15(d) OF THE SECURITIES EXCHANGE ACT OF 1934</w:t>
      </w:r>
    </w:p>
    <w:p>
      <w:pPr>
        <w:spacing w:after="0" w:line="212" w:lineRule="exact"/>
        <w:rPr>
          <w:sz w:val="24"/>
          <w:szCs w:val="24"/>
          <w:color w:val="auto"/>
        </w:rPr>
      </w:pPr>
    </w:p>
    <w:p>
      <w:pPr>
        <w:ind w:left="680"/>
        <w:spacing w:after="0"/>
        <w:tabs>
          <w:tab w:leader="none" w:pos="3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148590</wp:posOffset>
            </wp:positionV>
            <wp:extent cx="33686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47625</wp:posOffset>
            </wp:positionV>
            <wp:extent cx="33686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35" w:lineRule="exact"/>
        <w:rPr>
          <w:sz w:val="24"/>
          <w:szCs w:val="24"/>
          <w:color w:val="auto"/>
        </w:rPr>
      </w:pPr>
    </w:p>
    <w:tbl>
      <w:tblPr>
        <w:tblLayout w:type="fixed"/>
        <w:tblInd w:w="50" w:type="dxa"/>
        <w:tblCellMar>
          <w:top w:w="0" w:type="dxa"/>
          <w:left w:w="0" w:type="dxa"/>
          <w:bottom w:w="0" w:type="dxa"/>
          <w:right w:w="0" w:type="dxa"/>
        </w:tblCellMar>
      </w:tblPr>
      <w:tr>
        <w:trPr>
          <w:trHeight w:val="227"/>
        </w:trPr>
        <w:tc>
          <w:tcPr>
            <w:tcW w:w="3740" w:type="dxa"/>
            <w:vAlign w:val="bottom"/>
            <w:gridSpan w:val="3"/>
          </w:tcPr>
          <w:p>
            <w:pPr>
              <w:jc w:val="center"/>
              <w:ind w:left="16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gridSpan w:val="2"/>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8"/>
              </w:rPr>
              <w:t>32-0436529</w:t>
            </w:r>
          </w:p>
        </w:tc>
        <w:tc>
          <w:tcPr>
            <w:tcW w:w="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740" w:type="dxa"/>
            <w:vAlign w:val="bottom"/>
            <w:gridSpan w:val="3"/>
          </w:tcPr>
          <w:p>
            <w:pPr>
              <w:jc w:val="center"/>
              <w:ind w:left="161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40" w:type="dxa"/>
            <w:vAlign w:val="bottom"/>
            <w:gridSpan w:val="3"/>
          </w:tcPr>
          <w:p>
            <w:pPr>
              <w:jc w:val="center"/>
              <w:ind w:left="161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jc w:val="center"/>
              <w:ind w:left="758"/>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gridSpan w:val="2"/>
          </w:tcPr>
          <w:p>
            <w:pPr>
              <w:spacing w:after="0"/>
              <w:rPr>
                <w:sz w:val="11"/>
                <w:szCs w:val="11"/>
                <w:color w:val="auto"/>
              </w:rPr>
            </w:pPr>
          </w:p>
        </w:tc>
        <w:tc>
          <w:tcPr>
            <w:tcW w:w="1660" w:type="dxa"/>
            <w:vAlign w:val="bottom"/>
            <w:tcBorders>
              <w:bottom w:val="single" w:sz="8" w:color="auto"/>
            </w:tcBorders>
            <w:gridSpan w:val="2"/>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Borders>
              <w:bottom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80" w:type="dxa"/>
            <w:vAlign w:val="bottom"/>
            <w:tcBorders>
              <w:bottom w:val="single" w:sz="8" w:color="auto"/>
            </w:tcBorders>
          </w:tcPr>
          <w:p>
            <w:pPr>
              <w:spacing w:after="0"/>
              <w:rPr>
                <w:sz w:val="16"/>
                <w:szCs w:val="16"/>
                <w:color w:val="auto"/>
              </w:rPr>
            </w:pPr>
          </w:p>
        </w:tc>
        <w:tc>
          <w:tcPr>
            <w:tcW w:w="3740" w:type="dxa"/>
            <w:vAlign w:val="bottom"/>
            <w:tcBorders>
              <w:bottom w:val="single" w:sz="8" w:color="auto"/>
              <w:right w:val="single" w:sz="8" w:color="auto"/>
            </w:tcBorders>
            <w:gridSpan w:val="4"/>
          </w:tcPr>
          <w:p>
            <w:pPr>
              <w:jc w:val="center"/>
              <w:ind w:right="81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jc w:val="center"/>
              <w:ind w:right="438"/>
              <w:spacing w:after="0" w:line="176" w:lineRule="exact"/>
              <w:rPr>
                <w:sz w:val="20"/>
                <w:szCs w:val="20"/>
                <w:color w:val="auto"/>
              </w:rPr>
            </w:pPr>
            <w:r>
              <w:rPr>
                <w:rFonts w:ascii="Times New Roman" w:cs="Times New Roman" w:eastAsia="Times New Roman" w:hAnsi="Times New Roman"/>
                <w:sz w:val="18"/>
                <w:szCs w:val="18"/>
                <w:b w:val="1"/>
                <w:bCs w:val="1"/>
                <w:color w:val="auto"/>
              </w:rPr>
              <w:t>WLKP</w:t>
            </w:r>
          </w:p>
        </w:tc>
        <w:tc>
          <w:tcPr>
            <w:tcW w:w="880" w:type="dxa"/>
            <w:vAlign w:val="bottom"/>
          </w:tcPr>
          <w:p>
            <w:pPr>
              <w:spacing w:after="0"/>
              <w:rPr>
                <w:sz w:val="15"/>
                <w:szCs w:val="15"/>
                <w:color w:val="auto"/>
              </w:rPr>
            </w:pPr>
          </w:p>
        </w:tc>
        <w:tc>
          <w:tcPr>
            <w:tcW w:w="3740" w:type="dxa"/>
            <w:vAlign w:val="bottom"/>
            <w:tcBorders>
              <w:right w:val="single" w:sz="8" w:color="auto"/>
            </w:tcBorders>
            <w:gridSpan w:val="4"/>
          </w:tcPr>
          <w:p>
            <w:pPr>
              <w:jc w:val="center"/>
              <w:ind w:right="8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41"/>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partner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940" w:type="dxa"/>
            <w:vAlign w:val="bottom"/>
          </w:tcPr>
          <w:p>
            <w:pPr>
              <w:spacing w:after="0"/>
              <w:rPr>
                <w:sz w:val="24"/>
                <w:szCs w:val="24"/>
                <w:color w:val="auto"/>
              </w:rPr>
            </w:pPr>
          </w:p>
        </w:tc>
        <w:tc>
          <w:tcPr>
            <w:tcW w:w="604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5300" w:type="dxa"/>
            <w:vAlign w:val="bottom"/>
            <w:tcBorders>
              <w:bottom w:val="single" w:sz="8" w:color="auto"/>
            </w:tcBorders>
            <w:gridSpan w:val="5"/>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5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3"/>
        </w:trPr>
        <w:tc>
          <w:tcPr>
            <w:tcW w:w="898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8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5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6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firstLine="40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16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36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4"/>
          <w:szCs w:val="24"/>
          <w:color w:val="auto"/>
        </w:rPr>
      </w:pPr>
    </w:p>
    <w:p>
      <w:pPr>
        <w:ind w:left="420"/>
        <w:spacing w:after="0" w:line="207" w:lineRule="exact"/>
        <w:tabs>
          <w:tab w:leader="none" w:pos="7980" w:val="left"/>
          <w:tab w:leader="none" w:pos="8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0" w:gutter="0" w:footer="0" w:header="0"/>
        </w:sectPr>
      </w:pPr>
    </w:p>
    <w:bookmarkStart w:id="1" w:name="page2"/>
    <w:bookmarkEnd w:id="1"/>
    <w:p>
      <w:pPr>
        <w:ind w:firstLine="405"/>
        <w:spacing w:after="0" w:line="258" w:lineRule="auto"/>
        <w:rPr>
          <w:sz w:val="20"/>
          <w:szCs w:val="20"/>
          <w:color w:val="auto"/>
        </w:rPr>
      </w:pPr>
      <w:r>
        <w:rPr>
          <w:rFonts w:ascii="Times New Roman" w:cs="Times New Roman" w:eastAsia="Times New Roman" w:hAnsi="Times New Roman"/>
          <w:sz w:val="18"/>
          <w:szCs w:val="18"/>
          <w:color w:val="auto"/>
        </w:rPr>
        <w:t>The aggregate market value of registrant's common units held by non-affiliates of the registrant on June 30, 2024, the end of the registrant's most recently completed second fiscal quarter, based on the closing price on June 28, 2024 of $22.58 on the New York Stock Exchange, was approximately $434.9 million. Common units held by executive officers and directors of the registrant's general partner and its affiliates are not included in the computation. The registrant, solely for the purpose of this required presentation, has deemed the directors and executive officers of its general partner and those of its affiliates to be affiliates.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registrant had 35,238,556 common units outstanding as of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60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9"/>
        </w:trPr>
        <w:tc>
          <w:tcPr>
            <w:tcW w:w="7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Item</w:t>
            </w:r>
          </w:p>
        </w:tc>
        <w:tc>
          <w:tcPr>
            <w:tcW w:w="9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 w:type="dxa"/>
            <w:vAlign w:val="bottom"/>
            <w:vMerge w:val="continue"/>
          </w:tcPr>
          <w:p>
            <w:pPr>
              <w:spacing w:after="0"/>
              <w:rPr>
                <w:sz w:val="18"/>
                <w:szCs w:val="18"/>
                <w:color w:val="auto"/>
              </w:rPr>
            </w:pPr>
          </w:p>
        </w:tc>
        <w:tc>
          <w:tcPr>
            <w:tcW w:w="96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720" w:type="dxa"/>
            <w:vAlign w:val="bottom"/>
            <w:vMerge w:val="continue"/>
          </w:tcPr>
          <w:p>
            <w:pPr>
              <w:spacing w:after="0"/>
              <w:rPr>
                <w:sz w:val="24"/>
                <w:szCs w:val="24"/>
                <w:color w:val="auto"/>
              </w:rPr>
            </w:pPr>
          </w:p>
        </w:tc>
        <w:tc>
          <w:tcPr>
            <w:tcW w:w="9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1A)</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1B)</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1C)</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Cybersecurity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 w:type="dxa"/>
            <w:vAlign w:val="bottom"/>
          </w:tcPr>
          <w:p>
            <w:pPr>
              <w:spacing w:after="0"/>
              <w:rPr>
                <w:sz w:val="24"/>
                <w:szCs w:val="24"/>
                <w:color w:val="auto"/>
              </w:rPr>
            </w:pPr>
          </w:p>
        </w:tc>
        <w:tc>
          <w:tcPr>
            <w:tcW w:w="9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Equity Securities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7A)</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9A)</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9B)</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9C)</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 w:type="dxa"/>
            <w:vAlign w:val="bottom"/>
          </w:tcPr>
          <w:p>
            <w:pPr>
              <w:spacing w:after="0"/>
              <w:rPr>
                <w:sz w:val="24"/>
                <w:szCs w:val="24"/>
                <w:color w:val="auto"/>
              </w:rPr>
            </w:pPr>
          </w:p>
        </w:tc>
        <w:tc>
          <w:tcPr>
            <w:tcW w:w="9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 w:type="dxa"/>
            <w:vAlign w:val="bottom"/>
          </w:tcPr>
          <w:p>
            <w:pPr>
              <w:spacing w:after="0"/>
              <w:rPr>
                <w:sz w:val="24"/>
                <w:szCs w:val="24"/>
                <w:color w:val="auto"/>
              </w:rPr>
            </w:pPr>
          </w:p>
        </w:tc>
        <w:tc>
          <w:tcPr>
            <w:tcW w:w="9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10-K Summary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2"/>
        </w:trPr>
        <w:tc>
          <w:tcPr>
            <w:tcW w:w="72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Unless otherwise indicated, references in this Annual Report on Form 10-K (this "report") to "we," "our," "us" or like terms refer to Westlake Chemical Partners LP ("Westlake Chemical Partners LP" or the "Partnership"), Westlake Chemical OpCo LP ("OpCo") and Westlake Chemical OpCo GP LLC ("OpCo GP"). References to "Westlake" refer to Westlake Corporation and its consolidated subsidiaries other than the Partnership, OpCo GP and OpCo. Unless the context otherwise requires, references to our "board of directors" or our "directors" refer to the board of directors of our general partner and such board's directors, respectively.</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15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(such as the Petro 1 turnaround in the first quarter of 2025)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90"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"Part 1. Item 1A. Risk Factors" of this report and the following:</w:t>
      </w:r>
    </w:p>
    <w:p>
      <w:pPr>
        <w:spacing w:after="0" w:line="1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Westlake;</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76"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access to capital markets;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Industry and market data used throughout this report were obtained through internal research, surveys and studies conducted by unrelated third parties and publicly available industry and general publications.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Production Capacity</w:t>
      </w:r>
    </w:p>
    <w:p>
      <w:pPr>
        <w:spacing w:after="0" w:line="108"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7"/>
          <w:szCs w:val="17"/>
          <w:color w:val="auto"/>
        </w:rPr>
        <w:t>Unless we state otherwise, annual production capacity estimates used throughout this report represent rated capacity of the facilities at December 31, 2024.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We are a Delaware limited partnership formed by Westlake in March 2014 to operate, acquire and develop ethylene production facilities and related assets. On August 4, 2014, we completed our initial public offering (the "IPO") of 12,937,500 common units representing limited partner interests. In connection with the IPO, we acquired an initial 10.6% interest in OpCo and a 100% interest in OpCo GP, which is the general partner of OpCo. As of December 31, 2018, we had an aggregate 18.3% limited partner interest in OpCo.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business and operations are conducted through OpCo. Because we own OpCo's general partner, we have control over all of OpCo's assets and operations. As of December 31, 2024, Westlake held a 77.2% limited partner interest in OpCo and held a 40.1% limited partner interest in us (consisting of 14,122,230 common units), our general partner interest and our incentive distribution rights.</w:t>
      </w:r>
    </w:p>
    <w:p>
      <w:pPr>
        <w:spacing w:after="0" w:line="122"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OpCo's assets are comprised of three ethylene production facilities, which primarily convert ethane into ethylene and have an aggregate annual capacity of approximately 3.7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 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22.8% limited partner interest in OpCo.</w:t>
      </w:r>
    </w:p>
    <w:p>
      <w:pPr>
        <w:spacing w:after="0" w:line="13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10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Among other agreements entered into in connection with the closing of the IPO, OpCo entered into an ethylene sales agreement with Westlake with an initial term of 12 years,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ethane (and any other feedstocks) required for OpCo to produce ethylene under the Ethylene Sales Agreement (the "Feedstock Supply Agreement"). OpCo primarily uses ethane (a component of natural gas liquids, or NGLs) to produce ethylene.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Westlake Chemical Partners LP</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simplified diagram depicts our organizational structure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63590" cy="4697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Common Units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59.9 %</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 of Westlake:</w:t>
            </w:r>
          </w:p>
        </w:tc>
        <w:tc>
          <w:tcPr>
            <w:tcW w:w="1580" w:type="dxa"/>
            <w:vAlign w:val="bottom"/>
          </w:tcPr>
          <w:p>
            <w:pPr>
              <w:spacing w:after="0"/>
              <w:rPr>
                <w:sz w:val="19"/>
                <w:szCs w:val="19"/>
                <w:color w:val="auto"/>
              </w:rPr>
            </w:pPr>
          </w:p>
        </w:tc>
      </w:tr>
      <w:tr>
        <w:trPr>
          <w:trHeight w:val="230"/>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Units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r>
      <w:tr>
        <w:trPr>
          <w:trHeight w:val="230"/>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Non-Economic General Partner Interest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Incentive Distribution Rights </w:t>
            </w:r>
            <w:r>
              <w:rPr>
                <w:rFonts w:ascii="Times New Roman" w:cs="Times New Roman" w:eastAsia="Times New Roman" w:hAnsi="Times New Roman"/>
                <w:sz w:val="23"/>
                <w:szCs w:val="23"/>
                <w:color w:val="auto"/>
                <w:vertAlign w:val="superscript"/>
              </w:rPr>
              <w:t>(1)</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4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9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20" w:right="20" w:hanging="412"/>
        <w:spacing w:after="0" w:line="282" w:lineRule="auto"/>
        <w:tabs>
          <w:tab w:leader="none" w:pos="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Assets and Operations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sole revenue generating asset is our 22.8% limited partner interest in OpCo. We also own the general partner interest of OpCo. OpCo owns:</w:t>
      </w:r>
    </w:p>
    <w:p>
      <w:pPr>
        <w:spacing w:after="0" w:line="104" w:lineRule="exact"/>
        <w:rPr>
          <w:sz w:val="20"/>
          <w:szCs w:val="20"/>
          <w:color w:val="auto"/>
        </w:rPr>
      </w:pPr>
    </w:p>
    <w:p>
      <w:pPr>
        <w:ind w:left="660" w:right="3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ethylene production facilities at Westlake's Lake Charles, Louisiana site ("Petro 1" and "Petro 2," collectively referred to as "Lake Charles Olefins"), with an annual combined capacity of approximately 3.0 billion pounds;</w:t>
      </w:r>
    </w:p>
    <w:p>
      <w:pPr>
        <w:spacing w:after="0" w:line="4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ethylene production facility at Westlake's Calvert City, Kentucky site ("Calvert City Olefins"), with an annual capacity of approximately 730 million pounds; and</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200-mile common carrier ethylene pipeline that runs from Mont Belvieu, Texas to the Longview, Texas chemical site, which includes Westlake's Longview PE production facility (the "Longview Pipeline").</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the owner of the general partner interest of OpCo, we control all aspects of the management of OpCo, including its cash distribution policy. See "—OpCo's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OpCo's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Production Facilities</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OpCo operates three ethylene production facilities that are situated on real property leased to OpCo by Westlake pursuant to 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regarding OpCo's ethylene production facilities as of December 31,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1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right"/>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Uses of</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Plant Location (Description)</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(millions of</w:t>
            </w:r>
          </w:p>
        </w:tc>
        <w:tc>
          <w:tcPr>
            <w:tcW w:w="100" w:type="dxa"/>
            <w:vAlign w:val="bottom"/>
          </w:tcPr>
          <w:p>
            <w:pPr>
              <w:spacing w:after="0"/>
              <w:rPr>
                <w:sz w:val="12"/>
                <w:szCs w:val="12"/>
                <w:color w:val="auto"/>
              </w:rPr>
            </w:pPr>
          </w:p>
        </w:tc>
        <w:tc>
          <w:tcPr>
            <w:tcW w:w="3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Feedstock</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36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pounds)</w:t>
            </w:r>
          </w:p>
        </w:tc>
        <w:tc>
          <w:tcPr>
            <w:tcW w:w="100" w:type="dxa"/>
            <w:vAlign w:val="bottom"/>
          </w:tcPr>
          <w:p>
            <w:pPr>
              <w:spacing w:after="0"/>
              <w:rPr>
                <w:sz w:val="16"/>
                <w:szCs w:val="16"/>
                <w:color w:val="auto"/>
              </w:rPr>
            </w:pPr>
          </w:p>
        </w:tc>
        <w:tc>
          <w:tcPr>
            <w:tcW w:w="38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Ethylene</w:t>
            </w:r>
          </w:p>
        </w:tc>
        <w:tc>
          <w:tcPr>
            <w:tcW w:w="0" w:type="dxa"/>
            <w:vAlign w:val="bottom"/>
          </w:tcPr>
          <w:p>
            <w:pPr>
              <w:spacing w:after="0"/>
              <w:rPr>
                <w:sz w:val="1"/>
                <w:szCs w:val="1"/>
                <w:color w:val="auto"/>
              </w:rPr>
            </w:pPr>
          </w:p>
        </w:tc>
      </w:tr>
      <w:tr>
        <w:trPr>
          <w:trHeight w:val="228"/>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 Charles, Louisiana (Petro 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Ethane</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and PVC</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Ethane, ethane/propane mix, propane,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Lake Charles, Louisiana (Petro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21"/>
                <w:szCs w:val="21"/>
                <w:color w:val="auto"/>
              </w:rPr>
            </w:pPr>
          </w:p>
        </w:tc>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butane or naphtha</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and PVC</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Calvert City, Kentucky (Calvert City Olefins)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Ethane or propane</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PVC</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Lake Charles Olefins</w:t>
      </w:r>
    </w:p>
    <w:p>
      <w:pPr>
        <w:spacing w:after="0" w:line="10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Two of OpCo's ethylene production facilities, which we refer to as Petro 1 and Petro 2 and, collectively, as Lake Charles Olefins, are located at Westlake's Lake Charles site. The combined capacity of these two ethylene production facilities is approximately 3.0 billion pounds per year.</w:t>
      </w:r>
    </w:p>
    <w:p>
      <w:pPr>
        <w:spacing w:after="0" w:line="10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Within Westlake's Lake Charles site, Petro 1 and Petro 2 are connected by pipeline systems to Westlake's polyethylene plants. Westlake may use the ethylene it purchases from OpCo at its Lake Charles facilities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2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addition, OpCo produces ethylene co-products including chemical grade propylene, crude butadiene, pyrolysis gasoline and hydrogen. OpCo sells its output of these co-products to external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Calvert City Olefins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One of OpCo's ethylene production facilities is located at Westlake's Calvert City site, which we refer to as Calvert City Olefins. The capacity of Calvert City Olefins is approximately 730 million pounds per year.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94"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has perpetual and paid-up licenses for steam cracking and process recovery technology used at its ethylene plants.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Agreements with Westlake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otherwise indicated, the agreements described below became effective on August 4, 2014, concurrent with the closing of the IPO.</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Sales Agreement</w:t>
      </w:r>
    </w:p>
    <w:p>
      <w:pPr>
        <w:spacing w:after="0" w:line="9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Westlake's purchase price for its minimum commitment of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purchases by Westlake are rebated to Westlake. Under specified circumstances, unrecovered costs may be carried forward for recovery in subsequent years. If OpCo's actual production is in excess of planned ethylene production, Westlake has the option to purchase up to 95% of production in excess of planned production. The price for the sale of such excess ethylene to Westlake is based on a formula similar to that used for the minimum purchase commitment, with the exception of certain fixed costs.</w:t>
      </w:r>
    </w:p>
    <w:p>
      <w:pPr>
        <w:spacing w:after="0" w:line="138"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(as described below), and not the Ethylene Sales Agreement.</w:t>
      </w:r>
    </w:p>
    <w:p>
      <w:pPr>
        <w:spacing w:after="0" w:line="12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the Partnership recognizes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 in which the force majeure event occurred.</w:t>
      </w:r>
    </w:p>
    <w:p>
      <w:pPr>
        <w:spacing w:after="0" w:line="13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12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94" w:lineRule="exact"/>
        <w:rPr>
          <w:sz w:val="20"/>
          <w:szCs w:val="20"/>
          <w:color w:val="auto"/>
        </w:rPr>
      </w:pPr>
    </w:p>
    <w:p>
      <w:pPr>
        <w:ind w:right="60" w:firstLine="405"/>
        <w:spacing w:after="0" w:line="281" w:lineRule="auto"/>
        <w:rPr>
          <w:sz w:val="20"/>
          <w:szCs w:val="20"/>
          <w:color w:val="auto"/>
        </w:rPr>
      </w:pPr>
      <w:r>
        <w:rPr>
          <w:rFonts w:ascii="Times New Roman" w:cs="Times New Roman" w:eastAsia="Times New Roman" w:hAnsi="Times New Roman"/>
          <w:sz w:val="17"/>
          <w:szCs w:val="17"/>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sells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OpCo and Westlake are parties to the Services and Secondment Agreement, pursuant to which OpCo provides Westlake with various utilities and utility services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Lease Agreements</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Westlake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Westlake's property or operations and provided that any assets that are not timely removed by OpCo will be deemed to have been surrendered to Westlake.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OpCo and Westlake are parties to an exchange agreement, which had an initial term through August 1, 2015 and continues on an annual basis unless and until terminated by either party. Under the exchange agreement, OpCo may require Westlake to deliver up to 200 million pounds of ethylene for OpCo per year from the Site Leases to an ethylene hub in Mont Belvieu, Texas, for which OpCo would be required to pay Westlake an exchange fee of $0.006 per pound.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10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On August 1, 2017, we, OpCo and Westlake executed an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See "Liquidity and Capital Resources" in Item 7. "Management's Discussion and Analysis of Financial Condition and Results of Operations" for a discussion of the Partnership's and OpCo's debt agreements with Westlake and "Interest Rate Risk" in Item 7A. "Quantitative and Qualitative Disclosures about Market Risk" for a discussion of the Partnership's interest rate contract with Westlake.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jurisdictions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increased operating costs. Pursuant to our arrangement with Westlake, Westlake will indemnify us for liabilities that occurred or existed (in connection with compliance with such laws and regulations) prior to August 4, 2014.</w:t>
      </w:r>
    </w:p>
    <w:p>
      <w:pPr>
        <w:spacing w:after="0" w:line="133"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It is our policy to comply with all environmental, health and safety requirements in the jurisdictions in which we and OpCo operate and to provide safe and environmentally sound workplaces for our employees. In some cases, compliance can be achieved only by incurring capital expenditures. In 2024, OpCo incurred capital expenditures of $3.5 million related to environmental compliance. We estimate that OpCo will make capital expenditures of approximately $3.6 million in 2025 and $3.6 million in 2026, respectively, related to environmental compliance. We anticipate that stringent environmental regulations will continue to be imposed on us and the industry in general. Under the Ethylene Sales Agreement, we may be entitled to charge Westlake a monthly surcharge as a result of complying with certain changes in law occurring after our IPO. See "Business—Our Agreements with Westlake—</w:t>
      </w:r>
      <w:r>
        <w:rPr>
          <w:rFonts w:ascii="Times New Roman" w:cs="Times New Roman" w:eastAsia="Times New Roman" w:hAnsi="Times New Roman"/>
          <w:sz w:val="18"/>
          <w:szCs w:val="18"/>
          <w:i w:val="1"/>
          <w:iCs w:val="1"/>
          <w:color w:val="auto"/>
        </w:rPr>
        <w:t>Ethylene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Although we cannot predict with certainty future expenditures, management believes that our current spending trends for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will continue.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Also, see the discussion of our environmental matters contained in "Item 1A. Risk Factors" and "Item 3. Legal Proceedings"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7"/>
          <w:szCs w:val="17"/>
          <w:color w:val="auto"/>
        </w:rPr>
        <w:t>Neither we nor OpCo has any employees. Under the Services and Secondment Agreement with Westlake, Westlake seconds employees to OpCo to allow OpCo to operate its facilities, and we sometimes refer to these individuals, for drafting convenience only, as our employees because they provide services directly to us. Such seconded employees are under OpCo's control while they work on OpCo's facilities. As of December 31, 2024, 153 employees of Westlake were seconded to OpCo. Of these, 25 are covered by collective bargaining agreements. On November 1, 2024, bargaining unit employees of Local Lodge No. 2781 of the International Association of Machinists and Aerospace Workers ("IAM") began a strike at our Calvert City, Kentucky, facility, after the IAM members, who work in the OpCo's ethylene facility and Westlake's chlorine units, did not accept Westlake's final offer for a new collective bargaining agreement. The ethylene unit continued to operate without disruption with the use of management and other salaried personnel. The strike ended on November 8, 2024, after the IAM accepted Westlake's offer for a new collective bargaining agreement, which will expire on November 9, 2029. Despite the recent strike, we believe that Westlake's relationship with local union officials and bargaining committees is open and positive. Westlake is responsible for human capital management policies, including any human capital measures and objectives that management focuses on in managing the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the ordinary conduct of our business, we and Westlake and our and Westlake's subsidiaries, including OpCo, are subject to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Due to the Ethylene Sales Agreement and integration with Westlake, OpCo does not directly compete with other ethylene producers for 95% of the planned volumes it produces. It is only on the 5% of planned ethylene volumes and any excess volumes not sold to Westlake where OpCo competes with other regional merchant ethylene producers, including LyondellBasell Industries, N.V., Shell Chemical Company, BASF Corporation and Motiva Enterprises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website address is www.wlkpartners.com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website content is available for information purposes only. It should not be relied upon for investment purposes, nor is it incorporated by reference in this Form 10-K. We make available on this website under "Investor Relations/SEC Filings," free of charge, our annual reports on Form 10-K, quarterly reports on Form 10-Q, current reports on Form 8-K and amendments to those materials as soon as reasonably practicable after we electronically file those materials with, or furnish those materials to, the Securities Exchange Commission (the "SEC"). The SEC also maintains a website at www.sec.gov that contains reports, proxy statements and other information regarding SEC registrants, including us.</w:t>
      </w:r>
    </w:p>
    <w:p>
      <w:pPr>
        <w:spacing w:after="0" w:line="13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Code of Ethics and any waiver from a provision of our Code of Ethics by posting such information on our website at www.wlkpartners.com under "Investor Relations/Corporate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Inherent in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Relationship with Westlake</w:t>
      </w:r>
    </w:p>
    <w:p>
      <w:pPr>
        <w:spacing w:after="0" w:line="214" w:lineRule="exact"/>
        <w:rPr>
          <w:sz w:val="20"/>
          <w:szCs w:val="20"/>
          <w:color w:val="auto"/>
        </w:rPr>
      </w:pPr>
    </w:p>
    <w:p>
      <w:pPr>
        <w:ind w:left="660" w:right="60" w:hanging="328"/>
        <w:spacing w:after="0" w:line="242"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23" w:lineRule="exact"/>
        <w:rPr>
          <w:rFonts w:ascii="Arial" w:cs="Arial" w:eastAsia="Arial" w:hAnsi="Arial"/>
          <w:sz w:val="22"/>
          <w:szCs w:val="22"/>
          <w:color w:val="auto"/>
        </w:rPr>
      </w:pPr>
    </w:p>
    <w:p>
      <w:pPr>
        <w:ind w:left="660" w:right="600" w:hanging="328"/>
        <w:spacing w:after="0" w:line="242"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OpCo is subject to the credit risk of Westlake on a substantial majority of its revenues, and Westlake's leverage and creditworthiness could adversely affect our ability to make distributions to our unitholders.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OpCo is a restricted subsidiary under certain indentures governing Westlake's senior notes.</w:t>
      </w:r>
    </w:p>
    <w:p>
      <w:pPr>
        <w:spacing w:after="0" w:line="2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ethylene sales price charged under the Ethylene Sales Agreement is designed to permit OpCo to cover the substantial majority of its operating costs, but not our public partnership, debt and other OpCo costs, which reduce our net operating profit.</w:t>
      </w:r>
    </w:p>
    <w:p>
      <w:pPr>
        <w:spacing w:after="0" w:line="24" w:lineRule="exact"/>
        <w:rPr>
          <w:rFonts w:ascii="Arial" w:cs="Arial" w:eastAsia="Arial" w:hAnsi="Arial"/>
          <w:sz w:val="22"/>
          <w:szCs w:val="22"/>
          <w:color w:val="auto"/>
        </w:rPr>
      </w:pPr>
    </w:p>
    <w:p>
      <w:pPr>
        <w:ind w:left="660" w:right="200" w:hanging="328"/>
        <w:spacing w:after="0" w:line="239"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24"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OpCo depends upon Westlake for numerous services and for its labor force.</w:t>
      </w:r>
    </w:p>
    <w:p>
      <w:pPr>
        <w:spacing w:after="0" w:line="35" w:lineRule="exact"/>
        <w:rPr>
          <w:rFonts w:ascii="Arial" w:cs="Arial" w:eastAsia="Arial" w:hAnsi="Arial"/>
          <w:sz w:val="22"/>
          <w:szCs w:val="22"/>
          <w:color w:val="auto"/>
        </w:rPr>
      </w:pPr>
    </w:p>
    <w:p>
      <w:pPr>
        <w:ind w:left="660" w:right="24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14" w:lineRule="exact"/>
        <w:rPr>
          <w:sz w:val="20"/>
          <w:szCs w:val="20"/>
          <w:color w:val="auto"/>
        </w:rPr>
      </w:pPr>
    </w:p>
    <w:p>
      <w:pPr>
        <w:ind w:left="660" w:right="140" w:hanging="328"/>
        <w:spacing w:after="0" w:line="23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0" w:lineRule="exact"/>
        <w:rPr>
          <w:rFonts w:ascii="Arial" w:cs="Arial" w:eastAsia="Arial" w:hAnsi="Arial"/>
          <w:sz w:val="22"/>
          <w:szCs w:val="22"/>
          <w:color w:val="auto"/>
        </w:rPr>
      </w:pPr>
    </w:p>
    <w:p>
      <w:pPr>
        <w:ind w:left="660" w:right="160" w:hanging="328"/>
        <w:spacing w:after="0" w:line="242"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8" w:lineRule="exact"/>
        <w:rPr>
          <w:rFonts w:ascii="Arial" w:cs="Arial" w:eastAsia="Arial" w:hAnsi="Arial"/>
          <w:sz w:val="22"/>
          <w:szCs w:val="22"/>
          <w:color w:val="auto"/>
        </w:rPr>
      </w:pPr>
    </w:p>
    <w:p>
      <w:pPr>
        <w:ind w:left="660" w:right="140" w:hanging="328"/>
        <w:spacing w:after="0" w:line="23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operations and assets are subject to climate-related risks and uncertainties.</w:t>
      </w:r>
    </w:p>
    <w:p>
      <w:pPr>
        <w:spacing w:after="0" w:line="12" w:lineRule="exact"/>
        <w:rPr>
          <w:rFonts w:ascii="Times New Roman" w:cs="Times New Roman" w:eastAsia="Times New Roman" w:hAnsi="Times New Roman"/>
          <w:sz w:val="22"/>
          <w:szCs w:val="22"/>
          <w:color w:val="auto"/>
        </w:rPr>
      </w:pPr>
    </w:p>
    <w:p>
      <w:pPr>
        <w:ind w:left="660" w:right="100" w:hanging="328"/>
        <w:spacing w:after="0" w:line="226"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Our variable-rate debt exposes us to increases in interest rates, which could have a material impact on our financial position, results of operation and cash flows, and could reduce the price at which our common units trade.</w:t>
      </w:r>
    </w:p>
    <w:p>
      <w:pPr>
        <w:spacing w:after="0" w:line="9" w:lineRule="exact"/>
        <w:rPr>
          <w:rFonts w:ascii="Arial" w:cs="Arial" w:eastAsia="Arial" w:hAnsi="Arial"/>
          <w:sz w:val="22"/>
          <w:szCs w:val="22"/>
          <w:color w:val="auto"/>
        </w:rPr>
      </w:pPr>
    </w:p>
    <w:p>
      <w:pPr>
        <w:ind w:left="660" w:right="200" w:hanging="328"/>
        <w:spacing w:after="0" w:line="227"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and effects of public health crises, pandemics and epidemics could materially adversely affect OpCo's business, financial condition and results of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Partnership Structure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w:t>
      </w:r>
    </w:p>
    <w:p>
      <w:pPr>
        <w:spacing w:after="0" w:line="214" w:lineRule="exact"/>
        <w:rPr>
          <w:sz w:val="20"/>
          <w:szCs w:val="20"/>
          <w:color w:val="auto"/>
        </w:rPr>
      </w:pPr>
    </w:p>
    <w:p>
      <w:pPr>
        <w:ind w:left="660" w:right="20" w:hanging="328"/>
        <w:spacing w:after="0" w:line="24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general partner has limited its liability regarding our obligations.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partnership agreement replaces our general partner's fiduciary duties to holders of our units.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Westlake and other affiliates of our general partner may compete with us.</w:t>
      </w:r>
    </w:p>
    <w:p>
      <w:pPr>
        <w:spacing w:after="0" w:line="22" w:lineRule="exact"/>
        <w:rPr>
          <w:rFonts w:ascii="Arial" w:cs="Arial" w:eastAsia="Arial" w:hAnsi="Arial"/>
          <w:sz w:val="22"/>
          <w:szCs w:val="22"/>
          <w:color w:val="auto"/>
        </w:rPr>
      </w:pPr>
    </w:p>
    <w:p>
      <w:pPr>
        <w:ind w:left="660" w:right="220" w:hanging="328"/>
        <w:spacing w:after="0" w:line="242"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Holders of our common units have limited voting rights and are not entitled to elect our general partner or its directors, which could reduce the price at which our common units trade.</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Even if holders of our common units are dissatisfied, they cannot currently remove our general partner without its consent.</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Control of our general partner may be transferred to a third party without unitholder consent.</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general partner has a call right that may require unitholders to sell their common units at an undesirable time or price.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to Unitholders</w:t>
      </w:r>
    </w:p>
    <w:p>
      <w:pPr>
        <w:spacing w:after="0" w:line="214" w:lineRule="exact"/>
        <w:rPr>
          <w:sz w:val="20"/>
          <w:szCs w:val="20"/>
          <w:color w:val="auto"/>
        </w:rPr>
      </w:pPr>
    </w:p>
    <w:p>
      <w:pPr>
        <w:ind w:left="66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board of directors may modify or revoke our cash distribution policy at any time at its discretion. Our partnership agreement does not require us to pay any distributions at all.</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expect to distribute a significant portion of our available cash to our partners, which could limit our ability to grow and make acquisitions.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Our Common Units</w:t>
      </w:r>
    </w:p>
    <w:p>
      <w:pPr>
        <w:spacing w:after="0" w:line="19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We may issue additional units without unitholder approval, which would dilute existing unitholder ownership interests.</w:t>
      </w:r>
    </w:p>
    <w:p>
      <w:pPr>
        <w:spacing w:after="0" w:line="35"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 price of our common units could be adversely affected by sales of substantial amounts of our common units in the public or private markets, including sales by Westlake or other large holders.</w:t>
      </w: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w:t>
      </w:r>
    </w:p>
    <w:p>
      <w:pPr>
        <w:spacing w:after="0" w:line="216" w:lineRule="exact"/>
        <w:rPr>
          <w:sz w:val="20"/>
          <w:szCs w:val="20"/>
          <w:color w:val="auto"/>
        </w:rPr>
      </w:pPr>
    </w:p>
    <w:p>
      <w:pPr>
        <w:ind w:left="660" w:right="160" w:hanging="328"/>
        <w:spacing w:after="0" w:line="242"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Our tax treatment depends on our status as a partnership for U.S. federal income tax purposes, and not being subject to a material amount of entity-level taxation. Our cash available for distribution to unitholders may be substantially reduced if we become subject to entity-level taxation as a result of the Internal Revenue Service ("IRS") treating us as a corporation or legislative, judicial or administrative changes, and may also be reduced by any audit adjustments if imposed directly on the partnership.</w:t>
      </w:r>
    </w:p>
    <w:p>
      <w:pPr>
        <w:spacing w:after="0" w:line="23" w:lineRule="exact"/>
        <w:rPr>
          <w:rFonts w:ascii="Arial" w:cs="Arial" w:eastAsia="Arial" w:hAnsi="Arial"/>
          <w:sz w:val="22"/>
          <w:szCs w:val="22"/>
          <w:color w:val="auto"/>
        </w:rPr>
      </w:pPr>
    </w:p>
    <w:p>
      <w:pPr>
        <w:ind w:left="660" w:right="80" w:hanging="328"/>
        <w:spacing w:after="0" w:line="239"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Even if unitholders do not receive any cash distributions from us, unitholders will be required to pay taxes on their share of our taxable income. A unitholder's share of our taxable income may be increased as a result of the IRS successfully contesting any of the U.S. federal income tax positions we take.</w:t>
      </w:r>
    </w:p>
    <w:p>
      <w:pPr>
        <w:spacing w:after="0" w:line="24" w:lineRule="exact"/>
        <w:rPr>
          <w:rFonts w:ascii="Arial" w:cs="Arial" w:eastAsia="Arial" w:hAnsi="Arial"/>
          <w:sz w:val="22"/>
          <w:szCs w:val="22"/>
          <w:color w:val="auto"/>
        </w:rPr>
      </w:pPr>
    </w:p>
    <w:p>
      <w:pPr>
        <w:ind w:left="660" w:right="1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Tax-exempt entities and non-U.S. unitholders face unique tax issues from owning our common units that may result in adverse tax consequences to them.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Inherent in Our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Relationship with Westlake</w:t>
      </w:r>
    </w:p>
    <w:p>
      <w:pPr>
        <w:spacing w:after="0" w:line="26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4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other than under certain circumstances relating to the occurrence of force majeure. We expect that each of OpCo's facilities will have a turnaround approximately once every five to eight years and will not operate for typically between 30 and 60 days during each separate turnaround. However, the duration of any turnaround activities may be longer than expected or may cost more than originally estimated. Furthermore, facility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Westlake may be unable to generate enough cash flow from operations to meet its minimum obligations under the Ethylene Sales Agreement if its business is adversely impacted by competition, operational problems, international trade barriers, general adverse economic conditions or the inability to obtain feedstock. For example, lower prices of crude oil could lead to a reduction in the cost advantage for natural gas liquids-based ethylene derivatives in North America, such as Westlake's, as compared to naphtha-based ethylene derivatives. Additionally, Westlake operates internationally and could be adversely affected by trade barriers, tariffs and duties, or violations of international fair trade laws by global competitors. As a result, Westlake's margins and cash flows could be negatively impacted during such period. If Westlake is not able to meet its minimum payment obligations to OpCo as a result of any one or more of these factors, our ability to make distributions to our unitholders would be reduced or eliminated. The amount paid by Westlake will depend upon its ability to satisfy its minimum obligations under the Ethylene Sales Agreement and its ability and election to increase volumes above the minimums specified in the Ethylene Sales Agreement, which in turn are dependent upon, among other things, the level of polyethylene and polyvinyl chloride production at Westlake's other facilities, as well as industry capacity expansion in these downstream products in North America, a number of which have been recently completed.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set forth in our cash distribution policy. As a result, our ability to pay the minimum quarterly distribution is based on the following factors, some of which are beyond our control:</w:t>
      </w:r>
    </w:p>
    <w:p>
      <w:pPr>
        <w:spacing w:after="0" w:line="76" w:lineRule="exact"/>
        <w:rPr>
          <w:sz w:val="20"/>
          <w:szCs w:val="20"/>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26"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cyclical downturns in the chemicals industry and other industries which materially and adversely impact Westlake and our other customers;</w:t>
      </w:r>
    </w:p>
    <w:p>
      <w:pPr>
        <w:spacing w:after="0" w:line="40"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Westlake's inability to perform, or any other default on its obligations, under the Ethylene Sales Agreement, the Services and Secondment Agreement and the Omnibus Agreement;</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environmental remediation at OpCo's facilities not covered by Westlake or third parties;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expected operating levels of OpCo's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meet minimum volume requirements, yield standards and ethylene quality requirements in the Ethylene Sales Agreement;</w:t>
      </w:r>
    </w:p>
    <w:p>
      <w:pPr>
        <w:spacing w:after="0" w:line="90"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renew the Ethylene Sales Agreement or to enter into new, long-term agreements for the sale of ethylene under terms that are similar or more favorable;</w:t>
      </w:r>
    </w:p>
    <w:p>
      <w:pPr>
        <w:spacing w:after="0" w:line="40"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(a number of new ethylene capacity expansions have been recently completed) or export of ethane or ethylene from the United States;</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overall levels of production, production capacity, pricing and/or margins for ethylene;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secure adequate supplies of ethane, other feedstocks and natural gas from Westlake or third parties;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use higher priced or less attractive feedstock due to the unavailability of ethane;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pipeline, railroad, barge, truck and other transportation performance and costs, including any transportation disruptions;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and fluctuations in interest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labor;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employees and workplace safety;</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specifications for the ethylene that we produce;</w:t>
      </w:r>
    </w:p>
    <w:p>
      <w:pPr>
        <w:spacing w:after="0" w:line="9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insurance markets and the level, types and costs of coverage available, and the financial ability and willingness of our insurers to meet their obligations;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8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new, statutes, regulations or governmental policies by federal, state and local authorities with respect to protection of the environment;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and/or tax laws or their interpretations;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or force majeure by, or disputes with or changes in contract terms with, Westlake, our other major customers, suppliers, dealers, distributors or other business partners;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new, statutes, regulations, governmental policies and taxes, or their interpretations.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the actual amount of cash we will have available for distribution will depend on other factors, including:</w:t>
      </w:r>
    </w:p>
    <w:p>
      <w:pPr>
        <w:spacing w:after="0" w:line="90" w:lineRule="exact"/>
        <w:rPr>
          <w:sz w:val="20"/>
          <w:szCs w:val="20"/>
          <w:color w:val="auto"/>
        </w:rPr>
      </w:pPr>
    </w:p>
    <w:p>
      <w:pPr>
        <w:ind w:left="660" w:right="2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we or OpCo are able to generate from sales of ethylene, and associated co-products, to third parties, which will be impacted by changes in prices for ethane (or other feedstocks), natural gas, ethylene and co-products and lower prices of crude oil, new ethylene capacity expansions in North America (a number of which have been completed recently), and could be less than the margin we earn from ethylene sales to Westlake;</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we or OpCo make;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or OpCo's working capital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OpCo's ability to borrow funds (including under our or OpCo's revolving credit facilities) and access capital markets;</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OpCo's debt service requirements, including interest owed on variable rate debt, and other liabilities;</w:t>
      </w:r>
    </w:p>
    <w:p>
      <w:pPr>
        <w:spacing w:after="0" w:line="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our or OpCo's existing or future debt agreements;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reserves established by our general partner.</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0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w:t>
      </w:r>
    </w:p>
    <w:p>
      <w:pPr>
        <w:spacing w:after="0" w:line="3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Our ability to make distributions to unitholders is substantially dependent on Westlake's ability to meet its minimum contractual obligations under the Ethylene Sales Agreement and its obligations under the Services and Secondment Agreement and the Omnibus Agreement. If Westlake defaults on its obligations, our ability to make distributions to our unitholders would be reduced or eliminated. Westlake has not pledged any assets to us as security for the performance of its obligations.</w:t>
      </w:r>
    </w:p>
    <w:p>
      <w:pPr>
        <w:spacing w:after="0" w:line="12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is a restricted subsidiary under certain indentures governing Westlake's senior notes.</w:t>
      </w:r>
    </w:p>
    <w:p>
      <w:pPr>
        <w:spacing w:after="0" w:line="9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All of our cash is currently generated from cash distributions from OpCo. Certain indentures governing Westlake's senior notes impose significant operating and financial restrictions on OpCo. These restrictions limit OpCo's ability to:</w:t>
      </w:r>
    </w:p>
    <w:p>
      <w:pPr>
        <w:spacing w:after="0" w:line="4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its assets or consolidate or merge with or into other companies.</w:t>
      </w:r>
    </w:p>
    <w:p>
      <w:pPr>
        <w:spacing w:after="0" w:line="17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ethylene sales price charged under the Ethylene Sales Agreement is designed to permit OpCo to cover the substantial majority of its operating costs, but not our public partnership, debt and other OpCo costs, which reduce our net operating profit.</w:t>
      </w:r>
    </w:p>
    <w:p>
      <w:pPr>
        <w:spacing w:after="0" w:line="2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The ethylene sales price also does not increase to cover our cost of debt or public partnership costs. All of these costs reduce our net operating profit.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fee structure of the Ethylene Sales Agreement may limit OpCo's ability to take advantage of favorable market developments in the future.</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0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OpCo is unable to renew or extend the Ethylene Sales Agreement beyond the initial 12-year initial term or the other agreements with Westlake upon expiration of these agreements, our ability to make distributions in the future could be materially adversely affected and the value of our units could decline.</w:t>
      </w:r>
    </w:p>
    <w:p>
      <w:pPr>
        <w:spacing w:after="0" w:line="5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Westlake's obligations under the Ethylene Sales Agreement, the Feedstock Supply Agreement and the related Services and Secondment Agreement continue in effect until December 31, 2026, after which such agreements will extend on an annual basis unless and until terminated by either party upon at least 12 months' prior written notice.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1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40"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depends upon Westlake for numerous services and for its labor force.</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Pursuant to the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and other assets.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13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Additionally, certain of Westlake's employees in North America are represented by labor unions and works councils. Our operations may be adversely affected by strikes, work stoppages and other labor disputes involving those employees that operate and maintain OpCo's ethylene production facilities and other assets. For example, on November 1, 2024, bargaining unit employees of Local Lodge No. 2781 of the IAM began a strike at our Calvert City, Kentucky facility, after the IAM members did not accept Westlake's final offer for a new collective bargaining agreement. The strike ended on November 8, 2024, after the IAM accepted Westlake's offer for a new collective bargaining agreement. Any future strikes or work stoppages could be significant and have an adverse effect on our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OpCo's ability to receive greater cash flows from increased production may be limited by the Ethylene Sales Agreement.</w:t>
      </w:r>
    </w:p>
    <w:p>
      <w:pPr>
        <w:spacing w:after="0" w:line="108"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1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3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obligated under our partnership agreement to reimburse our general partner and its affiliates for all expenses they incur and payments they make on our behalf, including expenses we and OpCo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determines the expenses that are allocable to us. The reimbursement of expenses and payment of fees, if any, to our general partner and its affiliates reduce the amount of our earnings and, thereby, our ability to distribute cash to our unitholders.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2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For example, OpCo's Lake Charles facility was shut down for a significant period of time in the months of August, September and October 2020 in the aftermath of Hurricanes Laura and Delta. Any similar or other sustained disruption in OpCo's ability to meet its supply obligations under the Ethylene Sales Agreement could have a material adverse effect on our results of operations and therefore our ability to distribute cash to unitholders.</w:t>
      </w:r>
    </w:p>
    <w:p>
      <w:pPr>
        <w:spacing w:after="0" w:line="22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37"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amount of cash we have available for distribution depends primarily upon our cash flow, including cash flow from reserves and working capital or borrowings (including any under our and OpCo's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and OpCo's revolving credit facilities when we do not have sufficient cash flows to pay cash distributions.</w:t>
      </w:r>
    </w:p>
    <w:p>
      <w:pPr>
        <w:spacing w:after="0" w:line="20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3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6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revenues and costs, including synergies;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businesses we acquire;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hire, train or retain qualified personnel to manage and operate our business and newly acquired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rights to indemnity from the seller;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the overall costs of equity or debt;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in connection with operating in new product areas or new geographic areas;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key employee losses at the acquired businesses.</w:t>
      </w:r>
    </w:p>
    <w:p>
      <w:pPr>
        <w:spacing w:after="0" w:line="17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establish cash reserves in order to cover turnaround expenditures, the amounts we reserve may not be sufficient to fully cover such expenditures.</w:t>
      </w:r>
    </w:p>
    <w:p>
      <w:pPr>
        <w:spacing w:after="0" w:line="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Many of the assets we use to produce ethylene are long-lived assets. As a result, some of those assets have been in service for many decades. The age and condition of these assets could result in increased maintenance or repair expenditures. In addition, while we establish certain cash reserves to cover our expected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production facilities process volatile and hazardous materials that subject us to operating risks that could adversely affect our operating results.</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Our operations are subject to the usual hazards associated with commodity chemical manufacturing and the related use, storage, transportation and disposal of feedstocks, products and wastes, including:</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leaks and ruptures;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and natural disasters;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impacts of climate change; including rising sea levels and changes in weather patterns, such as drought and flooding;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failure;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downtime;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interruptions;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spills;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discharges or releases of toxic or hazardous substances or gases;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storage tank leaks;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environmental risks;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w:t>
      </w:r>
    </w:p>
    <w:p>
      <w:pPr>
        <w:spacing w:after="0" w:line="17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All of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Through Westlake, we maintain property, business interruption and casualty insurance that we believe is in accordance with customary industry practices, but we cannot be fully insured against all potential hazards incident to our business, including losses resulting from wars or terrorist acts, among other things. In addition, certain policies may be subject to coverage limitations, which may affect the extent of any recovery thereunder. As a result of market conditions and past claims,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assets are subject to extensive environmental, health and safety laws and regulations.</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use hazardous substances and generate hazardous wastes and emissions in our manufacturing operations. Our industry is highly regulated and monitored by various environmental regulatory authorities such as the Environmental Protection Agency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34"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In April 2016, the EPA issued an Information Collection Request ("ICR") for ethylene production facilities to inform the agency's mandatory Risk and Technology Review of the existing ethylene maximum available technology ("MACT") rule, which regulates the emissions of organic Hazardous Air Pollutants ("HAP") including benzene, toluene and xylene among others. The EPA evaluated companies' responses and testing data from the ICR and published a final rule amending the ethylene MACT rule in July 2020. Among other things, the final rule strengthens heat exchange system and storage vessel control requirements, adds monitoring and operational requirements for flares, and removes exemptions for periods of startup, shutdown, and malfunctions. On April 27, 2023, the EPA proposed amendments to the National Emission Standards for Hazardous Air Pollutants ("NESHAPs") for ethylene production following the receipt of several petitions for reconsideration for the provisions addressing work practice standards for pressure relief devices, emergency flaring, and degassing of floating roof storage vessels. On April 4, 2024, the EPA finalized the proposed amendments, removing the force majeure exemption for pressure relief devices and emergency flaring, clarifying degassing requirements for floating roof storage vessels, and addressing other corrections and clarifications.</w:t>
      </w:r>
    </w:p>
    <w:p>
      <w:pPr>
        <w:spacing w:after="0" w:line="140"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April 2023, the EPA proposed amendments to new source performance standards for the synthetic organic chemical manufacturing industry and amendments to the national emissions standards for hazardous air pollutants for the synthetic organic chemical manufacturing industry and group I &amp; II polymers and resins industry. The proposed amendments were finalized on May 16, 2024 and became effective July 15, 2024. These amendments, among other things, impose tougher emissions limits, additional leak detection and repair obligations, certain performance standards for the operation of flares at applicable facilities, and new fenceline air monitoring for several chemicals. The amendments may require us to incur further capital expenditures and increase operating costs.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color w:val="auto"/>
        </w:rPr>
        <w:t>Our operations also produce greenhouse gas ("GHG") emissions, which have been the subject of increased scrutiny and regulation. In December 2015, the United States joined the international community at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United States signed the Paris Agreement in April 2016, and the Paris Agreement went into effect in November 2016. In November 2019, the United States submitted formal notification to the United Nations that it intended to withdraw from the Paris Agreement. The withdrawal took effect in November 2020. However, President Biden signed an executive order on January 20, 2021 for reentry of the United States into the Paris Agreement and on February 19, 2021, President Biden formally rejoined the Paris Agreement. As part of rejoining the Paris Agreement, President Biden announced that the United States would commit to a 50 to 52 percent reduction from 2005 levels of GHG emissions by 2030 and set the goal of reaching net-zero GHG emissions by 2050. To measure progress towards this target, the Paris Agreement requires the parties to complete a global stocktake, assessing members' collective efforts and achievements in reducing GHG emissions and adapting to the impacts of climate change, every five years. On December 13, 2023, the 28th annual United Nations Climate Change Conference ("COP 28"), which was held in Dubai, issued its first global stocktake, which calls on parties, including the United States, to contribute to the transitioning away from fossil fuels, reduce methane emissions, and increase renewable energy capacity, among other things, to achieve net zero emissions by 2050. In January 2025, the United States submitted formal notification to the United Nations that it intends to withdraw from the Paris Agreement. Pursuant to the terms of the Paris Agreement, the withdrawal will take effect in January 2026. Legislation to regulate GHG emissions has periodically been introduced in the United States Congress, and such legislation may be proposed or adopted in the future. There has been a wide-ranging policy debate regarding the impact of these gases and possible means for their regulation. Some of the proposals would require industries to meet stringent new standards that would require substantial reductions in carbon emissions. The adoption and implementation of any international, federal or state legislation or regulations that restrict emissions of GHGs could result in increased compliance costs or additional operating restrictions.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15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GHG emissions.</w:t>
      </w:r>
    </w:p>
    <w:p>
      <w:pPr>
        <w:spacing w:after="0" w:line="12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March 6, 2024, the U.S. Securities and Exchange Commission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Multiple lawsuits have been filed challenging the SEC's new climate rules, and on April 4, 2024, the SEC issued an order staying the final rules until judicial review is complete. In September 2023, California passed climate-related disclosure mandates that are broader than the SEC's rules. As our chemical processing results in GHG emissions, these and other environmental disclosure laws and regulations could affect our costs of doing business.</w:t>
      </w:r>
    </w:p>
    <w:p>
      <w:pPr>
        <w:spacing w:after="0" w:line="13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2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generated waste, arranged for disposal of the waste, transported to or selected the disposal sites, and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assets are subject to climate-related risks and uncertainties.</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are subject to increasing climate-related risks and uncertainties, many of which are outside of our control. Climate change may result in more frequent severe weather events, potential changes in precipitation patterns, flooding, sea level rise and variability in weather patterns, which can disrupt our operations as well as those of our customers, partners and suppliers. Climate change may result in heightened hurricane activity in the Gulf of Mexico and other weather and natural disaster hazards that pose a risk to OpCo's facilities, particularly those in Louisiana. The transition to lower greenhouse gas emissions technology, the effects of carbon pricing, changes in public sentiment, regulations, taxes, public mandates or requirements, increases in climate-related lawsuits, insurance premiums and implementation of more robust disaster recovery and business continuity plans may increase costs to maintain or resume our operations, which could in turn negatively impact our business and results of operations.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operational and financial risks and liabilities associated with the implementation of and efforts to achieve carbon emission reduction goals.</w:t>
      </w:r>
    </w:p>
    <w:p>
      <w:pPr>
        <w:spacing w:after="0" w:line="37"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Westlake has publicly announced a target 20% reduction in its Scope 1 and Scope 2 CO2 equivalent emissions intensity per ton of production by 2030 from a 2016 baseline. Developing and implementing plans for compliance with voluntary climate commitments can lead to additional capital, personnel, operations and maintenance expenditures and could significantly affect the economic position of existing facilities and proposed projects. Westlake's failure or perceived failure to pursue or fulfill its sustainability-focused goals, targets and objectives within the timelines announced, or at all, could adversely affect our business or reputation, as well as expose us to potential government enforcement actions and private litigation. We cannot predict the ultimate impact of achieving Westlake's emissions reduction goal, or the various implementation aspects, on our financial condition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critical data and technology systems could materially affect our operations.</w:t>
      </w:r>
    </w:p>
    <w:p>
      <w:pPr>
        <w:spacing w:after="0" w:line="10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are increasingly dependent on digital technologies and services to conduct our business. We use these technologies for internal and operational purposes, including data storage, processing, and transmission, as well as in our interactions with our business associates, such as customers and suppliers.</w:t>
      </w:r>
    </w:p>
    <w:p>
      <w:pPr>
        <w:spacing w:after="0" w:line="10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Information technology system failures, network disruptions and breaches of data security due to internal or external factors including cyber-attacks could have material adverse impacts on our business or cause disruptions to our operations. Such disruptions could include, but are not limited to, delaying or cancelling customer orders, impeding the manufacture or shipment of products or causing standard business processes to become ineffective, or the unintentional or malicious disclosure of proprietary, confidential or other sensitive information. Cyber-attacks could include, but are not limited to, ransomware attacks, malicious software, attempts to gain unauthorized access to our systems or data or other electronic security breaches that could lead to disruptions in critical systems, unauthorized release, corruption or loss of data including protected information such as personal information of our employees, interruptions in communication, loss of our intellectual property or theft of our sensitive or proprietary technology, loss or damage to our data delivery systems, or other cybersecurity and infrastructure systems, including our property and equipment, diversion of management or work force attention, or increased costs required to prevent, respond to or mitigate the incident. In addition, cybersecurity risk is exacerbated with the advancement of technologies like artificial intelligence, which malicious third parties are using to create new, sophisticated and more frequent attacks.</w:t>
      </w:r>
    </w:p>
    <w:p>
      <w:pPr>
        <w:spacing w:after="0" w:line="140"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Westlake's and our employees, systems, networks, products, facilities and services remain potentially vulnerable to sophisticated cyber-attacks, including the additional cybersecurity risks posed by the increased use of remote networking technologies and services, and, as such, there can be no assurance that a system failure, network disruption or data security breach will not have a material adverse effect on our operations, business, financial condition, operating results or cash flow. In addition, laws and regulations governing cybersecurity, data privacy, and the unauthorized disclosure of confidential or protected information pose increasingly complex compliance challenges, and failure to comply with these laws could result in penalties and legal liability.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variable-rate debt exposes us to increases in interest rates, which could have a material impact on our financial position, results of operation and cash flows, and could reduce the price at which our common units trade.</w:t>
      </w:r>
    </w:p>
    <w:p>
      <w:pPr>
        <w:spacing w:after="0" w:line="2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variable-rate debt. At December 31, 2024, we had $399.7 million in principal amount of variable-rate debt outstanding, including $22.6 million outstanding under the OpCo Revolver and $377.1 million outstanding under the MLP Revolver. Each of the OpCo Revolver and the MLP Revolver have interest rates in-part based on SOFR at the time of any borrowing.</w:t>
      </w:r>
    </w:p>
    <w:p>
      <w:pPr>
        <w:spacing w:after="0" w:line="1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Board of Governors of the Federal Reserve System increased benchmark interest rates four times in 2023 and lowered benchmark interest rates three times in 2024. However, rates remain above the ten-year average and may rise in future periods. Should interest rates increase significantly, the amount of cash required to service our debt would increase. As a result, significant increases in interest rates could have a material impact on our financial position, results of operations and cash flows.</w:t>
      </w:r>
    </w:p>
    <w:p>
      <w:pPr>
        <w:spacing w:after="0" w:line="12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An increase in interest rates may also cause a corresponding decline in demand for equity securities in general, and in particular, for yield-based equity securities such as our common units. A reduction in demand for our common units may cause their trading price to decline.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terrorist attack or armed conflict could harm our business.</w:t>
      </w:r>
    </w:p>
    <w:p>
      <w:pPr>
        <w:spacing w:after="0" w:line="108" w:lineRule="exact"/>
        <w:rPr>
          <w:sz w:val="20"/>
          <w:szCs w:val="20"/>
          <w:color w:val="auto"/>
        </w:rPr>
      </w:pPr>
    </w:p>
    <w:p>
      <w:pPr>
        <w:jc w:val="both"/>
        <w:ind w:right="60" w:firstLine="405"/>
        <w:spacing w:after="0" w:line="258" w:lineRule="auto"/>
        <w:rPr>
          <w:sz w:val="20"/>
          <w:szCs w:val="20"/>
          <w:color w:val="auto"/>
        </w:rPr>
      </w:pPr>
      <w:r>
        <w:rPr>
          <w:rFonts w:ascii="Times New Roman" w:cs="Times New Roman" w:eastAsia="Times New Roman" w:hAnsi="Times New Roman"/>
          <w:sz w:val="18"/>
          <w:szCs w:val="18"/>
          <w:color w:val="auto"/>
        </w:rPr>
        <w:t>Terrorist activities, anti-terrorist efforts and other armed conflicts involving the United States or other jurisdictions could adversely affect the United States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2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and effects of public health crises, pandemics and epidemics could materially adversely affect OpCo's business, financial condition and results of operations.</w:t>
      </w:r>
    </w:p>
    <w:p>
      <w:pPr>
        <w:spacing w:after="0" w:line="37"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Public health crises, pandemics and epidemics, such as the COVID-19 pandemic, could materially adversely affect OpCo's business, financial condition and results of operations. Such events have resulted in and may again result in authorities implementing numerous measures to try to contain the disease, such as travel bans and restrictions, quarantines, shelter-in-place orders and shutdowns, among others. Such events have had and could again have widespread adverse impacts on the global economy, many of OpCo's facilities and its employees, customers and suppliers. These and similar events have caused and may again cause supply chain constraints and disruptions and workforce availability issues as well.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Partnership Structure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w:t>
      </w:r>
    </w:p>
    <w:p>
      <w:pPr>
        <w:spacing w:after="0" w:line="16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5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66" w:lineRule="exact"/>
        <w:rPr>
          <w:sz w:val="20"/>
          <w:szCs w:val="20"/>
          <w:color w:val="auto"/>
        </w:rPr>
      </w:pPr>
    </w:p>
    <w:p>
      <w:pPr>
        <w:ind w:left="660" w:right="3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allowed to take into account the interests of parties other than us, such as Westlake, in exercising certain rights under our partnership agreement;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our partnership agreement nor any other agreement requires Westlake to pursue a business strategy that favors us;</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limited circumstances, our general partner has the power and authority to conduct our business without unitholder approval;</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40"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w:t>
      </w:r>
    </w:p>
    <w:p>
      <w:pPr>
        <w:spacing w:after="0" w:line="54"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cause us to borrow funds in order to permit the payment of cash distributions, even if the purpose or effect of the borrowing is to make incentive distributions or may cause us not to borrow funds to pay cash distributions when we do not otherwise have the funds to pay such cash distributions;</w:t>
      </w:r>
    </w:p>
    <w:p>
      <w:pPr>
        <w:spacing w:after="0" w:line="40"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the incentive distribution rights;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which costs incurred by it and its affiliates are reimbursable by us;</w:t>
      </w:r>
    </w:p>
    <w:p>
      <w:pPr>
        <w:spacing w:after="0" w:line="10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intends to limit its liability regarding our contractual and other obligations;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exercise its right to call and purchase common units if it and its affiliates own more than 80% of the common units;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controls the enforcement of obligations that it and its affiliates owe to us;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decides whether to retain separate counsel, accountants or others to perform services for us; and</w:t>
      </w:r>
    </w:p>
    <w:p>
      <w:pPr>
        <w:spacing w:after="0" w:line="10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12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See "—Risks Relating to Our Partnership Structure—</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Partner—Westlake and other affiliates of our general partner may compete with us</w:t>
      </w:r>
      <w:r>
        <w:rPr>
          <w:rFonts w:ascii="Times New Roman" w:cs="Times New Roman" w:eastAsia="Times New Roman" w:hAnsi="Times New Roman"/>
          <w:sz w:val="18"/>
          <w:szCs w:val="18"/>
          <w:color w:val="auto"/>
        </w:rPr>
        <w:t>"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limited its liability regarding our obligations.</w:t>
      </w:r>
    </w:p>
    <w:p>
      <w:pPr>
        <w:spacing w:after="0" w:line="94"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Our general partner has limited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replaces our general partner's fiduciary duties to holders of our units.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4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allocate business opportunities among us and its affiliates;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exercise its call right;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exercise its voting rights with respect to the units it owns;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exercise its registration rights;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elect to reset target distribution levels;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to consent to any merger or consolidation of the partnership or amendment to the partnership agreement.</w:t>
      </w:r>
    </w:p>
    <w:p>
      <w:pPr>
        <w:spacing w:after="0" w:line="171"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By purchasing a common unit, a unitholder is treated as having consented to the provisions in the partnership agreement, including the provisions discussed above.</w:t>
      </w:r>
    </w:p>
    <w:p>
      <w:pPr>
        <w:spacing w:after="0" w:line="19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2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40" w:lineRule="exact"/>
        <w:rPr>
          <w:sz w:val="20"/>
          <w:szCs w:val="20"/>
          <w:color w:val="auto"/>
        </w:rPr>
      </w:pPr>
    </w:p>
    <w:p>
      <w:pPr>
        <w:ind w:left="660" w:right="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54"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4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4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conflicts committee of the board of directors, although our general partner is not obligated to seek such approval; or</w:t>
      </w:r>
    </w:p>
    <w:p>
      <w:pPr>
        <w:spacing w:after="0" w:line="103"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10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vote of a majority of the outstanding common units, excluding any common units owned by our general partner and its affiliates.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2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and other affiliates of our general partner may compete with us.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12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2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publicly-traded corporations, we do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holders of our common units are dissatisfied, they cannot currently remove our general partner without its consent.</w:t>
      </w:r>
    </w:p>
    <w:p>
      <w:pPr>
        <w:spacing w:after="0" w:line="108" w:lineRule="exact"/>
        <w:rPr>
          <w:sz w:val="20"/>
          <w:szCs w:val="20"/>
          <w:color w:val="auto"/>
        </w:rPr>
      </w:pPr>
    </w:p>
    <w:p>
      <w:pPr>
        <w:ind w:right="20" w:firstLine="405"/>
        <w:spacing w:after="0" w:line="241" w:lineRule="auto"/>
        <w:rPr>
          <w:sz w:val="20"/>
          <w:szCs w:val="20"/>
          <w:color w:val="auto"/>
        </w:rPr>
      </w:pPr>
      <w:r>
        <w:rPr>
          <w:rFonts w:ascii="Times New Roman" w:cs="Times New Roman" w:eastAsia="Times New Roman" w:hAnsi="Times New Roman"/>
          <w:sz w:val="18"/>
          <w:szCs w:val="18"/>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of all outstanding common and subordinated units voting together as a single class is required to remove our general partner. As of February 26, 2025, Westlake owned an aggregate of 40.1% of our common units. This condition provides Westlake, at its current ownership levels, the ability to prevent the removal of our general partner.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of our general partner may be transferred to a third party without unitholder consent.</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call right that may require unitholders to sell their common units at an undesirable time or price.</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to Unitholders</w:t>
      </w:r>
    </w:p>
    <w:p>
      <w:pPr>
        <w:spacing w:after="0" w:line="1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37"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of our general partner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126" w:lineRule="exact"/>
        <w:rPr>
          <w:sz w:val="20"/>
          <w:szCs w:val="20"/>
          <w:color w:val="auto"/>
        </w:rPr>
      </w:pPr>
    </w:p>
    <w:p>
      <w:pPr>
        <w:ind w:right="160" w:firstLine="405"/>
        <w:spacing w:after="0" w:line="277" w:lineRule="auto"/>
        <w:rPr>
          <w:sz w:val="20"/>
          <w:szCs w:val="20"/>
          <w:color w:val="auto"/>
        </w:rPr>
      </w:pPr>
      <w:r>
        <w:rPr>
          <w:rFonts w:ascii="Times New Roman" w:cs="Times New Roman" w:eastAsia="Times New Roman" w:hAnsi="Times New Roman"/>
          <w:sz w:val="17"/>
          <w:szCs w:val="17"/>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distribute a significant portion of our available cash to our partners, which could limit our ability to grow and make acquisitions.</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40" w:lineRule="exact"/>
        <w:rPr>
          <w:sz w:val="20"/>
          <w:szCs w:val="20"/>
          <w:color w:val="auto"/>
        </w:rPr>
      </w:pPr>
    </w:p>
    <w:p>
      <w:pPr>
        <w:jc w:val="both"/>
        <w:ind w:firstLine="405"/>
        <w:spacing w:after="0" w:line="272" w:lineRule="auto"/>
        <w:rPr>
          <w:sz w:val="20"/>
          <w:szCs w:val="20"/>
          <w:color w:val="auto"/>
        </w:rPr>
      </w:pPr>
      <w:r>
        <w:rPr>
          <w:rFonts w:ascii="Times New Roman" w:cs="Times New Roman" w:eastAsia="Times New Roman" w:hAnsi="Times New Roman"/>
          <w:sz w:val="17"/>
          <w:szCs w:val="17"/>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34"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incentive distribution rights may be transferred to a third party without unitholder consent.</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Our Common Units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units without unitholder approval, which would dilute existing unitholder ownership interests.</w:t>
      </w:r>
    </w:p>
    <w:p>
      <w:pPr>
        <w:spacing w:after="0" w:line="10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partnership agreement does not limit the number of additional limited partner interests we may issue at any time without the approval of our unitholders. We are party to an Equity Distribution Agreement pursuant to which we may offer and sell common units from time to time to or through the investment banks, as our sales agents or as principals, having an aggregate offering amount of up to $50.0 million. The issuance of additional common units or other equity interests of equal or senior rank will have the following effects:</w:t>
      </w:r>
    </w:p>
    <w:p>
      <w:pPr>
        <w:spacing w:after="0" w:line="4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unitholders' proportionate ownership interest in us will decrease;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earnings per each unit may decrease;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unit may be diminished;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units may decline.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2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voting rights of unitholders owning 20% or more of our common units.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Under certain circumstances, unitholders may have to repay amounts wrongfully returned or distributed to them. Under Delaware law,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2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and investor sentiment towards climate change and other sustainability matters could adversely affect our cost of capital and the price of our common units.</w:t>
      </w:r>
    </w:p>
    <w:p>
      <w:pPr>
        <w:spacing w:after="0" w:line="2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There have been intensifying efforts within the investment community (including investment advisors, investment fund managers, sovereign wealth funds, public pension funds, universities and individual investors) to promote the divestment of, or limit investment in, the equity of companies in the petrochemical industry. There has also been pressure on lenders and other financial services companies to limit or curtail financing of companies in the industry. Because we operate within the petrochemical industry, if these efforts continue or expand, our stock price and our ability to raise capital may be negatively impacted.</w:t>
      </w:r>
    </w:p>
    <w:p>
      <w:pPr>
        <w:spacing w:after="0" w:line="12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Members of the investment community are increasing their focus on sustainability practices and disclosures by public companies, including practices and disclosures related to climate change and sustainability, D&amp;I initiatives and heightened governance standards. On March 6, 2024, the SEC adopted a new set of rules that require a wide range of climate-related disclosures, including material climate-related risks. Multiple lawsuits have been filed challenging the SEC's new climate rules, and on April 4, 2024, the SEC issued an order staying the final rules until judicial review is complete. In September 2023, California passed climate-related disclosure mandates that are broader than the SEC's rules. As a result, we may continue to face increasing pressure regarding our sustainability disclosures and practices. Additionally, members of the investment community may screen companies such as ours for sustainability disclosures and performance before investing in our common units. Over the past few years, there has also been an acceleration in investor demand for sustainability investing opportunities, and many large institutional investors have committed to increasing the percentage of their portfolios that are allocated towards sustainability investments. With respect to any of these investors, our sustainability disclosures and efforts may not satisfy the investor requirements or their requirements may not be made known to us. If we or our securities are unable to meet the sustainability standards or investment criteria set by these investors and funds, we may lose investors or investors may allocate a portion of their capital away from us, our cost of capital may increase, and our common unit price may be negatively impacted.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10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tax treatment depends on our status as a partnership for U.S. federal income tax purposes, and not being subject to a material amount of entity-level taxation. If the Internal Revenue Service ("IRS"), were to treat us as a corporation for U.S. federal income tax purposes, or we become subject to entity-level taxation for state tax purposes, our cash available for distribution to our unitholders would be substantially reduced.</w:t>
      </w:r>
    </w:p>
    <w:p>
      <w:pPr>
        <w:spacing w:after="0" w:line="53"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common units depends largely on our being treated as a partnership for U.S. federal income tax purposes. Despite the fact that we are organized as a limited partnership under Delaware law, we would be treated as a corporation for U.S. federal income tax purposes unless we satisfy a "qualifying income" requirement. Based upon our current operations and current Treasury Regulations, we believe we satisfy the qualifying income requirement.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Internal Revenue Code of 1986, as amended (the "Code").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29"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If we were treated as a corporation for U.S. federal income tax purposes, we would pay U.S. federal income tax on our taxable income at the corporate tax rate.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Therefore, treatment of us as a corporation would result in a material reduction in the anticipated cash flow and after-tax return to our unitholders, likely causing a substantial reduction in the value of our common units.</w:t>
      </w:r>
    </w:p>
    <w:p>
      <w:pPr>
        <w:spacing w:after="0" w:line="1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We currently own assets and conduct business in several states, most of which impose entity-level franchise or gross receipt taxes on partnerships. In the future, we may expand our operations. Imposition of similar entity-level taxes on us in other jurisdictions that we may expand to, could substantially reduce our cash available for distribution to our unitholders.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publicly-traded partnerships or an investment in our units could be subject to potential legislative, judicial or administrative changes or differing interpretations, possibly applied on a retroactive basis.</w:t>
      </w:r>
    </w:p>
    <w:p>
      <w:pPr>
        <w:spacing w:after="0" w:line="2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present U.S. federal income tax treatment of publicly-traded partnerships, including us, or an investment in our common units, may be modified by administrative, legislative or judicial changes or differing interpretations at any time. Members of Congress and the President have frequently proposed and considered substantive changes to the existing U.S. federal income tax laws that would affect publicly-traded partnerships, including proposals that would eliminate our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we rely for our partnership tax treatment. Further, while unitholders of publicly traded partnerships are, subject to certain limitations, entitled to a deduction equal to 20% of their allocable share of a publicly traded partnership's "qualified business income," this deduction is scheduled to expire with respect to taxable years beginning after December 31, 2025.</w:t>
      </w:r>
    </w:p>
    <w:p>
      <w:pPr>
        <w:spacing w:after="0" w:line="13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addition, the Treasury Department has issued, and in the future may issue, regulations interpreting those laws that affect publicly-traded partnerships. 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as "qualifying income."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133"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Any modification to the U.S. federal income tax laws and interpretations thereof may or may not be retroactively applied and could make it more difficult or impossible for us to meet the exception for certain publicly-traded partnerships to be treated as partnerships for U.S. federal income tax purposes. We are unable to predict whether any changes or other proposals will ultimately be enacted. Any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IRS were to contest the U.S. federal income tax positions we take, it may adversely impact the market for our common units, and the costs of any such contest would reduce our cash available for distribution to our unitholders.</w:t>
      </w:r>
    </w:p>
    <w:p>
      <w:pPr>
        <w:spacing w:after="0" w:line="2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2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w:t>
      </w:r>
    </w:p>
    <w:p>
      <w:pPr>
        <w:spacing w:after="0" w:line="5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 Additionally, we may be required to allocate an adjustment disproportionately among our unitholders, causing our publicly traded units to have different capital accounts, unless the IRS issues further guidance.</w:t>
      </w:r>
    </w:p>
    <w:p>
      <w:pPr>
        <w:spacing w:after="0" w:line="13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In the event the IRS makes an audit adjustment to our income tax returns and we do not or cannot shift the liability to our unitholders in accordance with their interests in us during the year under audit, we will generally have the ability to request that the IRS reduce the determined underpayment by reducing the suspended passive loss carryovers of our unitholders (without any compensation from us to such unitholders), to the extent such underpayment is attributable to a net decrease in passive activity losses allocable to certain partners. Such reduction, if approved by the IRS, will be binding on any affected unitholders.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unitholders do not receive any cash distributions from us, unitholders will be required to pay taxes on their share of our taxable income.</w:t>
      </w:r>
    </w:p>
    <w:p>
      <w:pPr>
        <w:spacing w:after="0" w:line="10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Unitholders are required to pay U.S. federal income taxes and, in some cases, state and local income taxes, on their share of our taxable income, whether or not they receive cash distributions from us. Unitholders may not receive cash distributions from us equal to their share of our taxable income or even equal to the actual tax due from them with respect to that income.</w:t>
      </w:r>
    </w:p>
    <w:p>
      <w:pPr>
        <w:spacing w:after="0" w:line="122"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A unitholder's share of our taxable income, and its relationship to any distributions we make, may be affected by a variety of factors, including our economic performance, which may be affected by numerous business, economic, regulatory, legislative, competitive and political uncertainties beyond our control, and certain transactions in which we might engage. For example, we may engage in transactions that produce substantial taxable income allocations to some or all of our unitholders without a corresponding increase in cash distributions to our unitholders, such as a sale or exchange of assets, the proceeds of which are reinvested in our business or used to reduce our debt, or an actual or deemed satisfaction of our indebtedness for an amount less than the adjusted issue price of the debt. A unitholder's ratio of its share of taxable income to the cash received by it may also be affected by changes in law.</w:t>
      </w:r>
    </w:p>
    <w:p>
      <w:pPr>
        <w:spacing w:after="0" w:line="11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From time to time, in connection with an offering of our common units, we may state an estimate of the ratio of U.S. federal taxable income to cash distributions that a purchaser of common units in that offering may receive in a given period. These estimates depend in part on factors that are unique to the offering with respect to which the estimate is stated, so the expected ratio applicable to other common units will be different, and in many cases less favorable, than these estimates. Moreover, even in the case of common units purchased in the offering to which the estimate relates, the estimate may be incorrect, due to the uncertainties described above, challenges by the IRS to tax reporting positions which we adopt, or other factors. The actual ratio of taxable income to cash distributions could be higher or lower than expected, and any differences could be material and could materially affect the value of the common units.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gain or loss on the disposition of our common units could be more or less than expected.</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33"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be subject to limitation on their ability to deduct interest expense incurred by us.</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In the case of taxable years beginning on or after January 1, 2022, our adjusted taxable income is computed by taking into account any deduction allowable for depreciation, amortization, or depletion.</w:t>
      </w:r>
    </w:p>
    <w:p>
      <w:pPr>
        <w:spacing w:after="0" w:line="12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entities face unique tax issues from owning our common units that may result in adverse tax consequences to them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("UBTI") and will be taxable to them. Tax-exempt entities should consult a tax advisor before investing in our common units.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Unitholders will be subject to U.S. taxes and withholding with respect to their income and gain from owning our units.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Non-U.S. unitholders are generally taxed and subject to income tax filing requirements by the United States on income effectively connected with a U.S. trade or business.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1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withholding tax imposed on distributions of effectively connected income, distributions to a non-U.S. unitholder will also be subject to a 10% withholding tax on the amount of any distribution in excess of our cumulative net income.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1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publicly-traded partnership, such as our common units, will generally be the amount of gross proceeds paid to the broker effecting the applicable transfer on behalf of the transferor, and thus will be determined without regard to any decrease in that partner's share of a publicly-traded partnership's liabilities. For a transfer of interests in a publicly traded partnership that is effected through a broker on or after January 1, 2023, the obligation to withhold is imposed on the transferor's broker. Current and prospective non-U.S. unitholders should consult their tax advisors regarding the impact of these rules on an investment in our common units.</w:t>
      </w:r>
    </w:p>
    <w:p>
      <w:pPr>
        <w:spacing w:after="0" w:line="22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3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any sale of common units and could have a negative impact on the value of our common units or result in audit adjustments to a unitholder's tax returns.</w:t>
      </w:r>
    </w:p>
    <w:p>
      <w:pPr>
        <w:spacing w:after="0" w:line="20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53"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(i) certain deductions for depreciation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unitholder whose units are the subject of a securities loan (e.g., a loan to a "short seller" to cover a short sale of units) may be considered to have disposed of those units. If so, such unitholder would no longer be treated for tax purposes as a partner with respect to those units during the period of the loan and may recognize gain or loss from the disposition.</w:t>
      </w:r>
    </w:p>
    <w:p>
      <w:pPr>
        <w:spacing w:after="0" w:line="4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 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2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3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12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timing or amount of taxable income or loss being allocated to our unitholders. It also could affect the amount of gain recognized from the sale of our common units, have a negative impact on the value of our common units or result in audit adjustments to our unitholders' tax returns without the benefit of additional deductions.</w:t>
      </w:r>
    </w:p>
    <w:p>
      <w:pPr>
        <w:spacing w:after="0" w:line="19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unitholders will likely be subject to state and local taxes and income tax return filing requirements in jurisdictions where they do not live as a result of investing in our common units.</w:t>
      </w:r>
    </w:p>
    <w:p>
      <w:pPr>
        <w:spacing w:after="0" w:line="3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U.S. federal income taxes, our unitholders may be subject to other taxes, including foreign, state and local taxes, unincorporated business taxes and estate, inheritance or intangible taxes that are imposed by the various jurisdictions in which we conduct business or own property now or in the future, even if they do not live in any of those jurisdictions. Our unitholders will likely be required to file foreign, state and local income tax returns and pay state and local income taxes in some or all of these various jurisdictions. Further, our unitholders may be subject to penalties for failure to comply with those requirements.</w:t>
      </w:r>
    </w:p>
    <w:p>
      <w:pPr>
        <w:spacing w:after="0" w:line="1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currently own property and conduct business in a number of states, most of which currently impose a personal income tax on individuals, and most of which also impose an income or similar tax on corporations and certain other entities. As we make acquisitions or expand our business, we may own assets or conduct business in additional states that impose similar taxes. It is our unitholders' responsibility to file all U.S. federal, foreign, state and local tax returns and pay any taxes due in these jurisdictions. Unitholders should consult with their own tax advisors regarding the filing of such tax returns, the payment of such taxes, and the deductibility of any taxes paid.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4"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OpCo has entered into the Services and Secondment Agreement with Westlake and we, OpCo and Westlake have entered into the Omnibus Agreement. Pursuant to these Agreements, Westlake performs various services for us, including those related to cybersecurity. As such, this disclosure addresses our cybersecurity policies and practices, some of which are executed by Westlake under the Services and Secondment Agreement and the Omnibus Agreement.</w:t>
      </w:r>
    </w:p>
    <w:p>
      <w:pPr>
        <w:spacing w:after="0" w:line="126" w:lineRule="exact"/>
        <w:rPr>
          <w:sz w:val="20"/>
          <w:szCs w:val="20"/>
          <w:color w:val="auto"/>
        </w:rPr>
      </w:pPr>
    </w:p>
    <w:p>
      <w:pPr>
        <w:ind w:right="420" w:firstLine="405"/>
        <w:spacing w:after="0" w:line="258" w:lineRule="auto"/>
        <w:rPr>
          <w:sz w:val="20"/>
          <w:szCs w:val="20"/>
          <w:color w:val="auto"/>
        </w:rPr>
      </w:pPr>
      <w:r>
        <w:rPr>
          <w:rFonts w:ascii="Times New Roman" w:cs="Times New Roman" w:eastAsia="Times New Roman" w:hAnsi="Times New Roman"/>
          <w:sz w:val="18"/>
          <w:szCs w:val="18"/>
          <w:color w:val="auto"/>
        </w:rPr>
        <w:t>With Westlake's support, we maintain a comprehensive approach to cybersecurity and data protection, based on a risk-based, defense-in-depth strategy. Westlake follows industry standard cybersecurity frameworks, including the National Institute of Standards and Technology's Cybersecurity Framework to design, assess and update our cybersecurity strategy, controls and processes. Westlake regularly assesses industry best practices and standards and endeavors to implement them in its efforts to manage cybersecurity risk for us. The focus is on protecting our highest-value information assets, which include manufacturing systems, financial systems, and confidential, personal, and private information.</w:t>
      </w:r>
    </w:p>
    <w:p>
      <w:pPr>
        <w:spacing w:after="0" w:line="129" w:lineRule="exact"/>
        <w:rPr>
          <w:sz w:val="20"/>
          <w:szCs w:val="20"/>
          <w:color w:val="auto"/>
        </w:rPr>
      </w:pPr>
    </w:p>
    <w:p>
      <w:pPr>
        <w:ind w:right="360" w:firstLine="405"/>
        <w:spacing w:after="0" w:line="256" w:lineRule="auto"/>
        <w:rPr>
          <w:sz w:val="20"/>
          <w:szCs w:val="20"/>
          <w:color w:val="auto"/>
        </w:rPr>
      </w:pPr>
      <w:r>
        <w:rPr>
          <w:rFonts w:ascii="Times New Roman" w:cs="Times New Roman" w:eastAsia="Times New Roman" w:hAnsi="Times New Roman"/>
          <w:sz w:val="18"/>
          <w:szCs w:val="18"/>
          <w:color w:val="auto"/>
        </w:rPr>
        <w:t>To safeguard our networks and systems, Westlake has a dedicated cybersecurity organization overseen by its Chief Information Security Officer, which operates within its information technology department overseen by its Chief Information Officer. Westlake's cybersecurity organization employs multiple security controls, such as firewalls, spam protection, web filtering, endpoint detection and response software, controlled access, vulnerability management, redundancies, patching, and regular onsite and offsite backups. Westlake's cybersecurity organization also uses a variety of processes to address cybersecurity threats related to the use of third-party technology and services, including pre-acquisition diligence, imposition of contractual obligations, and risk-based performance monitoring.</w:t>
      </w:r>
    </w:p>
    <w:p>
      <w:pPr>
        <w:spacing w:after="0" w:line="13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Both Westlake's Chief Information Officer and its Chief Information Security Officer have extensive experience in assessing and managing cybersecurity risks, including through decades of collective experience in information technology and cybersecurity roles of increasing responsibility both at Westlake and in prior positions. Westlake prioritizes cybersecurity awareness among employees and contractors through various training exercises, including formal programs and simulated phishing events. Westlake maintains incident response plans, playbooks, and engages third-party cybersecurity firms for simulated cyberattacks and penetration testing to identify potential risks. Westlake also has a third-party cybersecurity firm on retainer for incident assistance and response. Periodic internal self-assessments are conducted by Westlake's cybersecurity organization using the National Institute of Standards and Technology Cybersecurity Framework.</w:t>
      </w:r>
    </w:p>
    <w:p>
      <w:pPr>
        <w:spacing w:after="0" w:line="13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and OpCo experience cybersecurity threats and attempted breaches and other incidents. Westlake classifies and tracks these events based on significance and implements remediation actions that it considers appropriate to address the risks to the Partnership and OpCo relating to such incidents. Although we and OpCo have not experienced material impacts to our business strategy, results of operations or financial condition from any such incidents in the past three years, we cannot guarantee that a material incident will not occur in the future. See "Item 1A. Risk Factors—Failure to adequately protect critical data and technology systems could materially affect our operations."</w:t>
      </w:r>
    </w:p>
    <w:p>
      <w:pPr>
        <w:spacing w:after="0" w:line="129"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board of directors has authorized and approved our entry into the Services and Secondment Agreement and the Omnibus Agreement with Westlake, and has thereby charged Westlake's Corporate Risk and Sustainability Committee with assisting the board of directors with its oversight of cybersecurity risks, which is a component of our overall enterprise risk management program. As a result, Westlake's Corporate Risk and Sustainability Committee assists with the oversight of our cybersecurity risks. Westlake's Corporate Risk and Sustainability Committee includes directors with cybersecurity experience and expertise, primarily through supervision of information technology departments as executive officers. The board of directors also receives regular updates from Westlake's Chief Information Officer on cybersecurity risks, incidents and trends, and ongoing and planned projects impacting the Partnership and OpCo. Westlake's Chief Information Officer and our senior management receive regular status reports on the Partnership's and OpCo's cybersecurity risks from Westlake's cybersecurity organization. Further, incident updates are reported to our senior management and the board of directors as Westlake's Chief Information Officer and cybersecurity organization consider appropriate, depending on the severity of the incident.</w:t>
      </w:r>
    </w:p>
    <w:p>
      <w:pPr>
        <w:spacing w:after="0" w:line="13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As part of our incident response planning, Westlake also maintains cross-functional response teams involving personnel outside of its cybersecurity organization, both globally and regionally, in order to be prepared to respond to an incident.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Information regarding our properties is contained in "Item 1. Business—OpCo's Assets" and "Item 7. Management's Discussion and Analysis of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the ordinary conduct of our business, we and Westlake and Westlake's subsidiaries, including OpCo, are subject to lawsuits, investigations and claims, including environmental claims and employee related matters. See the discussions of our environmental matters contained in "Item 1.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Environmental" and Note 16 to the consolidated financial statements included in Item 8 of this Form 10-K.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133"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have agreed to indemnify the Partnership for certain environmental and other liabilities relating to OpCo's processing facilities and related assets that occurred or existed prior to August 4, 2014.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309" w:lineRule="exact"/>
        <w:rPr>
          <w:sz w:val="20"/>
          <w:szCs w:val="20"/>
          <w:color w:val="auto"/>
        </w:rPr>
      </w:pPr>
    </w:p>
    <w:p>
      <w:pPr>
        <w:ind w:right="1940"/>
        <w:spacing w:after="0" w:line="35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Our common units are listed and traded on the New York Stock Exchange ("NYSE") under the symbol "WLKP." As of the close of business on February 26, 2025, based upon information received from our transfer agent, there were five holders of record of our common units.</w:t>
      </w:r>
    </w:p>
    <w:p>
      <w:pPr>
        <w:spacing w:after="0" w:line="1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are a publicly-traded partnership and are not subject to federal income tax. Instead, unitholders are required to report their allocable share of our income, gain, loss and deduction, regardless of whether we make distributions.</w:t>
      </w:r>
    </w:p>
    <w:p>
      <w:pPr>
        <w:spacing w:after="0" w:line="108" w:lineRule="exact"/>
        <w:rPr>
          <w:sz w:val="20"/>
          <w:szCs w:val="20"/>
          <w:color w:val="auto"/>
        </w:rPr>
      </w:pPr>
    </w:p>
    <w:p>
      <w:pPr>
        <w:ind w:right="140" w:firstLine="405"/>
        <w:spacing w:after="0" w:line="289" w:lineRule="auto"/>
        <w:rPr>
          <w:sz w:val="20"/>
          <w:szCs w:val="20"/>
          <w:color w:val="auto"/>
        </w:rPr>
      </w:pPr>
      <w:r>
        <w:rPr>
          <w:rFonts w:ascii="Times New Roman" w:cs="Times New Roman" w:eastAsia="Times New Roman" w:hAnsi="Times New Roman"/>
          <w:sz w:val="17"/>
          <w:szCs w:val="17"/>
          <w:color w:val="auto"/>
        </w:rPr>
        <w:t>Following the Partnership's cash distribution for the second quarter of 2017, the requirement under the Partnership's partnership agreement for the conversion of all subordinated units was satisfied. As a result, effective August 30, 2017, all of the subordinated units owned by Westlake were converted into common units on a one-for-one basis and thereafter participate on terms equal with all other common units in distributions of available cash.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Information from our Partnership Agreement</w:t>
      </w:r>
    </w:p>
    <w:p>
      <w:pPr>
        <w:spacing w:after="0" w:line="94"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significant provisions of our partnership agreement that relate to cash distributions, minimum quarterly distributions and incentive distribution rights.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108"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33" w:lineRule="exact"/>
        <w:rPr>
          <w:sz w:val="20"/>
          <w:szCs w:val="20"/>
          <w:color w:val="auto"/>
        </w:rPr>
      </w:pPr>
    </w:p>
    <w:p>
      <w:pPr>
        <w:jc w:val="both"/>
        <w:ind w:right="400" w:firstLine="405"/>
        <w:spacing w:after="0" w:line="312" w:lineRule="auto"/>
        <w:rPr>
          <w:sz w:val="20"/>
          <w:szCs w:val="20"/>
          <w:color w:val="auto"/>
        </w:rPr>
      </w:pPr>
      <w:r>
        <w:rPr>
          <w:rFonts w:ascii="Times New Roman" w:cs="Times New Roman" w:eastAsia="Times New Roman" w:hAnsi="Times New Roman"/>
          <w:sz w:val="17"/>
          <w:szCs w:val="17"/>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Quarterly Distribution</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common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percentage allocations per the amended partnership agreement. For more information on the Partnership's amended distribution allocation percentages, see Note 9, "Distributions and Net Income Per Limited Partner Unit," to the consolidated financial statements included in Item 8 of this form 10-K.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Interests and Incentive Distribution Rights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 Incentive distribution rights represent the right to receive increasing percentages (15.0%, 25.0% and 50.0%) of quarterly distributions from operating surplus after the target distribution levels have been achieved. Westlake currently holds the incentive distribution rights, but may transfer these rights separately from its general partner interest.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0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We did not have any unregistered sales of equity securities during the quarter or fiscal year ended December 31, 2024 that we have not previously reported on a Quarterly Report on Form 10-Q or a Current Report on Form 8-K.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ind w:right="3800"/>
        <w:spacing w:after="0" w:line="362"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the accompanying consolidated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included within this report.</w:t>
      </w:r>
    </w:p>
    <w:p>
      <w:pPr>
        <w:spacing w:after="0" w:line="12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3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2024, all third-party ethylene and associated co-products sales generated 16.3% of our total revenues.</w:t>
      </w:r>
    </w:p>
    <w:p>
      <w:pPr>
        <w:spacing w:after="0" w:line="1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2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Please refer to Note 2 to the consolidated financial statements included in Item 8 of this form 10-K for more information on the Ethylene Sales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Source Feedstock</w:t>
      </w:r>
    </w:p>
    <w:p>
      <w:pPr>
        <w:spacing w:after="0" w:line="94"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OpCo has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For its approximately 5% merchant sales, OpCo may purchase the ethane and other feedstocks to produce ethylene and resulting co-products to sell to unrelated third parties from Westlake Petrochemicals LLC.</w:t>
      </w:r>
    </w:p>
    <w:p>
      <w:pPr>
        <w:spacing w:after="0" w:line="12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Please refer to Note 2 to the consolidated financial statements included in Item 8 of this form 10-K for more information on the Feedstock Supply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Operations</w:t>
      </w:r>
    </w:p>
    <w:p>
      <w:pPr>
        <w:spacing w:after="0" w:line="108"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Volumes</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54" w:lineRule="exact"/>
        <w:rPr>
          <w:sz w:val="20"/>
          <w:szCs w:val="20"/>
          <w:color w:val="auto"/>
        </w:rPr>
      </w:pPr>
    </w:p>
    <w:p>
      <w:pPr>
        <w:ind w:left="660" w:right="1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sufficient volumes of ethylene to meet our commitments under the Ethylene Sales Agreement or recover our estimated costs through the pricing provisions of the Ethylene Sales Agreement;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third parties for the remaining uncommitted production capacity;</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increase capacity at our existing production facilities, or add additional production capacity via organic expansion projects and acquisitions;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or exceed the specified yield factors for natural gas, ethane and other feedstock under the Ethylene Sales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Maintenance Capital Expenditures and Turnaround Costs</w:t>
      </w:r>
    </w:p>
    <w:p>
      <w:pPr>
        <w:spacing w:after="0" w:line="94" w:lineRule="exact"/>
        <w:rPr>
          <w:sz w:val="20"/>
          <w:szCs w:val="20"/>
          <w:color w:val="auto"/>
        </w:rPr>
      </w:pPr>
    </w:p>
    <w:p>
      <w:pPr>
        <w:ind w:right="60" w:firstLine="405"/>
        <w:spacing w:after="0" w:line="272" w:lineRule="auto"/>
        <w:rPr>
          <w:sz w:val="20"/>
          <w:szCs w:val="20"/>
          <w:color w:val="auto"/>
        </w:rPr>
      </w:pPr>
      <w:r>
        <w:rPr>
          <w:rFonts w:ascii="Times New Roman" w:cs="Times New Roman" w:eastAsia="Times New Roman" w:hAnsi="Times New Roman"/>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 We commenced the next maintenance turnaround at Petro 1 in the first quarter of 2025.</w:t>
      </w:r>
    </w:p>
    <w:p>
      <w:pPr>
        <w:spacing w:after="0" w:line="118" w:lineRule="exact"/>
        <w:rPr>
          <w:sz w:val="20"/>
          <w:szCs w:val="20"/>
          <w:color w:val="auto"/>
        </w:rPr>
      </w:pPr>
    </w:p>
    <w:p>
      <w:pPr>
        <w:ind w:right="18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MLP Distributable Cash Flow and EBITDA</w:t>
      </w:r>
    </w:p>
    <w:p>
      <w:pPr>
        <w:spacing w:after="0" w:line="108"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 for Ethylene and Resulting Co-products</w:t>
      </w:r>
    </w:p>
    <w:p>
      <w:pPr>
        <w:spacing w:after="0" w:line="10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purchase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 1 Turnaround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quarter of 2025, we commenced our planned maintenance turnaround of the Petro 1 production facility.</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Partnership for the years ended December 31, 2024 and 2023. A detailed comparison of the Partnership's 2023 operating results to its 2022 operating results can be found in the Management's Discussion and Analysis of Financial Condition and Results of Operations section in the Partnership's 2023 Annual Report on Form 10-K filed February 28,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7"/>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and per unit data)</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950,801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185,095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1,190,791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expense—Westlake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335,439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280,343</w:t>
            </w:r>
          </w:p>
        </w:tc>
        <w:tc>
          <w:tcPr>
            <w:tcW w:w="0" w:type="dxa"/>
            <w:vAlign w:val="bottom"/>
          </w:tcPr>
          <w:p>
            <w:pPr>
              <w:spacing w:after="0"/>
              <w:rPr>
                <w:sz w:val="1"/>
                <w:szCs w:val="1"/>
                <w:color w:val="auto"/>
              </w:rPr>
            </w:pPr>
          </w:p>
        </w:tc>
      </w:tr>
      <w:tr>
        <w:trPr>
          <w:trHeight w:val="156"/>
        </w:trPr>
        <w:tc>
          <w:tcPr>
            <w:tcW w:w="82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 partners'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62,392</w:t>
            </w:r>
          </w:p>
        </w:tc>
        <w:tc>
          <w:tcPr>
            <w:tcW w:w="100" w:type="dxa"/>
            <w:vAlign w:val="bottom"/>
          </w:tcPr>
          <w:p>
            <w:pPr>
              <w:spacing w:after="0"/>
              <w:rPr>
                <w:sz w:val="13"/>
                <w:szCs w:val="13"/>
                <w:color w:val="auto"/>
              </w:rPr>
            </w:pP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54,283</w:t>
            </w:r>
          </w:p>
        </w:tc>
        <w:tc>
          <w:tcPr>
            <w:tcW w:w="0" w:type="dxa"/>
            <w:vAlign w:val="bottom"/>
          </w:tcPr>
          <w:p>
            <w:pPr>
              <w:spacing w:after="0"/>
              <w:rPr>
                <w:sz w:val="1"/>
                <w:szCs w:val="1"/>
                <w:color w:val="auto"/>
              </w:rPr>
            </w:pPr>
          </w:p>
        </w:tc>
      </w:tr>
      <w:tr>
        <w:trPr>
          <w:trHeight w:val="221"/>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 in net income</w:t>
            </w:r>
          </w:p>
        </w:tc>
        <w:tc>
          <w:tcPr>
            <w:tcW w:w="1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limited partner unit attributable to Westlake Chemical Partners LP</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limited partner units outstanding</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21,110,640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21,102,110</w:t>
            </w: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units—Westlake</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14,122,230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66,864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62,574</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Net sales percentage change from prior-year period due to average sales price and volume</w:t>
      </w:r>
    </w:p>
    <w:p>
      <w:pPr>
        <w:spacing w:after="0" w:line="20" w:lineRule="exact"/>
        <w:rPr>
          <w:sz w:val="20"/>
          <w:szCs w:val="20"/>
          <w:color w:val="auto"/>
        </w:rPr>
      </w:pPr>
      <w:r>
        <w:rPr>
          <w:sz w:val="20"/>
          <w:szCs w:val="20"/>
          <w:color w:val="auto"/>
        </w:rPr>
        <w:br w:type="column"/>
      </w:r>
    </w:p>
    <w:p>
      <w:pPr>
        <w:ind w:left="23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2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920" w:type="dxa"/>
            <w:vAlign w:val="bottom"/>
            <w:gridSpan w:val="3"/>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Average Sales</w:t>
            </w: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940" w:type="dxa"/>
            <w:vAlign w:val="bottom"/>
            <w:gridSpan w:val="3"/>
          </w:tcPr>
          <w:p>
            <w:pPr>
              <w:jc w:val="center"/>
              <w:ind w:right="420"/>
              <w:spacing w:after="0" w:line="135" w:lineRule="exact"/>
              <w:rPr>
                <w:sz w:val="20"/>
                <w:szCs w:val="20"/>
                <w:color w:val="auto"/>
              </w:rPr>
            </w:pPr>
            <w:r>
              <w:rPr>
                <w:rFonts w:ascii="Times New Roman" w:cs="Times New Roman" w:eastAsia="Times New Roman" w:hAnsi="Times New Roman"/>
                <w:sz w:val="14"/>
                <w:szCs w:val="14"/>
                <w:b w:val="1"/>
                <w:bCs w:val="1"/>
                <w:color w:val="auto"/>
              </w:rPr>
              <w:t>Average Sales</w:t>
            </w:r>
          </w:p>
        </w:tc>
        <w:tc>
          <w:tcPr>
            <w:tcW w:w="1200" w:type="dxa"/>
            <w:vAlign w:val="bottom"/>
            <w:vMerge w:val="restart"/>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0" w:type="dxa"/>
            <w:vAlign w:val="bottom"/>
          </w:tcPr>
          <w:p>
            <w:pPr>
              <w:spacing w:after="0"/>
              <w:rPr>
                <w:sz w:val="1"/>
                <w:szCs w:val="1"/>
                <w:color w:val="auto"/>
              </w:rPr>
            </w:pPr>
          </w:p>
        </w:tc>
      </w:tr>
      <w:tr>
        <w:trPr>
          <w:trHeight w:val="196"/>
        </w:trPr>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20" w:type="dxa"/>
            <w:vAlign w:val="bottom"/>
            <w:gridSpan w:val="2"/>
            <w:vMerge w:val="continue"/>
          </w:tcPr>
          <w:p>
            <w:pPr>
              <w:spacing w:after="0"/>
              <w:rPr>
                <w:sz w:val="17"/>
                <w:szCs w:val="17"/>
                <w:color w:val="auto"/>
              </w:rPr>
            </w:pPr>
          </w:p>
        </w:tc>
        <w:tc>
          <w:tcPr>
            <w:tcW w:w="19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4"/>
                <w:szCs w:val="2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35"/>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-685800</wp:posOffset>
            </wp:positionV>
            <wp:extent cx="713232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00" w:space="660"/>
            <w:col w:w="63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-58.5 %</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20" w:right="420" w:hanging="412"/>
        <w:spacing w:after="0" w:line="282" w:lineRule="auto"/>
        <w:tabs>
          <w:tab w:leader="none" w:pos="4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Reconciliations for each of MLP distributable cash flow and EBITDA are included below.</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9"/>
        </w:trPr>
        <w:tc>
          <w:tcPr>
            <w:tcW w:w="6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463,736</w:t>
            </w: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2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334,829</w:t>
            </w: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6"/>
        </w:trPr>
        <w:tc>
          <w:tcPr>
            <w:tcW w:w="67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Depreciation, amortization and disposition of property, plant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w:t>
            </w: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(45,249)</w:t>
            </w:r>
          </w:p>
        </w:tc>
      </w:tr>
      <w:tr>
        <w:trPr>
          <w:trHeight w:val="175"/>
        </w:trPr>
        <w:tc>
          <w:tcPr>
            <w:tcW w:w="67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 in</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6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OpCo</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(321,928)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(310,316)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463,736</w:t>
            </w:r>
          </w:p>
        </w:tc>
      </w:tr>
      <w:tr>
        <w:trPr>
          <w:trHeight w:val="229"/>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334,829</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r>
      <w:tr>
        <w:trPr>
          <w:trHeight w:val="229"/>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347,687</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121,074</w:t>
            </w:r>
          </w:p>
        </w:tc>
      </w:tr>
      <w:tr>
        <w:trPr>
          <w:trHeight w:val="230"/>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net income was $369.2 million on net sales of $1,135.9 million. This represents an increase in net income of $34.6 million as compared to net income of $334.6 million on net sales of $1,190.8 million for the year ended December 31, 2023. Net income attributable to the Partnership in 2024 was $62.4 million as compared to $54.3 million in 2023, an increase of $8.1 million. Income from operations was $390.4 million for 2024, as compared to $357.7 million for 2023, an increase of $32.7 million. Net sales for 2024 decreased by $54.9 million as compared to 2023 primarily due to lower ethylene sales prices to Westlake in 2024 compared to 2023, including the impact of the sale of excess quantities of ethylene in 2024 at prices that excluded certain non-variable costs of production pursuant to the Ethylene Sales Agreement, partially offset by higher ethylene and co-products sales volumes and higher third-party ethylene sales prices. Income from operations, net income and net income attributable to the Partnership for 2024 increased compared to 2023 due to higher third-party ethylene sales prices, lower ethane feedstock and natural gas costs and higher ethylene and co-products sales volumes, partially offset by lower ethylene sales prices to Westlake including the impact of the sale of excess quantities of ethylene at prices that excluded certain non-variable costs of production.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Compared with 2023</w:t>
      </w:r>
    </w:p>
    <w:p>
      <w:pPr>
        <w:spacing w:after="0" w:line="10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$54.9 million, or 4.6%, to $1,135.9 million in 2024 from $1,190.8 million in 2023. The decrease in net sales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ethylene sales prices to Westlake in 2024 as compared to 2023 including the impact of the sale of excess quantities of ethylene at prices that excluded certain non-variable costs of production, partially offset by higher ethylene and co-products sales volumes and higher third-party ethylene sales prices. Lower average sales prices in 2024 contributed to a 6.6% decrease in net sales compared to 2023. Higher sales volumes in 2024 contributed to a 2.0% increase in net sales compared to 2023.</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was $418.9 million in 2024, as compared to gross profit of $387.5 million in 2023. The gross profit margin was 36.9% in</w:t>
      </w:r>
    </w:p>
    <w:p>
      <w:pPr>
        <w:spacing w:after="0" w:line="2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2024 as compared to 32.5% in 2023. The increased gross profit margin in 2024 was primarily due to lower ethane feedstock and natural gas costs and higher third-party ethylene sales prices in 2024 as compared to 2023.</w:t>
      </w:r>
    </w:p>
    <w:p>
      <w:pPr>
        <w:spacing w:after="0" w:line="125"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decreased by $1.3 million, or 4.4%, to $28.5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$29.8 million in 2023. The decrease in 2024, as compared to 2023, was mainly attributable to lower service costs.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Expense—Westlake</w:t>
      </w:r>
      <w:r>
        <w:rPr>
          <w:rFonts w:ascii="Times New Roman" w:cs="Times New Roman" w:eastAsia="Times New Roman" w:hAnsi="Times New Roman"/>
          <w:sz w:val="18"/>
          <w:szCs w:val="18"/>
          <w:color w:val="auto"/>
        </w:rPr>
        <w:t>. Interest expense remained relatively consistent at $25.7 million in 2024 compared to $26.5 million in 2023.</w:t>
      </w:r>
    </w:p>
    <w:p>
      <w:pPr>
        <w:spacing w:after="0" w:line="171" w:lineRule="exact"/>
        <w:rPr>
          <w:sz w:val="20"/>
          <w:szCs w:val="20"/>
          <w:color w:val="auto"/>
        </w:rPr>
      </w:pPr>
    </w:p>
    <w:p>
      <w:pPr>
        <w:jc w:val="both"/>
        <w:ind w:right="3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increased by $1.1 million to $5.3 million in 2024 from $4.2 million in 2023 primarily due to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earned on the balance with Westlake under the Investment Management Agreement due to a higher average amount of cash invested in 2024 as compared to 2023.</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remained consistent at $0.8 million in 2024 as compared to $0.8 million in 2023.</w:t>
      </w:r>
    </w:p>
    <w:p>
      <w:pPr>
        <w:spacing w:after="0" w:line="171" w:lineRule="exact"/>
        <w:rPr>
          <w:sz w:val="20"/>
          <w:szCs w:val="20"/>
          <w:color w:val="auto"/>
        </w:rPr>
      </w:pPr>
    </w:p>
    <w:p>
      <w:pPr>
        <w:ind w:right="4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$4.3 million to $66.9 million in 2024 from $62.6 million in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MLP distributable cash flow was primarily a result of higher net income, partially offset by higher reserves for future turnarounds.</w:t>
      </w:r>
    </w:p>
    <w:p>
      <w:pPr>
        <w:spacing w:after="0" w:line="10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$35.5 million to $507.6 million in 2024 from EBITDA of $472.1 million in 2023. The increased EBITDA,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was primarily due to higher third-party ethylene sales prices, lower ethane feedstock and natural gas costs and higher ethylene and co-products sales volumes in 2024 as compared to 2023, partially offset by lower ethylene sales prices to Westlake including the impact of the sale of excess quantities of ethylene at prices that excluded certain non-variable costs of production.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activities provided cash of $485.0 million in 2024 as compared to cash provided by operating activities of $452.0 million in 2023.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million increase in cash flows from operating activities was mainly due to higher income from operations, which was partially offset by a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working capital. Changes in components of working capital, which we define for the purposes of this cash flow discussion as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net—Westlake, accounts receivable, net—third parties, inventories, prepaid expenses and other current assets less accounts payable—Westlake,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payable—third parties and accrued and other liabilities, provided cash of $24.8 million in 2024 as compared to $34.4 million of cash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resulting in a unfavorable change of $9.6 million. The unfavorable change in working capital was mainly attributable to unfavorable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liabilities and accounts payable—third parties primarily due to higher maintenance costs accrual at December 31, 2023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These unfavorable changes were partially offset by a favorable change in accounts receivable, net—third parties due to collection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cost reimbursement and lower third party receivables at the end of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during 2024 was $89.0 million as compared to net cash used for investing activities of $75.9 million in 2023. The $13.1 million increase in cash used for investing activities was mainly due to an increase in net cash invested under the Investment Management Agreement in 2024 as compared to 2023. During 2024, we invested $40.0 million with Westlake. During 2023, we invested $174.1 million with Westlake, and $145.0 million of such investments matured. Capital expenditures were $49.0 million in 2024 as compared to $46.8 million in 2023. Capital expenditures during 2024 and 2023 were related to projects to improve production capacity or reduce costs, maintenance and safety and environmental projects at our facilities.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during 2024 was $396.3 million as compared to net cash used for financing activities of $382.2 million in 2023. The cash outflows during 2024 were related to distributions of $329.9 million to the noncontrolling interest retained in OpCo by Westlake and of $66.4 million to unitholders by the Partnership. The cash outflows during 2023 were related to distributions of $315.8 million to the noncontrolling interest retained in OpCo by Westlake and of $66.4 million to unitholders by the Partnership.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December 31, 2024.</w:t>
      </w:r>
    </w:p>
    <w:p>
      <w:pPr>
        <w:spacing w:after="0" w:line="1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to eight years. By reserving additional cash annually, we intend to reduce the variability in OpCo's cash flow. Although we had previously planned to commence the next maintenance turnaround at the Petro 1 ethylene unit in the third quarter of 2024, we made the decision to defer the planned turnaround in order to maintain production and capitalize on higher average third-party ethylene sales prices during the third quarter of 2024. We commenced the planned maintenance turnaround in the first quarter of 2025. Westlake's purchase price for ethylene purchased under the Ethylene Sales Agreement includes a component (adjusted annually) designed to cover, over the long term, substantially all of OpCo's turnaround expenditures.</w:t>
      </w:r>
    </w:p>
    <w:p>
      <w:pPr>
        <w:spacing w:after="0" w:line="13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incur additional debt, among other things. Westlake's credit facility and various indentures do not prevent OpCo from making distributions to us.</w:t>
      </w:r>
    </w:p>
    <w:p>
      <w:pPr>
        <w:spacing w:after="0" w:line="12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7"/>
          <w:szCs w:val="17"/>
          <w:color w:val="auto"/>
        </w:rPr>
        <w:t>On January 27, 2025, the board of directors of Westlake Chemical Partners GP LLC, our general partner, approved a quarterly distribution of $0.4714 per unit payable on February 25, 2025 to unitholders of record as of February 7, 2025, which equates to a total amount of approximately $16.6 million per quarter, or approximately $66.4 million per year in aggregate, based on the number of common units outstanding on December 31, 2024. We do not have a legal or contractual obligation to pay distributions on a quarterly basis or any other basis at our minimum quarterly distribution rate or any other 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2024, 2023 or 2022. Total capital expenditures for the years ended December 31, 2024, 2023 and 2022 were $49.0 million, $46.8 million, and $54.1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2024, our cash and cash equivalents totaled $58.3 million. In addition, we have cash invested under the Investment Management Agreement and a revolving credit facility with Westlake available to supplement cash on hand, if needed, as described under "Indebtedness" below.</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described above, we, OpCo and Westlake are parties to an Investment Management Agreement that authorizes Westlake to invest the Partnership's and OpCo's excess cash with Westlake for durations of up to a maximum of nine months. The Partnership had $134.6 million of cash invested under the Investment Management Agreement at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December 31, 2024,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2024, the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0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Partnership's material cash requirements for contractual obligations and commercial commitments in the near term (next 12 months) and the long-term period (2026 and thereafter) include repayment of long-term debt, interest payments, operating leases and purchase obligations.</w:t>
      </w:r>
    </w:p>
    <w:p>
      <w:pPr>
        <w:spacing w:after="0" w:line="10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Obligations and Interest Payments. </w:t>
      </w:r>
      <w:r>
        <w:rPr>
          <w:rFonts w:ascii="Times New Roman" w:cs="Times New Roman" w:eastAsia="Times New Roman" w:hAnsi="Times New Roman"/>
          <w:sz w:val="18"/>
          <w:szCs w:val="18"/>
          <w:color w:val="auto"/>
        </w:rPr>
        <w:t>As of December 31, 2024, we had $25.8 million of debt related interest expense due within the near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debt obligations of $399.7 million and related interest expense of $39.4 million due over the long-term period, respectively. All $399.7 million of our outstanding debt matures in 2027. See Note 8, "Long-Term Debt," in the Notes to Consolidated Financial Statements in Item 8 of this form 10-K for further information on our debt obligations and the expected timing of future principal and interest payments.</w:t>
      </w:r>
    </w:p>
    <w:p>
      <w:pPr>
        <w:spacing w:after="0" w:line="126"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As of December 31, 2024, there was $1.7 million in operating lease obligations due within the near term and $2.2 million due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long-term period related to noncancelable operating leases with respect to rail cars that are subleased to OpCo.</w:t>
      </w:r>
    </w:p>
    <w:p>
      <w:pPr>
        <w:spacing w:after="0" w:line="10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Purchase obligations include agreements to purchase goods and services that are enforceable and legally binding and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specify all significant terms, including a minimum quantity and price. As of December 31, 2024, we had $128.7 million of enforceable and legally binding purchase commitments due within the near term, and none due over the long-term period. Additionally, we are party to various agreements to purchase goods and services, including the Services and Secondment Agreement, in the ordinary course of our business, as well as various agreements related to our capital projects.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140" w:firstLine="405"/>
        <w:spacing w:after="0" w:line="281" w:lineRule="auto"/>
        <w:rPr>
          <w:sz w:val="20"/>
          <w:szCs w:val="20"/>
          <w:color w:val="auto"/>
        </w:rPr>
      </w:pPr>
      <w:r>
        <w:rPr>
          <w:rFonts w:ascii="Times New Roman" w:cs="Times New Roman" w:eastAsia="Times New Roman" w:hAnsi="Times New Roman"/>
          <w:sz w:val="17"/>
          <w:szCs w:val="17"/>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 Our significant accounting policies are summarized in Note 1 in the Notes to Consolidated Financial Statements in Item 8 of this form 10-K.</w:t>
      </w:r>
    </w:p>
    <w:p>
      <w:pPr>
        <w:spacing w:after="0" w:line="11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GAAP that involve a significant level of estimation uncertainty and have had or are reasonably likely to have a material impact on our financial condition or results of operations. Our more critical accounting estimates include those related to long-lived assets, fair value estimates, goodwill impairment and environmental and legal obligations. Inherent in such estimates are certain key assumptions. We periodically update the estimates used in the preparation of the financial statements based on our latest assessment of the current and projected business and general economic environment. We believe the following to be our most critical accounting estimates required for the preparation of our financial statements.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Key estimates related to long-lived assets include useful lives, recoverability of carrying values and existence of any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13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3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estimated useful lives of long-lived assets range from three to 40 years. Depreciation and amortization of these assets, including amortization of deferred turnaround costs, under the straight-line method over their estimated useful lives totaled $111.9 million, $110.2 million and $121.1 million in 2024, 2023 and 2022, respectively. If the useful lives of the assets were found to be shorter than originally estimated, depreciation or amortization charges would be accelerated.</w:t>
      </w:r>
    </w:p>
    <w:p>
      <w:pPr>
        <w:spacing w:after="0" w:line="126" w:lineRule="exact"/>
        <w:rPr>
          <w:sz w:val="20"/>
          <w:szCs w:val="20"/>
          <w:color w:val="auto"/>
        </w:rPr>
      </w:pPr>
    </w:p>
    <w:p>
      <w:pPr>
        <w:ind w:right="140" w:firstLine="405"/>
        <w:spacing w:after="0" w:line="277" w:lineRule="auto"/>
        <w:rPr>
          <w:sz w:val="20"/>
          <w:szCs w:val="20"/>
          <w:color w:val="auto"/>
        </w:rPr>
      </w:pPr>
      <w:r>
        <w:rPr>
          <w:rFonts w:ascii="Times New Roman" w:cs="Times New Roman" w:eastAsia="Times New Roman" w:hAnsi="Times New Roman"/>
          <w:sz w:val="17"/>
          <w:szCs w:val="17"/>
          <w:color w:val="auto"/>
        </w:rPr>
        <w:t>We defer the costs of planned major maintenance activities, or turnarounds, and amortize the costs over the period until the next planned turnaround of the affected unit. Total costs deferred on turnarounds were $21.5 million, $30.9 million and $6.7 million in 2024, 2023 and 2022, respectively. Amortization of previously deferred turnaround costs was $25.1 million, $25.4 million and $26.0 million in 2024, 2023 and 2022, respectively. As of December 31, 2024, deferred turnaround costs, net of accumulated amortization, totaled $129.6 million. Expensing turnaround costs as incurred would likely result in greater variability of our quarterly operating results and would adversely affect our financial position and results of operations.</w:t>
      </w:r>
    </w:p>
    <w:p>
      <w:pPr>
        <w:spacing w:after="0" w:line="11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long-lived assets and related depreciation and amortization appears in Notes 5 and 7 to the consolidated financial statements included in Item 8 of this form 10-K.</w:t>
      </w:r>
    </w:p>
    <w:p>
      <w:pPr>
        <w:spacing w:after="0" w:line="106"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Estimates. </w:t>
      </w:r>
      <w:r>
        <w:rPr>
          <w:rFonts w:ascii="Times New Roman" w:cs="Times New Roman" w:eastAsia="Times New Roman" w:hAnsi="Times New Roman"/>
          <w:sz w:val="18"/>
          <w:szCs w:val="18"/>
          <w:color w:val="auto"/>
        </w:rPr>
        <w:t>We develop estimates of fair value to allocate the purchase price paid to acquire a business to the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in an acquisition, to assess impairment of long-lived assets and goodwill and to record derivative instruments. We use all available information to make these fair value determinations, including the engagement of third-party consultants.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 There were no derivative positions during the years ended December 31, 2024, 2023 and 2022. However, we may enter into derivative arrangements in the future.</w:t>
      </w:r>
    </w:p>
    <w:p>
      <w:pPr>
        <w:spacing w:after="0" w:line="12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evaluated for impairment when events or changes in circumstances indicate the fair value of a reporting unit with goodwill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reduced below its carrying value, and otherwise at least annually. At December 31, 2024, recorded goodwill was $5.8 million, all of which was associated with the acquisition of the Longview Pipeline as part of the past acquisition of Westlake's Longview production facilities. We perform our annual impairment assessment in the fourth quarter. We may elect to perform an optional qualitative assessment to determine whether a quantitative impairment analysis is required. The qualitative assessment considers factors such as macroeconomic conditions, industry and market considerations, cost factors related to raw materials and labor, current and projected financial performance, changes in management or strategy, and market capitalization. Alternatively, we may unconditionally elect to bypass the qualitative assessment and perform a quantitative goodwill impairment assessment in any period. Significant assumptions used in the discounted cash flow projection impairment assessment for goodwill include future sales volumes based on production capacities. The future cash flows are discounted to present value using a discount rate. The significant assumptions used in determining the fair value of the reporting unit using the market value methodology include the determination of appropriate market comparables and the estimated multiples of EBITDA a willing buyer is likely to pay. We elected to perform the qualitative assessment in the fourth quarter of 2024 and concluded that it is more likely than not that the fair value of the reporting unit exceeds the carrying amount and, as such, the quantitative impairment test was not required.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Environmental and Legal Obligations. </w:t>
      </w:r>
      <w:r>
        <w:rPr>
          <w:rFonts w:ascii="Times New Roman" w:cs="Times New Roman" w:eastAsia="Times New Roman" w:hAnsi="Times New Roman"/>
          <w:sz w:val="18"/>
          <w:szCs w:val="18"/>
          <w:color w:val="auto"/>
        </w:rPr>
        <w:t>We consult with various professionals to assist us in making estimates relating to environmental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"Item 1.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Environmental" and in Note 16 to the consolidated financial statements included in Item 8 of this form 10-K.</w:t>
      </w:r>
    </w:p>
    <w:p>
      <w:pPr>
        <w:spacing w:after="0" w:line="13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has conditional asset retirement obligations for the removal and disposal of hazardous materials and the remediation of the cause of any such release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160" w:firstLine="405"/>
        <w:spacing w:after="0" w:line="312" w:lineRule="auto"/>
        <w:rPr>
          <w:sz w:val="20"/>
          <w:szCs w:val="20"/>
          <w:color w:val="auto"/>
        </w:rPr>
      </w:pPr>
      <w:r>
        <w:rPr>
          <w:rFonts w:ascii="Times New Roman" w:cs="Times New Roman" w:eastAsia="Times New Roman" w:hAnsi="Times New Roman"/>
          <w:sz w:val="17"/>
          <w:szCs w:val="17"/>
          <w:color w:val="auto"/>
        </w:rPr>
        <w:t>See Note 1 to the consolidated financial statements included in Item 8 of this form 10-K for a full description of recent accounting pronouncements, including expected dates of adoption and estimated effects on results of operations and financial condition, which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There were no derivative positions during the years ended December 31, 2024, 2023 and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jc w:val="both"/>
        <w:ind w:right="80" w:firstLine="405"/>
        <w:spacing w:after="0" w:line="272" w:lineRule="auto"/>
        <w:rPr>
          <w:sz w:val="20"/>
          <w:szCs w:val="20"/>
          <w:color w:val="auto"/>
        </w:rPr>
      </w:pPr>
      <w:r>
        <w:rPr>
          <w:rFonts w:ascii="Times New Roman" w:cs="Times New Roman" w:eastAsia="Times New Roman" w:hAnsi="Times New Roman"/>
          <w:sz w:val="17"/>
          <w:szCs w:val="17"/>
          <w:color w:val="auto"/>
        </w:rPr>
        <w:t>We are exposed to interest rate risk with respect to our outstanding debt, all of which is variable rate debt. As of December 31, 2024,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December 31, 2024 was 6.4%.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December 31, 2024 debt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080" w:type="dxa"/>
            <w:vAlign w:val="bottom"/>
          </w:tcPr>
          <w:p>
            <w:pPr>
              <w:spacing w:after="0"/>
              <w:rPr>
                <w:sz w:val="16"/>
                <w:szCs w:val="16"/>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0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9"/>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20" w:type="dxa"/>
            <w:vAlign w:val="bottom"/>
          </w:tcPr>
          <w:p>
            <w:pPr>
              <w:spacing w:after="0"/>
              <w:rPr>
                <w:sz w:val="19"/>
                <w:szCs w:val="19"/>
                <w:color w:val="auto"/>
              </w:rPr>
            </w:pPr>
          </w:p>
        </w:tc>
      </w:tr>
      <w:tr>
        <w:trPr>
          <w:trHeight w:val="229"/>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2023 and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Changes in Equity for the Years Ended December 31, 2024, 2023 and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7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Financial statement schedules not included in this Form 10-K have been omitted because they are not applicable or because the required information is shown in the consolidated financial statements or notes thereto.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7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management of the Partnership assessed the effectiveness of the Partnership's internal control over financial reporting as of December 31, 2024.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w:t>
      </w:r>
      <w:r>
        <w:rPr>
          <w:rFonts w:ascii="Times New Roman" w:cs="Times New Roman" w:eastAsia="Times New Roman" w:hAnsi="Times New Roman"/>
          <w:sz w:val="18"/>
          <w:szCs w:val="18"/>
          <w:color w:val="auto"/>
        </w:rPr>
        <w:t>(2013). Based on its assessment, the Partnership's management has concluded that the Partnership's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as of December 31, 2024 based on those criteria.</w:t>
      </w:r>
    </w:p>
    <w:p>
      <w:pPr>
        <w:spacing w:after="0" w:line="126"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2024 as stated in their report that appears on the following page.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Westlake Chemical Partners LP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Westlake Chemical Partners GP LLC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Westlake Chemical Partners LP and its subsidiaries (the "Partnership") as of December 31, 2024 and 2023, and the related consolidated statements of operations, of changes in equity and of cash flows for each of the three years in the period ended December 31, 2024, including the related notes (collectively referred to as the "consolidated financial statements"). We also have audited the Partnership's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Partnership as of December 31, 2024 and 2023, and the results of its operations and its cash flows for each of the three years in the period ended December 31, 2024 in conformity with accounting principles generally accepted in the United States of America. Also in our opinion, the Partnership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the Ethylene Sales Agreement</w:t>
      </w:r>
    </w:p>
    <w:p>
      <w:pPr>
        <w:spacing w:after="0" w:line="241" w:lineRule="exact"/>
        <w:rPr>
          <w:sz w:val="20"/>
          <w:szCs w:val="20"/>
          <w:color w:val="auto"/>
        </w:rPr>
      </w:pPr>
    </w:p>
    <w:p>
      <w:pPr>
        <w:ind w:right="60" w:firstLine="405"/>
        <w:spacing w:after="0" w:line="235" w:lineRule="auto"/>
        <w:rPr>
          <w:sz w:val="20"/>
          <w:szCs w:val="20"/>
          <w:color w:val="auto"/>
        </w:rPr>
      </w:pPr>
      <w:r>
        <w:rPr>
          <w:rFonts w:ascii="Times New Roman" w:cs="Times New Roman" w:eastAsia="Times New Roman" w:hAnsi="Times New Roman"/>
          <w:sz w:val="18"/>
          <w:szCs w:val="18"/>
          <w:color w:val="auto"/>
        </w:rPr>
        <w:t>As described in Notes 2 and 11 to the consolidated financial statements, the Partnership recognized net sales to Westlake Corporation ("Westlake") of $951 million for the year ended December 31, 2024. The Ethylene Sales Agreement requires Westlake to purchase a minimum volume of ethylene each year equal to 95% of Westlake Chemical OpCo LP's ("OpCo") planned ethylene production per year,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 The fee for each pound of ethylene purchased by Westlake from OpCo up to the minimum commitment will equal (i) the actual price OpCo pays Westlake to purchase ethane, (ii) plus the actual price OpCo pays Westlake to purchase natural gas, (iii) plus OpCo's estimated operating costs divided by OpCo's planned ethylene production for the year, (iv) plus a five-year average of OpCo's expected future maintenance capital expenditures and other turnaround expenditures divided by OpCo's planned ethylene production capacity for the year, (v) less the proceeds received by OpCo from the sale of co-products associated with producing the ethylene purchased by Westlake, (vi) plus a $0.10 per pound margin. The fee for the Excess Production Option, if exercised, equals OpCo's estimated variable operating costs of producing the incremental ethylene, net of revenues from co-products sales plus a $0.10 per pound margin. 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In the event Westlake purchases less than its annual commitment, the Partnership recognizes buyer deficiency fees representing fixed margin and all expenses and expenditures incurred per pound of volume committed but not taken by Westlake. Westlake exercised the Excess Production Option in 2024.</w:t>
      </w:r>
    </w:p>
    <w:p>
      <w:pPr>
        <w:spacing w:after="0" w:line="240"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from the Ethylene Sales Agreement is a critical audit matter are the significant audit effort in performing procedures and evaluating the calculation of the fee for each pound of ethylene.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of the fees used to determine revenue from the Ethylene Sales Agreement. These procedures also included, among others (i) testing the completeness and accuracy of underlying inputs used in the fee for each pound of ethylene purchased by Westlake, buyer deficiency fee and Shortfall calculations; and (ii) testing the accuracy of the volume of ethylene purchased by Westlake as part of the Ethylene Sales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7"/>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195"/>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except unit amounts)</w:t>
            </w:r>
          </w:p>
        </w:tc>
        <w:tc>
          <w:tcPr>
            <w:tcW w:w="0" w:type="dxa"/>
            <w:vAlign w:val="bottom"/>
          </w:tcPr>
          <w:p>
            <w:pPr>
              <w:spacing w:after="0"/>
              <w:rPr>
                <w:sz w:val="1"/>
                <w:szCs w:val="1"/>
                <w:color w:val="auto"/>
              </w:rPr>
            </w:pPr>
          </w:p>
        </w:tc>
      </w:tr>
      <w:tr>
        <w:trPr>
          <w:trHeight w:val="235"/>
        </w:trPr>
        <w:tc>
          <w:tcPr>
            <w:tcW w:w="82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0" w:type="dxa"/>
            <w:vAlign w:val="bottom"/>
          </w:tcPr>
          <w:p>
            <w:pPr>
              <w:spacing w:after="0"/>
              <w:rPr>
                <w:sz w:val="1"/>
                <w:szCs w:val="1"/>
                <w:color w:val="auto"/>
              </w:rPr>
            </w:pPr>
          </w:p>
        </w:tc>
      </w:tr>
      <w:tr>
        <w:trPr>
          <w:trHeight w:val="176"/>
        </w:trPr>
        <w:tc>
          <w:tcPr>
            <w:tcW w:w="82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Receivable under the Investment Management Agreement—Westlake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("Westlake")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49,565</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226,203</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943,843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140,982</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460,592</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(21,116,326 and 21,105,904 units issued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December 31, 2024 and December 31, 2023, respectively)</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 at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279,934</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gridSpan w:val="6"/>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rPr>
              <w:t>except unit amounts and per unit data)</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950,801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1,026,655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1,342,910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250,237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1,190,791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1,593,147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803,332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1,215,782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377,365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347,687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335,846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270,656</w:t>
            </w:r>
          </w:p>
        </w:tc>
        <w:tc>
          <w:tcPr>
            <w:tcW w:w="0" w:type="dxa"/>
            <w:vAlign w:val="bottom"/>
          </w:tcPr>
          <w:p>
            <w:pPr>
              <w:spacing w:after="0"/>
              <w:rPr>
                <w:sz w:val="1"/>
                <w:szCs w:val="1"/>
                <w:color w:val="auto"/>
              </w:rPr>
            </w:pPr>
          </w:p>
        </w:tc>
      </w:tr>
      <w:tr>
        <w:trPr>
          <w:trHeight w:val="155"/>
        </w:trPr>
        <w:tc>
          <w:tcPr>
            <w:tcW w:w="67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 partners'</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62,392</w:t>
            </w: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54,283</w:t>
            </w:r>
          </w:p>
        </w:tc>
        <w:tc>
          <w:tcPr>
            <w:tcW w:w="120" w:type="dxa"/>
            <w:vAlign w:val="bottom"/>
          </w:tcPr>
          <w:p>
            <w:pPr>
              <w:spacing w:after="0"/>
              <w:rPr>
                <w:sz w:val="13"/>
                <w:szCs w:val="13"/>
                <w:color w:val="auto"/>
              </w:rPr>
            </w:pP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64,173</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in net income</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limited partner unit attributable to Westlake Chemical Partners LP (basic</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limited partner units outstanding</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21,110,640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21,102,110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21,095,106</w:t>
            </w: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i w:val="1"/>
                <w:iCs w:val="1"/>
                <w:color w:val="auto"/>
              </w:rPr>
              <w:t>Partnership</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Pr>
          <w:p>
            <w:pPr>
              <w:spacing w:after="0"/>
              <w:rPr>
                <w:sz w:val="11"/>
                <w:szCs w:val="11"/>
                <w:color w:val="auto"/>
              </w:rPr>
            </w:pPr>
          </w:p>
        </w:tc>
        <w:tc>
          <w:tcPr>
            <w:tcW w:w="96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1"/>
                <w:szCs w:val="11"/>
                <w:color w:val="auto"/>
              </w:rPr>
            </w:pPr>
          </w:p>
        </w:tc>
        <w:tc>
          <w:tcPr>
            <w:tcW w:w="8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972,698</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(337,598)</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903,708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(315,805)</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(329,898)</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334,829</w:t>
            </w:r>
          </w:p>
        </w:tc>
      </w:tr>
      <w:tr>
        <w:trPr>
          <w:trHeight w:val="176"/>
        </w:trPr>
        <w:tc>
          <w:tcPr>
            <w:tcW w:w="6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121,074</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(gains),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74,197</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(17,001)</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(37,533)</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w:t>
            </w:r>
          </w:p>
        </w:tc>
      </w:tr>
      <w:tr>
        <w:trPr>
          <w:trHeight w:val="223"/>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463,736</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(319,884)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362,000</w:t>
            </w:r>
          </w:p>
        </w:tc>
      </w:tr>
      <w:tr>
        <w:trPr>
          <w:trHeight w:val="223"/>
        </w:trPr>
        <w:tc>
          <w:tcPr>
            <w:tcW w:w="6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(12,002)</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(337,598)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(66,411)</w:t>
            </w:r>
          </w:p>
        </w:tc>
      </w:tr>
      <w:tr>
        <w:trPr>
          <w:trHeight w:val="223"/>
        </w:trPr>
        <w:tc>
          <w:tcPr>
            <w:tcW w:w="6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(404,009)</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17,057</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500" w:firstLine="8"/>
        <w:spacing w:after="0" w:line="354" w:lineRule="auto"/>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(collectively, the "Contributed Assets").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 References to "Westlake" refer collectively to Westlake Corporation and its subsidiaries, other than the Partnership, OpCo and OpCo GP.</w:t>
      </w:r>
    </w:p>
    <w:p>
      <w:pPr>
        <w:spacing w:after="0" w:line="135"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OpCo and Westlake entered into an ethylene sales agreement (the "Ethylene Sales Agreement") pursuant to which the Partnership generates a substantial majority of its revenue. For more information, see Note 2.</w:t>
      </w:r>
    </w:p>
    <w:p>
      <w:pPr>
        <w:spacing w:after="0" w:line="108"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are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the accounting principles generally accepted in the United States.</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investments that are readily convertible into cash and have a maturity of three months or less at the date of acquisition.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determination of the allowance for credit losses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customer specific collectability analysis and an evaluation of economic conditions. The allowance for credit losses is reviewed quarterly. Past due balances over 90 days and high risk accounts, as determined by the analysis of financial strength of customers, are reviewed individually for collectability.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0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Inventories primarily include product, material and supplies. Inventories are stated at the lower of cost or net realizable value. Cost is determined using the first-in, first-out ("FIFO") or average method.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9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Interest expense is capitalized for qualifying assets under construction. Capitalized interest costs are included in property, plant and equipment and are depreciated over the useful life of the related asset. Capitalized interest was $197, $164 and $80 for the years ended December 31, 2024, 2023 and 2022, respectively. Repair and maintenance costs are charged to operations as incurred. Gains and losses on the disposal or retirement of property, plant and equipment are reflected in the statement of operations when the assets are sold or retired.</w:t>
      </w:r>
    </w:p>
    <w:p>
      <w:pPr>
        <w:spacing w:after="0" w:line="12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is provided by utilizing the straight-line method over the estimated useful lives of the assets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
        </w:trPr>
        <w:tc>
          <w:tcPr>
            <w:tcW w:w="382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7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Ethylene pipeline</w:t>
            </w:r>
          </w:p>
        </w:tc>
        <w:tc>
          <w:tcPr>
            <w:tcW w:w="7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20"/>
                <w:szCs w:val="20"/>
                <w:color w:val="auto"/>
              </w:rPr>
            </w:pPr>
          </w:p>
        </w:tc>
      </w:tr>
      <w:tr>
        <w:trPr>
          <w:trHeight w:val="900"/>
        </w:trPr>
        <w:tc>
          <w:tcPr>
            <w:tcW w:w="3820" w:type="dxa"/>
            <w:vAlign w:val="bottom"/>
          </w:tcPr>
          <w:p>
            <w:pPr>
              <w:spacing w:after="0"/>
              <w:rPr>
                <w:sz w:val="24"/>
                <w:szCs w:val="24"/>
                <w:color w:val="auto"/>
              </w:rPr>
            </w:pPr>
          </w:p>
        </w:tc>
        <w:tc>
          <w:tcPr>
            <w:tcW w:w="586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by asset group, the lowest level for which identifiable cash flows are largely independent of the cash flows of other groups of assets and liabilities. Recoverability of assets to be held and used is measured by a comparison of the carrying amount of an asset to future net undiscounted cash flows expected to be generated by the asset group.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accounting guidance requires that goodwill be tested for impairment at least annually, or when events or changes in circumstances indicate the fair value of a reporting unit with goodwill has been reduced below its carrying amount. The impairment test for the recorded goodwill was performed in the fourth quarter of 2024 and did not indicate impairment of the goodwill. As of December 31, 2024, the Partnership's recorded goodwill was $5,814. See Note 6 for more information on the Partnership's annual goodwill impairment test.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Turnaround Costs</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typically ranges from five to eight years. Deferred turnaround costs are presented as a component of deferred charges and other assets, net. The cash outflows related to these costs are included in operating activities in the consolidated statement of cash flows.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Partnership does not disclose the value of unsatisfied performance obligations because its contracts with customers (1) have an original expected duration of one year or less or (2) have only variable consideration that is calculated based on market prices at a specified date and is allocated to wholly unsatisfied performance obligations.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44"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Partnership generates a substantial majority of its revenue from sales to Westlake under the Ethylene Sales Agreement. The Ethylene Sales Agreement is intended to generate a long-term, fixed cash margin per pound. See Note 2 for a description of the terms of the Ethylene Sales Agreement. The Partnership's direct commodity price risk is limited to the sales to third parties. See the Partnership's consolidated statements of operations for the disaggregation of net sales to Westlake and net sales to third parties.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and Freight</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Amounts billed to customers for freight and handling costs on outbound shipments are included in net sales in the consolidated statements of operations. Transportation and freight costs incurred by the Partnership on outbound shipments are included in cost of sales in the consolidated statements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Costs</w:t>
      </w:r>
    </w:p>
    <w:p>
      <w:pPr>
        <w:spacing w:after="0" w:line="108"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Deferred tax expense or benefit is the result of changes in the deferred tax assets and liabilities during the period. Valuation allowances are recorded against deferred tax assets when it is considered more likely than not that the deferred tax assets will not be realized on a separate tax return basis.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jc w:val="both"/>
        <w:ind w:right="660"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10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Partnership has not reported consolidated statements of comprehensive income for the years ended December 31, 2024, 2023 and 2022 due to immateriality of the components of other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No. 2023-09)</w:t>
      </w:r>
    </w:p>
    <w:p>
      <w:pPr>
        <w:spacing w:after="0" w:line="10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an accounting standards update to require additional tax disclosures under Topic 740 primarily related to the rate reconciliation and income taxes paid disclosures. The amendments in this update will be effective for fiscal years beginning after December 15, 2024 and are to be applied on a prospective basis. Retrospective application is also permitted. The update is not expected to have a material impact on the Partnership's disclosures.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No. 2024-03)</w:t>
      </w:r>
    </w:p>
    <w:p>
      <w:pPr>
        <w:spacing w:after="0" w:line="9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Early adoption is permitted. The Partnership is currently evaluating the impact of the update on the disclosures in the Partnership's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No. 2023-07)</w:t>
      </w:r>
    </w:p>
    <w:p>
      <w:pPr>
        <w:spacing w:after="0" w:line="92" w:lineRule="exact"/>
        <w:rPr>
          <w:sz w:val="20"/>
          <w:szCs w:val="20"/>
          <w:color w:val="auto"/>
        </w:rPr>
      </w:pPr>
    </w:p>
    <w:p>
      <w:pPr>
        <w:ind w:right="40" w:firstLine="405"/>
        <w:spacing w:after="0" w:line="272" w:lineRule="auto"/>
        <w:rPr>
          <w:sz w:val="20"/>
          <w:szCs w:val="20"/>
          <w:color w:val="auto"/>
        </w:rPr>
      </w:pPr>
      <w:r>
        <w:rPr>
          <w:rFonts w:ascii="Times New Roman" w:cs="Times New Roman" w:eastAsia="Times New Roman" w:hAnsi="Times New Roman"/>
          <w:sz w:val="17"/>
          <w:szCs w:val="17"/>
          <w:color w:val="auto"/>
        </w:rPr>
        <w:t>In November 2023, the FASB issued an accounting standards update requiring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The update also requires that a public entity that has a single reportable segment provide all disclosures required by the update as well as all existing segment disclosures in Topic 280. The amendments in this update are effective for fiscal years beginning after December 15, 2023, and interim periods within fiscal years beginning after December 15, 2024 and are to be applied retrospectively to all prior periods presented in the financial statements. Early adoption is permitted. The Partnership adopted this accounting standard effective for the annual 2024 financial statements, and the adoption resulted in additional segment disclosures (see Note 17) and will result in additional segment disclosures in the Partnership's interim period financial statements thereafter.</w:t>
      </w:r>
    </w:p>
    <w:p>
      <w:pPr>
        <w:spacing w:after="0" w:line="208" w:lineRule="exact"/>
        <w:rPr>
          <w:sz w:val="20"/>
          <w:szCs w:val="20"/>
          <w:color w:val="auto"/>
        </w:rPr>
      </w:pPr>
    </w:p>
    <w:p>
      <w:pPr>
        <w:ind w:right="7440" w:firstLine="8"/>
        <w:spacing w:after="0" w:line="354" w:lineRule="auto"/>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Agreements with Westlake and Related Parties </w:t>
      </w:r>
      <w:r>
        <w:rPr>
          <w:rFonts w:ascii="Times New Roman" w:cs="Times New Roman" w:eastAsia="Times New Roman" w:hAnsi="Times New Roman"/>
          <w:sz w:val="18"/>
          <w:szCs w:val="18"/>
          <w:b w:val="1"/>
          <w:bCs w:val="1"/>
          <w:i w:val="1"/>
          <w:iCs w:val="1"/>
          <w:color w:val="auto"/>
        </w:rPr>
        <w:t>Ethylene Sales Agreement</w:t>
      </w:r>
    </w:p>
    <w:p>
      <w:pPr>
        <w:spacing w:after="0" w:line="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OpCo has entered into an ethylene sales agreement with Westlake (the "Ethylene Sales Agreement") with an initial term of 12 years.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fee for each pound of ethylene purchased by Westlake from OpCo up to the Minimum Commitment in any calendar year will equal:</w:t>
      </w:r>
    </w:p>
    <w:p>
      <w:pPr>
        <w:spacing w:after="0" w:line="104" w:lineRule="exact"/>
        <w:rPr>
          <w:sz w:val="20"/>
          <w:szCs w:val="20"/>
          <w:color w:val="auto"/>
        </w:rPr>
      </w:pPr>
    </w:p>
    <w:p>
      <w:pPr>
        <w:ind w:left="660" w:right="2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4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2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estimated operating costs (including selling, general and administrative expenses), divided by OpCo's planned ethylene production for the year (in pounds); plus</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five-year average of OpCo's expected future maintenance capital expenditures and other turnaround expenditures, divided by OpCo's planned ethylene production capacity for the year (in pounds); less</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$0.10 per pound margin.</w:t>
      </w:r>
    </w:p>
    <w:p>
      <w:pPr>
        <w:spacing w:after="0" w:line="17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44" w:lineRule="exact"/>
        <w:rPr>
          <w:sz w:val="20"/>
          <w:szCs w:val="20"/>
          <w:color w:val="auto"/>
        </w:rPr>
      </w:pPr>
    </w:p>
    <w:p>
      <w:pPr>
        <w:jc w:val="both"/>
        <w:ind w:right="40" w:firstLine="405"/>
        <w:spacing w:after="0" w:line="282" w:lineRule="auto"/>
        <w:rPr>
          <w:sz w:val="20"/>
          <w:szCs w:val="20"/>
          <w:color w:val="auto"/>
        </w:rPr>
      </w:pPr>
      <w:r>
        <w:rPr>
          <w:rFonts w:ascii="Times New Roman" w:cs="Times New Roman" w:eastAsia="Times New Roman" w:hAnsi="Times New Roman"/>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0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(as described below), and not the Ethylene Sales Agreement.</w:t>
      </w:r>
    </w:p>
    <w:p>
      <w:pPr>
        <w:spacing w:after="0" w:line="122"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the Partnership recognizes buyer deficiency fees representing fixed margin and unavoided operating and maintenance capital expenditures and maintenance expenses per pound of volume committed by Westlake during the force majeure period. In the event Westlake purchases less than its annual commitment, the Partnership recognizes buyer deficiency fees representing fixed margin and all expenses and expenditures incurred per pound of volume committed but not taken by Westlake. Payment for the buyer deficiency fee is scheduled to be received by the Partnership after the conclusion of the year in which the force majeure event occurred.</w:t>
      </w:r>
    </w:p>
    <w:p>
      <w:pPr>
        <w:spacing w:after="0" w:line="135"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w:t>
      </w:r>
    </w:p>
    <w:p>
      <w:pPr>
        <w:spacing w:after="0" w:line="13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Ethylene Sales Agreement provides that, if compliance with any law adopted or modified following the IPO results in OpCo incurring additional costs in excess of $500 in any contract year, OpCo is entitled to charge Westlake a monthly surcharge following efforts to mitigate the effects of such matter.</w:t>
      </w:r>
    </w:p>
    <w:p>
      <w:pPr>
        <w:spacing w:after="0" w:line="12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Ethylene Sales Agreement has an initial term extending until December 31, 2026 and automatically renews thereafter for successive 12-month terms unless terminated.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OpCo has entered into a feedstock supply agreement with Westlake, pursuant to which Westlake sells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OpCo has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are under the control of OpCo while they work on OpCo's facilities.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44"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Lease Agreements</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OpCo has entered into two site lease agreements with Westlake pursuant to which Westlake leases to OpCo the real property underlying Lake Charles Olefins and Calvert City Olefins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Partnership has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OpCo and Westlake are parties to an exchange agreement, which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94"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Partnership,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The Partnership controls OpCo GP, as its sole member, subject to certain approval rights held by Westlake.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108"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The Partnership, OpCo and Westlake are parties to an Investment Management Agreement that authorizes Westlake to invest the Partnership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$134,557 of invested cash under the Investment Management Agreement at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Receivable—Third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49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40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11,757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40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11,576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8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1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1,936,295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2,067,128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(1,237,929)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(1,161,032)</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903,588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943,843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of $86,253, $84,511 and $94,744 is included in cost of sales in the consolidated statements of operations for the years ended December 31, 2024,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Partnership's goodwill balance was $5,814 at December 31, 2024 and 2023. The Partnership performed its annual goodwill impairment analysis during the fourth quarter of 2024. The Partnership elected to perform a qualitative assessment for its analysis. Based upon this assessment, the Partnership concluded that it is more likely than not that the fair value of the reporting unit exceeds the carrying amount. Factors considered in the qualitative assessment included industry and market considerations, cost factors, including consideration of the Partnership's fixed margin under the Ethylene Sales Agreement, and current and projected financial performance.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Deferred Charges and Other Assets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Turnaround costs,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on deferred charges and other assets of $25,646, $25,692 and $26,330 is included in cost of sales in the consolidated statements of operations for the years ended December 31, 2024, 2023 and 2022, respectively. Certain other assets are amortized over periods ranging from three to twenty years using the straight-line method.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On August 4, 2014, OpCo entered into a $600,000 senior unsecured revolving credit facility agreement with Westlake (as subsequently amended, the "OpCo Revolver"). On July 12, 2022, OpCo entered into the Second Amendment (the "OpCo Revolver Amendment") to the OpCo Revolver. Prior to the OpCo Revolver Amendment, the OpCo Revolver bore interest at the London Interbank Offered Rate ("LIBOR") plus 2.0%. The OpCo Revolver Amendment, among other things, extended the maturity date of the OpCo Revolver from September 25, 2023 to July 12, 2027 and provided for the replacement of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1.75%. As of December 31, 2024, outstanding borrowings under the OpCo Revolver bore interest at SOFR plus the Applicable Margin and credit spread adjustment.</w:t>
      </w:r>
    </w:p>
    <w:p>
      <w:pPr>
        <w:spacing w:after="0" w:line="127"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On April 29, 2015, the Partnership entered into a $300,000 revolving credit facility agreement with an affiliate of Westlake (as subsequently amended, the "MLP Revolver"). In 2017, the Partnership entered into an amendment to the MLP Revolver credit agreement, increasing borrowing capacity from $300,000 to $600,000. On July 12, 2022, the Partnership entered into the Fourth Amendment (the "MLP Revolver Amendment") to the MLP Revolver. Prior to the MLP Revolver Amendment, the MLP Revolver bore interest at a variable rate of either (a) LIBOR plus 2.0% or, if LIBOR were no longer available, (b) the Alternate Base Rate plus 1.0%. The MLP Revolver Amendment, among other things, extended the maturity date of the MLP Revolver from March 19, 2023 to July 12, 2027 and provided for the replacement of LIBOR with SOFR as the reference rate.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As of December 31, 2024, outstanding borrowings under the MLP Revolver bore interest at SOFR plus the Applicable Margin and credit spread adjustment.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2024, the Partnership was in compliance with all of the covenants under the OpCo Revolver and the MLP Revolver.</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6.4% and 7.2% at December 31, 2024 and 2023, respectively.</w:t>
      </w:r>
    </w:p>
    <w:p>
      <w:pPr>
        <w:spacing w:after="0" w:line="17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2024, the Partnership had no scheduled maturities of long-term debt until 2027. The OpCo Revolver and the MLP Revolver are scheduled to mature on July 12, 2027.</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Distributions and Net Income Per Limited Partner Unit</w:t>
      </w:r>
    </w:p>
    <w:p>
      <w:pPr>
        <w:spacing w:after="0" w:line="10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On January 27, 2025, the board of directors of Westlake Chemical Partners GP LLC ("Westlake GP"), the Partnership's general partner, declared a quarterly cash distribution for the period from October 1, 2024 to December 31, 2024 of $0.4714 per common unit. This distribution was paid on February 25, 2025 to unitholders of record as of February 7, 2025.</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54,283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64,173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66,437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66,421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66,403</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(4,045)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(2,230)</w:t>
            </w:r>
          </w:p>
        </w:tc>
      </w:tr>
      <w:tr>
        <w:trPr>
          <w:trHeight w:val="20"/>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gridSpan w:val="6"/>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60" w:type="dxa"/>
            <w:vAlign w:val="bottom"/>
          </w:tcPr>
          <w:p>
            <w:pPr>
              <w:spacing w:after="0"/>
              <w:rPr>
                <w:sz w:val="11"/>
                <w:szCs w:val="11"/>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66,437</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35,232,870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35,232,870</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60" w:type="dxa"/>
            <w:vAlign w:val="bottom"/>
          </w:tcPr>
          <w:p>
            <w:pPr>
              <w:spacing w:after="0"/>
              <w:rPr>
                <w:sz w:val="11"/>
                <w:szCs w:val="11"/>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66,421</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35,224,340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35,224,340</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gridSpan w:val="6"/>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60" w:type="dxa"/>
            <w:vAlign w:val="bottom"/>
          </w:tcPr>
          <w:p>
            <w:pPr>
              <w:spacing w:after="0"/>
              <w:rPr>
                <w:sz w:val="11"/>
                <w:szCs w:val="11"/>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35,217,336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35,217,336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each quarter in the year ended December 31, 2024 did not exceed the $1.2938 per unit threshold, and, as a result, no distribution was made with respect to the Partnership's incentive distribution rights to Westlake, as the holder of the Partnership's incentive distribution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Per Common Unit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years ended December 31, 2024, 2023 and 2022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Partners' Equity</w:t>
      </w:r>
    </w:p>
    <w:p>
      <w:pPr>
        <w:spacing w:after="0" w:line="94" w:lineRule="exact"/>
        <w:rPr>
          <w:sz w:val="20"/>
          <w:szCs w:val="20"/>
          <w:color w:val="auto"/>
        </w:rPr>
      </w:pPr>
    </w:p>
    <w:p>
      <w:pPr>
        <w:ind w:right="40" w:firstLine="405"/>
        <w:spacing w:after="0" w:line="277" w:lineRule="auto"/>
        <w:rPr>
          <w:sz w:val="20"/>
          <w:szCs w:val="20"/>
          <w:color w:val="auto"/>
        </w:rPr>
      </w:pPr>
      <w:r>
        <w:rPr>
          <w:rFonts w:ascii="Times New Roman" w:cs="Times New Roman" w:eastAsia="Times New Roman" w:hAnsi="Times New Roman"/>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To date, no common units have been issued under this program.</w:t>
      </w:r>
    </w:p>
    <w:p>
      <w:pPr>
        <w:spacing w:after="0" w:line="11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Notes 2 and 8,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sells a significant portion of its ethylene production to Westlake. Sales to related parties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Partnership's decision to postpone the previously announced maintenance turnaround at the Petro 1 facility from the third quarter of 2024 to the first quarter of 2025, OpCo's production resulted in "excess quantities" of ethylene for the contract year ended December 31, 2024. Pursuant to the terms of the Ethylene Sales Agreement, the excess quantities produced by the Partnership during the year ended December 31, 2024 were sold to Westlake at prices that excluded certain non-variable costs of production.</w:t>
      </w:r>
    </w:p>
    <w:p>
      <w:pPr>
        <w:spacing w:after="0" w:line="12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Based on OpCo's 2022 production, the Partnership recognized buyer deficiency fees of $23,835 during the year ended December 31, 2022.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fees are classified as a component of net sales—Westlake. The buyer deficiency fee was received by the Partnership in January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108"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 significant portion of the Partnership's inputs included in cost of sales are supplied by Westlake. Charges from related parties for significant inputs included in cost of sales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764,123</w:t>
            </w: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172,761</w:t>
            </w:r>
          </w:p>
        </w:tc>
      </w:tr>
      <w:tr>
        <w:trPr>
          <w:trHeight w:val="900"/>
        </w:trPr>
        <w:tc>
          <w:tcPr>
            <w:tcW w:w="5120" w:type="dxa"/>
            <w:vAlign w:val="bottom"/>
          </w:tcPr>
          <w:p>
            <w:pPr>
              <w:spacing w:after="0"/>
              <w:rPr>
                <w:sz w:val="24"/>
                <w:szCs w:val="24"/>
                <w:color w:val="auto"/>
              </w:rPr>
            </w:pPr>
          </w:p>
        </w:tc>
        <w:tc>
          <w:tcPr>
            <w:tcW w:w="1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0"/>
        </w:trPr>
        <w:tc>
          <w:tcPr>
            <w:tcW w:w="67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860" w:type="dxa"/>
            <w:vAlign w:val="bottom"/>
            <w:vMerge w:val="restart"/>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25,654</w:t>
            </w: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 expenses</w:t>
            </w:r>
          </w:p>
        </w:tc>
        <w:tc>
          <w:tcPr>
            <w:tcW w:w="86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9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$1,385 and $1,272 was included in the receivable under the Investment Management Agreement balance at December 31, 2024 and 2023, respectively. Total interest earned related to the Investment Management Agreement was $5,364, $4,424 and $1,875 for the years ended December 31, 2024, 2023 and 2022, respectively.</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3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0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Receivable under the Investment Management Agreement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134,557</w:t>
        <w:tab/>
        <w:t>$</w:t>
      </w:r>
      <w:r>
        <w:rPr>
          <w:sz w:val="20"/>
          <w:szCs w:val="20"/>
          <w:color w:val="auto"/>
        </w:rPr>
        <w:tab/>
      </w:r>
      <w:r>
        <w:rPr>
          <w:rFonts w:ascii="Times New Roman" w:cs="Times New Roman" w:eastAsia="Times New Roman" w:hAnsi="Times New Roman"/>
          <w:sz w:val="17"/>
          <w:szCs w:val="17"/>
          <w:color w:val="auto"/>
        </w:rPr>
        <w:t>94,444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108"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any buyer deficiency fee and Shortfall recognized under the Ethylene Sales Agreement.</w:t>
      </w:r>
    </w:p>
    <w:p>
      <w:pPr>
        <w:spacing w:after="0" w:line="10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2024, accounts receivable includes sales associated with the Excess Production Option which are at a lower sales price as described in Note 2 and under </w:t>
      </w:r>
      <w:r>
        <w:rPr>
          <w:rFonts w:ascii="Times New Roman" w:cs="Times New Roman" w:eastAsia="Times New Roman" w:hAnsi="Times New Roman"/>
          <w:sz w:val="18"/>
          <w:szCs w:val="18"/>
          <w:i w:val="1"/>
          <w:iCs w:val="1"/>
          <w:color w:val="auto"/>
        </w:rPr>
        <w:t>—Sales to Related Parties</w:t>
      </w:r>
      <w:r>
        <w:rPr>
          <w:rFonts w:ascii="Times New Roman" w:cs="Times New Roman" w:eastAsia="Times New Roman" w:hAnsi="Times New Roman"/>
          <w:sz w:val="18"/>
          <w:szCs w:val="18"/>
          <w:color w:val="auto"/>
        </w:rPr>
        <w:t xml:space="preserve"> above.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4"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Accounts receivable—Westlake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31,975</w:t>
        <w:tab/>
        <w:t>$</w:t>
      </w:r>
      <w:r>
        <w:rPr>
          <w:sz w:val="20"/>
          <w:szCs w:val="20"/>
          <w:color w:val="auto"/>
        </w:rPr>
        <w:tab/>
      </w:r>
      <w:r>
        <w:rPr>
          <w:rFonts w:ascii="Times New Roman" w:cs="Times New Roman" w:eastAsia="Times New Roman" w:hAnsi="Times New Roman"/>
          <w:sz w:val="17"/>
          <w:szCs w:val="17"/>
          <w:color w:val="auto"/>
        </w:rPr>
        <w:t>49,565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4"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Accounts payable—Westlake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20,744</w:t>
        <w:tab/>
        <w:t>$</w:t>
      </w:r>
      <w:r>
        <w:rPr>
          <w:sz w:val="20"/>
          <w:szCs w:val="20"/>
          <w:color w:val="auto"/>
        </w:rPr>
        <w:tab/>
      </w:r>
      <w:r>
        <w:rPr>
          <w:rFonts w:ascii="Times New Roman" w:cs="Times New Roman" w:eastAsia="Times New Roman" w:hAnsi="Times New Roman"/>
          <w:sz w:val="17"/>
          <w:szCs w:val="17"/>
          <w:color w:val="auto"/>
        </w:rPr>
        <w:t>15,166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8 for a description of related party debt payable balances.</w:t>
      </w:r>
    </w:p>
    <w:p>
      <w:pPr>
        <w:spacing w:after="0" w:line="17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years ended December 31, 2024, 2023 and 2022 was $25,701, $26,501 and $13,407, respectively. Interest on related party debt payable is presented as interest expense—Westlake in the consolidated statements of operations. At December 31, 2024 and 2023, accrued interest on related party debt was $5,848 and $6,675, respectively, and is reflected as a component of accrued and other liabilities in the consolidated balance sheets.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38"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020" w:val="left"/>
          <w:tab w:leader="none" w:pos="9800" w:val="left"/>
          <w:tab w:leader="none" w:pos="10560" w:val="left"/>
        </w:tabs>
        <w:rPr>
          <w:sz w:val="20"/>
          <w:szCs w:val="20"/>
          <w:color w:val="auto"/>
        </w:rPr>
      </w:pPr>
      <w:r>
        <w:rPr>
          <w:rFonts w:ascii="Times New Roman" w:cs="Times New Roman" w:eastAsia="Times New Roman" w:hAnsi="Times New Roman"/>
          <w:sz w:val="18"/>
          <w:szCs w:val="18"/>
          <w:color w:val="auto"/>
        </w:rPr>
        <w:t>Long-term debt payable to 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399,674</w:t>
        <w:tab/>
        <w:t>$</w:t>
      </w:r>
      <w:r>
        <w:rPr>
          <w:sz w:val="20"/>
          <w:szCs w:val="20"/>
          <w:color w:val="auto"/>
        </w:rPr>
        <w:tab/>
      </w:r>
      <w:r>
        <w:rPr>
          <w:rFonts w:ascii="Times New Roman" w:cs="Times New Roman" w:eastAsia="Times New Roman" w:hAnsi="Times New Roman"/>
          <w:sz w:val="17"/>
          <w:szCs w:val="17"/>
          <w:color w:val="auto"/>
        </w:rPr>
        <w:t>399,674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 Operating lease rentals paid to Westlake for such leases were $1,843, $1,869 and $2,624 for the years ended December 31, 2024, 2023 and 2022, respectively, and are reflected in other charges from Westlake that are included in cost of sales.</w:t>
      </w:r>
    </w:p>
    <w:p>
      <w:pPr>
        <w:spacing w:after="0" w:line="12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9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Westlake accounted for approximately 83.7%, 86.2% and 84.3%, respectively, of the Partnership's net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Partnership reimbursed $351, $347 and $243, respectively, to Westlake for certain state tax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10 above for an additional transaction through which a related party acquired common units in a private placement.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Unit-based Compensation</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2024, 2023 and 2022. These phantom units vest on the first anniversary of the grant date. There were no forfeitures under the Plan during 2024, 2023 and 2022. The total fair value of phantom units that vested during the years ended December 31, 2024, 2023 and 2022 was $423, $278 and $284, respectively.</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Non-vested phantom unit awards as of December 31, 2024 and 2023 and changes during the period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96"/>
        </w:trPr>
        <w:tc>
          <w:tcPr>
            <w:tcW w:w="826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7"/>
                <w:szCs w:val="17"/>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Average Fair Value</w:t>
            </w: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2023</w:t>
            </w:r>
          </w:p>
        </w:tc>
        <w:tc>
          <w:tcPr>
            <w:tcW w:w="1440" w:type="dxa"/>
            <w:vAlign w:val="bottom"/>
            <w:tcBorders>
              <w:top w:val="single" w:sz="8" w:color="auto"/>
            </w:tcBorders>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6"/>
              </w:rPr>
              <w:t>18,564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716"/>
              <w:spacing w:after="0"/>
              <w:rPr>
                <w:sz w:val="20"/>
                <w:szCs w:val="20"/>
                <w:color w:val="auto"/>
              </w:rPr>
            </w:pPr>
            <w:r>
              <w:rPr>
                <w:rFonts w:ascii="Times New Roman" w:cs="Times New Roman" w:eastAsia="Times New Roman" w:hAnsi="Times New Roman"/>
                <w:sz w:val="18"/>
                <w:szCs w:val="18"/>
                <w:color w:val="auto"/>
                <w:w w:val="96"/>
              </w:rPr>
              <w:t>14,646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rPr>
              <w:t>(18,564)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2024</w:t>
            </w:r>
          </w:p>
        </w:tc>
        <w:tc>
          <w:tcPr>
            <w:tcW w:w="1440" w:type="dxa"/>
            <w:vAlign w:val="bottom"/>
            <w:tcBorders>
              <w:bottom w:val="single" w:sz="8" w:color="auto"/>
            </w:tcBorders>
          </w:tcPr>
          <w:p>
            <w:pPr>
              <w:jc w:val="center"/>
              <w:ind w:left="716"/>
              <w:spacing w:after="0"/>
              <w:rPr>
                <w:sz w:val="20"/>
                <w:szCs w:val="20"/>
                <w:color w:val="auto"/>
              </w:rPr>
            </w:pPr>
            <w:r>
              <w:rPr>
                <w:rFonts w:ascii="Times New Roman" w:cs="Times New Roman" w:eastAsia="Times New Roman" w:hAnsi="Times New Roman"/>
                <w:sz w:val="18"/>
                <w:szCs w:val="18"/>
                <w:color w:val="auto"/>
                <w:w w:val="96"/>
              </w:rPr>
              <w:t>14,646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awards, which are classified as liability awards for financial accounting purposes, are measured at fair value on the grant date of the award and are re-measured at each reporting date until they vest based on the market price of the Partnership's units. The total units available for grant at December 31, 2024 were 1,192,349. The total compensation cost recognized during the years ended December 31, 2024, 2023 and 2022 was $373, $349 and $282, respectively, and is included in selling, general and administrative expenses and the related liability is classified as accrued and other liabilities in the consolidated financial statements of the Partnership. The unrecognized compensation cost associated with all grants under the Plan at December 31, 2024 was $201 and the weighted average remaining term of the units at December 31, 2024 was 0.6 years.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Partnership's long-term debt at December 31, 2024 and December 31, 2023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8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20" w:type="dxa"/>
            <w:vAlign w:val="bottom"/>
          </w:tcPr>
          <w:p>
            <w:pPr>
              <w:spacing w:after="0"/>
              <w:rPr>
                <w:sz w:val="16"/>
                <w:szCs w:val="16"/>
                <w:color w:val="auto"/>
              </w:rPr>
            </w:pPr>
          </w:p>
        </w:tc>
        <w:tc>
          <w:tcPr>
            <w:tcW w:w="10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6"/>
                <w:szCs w:val="16"/>
                <w:color w:val="auto"/>
              </w:rPr>
            </w:pPr>
          </w:p>
        </w:tc>
        <w:tc>
          <w:tcPr>
            <w:tcW w:w="90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3"/>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411,489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408,110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income tax of the Partnership are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reconciliation of income tax expense at the U.S. statutory rate to the income tax expense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 at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provision, net of federal income tax effect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income not subject to entity-level federal income tax</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effects of the principal temporary differences between financial reporting and income tax reporting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Turnaround costs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classifications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(1,546)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900" w:firstLine="8"/>
        <w:spacing w:after="0" w:line="354" w:lineRule="auto"/>
        <w:tabs>
          <w:tab w:leader="none" w:pos="27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Accrued and other liabilities were $16,920 and $24,980 at December 31, 2024 and 2023, respectively. Accrued interest on related party debt, which is a component of accrued and other liabilities, was $5,848 and $6,675 at December 31, 2024 and 2023, respectively. No other component of accrued and other liabilities was more than five percent of total current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Recoveries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Partnership recorded business interruption related insurance recoveries of $6,222 as a reduction to cost of sales. All insurance recovery proceeds were collected as of December 31, 2024. These recoveries were related to the settlement of insurance claims for Hurricane Laura, which impacted OpCo's Petro 1 and Petro 2 units in the second half of 2020 and impacted production in the subsequent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$9,863, $7,809, and $6,372 at December 31, 2024,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Income Taxes</w:t>
      </w:r>
    </w:p>
    <w:p>
      <w:pPr>
        <w:spacing w:after="0" w:line="10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Interest paid by the Partnership, net of interest capitalized, was $26,528, $24,537 and $10,850 for the years ended December 31, 2024, 2023 and 2022, respectively. Income tax paid by the Partnership was $831, $827 and $683 for the years ended December 31, 2024, 2023 and 2022, respectively, of which $480, $480 and $440 was paid directly to the tax authorities for the years ended December 31, 2024, 2023 and 2022, and $351, $347 and $243 was paid to Westlake as reimbursements for the years ended December 31, 2024, 2023 and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$758, $5,079 and $0 for the years ended December 31, 2024, 2023 and 2022,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08"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liabilities that occurred or existed prior to August 4, 2014.</w:t>
      </w:r>
    </w:p>
    <w:p>
      <w:pPr>
        <w:spacing w:after="0" w:line="134"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0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Partnership has various purchase commitments for its capital projects and for materials, supplies and services incident to the ordinary conduct of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0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Partnership has one operating segment, which is the Partnership's reportable segment, OpCo. The operating results of the segment are reviewed by the Partnership's Chief Executive Officer, the chief operating decision maker ("CODM"). The CODM evaluates segment performance based on net income. The CODM reviews the OpCo segment's actual net income trends to allocate resources and assess performance.</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OpCo segment's operations consist of two ethylene production facilities in Lake Charles, Louisiana, one ethylene production facility in Calvert City, Kentucky and a 200-mile common carrier ethylene pipeline that runs from Mont Belvieu, Texas to Longview, Texas. OpCo derives substantially all of its revenue from these production facilities primarily by selling ethylene to Westlake and others, as well as through the sale of co-products of ethylene production, including propylene, crude butadiene, pyrolysis gasoline and hydrogen. All of the OpCo segment's operations are located and conducted in the United States. All of the OpCo segment's sales are attributed to the United States.</w:t>
      </w:r>
    </w:p>
    <w:p>
      <w:pPr>
        <w:spacing w:after="0" w:line="129"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Sales to Westlake accounted for more than 10% of sales in the OpCo segment, totaling $950,801, $1,026,655 and $1,342,910 for the years ended December 31, 2024, 2023 and 2022, respectively. Consolidated net sales and provision for income taxes as disclosed in the consolidated statements of operations and depreciation and amortization and additions to property, plant and equipment as disclosed in the consolidated statements of cash flows are fully attributed to the OpCo segment, and as such, separate OpCo segment amounts are not repeated in the tables below.</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accounting policies of the OpCo segment are the same as those described in Note 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Significant segment expenses and other segment items</w:t>
            </w: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2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605,058</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cost of sales</w:t>
            </w:r>
          </w:p>
        </w:tc>
        <w:tc>
          <w:tcPr>
            <w:tcW w:w="1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24,699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26,217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26,387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3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expense—Westlake</w:t>
            </w:r>
          </w:p>
        </w:tc>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17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397,245</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4940" w:type="dxa"/>
            <w:vAlign w:val="bottom"/>
          </w:tcPr>
          <w:p>
            <w:pPr>
              <w:spacing w:after="0"/>
              <w:rPr>
                <w:sz w:val="24"/>
                <w:szCs w:val="24"/>
                <w:color w:val="auto"/>
              </w:rPr>
            </w:pPr>
          </w:p>
        </w:tc>
        <w:tc>
          <w:tcPr>
            <w:tcW w:w="17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segment net income to consolidated net income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OpCo</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397,245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350,484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net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(28,086)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369,159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r>
      <w:tr>
        <w:trPr>
          <w:trHeight w:val="2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1,238,420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1,269,355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47,487</w:t>
            </w:r>
          </w:p>
        </w:tc>
      </w:tr>
      <w:tr>
        <w:trPr>
          <w:trHeight w:val="223"/>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1,316,842</w:t>
            </w:r>
          </w:p>
        </w:tc>
      </w:tr>
      <w:tr>
        <w:trPr>
          <w:trHeight w:val="21"/>
        </w:trPr>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85" w:lineRule="exact"/>
        <w:rPr>
          <w:sz w:val="20"/>
          <w:szCs w:val="20"/>
          <w:color w:val="auto"/>
        </w:rPr>
      </w:pPr>
    </w:p>
    <w:p>
      <w:pPr>
        <w:ind w:left="5540" w:right="3000" w:hanging="5532"/>
        <w:spacing w:after="0" w:line="970" w:lineRule="auto"/>
        <w:tabs>
          <w:tab w:leader="none" w:pos="4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interest expense—Westlake, other income, net and provision for income taxes.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Executive Vice President and Chief Financial Officer concluded that our disclosure controls and procedures were effective as of December 31, 2024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Management's report on internal control over financial reporting appears in Part II, Item 8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2024, as stated in their report that appears in Part II, Item 8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2024,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2"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Rule 10b5-1 Trading Arrangements</w:t>
      </w:r>
      <w:r>
        <w:rPr>
          <w:rFonts w:ascii="Times New Roman" w:cs="Times New Roman" w:eastAsia="Times New Roman" w:hAnsi="Times New Roman"/>
          <w:sz w:val="18"/>
          <w:szCs w:val="18"/>
          <w:color w:val="auto"/>
        </w:rPr>
        <w:t>. During the three months ended December 31, 2024, no director or officer of the Partnership's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terminated a "Rule 10b5-1 trading arrangement" or "non-Rule 10b5-1 trading arrangement," as each term is defined in Item 408 of Regulation 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managed and operated by the board of directors and executive officers of our general partner, Westlake Chemical Partners GP LLC, a wholly-owned subsidiary of Westlake. As a result of owning our general partner, Westlake has the right to appoint all members of the board of directors of our general partner (the "board" or the "board of directors"), including at least three directors meeting the independence standards established by the NYSE and the Exchange Act.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2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general partner has eight directors, three of whom are independent as defined under the standards established by the NYSE and the Exchange Act. The NYSE does not require a listed, publicly-traded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2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reimburse our general partner and its affiliates, including Westlake, for all expenses they incur and payments they make on our behalf. The Partnership Agreement does not set a limit on the amount of expenses for which our general partner and its affiliates may be reimbursed. For the year ended December 31, 2024, we paid approximately $197.6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29"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Our General Partner</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following table shows information for the executive officers and directors of our general partner as of February 28, 2025. Directors hold office until their successors have been elected or qualified or until the earlier of their death, resignation, removal or disqualification. Executive officers serve at the discretion of the board. The Executive Chairman of the Board of Directors and the Senior Chairman of the Board of Directors are brothers. Otherwise, there are no familial relationships among any of our general partner's directors or executive officers. Some of the directors and most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the Partnership Agreement.</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Age (as of February 28,</w:t>
            </w:r>
          </w:p>
        </w:tc>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Albert Y. Chao</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100" w:type="dxa"/>
            <w:vAlign w:val="bottom"/>
            <w:tcBorders>
              <w:top w:val="single" w:sz="8" w:color="CCEEFF"/>
            </w:tcBorders>
            <w:shd w:val="clear" w:color="auto" w:fill="CCEEFF"/>
          </w:tcPr>
          <w:p>
            <w:pPr>
              <w:spacing w:after="0"/>
              <w:rPr>
                <w:sz w:val="18"/>
                <w:szCs w:val="18"/>
                <w:color w:val="auto"/>
              </w:rPr>
            </w:pPr>
          </w:p>
        </w:tc>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Chairman of the Board of Directors</w:t>
            </w: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James Y. Chao</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Chairman of the Board of Directors</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Jean-Marc Gilson</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 Steven Bender</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Financial Officer and Director</w:t>
            </w:r>
          </w:p>
        </w:tc>
        <w:tc>
          <w:tcPr>
            <w:tcW w:w="0" w:type="dxa"/>
            <w:vAlign w:val="bottom"/>
          </w:tcPr>
          <w:p>
            <w:pPr>
              <w:spacing w:after="0"/>
              <w:rPr>
                <w:sz w:val="1"/>
                <w:szCs w:val="1"/>
                <w:color w:val="auto"/>
              </w:rPr>
            </w:pPr>
          </w:p>
        </w:tc>
      </w:tr>
      <w:tr>
        <w:trPr>
          <w:trHeight w:val="165"/>
        </w:trPr>
        <w:tc>
          <w:tcPr>
            <w:tcW w:w="3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 Benjamin Ederington</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shd w:val="clear" w:color="auto" w:fill="CCEEFF"/>
          </w:tcPr>
          <w:p>
            <w:pPr>
              <w:spacing w:after="0"/>
              <w:rPr>
                <w:sz w:val="14"/>
                <w:szCs w:val="14"/>
                <w:color w:val="auto"/>
              </w:rPr>
            </w:pPr>
          </w:p>
        </w:tc>
        <w:tc>
          <w:tcPr>
            <w:tcW w:w="5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Executive Vice President, Performance &amp; Essential Materials, General Counsel, Chief</w:t>
            </w:r>
          </w:p>
        </w:tc>
        <w:tc>
          <w:tcPr>
            <w:tcW w:w="0" w:type="dxa"/>
            <w:vAlign w:val="bottom"/>
          </w:tcPr>
          <w:p>
            <w:pPr>
              <w:spacing w:after="0"/>
              <w:rPr>
                <w:sz w:val="1"/>
                <w:szCs w:val="1"/>
                <w:color w:val="auto"/>
              </w:rPr>
            </w:pPr>
          </w:p>
        </w:tc>
      </w:tr>
      <w:tr>
        <w:trPr>
          <w:trHeight w:val="216"/>
        </w:trPr>
        <w:tc>
          <w:tcPr>
            <w:tcW w:w="3860" w:type="dxa"/>
            <w:vAlign w:val="bottom"/>
            <w:gridSpan w:val="2"/>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 Officer and Director</w:t>
            </w: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 Stephen Finley</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Lisa A. Friel</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Jeffrey A. Holy</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and Chief Accounting Officer</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Andrew F. Kenner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Vice President, Olefin Materials &amp; Corporate Procurement</w:t>
            </w: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Randy G. Woelfel</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Albert Y. Chao</w:t>
      </w:r>
      <w:r>
        <w:rPr>
          <w:rFonts w:ascii="Times New Roman" w:cs="Times New Roman" w:eastAsia="Times New Roman" w:hAnsi="Times New Roman"/>
          <w:sz w:val="18"/>
          <w:szCs w:val="18"/>
          <w:color w:val="auto"/>
        </w:rPr>
        <w:t>. Mr. Chao has been Executive Chairman of the Board of Directors of our general partner since July 2024, a director since our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formation in March 2014 and served as President and Chief Executive Officer from March 2014 to July 2024. Additionally, Mr. Chao has been Westlake's Executive Chairman of the Board of Directors since July 2024 and a director since June 2003. From May 1996 to July 2024, Mr. Chao served as Westlake's President and, from July 2004 to July 2024, he served as Westlake's Chief Executive Officer. In 1985, Mr. Chao assisted his father, T.T. Chao, and his brother, James Chao, in founding Westlake.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received a bachelor's degree from Brandeis University and an M.B.A. from Columbia University.</w:t>
      </w:r>
    </w:p>
    <w:p>
      <w:pPr>
        <w:spacing w:after="0" w:line="13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James Y. Chao</w:t>
      </w:r>
      <w:r>
        <w:rPr>
          <w:rFonts w:ascii="Times New Roman" w:cs="Times New Roman" w:eastAsia="Times New Roman" w:hAnsi="Times New Roman"/>
          <w:sz w:val="18"/>
          <w:szCs w:val="18"/>
          <w:color w:val="auto"/>
        </w:rPr>
        <w:t>. Mr. Chao has been Senior Chairman of the Board of Directors of our general partner since July 2024, a director since our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formation in March 2014 and served as Chairman of the Board from July 2014 to July 2024. Additionally, Mr. Chao has been Westlake's Senior Chairman of the Board of Directors since July 2024 and became a director in June 2003. From July 2004 to July 2024, Mr. Chao served as Westlake's Chairman of the Board and, from May 1996 to July 2004, he served as Westlake's Vice Chairman.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received his B.S. degree from the Massachusetts Institute of Technology and an M.B.A. from Columbia University.</w:t>
      </w:r>
    </w:p>
    <w:p>
      <w:pPr>
        <w:spacing w:after="0" w:line="131"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Jean-Marc Gilson</w:t>
      </w:r>
      <w:r>
        <w:rPr>
          <w:rFonts w:ascii="Times New Roman" w:cs="Times New Roman" w:eastAsia="Times New Roman" w:hAnsi="Times New Roman"/>
          <w:sz w:val="18"/>
          <w:szCs w:val="18"/>
          <w:color w:val="auto"/>
        </w:rPr>
        <w:t>. Mr. Gilson has been our general partner's President and Chief Executive Officer and a director since July 2024. Mr. Gilson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served as President and Chief Executive Officer of Westlake since July 2024. Prior to joining Westlake, Mr. Gilson served as President, Chief Executive Officer and Representative Director of Mitsubishi Chemical Group Corporation (formerly known as Mitsubishi Chemical Holdings Corporation), from April 2021 until April 2024. From September 2014 until December 2020, Mr. Gilson served as Chief Executive Officer of Roquette Frères. Before that, Mr. Gilson served as Vice-Chairman and Chief Operating Officer of NuSil Technology LLC. Earlier in his career, Mr. Gilson held various leadership roles at Dow Corning Corporation, including as Executive Vice President, Specialty Chemicals Business, before becoming Chief Executive Officer of Avantor Performance Materials, Inc. Mr. Gilson holds a Master of Science in Chemical Engineering from the University of Liege in Belgium and a Master of Business Administration from the International Institute for Management Development in Switzerland.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 Steven Bender</w:t>
      </w:r>
      <w:r>
        <w:rPr>
          <w:rFonts w:ascii="Times New Roman" w:cs="Times New Roman" w:eastAsia="Times New Roman" w:hAnsi="Times New Roman"/>
          <w:sz w:val="18"/>
          <w:szCs w:val="18"/>
          <w:color w:val="auto"/>
        </w:rPr>
        <w:t>. Mr. Bender has been our general partner's Executive Vice President and Chief Financial Officer since February 2021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since our general partner's formation in March 2014. Mr. Bender served as our general partner's Senior Vice President and Chief Financial Officer from March 2014 to February 2021 and as Treasurer from April 2015 to February 2019. Mr. Bender has also been Westlake's Executive Vice President and Chief Financial Officer since July 2017. From February 2008 to July 2017, Mr. Bender served as Westlake's Senior Vice President and Chief Financial Officer. In addition, Mr. Bender served as Westlake's Treasurer from July 2011 to April 2017, a position he also held from February 2008 until December 2010. From February 2007 to February 2008, Mr. Bender served as Westlake's Vice President, Chief Financial Officer and Treasurer and, from June 2005 to February 2007, he was its Vice President and Treasurer.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L. Benjamin Ederington</w:t>
      </w:r>
      <w:r>
        <w:rPr>
          <w:rFonts w:ascii="Times New Roman" w:cs="Times New Roman" w:eastAsia="Times New Roman" w:hAnsi="Times New Roman"/>
          <w:sz w:val="18"/>
          <w:szCs w:val="18"/>
          <w:color w:val="auto"/>
        </w:rPr>
        <w:t>. Mr. Ederington has been our general partner's Executive Vice President, Performance and Essential Materials, General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Counsel and Chief Administrative Officer since May 2023 and a director since our general partner's formation in March 2014. Mr. Ederington served as our</w:t>
      </w:r>
    </w:p>
    <w:p>
      <w:pPr>
        <w:spacing w:after="0" w:line="2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general partner's Executive Vice President, General Counsel, Chief Administrative Officer and Corporate Secretary from March 2022 to May 2023</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 xml:space="preserve"> Senior Vice President, General Counsel, Chief Administrative Officer and Corporate Secretary from February 2021 to March 2022 and as Vice President, General Counsel and Secretary from March 2014 to February 2021. Mr. Ederington has also been Westlake's Executive Vice President, Performance and Essential Materials, General Counsel and Chief Administrative Officer since April 2023. From March 2022 to April 2023, Mr. Ederington served as Westlake's</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Executive Vice President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General Counsel, Chief Administrative Officer and Corporate Secretary; from July 2017 to March 2022, he was its Senior Vice President, General Counsel, Chief Administrative Officer and Corporate Secretary; from December 2015 to July 2017, he was its Vice President, General Counsel, Chief Administrative Officer and Corporate Secretary; and, from October 2013 to December 2015, he was its Vice President, General Counsel and Corporate Secretary.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He began his legal career more than 25 years ago at the law firm of Steptoe &amp; Johnson, LLP. Mr. Ederington holds a B.A. from Yale University and received his J.D. from Harvard University.</w:t>
      </w:r>
    </w:p>
    <w:p>
      <w:pPr>
        <w:spacing w:after="0" w:line="13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G. Stephen Finley</w:t>
      </w:r>
      <w:r>
        <w:rPr>
          <w:rFonts w:ascii="Times New Roman" w:cs="Times New Roman" w:eastAsia="Times New Roman" w:hAnsi="Times New Roman"/>
          <w:sz w:val="18"/>
          <w:szCs w:val="18"/>
          <w:color w:val="auto"/>
        </w:rPr>
        <w:t>. Mr. Finley has been a director of our general partner since March 2020 and serves on the audit and conflicts committees.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Finley was the Senior Vice President, Finance &amp; Administration and Chief Financial Officer of Baker Hughes Incorporated from April 1999 until his retirement in April 2006. Prior to that, from February 1982 to April 1999, Mr. Finley held various financial and administrative management positions with Baker Hughes. From June 2007 to May 2022, Mr. Finley served on the Board of Directors of Newpark Resources, Inc. and, from November 2006 to April 2018, he served on the Board of Directors of Archrock GP, LLC (previously known as Exterran GP, LLC), the general partner of Archrock Partners, L.P. He also served on the Board of Directors of Columbia Pipeline Partners LP from March 2015 to February 2017, Microseismic, Inc. from April 2012 to December 2014, Total Safety U.S., Inc. from December 2006 until November 2011, and Ocean Rig ASA from June 2006 to June 2008. Mr. Finley received a Bachelor of Science degree in Accounting from Indiana State University.</w:t>
      </w:r>
    </w:p>
    <w:p>
      <w:pPr>
        <w:spacing w:after="0" w:line="131"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Lisa A. Friel</w:t>
      </w:r>
      <w:r>
        <w:rPr>
          <w:rFonts w:ascii="Times New Roman" w:cs="Times New Roman" w:eastAsia="Times New Roman" w:hAnsi="Times New Roman"/>
          <w:sz w:val="18"/>
          <w:szCs w:val="18"/>
          <w:color w:val="auto"/>
        </w:rPr>
        <w:t>. Ms. Friel has been a director of our general partner since April 2023 and serves on the audit and conflicts committees. Ms. Friel was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Partner of Ernst &amp; Young LLP's San Antonio, Texas office from July 2012 until her retirement in September 2020. Ms. Friel began her career with Ernst &amp; Young LLP in 1988. Ms. Friel holds a bachelor's of science degree in Accounting and Business Administration from the University of Kansas and is a Certified Public Accountant.</w:t>
      </w:r>
    </w:p>
    <w:p>
      <w:pPr>
        <w:spacing w:after="0" w:line="12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Jeffrey A. Holy</w:t>
      </w:r>
      <w:r>
        <w:rPr>
          <w:rFonts w:ascii="Times New Roman" w:cs="Times New Roman" w:eastAsia="Times New Roman" w:hAnsi="Times New Roman"/>
          <w:sz w:val="18"/>
          <w:szCs w:val="18"/>
          <w:color w:val="auto"/>
        </w:rPr>
        <w:t>. Mr. Holy has been our general partner's Vice President and Chief Accounting Officer since April 2024. From April 2017 to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Mr. Holy served as our general partner's Vice President and Treasurer. Mr. Holy has also been Westlake's Vice President and Chief Accounting Officer since April 2024, and, from April 2017 to April 2024, Mr. Holy served as its Vice President and Treasurer. Prior to joining Westlake, from October 2014 to March 2017, Mr. Holy was Assistant Treasurer at FMC Technologies, Inc. and, from October 2013 to September 2014, Director of Corporate Finance. From September 2007 to September 2013, he held various financial positions at General Motors Company in their Treasurers' Office in New York and Germany. He began his career in public accounting with Ernst &amp; Young LLP in 2001. Mr. Holy holds a Bachelor of Science Degree from Trinity University in Business Administration and Economics, a Master in Accounting Degree from the University of Virginia, and a Master in Finance Degree from London Business School. He is a Chartered Financial Analyst and Certified Public Accountant.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Andrew F. Kenner</w:t>
      </w:r>
      <w:r>
        <w:rPr>
          <w:rFonts w:ascii="Times New Roman" w:cs="Times New Roman" w:eastAsia="Times New Roman" w:hAnsi="Times New Roman"/>
          <w:sz w:val="18"/>
          <w:szCs w:val="18"/>
          <w:color w:val="auto"/>
        </w:rPr>
        <w:t>. Mr. Kenner has been our general partner's Senior Vice President, Olefin Materials &amp; Corporate Procurement since March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Kenner has also been Westlake's Senior Vice President, Olefin Materials &amp; Corporate Procurement since March 2022. From January 2021 to March 2022, Mr. Kenner served as Westlake's Senior Vice President, Operations; from July 2017 to December 2020, he was its Senior Vice President, Chemical Manufacturing and, from July 2008 to July 2017, he was its Vice President, Manufacturing. Mr. Kenner joined Westlake after a 19-year career at Valero Energy Corporation where he served as Vice President and General Manager of Valero's Delaware City Refinery and its Houston Refinery, as well as other leadership positions in Valero's refining system. Mr. Kenner received a B.S. in Aerospace Engineering from Texas A&amp;M University and a M.S. in Chemical Engineering from the University of Texas at Austin.</w:t>
      </w:r>
    </w:p>
    <w:p>
      <w:pPr>
        <w:spacing w:after="0" w:line="12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Randy G. Woelfel</w:t>
      </w:r>
      <w:r>
        <w:rPr>
          <w:rFonts w:ascii="Times New Roman" w:cs="Times New Roman" w:eastAsia="Times New Roman" w:hAnsi="Times New Roman"/>
          <w:sz w:val="18"/>
          <w:szCs w:val="18"/>
          <w:color w:val="auto"/>
        </w:rPr>
        <w:t>. Mr. Woelfel has been a director of our general partner since November 2019 and serves on the audit and conflicts committees.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2013, Mr. Woelfel has served as a director of Black &amp; Veatch Holding Company, where he is currently a member of the Audit and Compensation and Development committees. Mr. Woelfel was Chief Executive Officer and a director of NOVA Chemicals Corporation from November 2009 until May 2014. Prior to joining NOVA, Mr. Woelfel was Managing Director of Energy for the Houston Technology Center and President of Cereplast, Inc. He began his career with Shell Oil Company in 1977. While at Shell Oil and affiliated companies, he served in a variety of senior positions, including President of Basell International, President of Basell North America and as a board member of numerous Basell International petrochemical ventures. Since 2014, Mr. Woelfel has provided services as a business consultant through Woelfel Associates Inc., a company that provides strategic advice to boards of directors and businesses. Mr. Woelfel received a Bachelor of Science degree in Chemical Engineering from Rice University and a Master's degree in Management from the Massachusetts Institute of 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4"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NYSE, the board of directors of our general partner currently has three independent directors. The board of directors of our general partner has determined that each of Messrs. Finley and Woelfel and Ms. Friel is independent as defined under the independence standards established by the NYSE and the Exchange 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of our General Partner</w:t>
      </w:r>
    </w:p>
    <w:p>
      <w:pPr>
        <w:spacing w:after="0" w:line="10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of our general partner's board of directors (the "audit committee") has been established in accordance with Section 3(a)(58)(A) of the Exchange Act, and consists of Messrs. Finley and Woelfel and Ms. Friel, all of whom are independent. Mr. Finley is the current chairman of the audit committee. The board of directors of our general partner has determined that each of Messrs. Finley and Woelfel and Ms. Friel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w:t>
      </w:r>
    </w:p>
    <w:p>
      <w:pPr>
        <w:ind w:right="40" w:firstLine="8"/>
        <w:spacing w:after="0" w:line="253"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the Partnership Agreement. Messrs. Finley and Woelfel and Ms. Friel serve on the conflicts committee. Mr. Woelfel is the current chair of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108"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During the last fiscal year, our general partner's board of directors held ten meetings and our general partner's audit committee held seven meetings. Our general partner's conflicts committee did not hold any meetings in the last fiscal year. None of the directors attended fewer than 75% of the aggregate number of meetings of the board of directors and committees of the board on which the director served.</w:t>
      </w:r>
    </w:p>
    <w:p>
      <w:pPr>
        <w:spacing w:after="0" w:line="12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 and Code of Ethics</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adopted Principles of Corporate Governance and a charter for our audit committee. Each of the foregoing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 xml:space="preserve"> in the "Corporate Governance" section of our Investor Relations tab. We provide copies, free of charge, of any of the foregoing upon 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NYSE Corporate Governance Listing Standards</w:t>
      </w:r>
    </w:p>
    <w:p>
      <w:pPr>
        <w:spacing w:after="0" w:line="10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2024 without qualification. You can also find information about us at the offices of the NYSE, 20 Broad Street, New York, New York 10005 or at the NYSE's Internet site (</w:t>
      </w:r>
      <w:r>
        <w:rPr>
          <w:rFonts w:ascii="Times New Roman" w:cs="Times New Roman" w:eastAsia="Times New Roman" w:hAnsi="Times New Roman"/>
          <w:sz w:val="18"/>
          <w:szCs w:val="18"/>
          <w:i w:val="1"/>
          <w:iCs w:val="1"/>
          <w:color w:val="auto"/>
        </w:rPr>
        <w:t>www.nyse.com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and sale of our securities by our directors, officers and employees and the directors, officers and employees of our subsidiaries and affiliates, that we believe is reasonably designed to promote compliance with insider trading laws, rules and regulations, and applicable NYSE listing standards. A copy of our insider trading policy is filed as Exhibit 19 to this report.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Neither we nor our general partner directly employ any of the persons responsible for managing our business. All of our general partner's executive officers are employees of Westlake. In accordance with the terms of the Omnibus Agreement with Westlake, effective August 4, 2014, as amended, we reimburse Westlake for compensation-related expenses attributable to the portion of our executive officers' time dedicated to providing services to us. In connection with Westlake's annual budget process, Westlake determines a budgeted allocation rate, which represents an estimated average percentage of expected time that will be spent by each of the executive officers on our business during the succeeding year. The executive officers provide input as to what those estimated percentages should be. Those estimates are revised each year based on historical experience and business plans for the following year. The executive officers do not keep logs of their time spent on our matters. Since the allocation rate is initially estimated, the actual time spent by an executive officer on our behalf may vary from the budgeted allocation rate, and we may recognize an adjustment at the end of the year if allocating more or less of that executive officer's compensation than the actual percentage of his time spent on our behalf in a given year. During 2024, Mr. Albert Chao, who served as President and Chief Executive Officer until July 2024, devoted approximately 5% of his total business time to our general partner, our consolidated subsidiaries (including OpCo) and us and Jean-Marc Gilson, who was appointed President and Chief Executive Officer in July 2024, devoted approximately 5% of his total business time to our general partner, our consolidated subsidiaries (including OpCo) and us. Mr. Steven Bender devoted approximately 10% of his total business time to our general partner, our consolidated subsidiaries (including OpCo) and us. The allocation of the executive officers' time in future years and, in turn, future compensation allocations may differ from the time and compensation allocated for each executive officer in 2024.</w:t>
      </w:r>
    </w:p>
    <w:p>
      <w:pPr>
        <w:spacing w:after="0" w:line="142"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Westlake equity awards and annual and quarterly cash incentive plans are determined based on the achievement of specific performance goals of Westlake's business, and not our business. Westlake has significant assets and holdings outside of us and our general partner.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For 2024, our named executive officers ("NEOs") consisted of our general partner's principal executive officers, Mr. Albert Chao (in such position until July 15, 2024) and Mr. Jean-Marc Gilson (appointed to such position on July 15, 2024), and our general partner's principal financial officer, Mr. Steven Bender. The compensation allocated to us in 2024 for each of the other executive officers of our general partner did not exceed $100,000. Therefore, none of the other executive officers are considered NEOs for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Decisions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Westlake has ultimate decision-making authority with respect to the total compensation of our NEOs because our NEOs are employed by Westlake.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compensation decisions will not be subject to any approvals by us, the board of directors or any committees thereof.</w:t>
      </w:r>
    </w:p>
    <w:p>
      <w:pPr>
        <w:spacing w:after="0" w:line="15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Except for amounts that we pay to Westlake under the Omnibus Agreement, we do not otherwise pay or reimburse any compensation amounts to or for our NEOs. Each of our executive officers (including our NEOs) is eligible to receive grants of unit-based awards under the Westlake Chemical Partners LP Long Term Incentive Plan (as amended and restated effective May 8, 2024) (the "LTIP"), but none has to date received any awards (including options or similar equity awards) under the LTIP. As a result, we have not adopted a policy regarding the timing of grants of option awards. Any awards under the LTIP must be approved by the board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Compensation Committee Oversight</w:t>
      </w:r>
    </w:p>
    <w:p>
      <w:pPr>
        <w:spacing w:after="0" w:line="10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Advisors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2024, the Westlake Compensation Committee directly engaged the services of Willis Towers Watson as a compensation consultant to advise the Westlake Compensation Committee on executive compensation matters. Willis Towers Watson assists the Westlake Compensation Committee by providing comparative market data on compensation programs and practices of peer competitors, the broader-based chemical and building products industries and general industry. Willis Towers Watson also assists Westlake with general compensation consultation regarding employees other than the Westlake NEOs. In 2024, Westlake paid Willis Towers Watson approximately $162,000 for compensation advisory services and approximately $2.1 million for other services (primarily related to the administration of Westlake's legacy defined benefit retirement plans). The decision to engage Willis Towers Watson for the non-executive-compensation services of Westlake was made by Westlake management and approved by the Westlake Compensation Committee. In February 2025, the Westlake Compensation Committee assessed whether the work of Willis Towers Watson for Westlake during 2024 raised any conflict of interest and concluded that no conflict of interest exists.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Deliberative Process</w:t>
      </w:r>
    </w:p>
    <w:p>
      <w:pPr>
        <w:spacing w:after="0" w:line="10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 establishing targeted levels of executive compensation, the Westlake Compensation Committee has selected a set of peer group companies (the "Peer Group") from among companies of relative comparable size to Westlake, with executive positions of similar scope and responsibility, and from among companies with which Westlake may compete for executive talent. With the assistance of Willis Towers Watson, the Westlake Compensation Committee reviews the Peer Group on a regular basis. To validate current peers and identify potential new peer companies, Willis Towers Watson conducts a comprehensive review using both objective and qualitative criteria that the Westlake Compensation Committee deems to be appropriate, including recent developments with current peer companies (e.g., merger and acquisition activity and changes in financial performance), revenue, industry classification, market capitalization and other financial data, peers of peers analysis, business and product portfolios, peers as identified by proxy advisory firms such as ISS and Glass Lewis, and business and labor market competitors, with an overall objective of achieving approximately a median ranking for Westlake within the Peer Group.</w:t>
      </w:r>
    </w:p>
    <w:p>
      <w:pPr>
        <w:spacing w:after="0" w:line="134" w:lineRule="exact"/>
        <w:rPr>
          <w:sz w:val="20"/>
          <w:szCs w:val="20"/>
          <w:color w:val="auto"/>
        </w:rPr>
      </w:pPr>
    </w:p>
    <w:p>
      <w:pPr>
        <w:ind w:right="1040" w:firstLine="405"/>
        <w:spacing w:after="0" w:line="282" w:lineRule="auto"/>
        <w:rPr>
          <w:sz w:val="20"/>
          <w:szCs w:val="20"/>
          <w:color w:val="auto"/>
        </w:rPr>
      </w:pPr>
      <w:r>
        <w:rPr>
          <w:rFonts w:ascii="Times New Roman" w:cs="Times New Roman" w:eastAsia="Times New Roman" w:hAnsi="Times New Roman"/>
          <w:sz w:val="18"/>
          <w:szCs w:val="18"/>
          <w:color w:val="auto"/>
        </w:rPr>
        <w:t>The following companies from both the chemicals and building products industries made up the Peer Group as adopted by the Westlake Compensation Committee for purposes of determining compensation for the Westlake NEOs for 2024: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Builders FirstSource, Inc.</w:t>
            </w:r>
          </w:p>
        </w:tc>
        <w:tc>
          <w:tcPr>
            <w:tcW w:w="72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LyondellBasell Industries N.V.</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Celanese Corporation</w:t>
            </w:r>
          </w:p>
        </w:tc>
        <w:tc>
          <w:tcPr>
            <w:tcW w:w="7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Masco Corporation</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Chemours Company</w:t>
            </w:r>
          </w:p>
        </w:tc>
        <w:tc>
          <w:tcPr>
            <w:tcW w:w="72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The Mosaic Company</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 Inc.</w:t>
            </w:r>
          </w:p>
        </w:tc>
        <w:tc>
          <w:tcPr>
            <w:tcW w:w="7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Olin Corporation</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DuPont de Nemours, Inc.</w:t>
            </w:r>
          </w:p>
        </w:tc>
        <w:tc>
          <w:tcPr>
            <w:tcW w:w="72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Owens Corning</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Eastman Chemical Company</w:t>
            </w:r>
          </w:p>
        </w:tc>
        <w:tc>
          <w:tcPr>
            <w:tcW w:w="7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PPG Industries, Inc.</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Ecolab Inc.</w:t>
            </w:r>
          </w:p>
        </w:tc>
        <w:tc>
          <w:tcPr>
            <w:tcW w:w="72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RPM International Inc.</w:t>
            </w: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Huntsman Corporation</w:t>
            </w:r>
          </w:p>
        </w:tc>
        <w:tc>
          <w:tcPr>
            <w:tcW w:w="7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The Sherwin-Williams Company</w:t>
            </w:r>
          </w:p>
        </w:tc>
      </w:tr>
    </w:tbl>
    <w:p>
      <w:pPr>
        <w:spacing w:after="0" w:line="233"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As disclosed in Westlake's 2024 Proxy Statement, in November 2023, as part of its annual evaluation process, and upon recommendation by Willis Towers Watson, the Westlake Compensation Committee determined, and the Westlake board of directors agreed, the 2024 selected Peer Group would be updated to achieve an approximately median ranking for Westlake relative to the peer group. Going forward, the Westlake Compensation Committee will continue to evaluate and make changes in the Peer Group as warranted to reflect changes in the size, business profile and publicly-listed status of the companies to help ensure that companies comparable in size and business profile to Westlake are included and continue to be appropriate for the compensation decision-making process.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In addition to referring to the Peer Group, Willis Towers Watson utilizes survey data from its proprietary compensation databases, including, but not limited to, the Willis Towers Watson CDB Executive Survey and other relevant market information. These surveys compare the compensation of executives at numerous companies to similar positions as the Westlake NEOs (the "Market Survey"). The Market Survey is used in conjunction with the Peer Group data (collectively, the "Reference Points") to help validate the market findings and more specifically establish market compensation rates for positions with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incentives, so that as long as the 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4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Westlake Compensation Committee meets annually in February to address the compensation of the Westlake NEOs and other Westlake Executives, including each of our NEOs. During this meeting, the Westlake Compensation Committee reviews the achievement of Westlake's goals and objectives, including Westlake's Economic Value Added (defined as the net operating profit after taxes in relation to capital employed) and performance relative to its competitors within the chemical and building products industries, including those direct competitors within the Peer Group, the Reference Points and other relevant factors established by the Westlake Compensation Committee. During this deliberation, the Westlake PEO is excused from the meeting to allow the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Program Objectives of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Westlake has designed and maintains a comprehensive executive compensation program as a means of:</w:t>
      </w:r>
    </w:p>
    <w:p>
      <w:pPr>
        <w:spacing w:after="0" w:line="10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rewarding and retaining top executive talent in support of Westlake's vision, mission and objectives;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market competitiveness with Westlake's peer group compensation programs and practices;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and rewarding the achievement of specific individual, business segment and corporate goals and objectives;</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management interests with the interests of Westlake's stockholders;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balancing short-term objectives with long-term strategic initiatives.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Establishing Compensation Levels</w:t>
      </w:r>
    </w:p>
    <w:p>
      <w:pPr>
        <w:spacing w:after="0" w:line="108" w:lineRule="exact"/>
        <w:rPr>
          <w:sz w:val="20"/>
          <w:szCs w:val="20"/>
          <w:color w:val="auto"/>
        </w:rPr>
      </w:pPr>
    </w:p>
    <w:p>
      <w:pPr>
        <w:ind w:right="60" w:firstLine="405"/>
        <w:spacing w:after="0" w:line="272" w:lineRule="auto"/>
        <w:rPr>
          <w:sz w:val="20"/>
          <w:szCs w:val="20"/>
          <w:color w:val="auto"/>
        </w:rPr>
      </w:pPr>
      <w:r>
        <w:rPr>
          <w:rFonts w:ascii="Times New Roman" w:cs="Times New Roman" w:eastAsia="Times New Roman" w:hAnsi="Times New Roman"/>
          <w:sz w:val="17"/>
          <w:szCs w:val="17"/>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Base Pay—</w:t>
      </w:r>
      <w:r>
        <w:rPr>
          <w:rFonts w:ascii="Times New Roman" w:cs="Times New Roman" w:eastAsia="Times New Roman" w:hAnsi="Times New Roman"/>
          <w:sz w:val="18"/>
          <w:szCs w:val="18"/>
          <w:color w:val="auto"/>
        </w:rPr>
        <w:t>This element is the principal cash compensation component of Westlake's program and is designed to provide the Westlake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market-competitive minimum level of compensation. In setting base pay rates for 2024,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w:t>
      </w:r>
    </w:p>
    <w:p>
      <w:pPr>
        <w:spacing w:after="0" w:line="72" w:lineRule="exact"/>
        <w:rPr>
          <w:sz w:val="20"/>
          <w:szCs w:val="20"/>
          <w:color w:val="auto"/>
        </w:rPr>
      </w:pPr>
    </w:p>
    <w:p>
      <w:pPr>
        <w:ind w:left="660" w:right="8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Westlake Executive's current base pay is within the acceptable target level as determined by the Westlake Compensation Committee;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internal equity;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individual performance and contributions;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changes in responsibility or the scope of the Westlake Executive's position.</w:t>
      </w:r>
    </w:p>
    <w:p>
      <w:pPr>
        <w:spacing w:after="0" w:line="17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compensation decisions made by the Westlake Compensation Committee during 2024, including Westlake's equity awards and annual and quarterly cash incentive plans, see the proxy statement that is expected to be filed by Westlake in connection with its 2025 annual meeting of stockholders. In February 2025, the Westlake Compensation Committee elected to increase the base salary for Mr. Gilson to $1,300,000 from $1,250,000 and for Mr. Bender to $785,000 from $755,000.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Termination or Change-in-Control Arrangements</w:t>
      </w:r>
    </w:p>
    <w:p>
      <w:pPr>
        <w:spacing w:after="0" w:line="104" w:lineRule="exact"/>
        <w:rPr>
          <w:sz w:val="20"/>
          <w:szCs w:val="20"/>
          <w:color w:val="auto"/>
        </w:rPr>
      </w:pPr>
    </w:p>
    <w:p>
      <w:pPr>
        <w:ind w:right="24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Employment Agreements</w:t>
      </w:r>
      <w:r>
        <w:rPr>
          <w:rFonts w:ascii="Times New Roman" w:cs="Times New Roman" w:eastAsia="Times New Roman" w:hAnsi="Times New Roman"/>
          <w:sz w:val="18"/>
          <w:szCs w:val="18"/>
          <w:color w:val="auto"/>
        </w:rPr>
        <w:t>—Westlake does not have employment agreements with any of the Westlake NEOs; however, each Westlake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each of the Westlake NEOs, is typically provided an offer letter of employment containing the principal elements of the employment arrangement, including compensation.</w:t>
      </w:r>
    </w:p>
    <w:p>
      <w:pPr>
        <w:spacing w:after="0" w:line="11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Termination or Change-in-Control Arrangements—</w:t>
      </w:r>
      <w:r>
        <w:rPr>
          <w:rFonts w:ascii="Times New Roman" w:cs="Times New Roman" w:eastAsia="Times New Roman" w:hAnsi="Times New Roman"/>
          <w:sz w:val="18"/>
          <w:szCs w:val="18"/>
          <w:color w:val="auto"/>
        </w:rPr>
        <w:t>Although none of the offer letters contain a provision for payments by us upon termination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change in control, in 2023, following shareholder approval, Westlake incorporated change in control provisions into its annual cash incentive plan and long-term equity incentive plan that provide for certain benefits on a qualifying termination of employment within a twenty-four-month period following a change in control of Westlake for awards that are assumed or replaced with equivalent awards or protections in connection with a change in control of Westlake if such awards were not assumed or replaced with equivalent awards. Furthermore, award agreements under Westlake's long-term equity incentive plan contain provisions that provide for certain accelerated vesting benefits in the event of termination by reason of death, normal retirement or, in certain circumstances, without cause, and Westlake's annual cash incentive plan provides for the payment of a prorated bonus and certain banked amounts in the event of termination by reason of death, permanent disability, normal retirement or an approved reduction-in-force. For additional information on termination and change in control provisions, see the section titled "2024 Potential Payments Upon Termination or Change in Control" of the proxy statement that is expected to be filed by Westlake in connection with its 2025 annual meeting of stockholders. We are not required to reimburse Westlake for any portion of such benefits that may become payable to our NEOs either in connection with or following a termination of employment or a change in control of Westlake.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Recovery of Erroneously Awarded Compensation</w:t>
      </w:r>
    </w:p>
    <w:p>
      <w:pPr>
        <w:spacing w:after="0" w:line="94"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board of directors approved a policy for recovering erroneously awarded compensation, or "clawback" policy, applicable to executive officers. The policy implements the incentive-based compensation recovery provisions of the Dodd-Frank Wall Street Reform and Consumer Protection Act of 2010 as required under the listing standards of the New York Stock Exchange, and requires recovery of incentive-based compensation received by current or former executive officers during the three fiscal years preceding the date it is determined that the Partnership is required to prepare an accounting restatement, including to correct an error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As of the date hereof, none of our current or former executive officers have received incentive-based compensation from us for their services.</w:t>
      </w:r>
    </w:p>
    <w:p>
      <w:pPr>
        <w:spacing w:after="0" w:line="2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Neither we nor our general partner has a compensation committee. The board of directors has reviewed and discussed the Partnership's Compensation Discussion and Analysis with management and, based upon this review, has approved it for inclusion in this report.</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Partnership specifically incorporates it by reference into a document filed under the Securities Act or the Exchange Act.</w:t>
      </w:r>
    </w:p>
    <w:p>
      <w:pPr>
        <w:spacing w:after="0" w:line="1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THE BOARD OF DIRECTORS OF</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WESTLAKE CHEMICAL PARTNERS GP LLC</w:t>
      </w:r>
    </w:p>
    <w:p>
      <w:pPr>
        <w:spacing w:after="0" w:line="3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Albert Y. Chao</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James Y. Chao</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Jean-Marc Gilson</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M. Steven Bender</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L. Benjamin Ederington</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G. Stephen Finley</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Lisa A. Friel</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Randy G. Woelfel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9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compensation of our NEOs included in the tables below is established by Westlake as described above. We have included in the following tables the full base salary paid by Westlake to each of the NEOs, together with an estimate of the approximate time spent by each NEO on our behalf. The following table provides information regarding the NEO compensation actually allocated to us during 2024, 2023 and 2022.</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6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Pr>
          <w:p>
            <w:pPr>
              <w:spacing w:after="0"/>
              <w:rPr>
                <w:sz w:val="16"/>
                <w:szCs w:val="16"/>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xml:space="preserve">Base Salary </w:t>
            </w:r>
            <w:r>
              <w:rPr>
                <w:rFonts w:ascii="Times New Roman" w:cs="Times New Roman" w:eastAsia="Times New Roman" w:hAnsi="Times New Roman"/>
                <w:sz w:val="9"/>
                <w:szCs w:val="9"/>
                <w:b w:val="1"/>
                <w:bCs w:val="1"/>
                <w:color w:val="auto"/>
              </w:rPr>
              <w:t>(1)</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Portion Allocation </w:t>
            </w:r>
            <w:r>
              <w:rPr>
                <w:rFonts w:ascii="Times New Roman" w:cs="Times New Roman" w:eastAsia="Times New Roman" w:hAnsi="Times New Roman"/>
                <w:sz w:val="9"/>
                <w:szCs w:val="9"/>
                <w:b w:val="1"/>
                <w:bCs w:val="1"/>
                <w:color w:val="auto"/>
              </w:rPr>
              <w:t>(2)</w:t>
            </w:r>
          </w:p>
        </w:tc>
        <w:tc>
          <w:tcPr>
            <w:tcW w:w="320" w:type="dxa"/>
            <w:vAlign w:val="bottom"/>
          </w:tcPr>
          <w:p>
            <w:pPr>
              <w:spacing w:after="0"/>
              <w:rPr>
                <w:sz w:val="16"/>
                <w:szCs w:val="16"/>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3"/>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7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Albert Y. Chao</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Executive Chairman of the Board of Directors (since July</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1,172,923 </w:t>
            </w:r>
            <w:r>
              <w:rPr>
                <w:rFonts w:ascii="Times New Roman" w:cs="Times New Roman" w:eastAsia="Times New Roman" w:hAnsi="Times New Roman"/>
                <w:sz w:val="23"/>
                <w:szCs w:val="23"/>
                <w:color w:val="auto"/>
                <w:vertAlign w:val="superscript"/>
              </w:rPr>
              <w:t>(4)</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58,646</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President and Chief Executive Officer (until July 2024)</w:t>
            </w: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1,256,000</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w:t>
            </w:r>
          </w:p>
        </w:tc>
        <w:tc>
          <w:tcPr>
            <w:tcW w:w="0" w:type="dxa"/>
            <w:vAlign w:val="bottom"/>
          </w:tcPr>
          <w:p>
            <w:pPr>
              <w:spacing w:after="0"/>
              <w:rPr>
                <w:sz w:val="1"/>
                <w:szCs w:val="1"/>
                <w:color w:val="auto"/>
              </w:rPr>
            </w:pPr>
          </w:p>
        </w:tc>
      </w:tr>
      <w:tr>
        <w:trPr>
          <w:trHeight w:val="184"/>
        </w:trPr>
        <w:tc>
          <w:tcPr>
            <w:tcW w:w="48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Jean-Marc Gilson</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 (since July 2024)</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0"/>
                <w:szCs w:val="20"/>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528,846</w:t>
            </w:r>
          </w:p>
        </w:tc>
        <w:tc>
          <w:tcPr>
            <w:tcW w:w="320" w:type="dxa"/>
            <w:vAlign w:val="bottom"/>
          </w:tcPr>
          <w:p>
            <w:pPr>
              <w:spacing w:after="0"/>
              <w:rPr>
                <w:sz w:val="20"/>
                <w:szCs w:val="20"/>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0"/>
                <w:szCs w:val="20"/>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 Steven Bender</w:t>
            </w: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749,231</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74,923</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721,000</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72,100</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85"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Analysis—Establishing Compensation Levels—Base Pay" for more information on base salary.</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Analysis—Overview" for more information on the portion of base salary allocated to us by Westlake.</w:t>
      </w:r>
    </w:p>
    <w:p>
      <w:pPr>
        <w:spacing w:after="0" w:line="103" w:lineRule="exact"/>
        <w:rPr>
          <w:rFonts w:ascii="Times New Roman" w:cs="Times New Roman" w:eastAsia="Times New Roman" w:hAnsi="Times New Roman"/>
          <w:sz w:val="18"/>
          <w:szCs w:val="18"/>
          <w:color w:val="auto"/>
        </w:rPr>
      </w:pPr>
    </w:p>
    <w:p>
      <w:pPr>
        <w:ind w:left="340" w:hanging="332"/>
        <w:spacing w:after="0" w:line="274" w:lineRule="auto"/>
        <w:tabs>
          <w:tab w:leader="none" w:pos="33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Albert Chao served as President and Chief Executive Officer of our General Partner until July 15, 2024; the totals for Mr. Albert Chao reflect the portion of his base salary allocated to us by Westlake for the periods from January 1, 2024 through July 15, 2024, from January 1, 2023 through December 31, 2023 and from January 1, 2022 through December 31, 2022. Mr. Gilson was appointed President and Chief Executive Officer of our General Partner on July 15, 2024; the total for Mr. Gilson reflects the portion of his base salary allocated to us by Westlake for the period from July 15, 2024 through December 31, 2024. The totals for Mr. Bender reflect the portion of his base salary allocated to us by Westlake for the periods from January 1, 2024 through December 31, 2024, from January 1, 2023 through December 31, 2023 and from January 1, 2022 through December 31, 2022.</w:t>
      </w:r>
    </w:p>
    <w:p>
      <w:pPr>
        <w:spacing w:after="0" w:line="37" w:lineRule="exact"/>
        <w:rPr>
          <w:rFonts w:ascii="Times New Roman" w:cs="Times New Roman" w:eastAsia="Times New Roman" w:hAnsi="Times New Roman"/>
          <w:sz w:val="17"/>
          <w:szCs w:val="17"/>
          <w:color w:val="auto"/>
        </w:rPr>
      </w:pPr>
    </w:p>
    <w:p>
      <w:pPr>
        <w:ind w:left="340" w:right="260" w:hanging="332"/>
        <w:spacing w:after="0" w:line="282"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Albert Chao's base salary was decreased from $1,301,000 to $1,019,000 in July 2024 in connection with his transition from President and Chief Executive Officer to Executive Chairman of the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08"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Officers or employees of Westlake or its affiliates who also serve as directors do not receive additional compensation for such service. The directors who are not also officers or employees of Westlake or its affiliates (i.e., Ms. Friel and Messrs. Finley and Woelfel) receive compensation from our general partner for their service.</w:t>
      </w:r>
    </w:p>
    <w:p>
      <w:pPr>
        <w:spacing w:after="0" w:line="12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In 2024, Messrs. Finley and Woelfel and Ms. Friel each received an annual cash retainer of $100,000 and a grant of phantom unit awards under the LTIP with a grant date fair value of $110,000. All phantom unit awards vest on the first anniversary of their grant date. Mr. Finley, the audit committee chairman, received an additional cash retainer of $20,000.</w:t>
      </w:r>
    </w:p>
    <w:p>
      <w:pPr>
        <w:spacing w:after="0" w:line="12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the Partnership Agreement.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paid to non-employee directors in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gridSpan w:val="2"/>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Phantom Unit Awards</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16"/>
                <w:szCs w:val="16"/>
                <w:color w:val="auto"/>
              </w:rPr>
            </w:pPr>
          </w:p>
        </w:tc>
        <w:tc>
          <w:tcPr>
            <w:tcW w:w="10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380" w:type="dxa"/>
            <w:vAlign w:val="bottom"/>
          </w:tcPr>
          <w:p>
            <w:pPr>
              <w:spacing w:after="0"/>
              <w:rPr>
                <w:sz w:val="14"/>
                <w:szCs w:val="14"/>
                <w:color w:val="auto"/>
              </w:rPr>
            </w:pPr>
          </w:p>
        </w:tc>
        <w:tc>
          <w:tcPr>
            <w:tcW w:w="1040" w:type="dxa"/>
            <w:vAlign w:val="bottom"/>
          </w:tcPr>
          <w:p>
            <w:pPr>
              <w:jc w:val="right"/>
              <w:ind w:right="581"/>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8"/>
                <w:szCs w:val="18"/>
                <w:b w:val="1"/>
                <w:bCs w:val="1"/>
                <w:color w:val="auto"/>
                <w:vertAlign w:val="superscript"/>
              </w:rPr>
              <w:t>(2)</w:t>
            </w: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 Stephen Finley</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238,902</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A. Friel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221,204</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G. Woelfel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31" w:lineRule="exact"/>
        <w:rPr>
          <w:sz w:val="20"/>
          <w:szCs w:val="20"/>
          <w:color w:val="auto"/>
        </w:rPr>
      </w:pPr>
    </w:p>
    <w:p>
      <w:pPr>
        <w:ind w:left="340" w:right="40" w:hanging="332"/>
        <w:spacing w:after="0" w:line="242"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this column represent the grant date fair value of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For a discussion of the related valuation assumptions, please see Note 12 to our consolidated financial statements included in this report. As of December 31, 2024, Ms. Friel and Messrs. Finley and Woelfel each held 4,882 phantom units, which will become fully vested on August 7, 2025.</w:t>
      </w:r>
    </w:p>
    <w:p>
      <w:pPr>
        <w:spacing w:after="0" w:line="76"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this column represent the amount of cash paid with respect to distribution equivalent rights granted in tandem with the phantom unit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Analysis</w:t>
      </w:r>
    </w:p>
    <w:p>
      <w:pPr>
        <w:spacing w:after="0" w:line="108" w:lineRule="exact"/>
        <w:rPr>
          <w:sz w:val="20"/>
          <w:szCs w:val="20"/>
          <w:color w:val="auto"/>
        </w:rPr>
      </w:pPr>
    </w:p>
    <w:p>
      <w:pPr>
        <w:ind w:right="80" w:firstLine="405"/>
        <w:spacing w:after="0" w:line="276" w:lineRule="auto"/>
        <w:rPr>
          <w:sz w:val="20"/>
          <w:szCs w:val="20"/>
          <w:color w:val="auto"/>
        </w:rPr>
      </w:pPr>
      <w:r>
        <w:rPr>
          <w:rFonts w:ascii="Times New Roman" w:cs="Times New Roman" w:eastAsia="Times New Roman" w:hAnsi="Times New Roman"/>
          <w:sz w:val="17"/>
          <w:szCs w:val="17"/>
          <w:color w:val="auto"/>
        </w:rPr>
        <w:t>The table below sets forth comparative information regarding: (1) the annualized total compensation of our Chief Executive Officer, Mr. Gilson, who has served as President and Chief Executive Officer since July 15, 2024, for the year ended December 31, 2024, determined on the basis set forth below;</w:t>
      </w:r>
    </w:p>
    <w:p>
      <w:pPr>
        <w:spacing w:after="0" w:line="1" w:lineRule="exact"/>
        <w:rPr>
          <w:sz w:val="20"/>
          <w:szCs w:val="20"/>
          <w:color w:val="auto"/>
        </w:rPr>
      </w:pPr>
    </w:p>
    <w:p>
      <w:pPr>
        <w:ind w:right="140" w:firstLine="8"/>
        <w:spacing w:after="0" w:line="255"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seconded employees of Westlake that provide services to OpCo under the Services and Secondment Agreement, which excludes our Chief Executive Officer, for the year ended December 31, 2024, determined on the basis described below; and (3) a ratio comparison of those two amounts. These amounts were determined in accordance with rules prescribed by the SEC.</w:t>
      </w:r>
    </w:p>
    <w:p>
      <w:pPr>
        <w:spacing w:after="0" w:line="132"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Neither we nor OpCo have any employees. However, for purposes of this disclosure, we have included the employees of Westlake and its other affiliates who are seconded to OpCo under the Services and Secondment Agreement for the production of ethylene (the "Seconded Employees"). For purposes of determining the median of the annual total compensation of our Seconded Employee population, excluding our Chief Executive Officer, for the year ended December 31, 2024, the applicable SEC rules require us to identify the median Seconded Employee by using either annual total compensation for all such employees or another consistently applied compensation measure. For these purposes, we used total taxable earnings, plus certain non-taxable items, including retirement plan contributions and perquisites, as determined from the payroll records of Westlake and its affiliates providing the services of the Seconded Employees to OpCo for the period from January 1, 2024 through December 31, 2024 (the "Measurement Date"), as our consistently applied compensation measure. We included all Seconded Employees of Westlake who provided services to OpCo as of the Measurement Date whether employed on a full-time, part-time or seasonal basis. We did not use statistical sampling or include any cost-of-living adjustments for purposes of this determination. After identifying the median Seconded Employee as of the Measurement Date, based on the process described above, we calculated 2024 total compensation for the median Seconded Employee and our Chief Executive Officer using the same methodology we used for determining total compensation for 2024 for our NEOs as set forth in the Summary Compensation Table. Since Mr. Gilson was not our Chief Executive Officer for all of 2024, to determine the Chief Executive Officer's annual total compensation, we included in the table below his base salary as reported in the Summary Compensation Table, annualized as if he had served for the entire year and multiplied by an annualized allocation percentage of 10%.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annual total compensation (A)</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Median annual total compensation of all employees (excluding Chief Executive Officer) (B)</w:t>
            </w: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(A) to (B)</w:t>
            </w:r>
          </w:p>
        </w:tc>
        <w:tc>
          <w:tcPr>
            <w:tcW w:w="2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864"/>
        </w:trPr>
        <w:tc>
          <w:tcPr>
            <w:tcW w:w="824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87</w:t>
            </w: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as of February 21, 2025, the beneficial ownership of our outstanding common units and subordinated units held by:</w:t>
      </w:r>
    </w:p>
    <w:p>
      <w:pPr>
        <w:spacing w:after="0" w:line="10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officer of our general partner;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directors and executive officers of our general partner as a group.</w:t>
      </w:r>
    </w:p>
    <w:p>
      <w:pPr>
        <w:spacing w:after="0" w:line="17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February 21, 2025,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4740" w:type="dxa"/>
            <w:vAlign w:val="bottom"/>
          </w:tcPr>
          <w:p>
            <w:pPr>
              <w:jc w:val="center"/>
              <w:ind w:left="2848"/>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6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Percentage of Common</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740" w:type="dxa"/>
            <w:vAlign w:val="bottom"/>
          </w:tcPr>
          <w:p>
            <w:pPr>
              <w:jc w:val="center"/>
              <w:ind w:left="2828"/>
              <w:spacing w:after="0" w:line="149" w:lineRule="exact"/>
              <w:rPr>
                <w:sz w:val="20"/>
                <w:szCs w:val="20"/>
                <w:color w:val="auto"/>
              </w:rPr>
            </w:pPr>
            <w:r>
              <w:rPr>
                <w:rFonts w:ascii="Times New Roman" w:cs="Times New Roman" w:eastAsia="Times New Roman" w:hAnsi="Times New Roman"/>
                <w:sz w:val="14"/>
                <w:szCs w:val="14"/>
                <w:b w:val="1"/>
                <w:bCs w:val="1"/>
                <w:color w:val="auto"/>
              </w:rPr>
              <w:t>Units of Westlake</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740" w:type="dxa"/>
            <w:vAlign w:val="bottom"/>
          </w:tcPr>
          <w:p>
            <w:pPr>
              <w:jc w:val="center"/>
              <w:ind w:left="2848"/>
              <w:spacing w:after="0" w:line="137" w:lineRule="exact"/>
              <w:rPr>
                <w:sz w:val="20"/>
                <w:szCs w:val="20"/>
                <w:color w:val="auto"/>
              </w:rPr>
            </w:pPr>
            <w:r>
              <w:rPr>
                <w:rFonts w:ascii="Times New Roman" w:cs="Times New Roman" w:eastAsia="Times New Roman" w:hAnsi="Times New Roman"/>
                <w:sz w:val="14"/>
                <w:szCs w:val="14"/>
                <w:b w:val="1"/>
                <w:bCs w:val="1"/>
                <w:color w:val="auto"/>
              </w:rPr>
              <w:t>Chemical Partners LP</w:t>
            </w:r>
          </w:p>
        </w:tc>
        <w:tc>
          <w:tcPr>
            <w:tcW w:w="1640" w:type="dxa"/>
            <w:vAlign w:val="bottom"/>
          </w:tcPr>
          <w:p>
            <w:pPr>
              <w:jc w:val="center"/>
              <w:ind w:left="128"/>
              <w:spacing w:after="0" w:line="137" w:lineRule="exact"/>
              <w:rPr>
                <w:sz w:val="20"/>
                <w:szCs w:val="20"/>
                <w:color w:val="auto"/>
              </w:rPr>
            </w:pPr>
            <w:r>
              <w:rPr>
                <w:rFonts w:ascii="Times New Roman" w:cs="Times New Roman" w:eastAsia="Times New Roman" w:hAnsi="Times New Roman"/>
                <w:sz w:val="14"/>
                <w:szCs w:val="14"/>
                <w:b w:val="1"/>
                <w:bCs w:val="1"/>
                <w:color w:val="auto"/>
              </w:rPr>
              <w:t>Units Beneficially</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4740" w:type="dxa"/>
            <w:vAlign w:val="bottom"/>
          </w:tcPr>
          <w:p>
            <w:pPr>
              <w:jc w:val="center"/>
              <w:ind w:left="2848"/>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Westlake Corporation</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14,122,230</w:t>
            </w: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Chemical Partners GP LLC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Albert Y. Chao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175,528</w:t>
            </w: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Y. Chao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13,908</w:t>
            </w: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Jean-Marc Gilson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 Steven Bender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 Benjamin Ederington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57"/>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 Stephen Finley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27,048</w:t>
            </w: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A. Friel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G. Woelfel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w:t>
            </w:r>
          </w:p>
        </w:tc>
      </w:tr>
      <w:tr>
        <w:trPr>
          <w:trHeight w:val="23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-1328420</wp:posOffset>
            </wp:positionV>
            <wp:extent cx="711517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-1036955</wp:posOffset>
            </wp:positionV>
            <wp:extent cx="711517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-745490</wp:posOffset>
            </wp:positionV>
            <wp:extent cx="711517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711517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-145415</wp:posOffset>
            </wp:positionV>
            <wp:extent cx="711517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-1628140</wp:posOffset>
            </wp:positionV>
            <wp:extent cx="711517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(1)</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40.1 %</w:t>
      </w:r>
    </w:p>
    <w:p>
      <w:pPr>
        <w:spacing w:after="0" w:line="3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1.3 %</w:t>
      </w:r>
    </w:p>
    <w:p>
      <w:pPr>
        <w:spacing w:after="0" w:line="222" w:lineRule="exact"/>
        <w:rPr>
          <w:sz w:val="20"/>
          <w:szCs w:val="20"/>
          <w:color w:val="auto"/>
        </w:rPr>
      </w:pPr>
    </w:p>
    <w:p>
      <w:pPr>
        <w:sectPr>
          <w:pgSz w:w="11900" w:h="16838" w:orient="portrait"/>
          <w:cols w:equalWidth="0" w:num="3">
            <w:col w:w="9320" w:space="20"/>
            <w:col w:w="640" w:space="720"/>
            <w:col w:w="540"/>
          </w:cols>
          <w:pgMar w:left="320" w:top="118"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the outstanding common units.</w:t>
      </w:r>
    </w:p>
    <w:p>
      <w:pPr>
        <w:spacing w:after="0" w:line="104" w:lineRule="exact"/>
        <w:rPr>
          <w:sz w:val="20"/>
          <w:szCs w:val="20"/>
          <w:color w:val="auto"/>
        </w:rPr>
      </w:pPr>
    </w:p>
    <w:p>
      <w:pPr>
        <w:ind w:left="340" w:right="440" w:hanging="332"/>
        <w:spacing w:after="0" w:line="282"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common units are held of record by WPT LLC, a wholly-owned subsidiary of Westlake Corporation. Please refer to the following table for information regarding beneficial ownership of shares of common stock of Westlake Corporation.</w:t>
      </w:r>
    </w:p>
    <w:p>
      <w:pPr>
        <w:spacing w:after="0" w:line="26"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9,093 common units held in family trusts for the benefit of Mr. Albert Chao and his family members with respect to which Mr. Albert Chao serves as trustee.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February 21, 2025, the number of shares of common stock of Westlake Corporation beneficially owned by each beneficial owner of more than 5% of the common stock of Westlake Corporation, each director and named executive officer of our general partner and by all directors and executive officers of our general partner as a group:</w:t>
      </w:r>
    </w:p>
    <w:p>
      <w:pPr>
        <w:spacing w:after="0" w:line="80"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Number of Shares of</w:t>
      </w:r>
    </w:p>
    <w:p>
      <w:pPr>
        <w:jc w:val="center"/>
        <w:ind w:left="5960"/>
        <w:spacing w:after="0" w:line="221" w:lineRule="auto"/>
        <w:rPr>
          <w:sz w:val="20"/>
          <w:szCs w:val="20"/>
          <w:color w:val="auto"/>
        </w:rPr>
      </w:pPr>
      <w:r>
        <w:rPr>
          <w:rFonts w:ascii="Times New Roman" w:cs="Times New Roman" w:eastAsia="Times New Roman" w:hAnsi="Times New Roman"/>
          <w:sz w:val="14"/>
          <w:szCs w:val="14"/>
          <w:b w:val="1"/>
          <w:bCs w:val="1"/>
          <w:color w:val="auto"/>
        </w:rPr>
        <w:t>Common Stock of</w:t>
      </w:r>
    </w:p>
    <w:tbl>
      <w:tblPr>
        <w:tblLayout w:type="fixed"/>
        <w:tblInd w:w="20" w:type="dxa"/>
        <w:tblCellMar>
          <w:top w:w="0" w:type="dxa"/>
          <w:left w:w="0" w:type="dxa"/>
          <w:bottom w:w="0" w:type="dxa"/>
          <w:right w:w="0" w:type="dxa"/>
        </w:tblCellMar>
      </w:tblPr>
      <w:tr>
        <w:trPr>
          <w:trHeight w:val="131"/>
        </w:trPr>
        <w:tc>
          <w:tcPr>
            <w:tcW w:w="7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Westlake Beneficially</w:t>
            </w:r>
          </w:p>
        </w:tc>
        <w:tc>
          <w:tcPr>
            <w:tcW w:w="340" w:type="dxa"/>
            <w:vAlign w:val="bottom"/>
          </w:tcPr>
          <w:p>
            <w:pPr>
              <w:spacing w:after="0"/>
              <w:rPr>
                <w:sz w:val="11"/>
                <w:szCs w:val="11"/>
                <w:color w:val="auto"/>
              </w:rPr>
            </w:pPr>
          </w:p>
        </w:tc>
        <w:tc>
          <w:tcPr>
            <w:tcW w:w="15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90"/>
        </w:trPr>
        <w:tc>
          <w:tcPr>
            <w:tcW w:w="7880" w:type="dxa"/>
            <w:vAlign w:val="bottom"/>
            <w:gridSpan w:val="2"/>
            <w:vMerge w:val="continue"/>
          </w:tcPr>
          <w:p>
            <w:pPr>
              <w:spacing w:after="0"/>
              <w:rPr>
                <w:sz w:val="16"/>
                <w:szCs w:val="16"/>
                <w:color w:val="auto"/>
              </w:rPr>
            </w:pPr>
          </w:p>
        </w:tc>
        <w:tc>
          <w:tcPr>
            <w:tcW w:w="14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TTWF LP and TTWFGP LLC</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93,405,554</w:t>
            </w:r>
          </w:p>
        </w:tc>
        <w:tc>
          <w:tcPr>
            <w:tcW w:w="340" w:type="dxa"/>
            <w:vAlign w:val="bottom"/>
            <w:shd w:val="clear" w:color="auto" w:fill="CCEEFF"/>
          </w:tcPr>
          <w:p>
            <w:pPr>
              <w:jc w:val="right"/>
              <w:ind w:right="122"/>
              <w:spacing w:after="0" w:line="130" w:lineRule="exact"/>
              <w:rPr>
                <w:sz w:val="20"/>
                <w:szCs w:val="20"/>
                <w:color w:val="auto"/>
              </w:rPr>
            </w:pPr>
            <w:r>
              <w:rPr>
                <w:rFonts w:ascii="Times New Roman" w:cs="Times New Roman" w:eastAsia="Times New Roman" w:hAnsi="Times New Roman"/>
                <w:sz w:val="12"/>
                <w:szCs w:val="12"/>
                <w:color w:val="auto"/>
                <w:w w:val="99"/>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0" w:type="dxa"/>
            <w:vAlign w:val="bottom"/>
          </w:tcPr>
          <w:p>
            <w:pPr>
              <w:spacing w:after="0"/>
              <w:rPr>
                <w:sz w:val="1"/>
                <w:szCs w:val="1"/>
                <w:color w:val="auto"/>
              </w:rPr>
            </w:pP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Albert Y. Chao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1,140,193</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Y. Chao</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113,139</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Jean-Marc Gilson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 Steven Bender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97,274</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 Benjamin Ederington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161,090</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 Stephen Finley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A. Friel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G. Woelfel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1,586,681</w:t>
            </w: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Less than 1% of the outstanding shares of common stock.</w:t>
      </w:r>
    </w:p>
    <w:p>
      <w:pPr>
        <w:spacing w:after="0" w:line="104"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shares beneficially owned by the directors or officers are pledged as security.</w:t>
      </w:r>
    </w:p>
    <w:p>
      <w:pPr>
        <w:spacing w:after="0" w:line="90"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TTWF LP, a Delaware limited partnership, holds 92,010,554 shares of common stock of Westlake Corporation and TTWFGP LLC, the general partner of TTWF LP, holds 1,395,000 of the 93,405,554 shares of common stock of Westlake Corporation reported herein. Two trusts for the benefit of members of the Chao family are the managers of TTWFGP LLC. Decisions regarding the voting and disposition of the securities held of record by TTWF LP and TTWFGP LLC are made by a committee comprised of members of the Chao family. Each member of the committee disclaims beneficial ownership of the securities reported herein.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each person known to us who is the beneficial owner of 5% or more of our outstanding common units, other than Westlake, the holdings of which are listed in the first table of this section.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Common</w:t>
            </w:r>
          </w:p>
        </w:tc>
        <w:tc>
          <w:tcPr>
            <w:tcW w:w="0" w:type="dxa"/>
            <w:vAlign w:val="bottom"/>
          </w:tcPr>
          <w:p>
            <w:pPr>
              <w:spacing w:after="0"/>
              <w:rPr>
                <w:sz w:val="1"/>
                <w:szCs w:val="1"/>
                <w:color w:val="auto"/>
              </w:rPr>
            </w:pPr>
          </w:p>
        </w:tc>
      </w:tr>
      <w:tr>
        <w:trPr>
          <w:trHeight w:val="148"/>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Beneficially</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1"/>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TTWF LP and TTWFGP LLC</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2801 Post Oak Boulevard, Suite 150</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Houston, Texas 77056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15,524,099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11"/>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Energy Income Partners, LLC</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8"/>
                <w:szCs w:val="18"/>
                <w:color w:val="auto"/>
              </w:rPr>
              <w:t>10 Wright Street</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Westport, CT 06880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2,081,811</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8"/>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Invesco Ltd.</w:t>
            </w: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1555 Peachtree Street NE, Suite 1800</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Atlanta, GA 30309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5,264,187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340" w:right="20" w:hanging="332"/>
        <w:spacing w:after="0" w:line="258"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No. 1 to a Schedule 13D filed on February 14, 2024. According to the filing, TTWF LP and TTWFGP LLC had shared voting and dispositive power over 14,122,230 common units held by Westlake Corporation, and TTWFGP LLC had sole voting and dispositive power over 1,401,869 common units. TTWF LP is the holder of record of 92,010,554 shares of common stock of Westlake Corporation and TTWFGP LLC, the general partner of TTWF LP, is the holder of record of 1,395,000 shares of common stock of Westlake Corporation. TTWF LP and TTWF GP LLC may be deemed to share beneficial ownership of the common units of which WPT LLC is the record owner.</w:t>
      </w:r>
    </w:p>
    <w:p>
      <w:pPr>
        <w:spacing w:after="0" w:line="48" w:lineRule="exact"/>
        <w:rPr>
          <w:rFonts w:ascii="Times New Roman" w:cs="Times New Roman" w:eastAsia="Times New Roman" w:hAnsi="Times New Roman"/>
          <w:sz w:val="18"/>
          <w:szCs w:val="18"/>
          <w:color w:val="auto"/>
        </w:rPr>
      </w:pPr>
    </w:p>
    <w:p>
      <w:pPr>
        <w:ind w:left="340" w:right="160" w:hanging="332"/>
        <w:spacing w:after="0" w:line="258"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No. 4 to a Schedule 13G filed on February 14, 2024. According to the filing, Energy Income Partners, LLC had shared voting and shared dispositive power over 2,081,811 common units. In addition, each of James J. Murchie, Eva Pao and John K. Tysseland had shared voting and shared dispositive power over 2,081,811 common units as portfolios managers with respect to the portfolios managed by Energy Income Partners, LLC, and Saul Ballesteros had shared voting and shared dispositive power over 2,081,811 common units as a control person of Energy Income Partners, LLC.</w:t>
      </w:r>
    </w:p>
    <w:p>
      <w:pPr>
        <w:spacing w:after="0" w:line="61" w:lineRule="exact"/>
        <w:rPr>
          <w:rFonts w:ascii="Times New Roman" w:cs="Times New Roman" w:eastAsia="Times New Roman" w:hAnsi="Times New Roman"/>
          <w:sz w:val="18"/>
          <w:szCs w:val="18"/>
          <w:color w:val="auto"/>
        </w:rPr>
      </w:pPr>
    </w:p>
    <w:p>
      <w:pPr>
        <w:ind w:left="340" w:right="82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No. 5 to a Schedule 13G filed on February 13, 2024. According to the filing, Invesco Ltd. had sole voting and sole dispositive power over 5,264,187 common units.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Common units authorized for issuance under the Partnership's Long-Term Incentive Plan (as amended and restated, the "LTIP") are summarized in the following table.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37"/>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for future issuance under</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2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20" w:type="dxa"/>
            <w:vAlign w:val="bottom"/>
          </w:tcPr>
          <w:p>
            <w:pPr>
              <w:spacing w:after="0"/>
              <w:rPr>
                <w:sz w:val="11"/>
                <w:szCs w:val="11"/>
                <w:color w:val="auto"/>
              </w:rPr>
            </w:pPr>
          </w:p>
        </w:tc>
        <w:tc>
          <w:tcPr>
            <w:tcW w:w="16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2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rights (a)</w:t>
            </w:r>
          </w:p>
        </w:tc>
        <w:tc>
          <w:tcPr>
            <w:tcW w:w="220" w:type="dxa"/>
            <w:vAlign w:val="bottom"/>
          </w:tcPr>
          <w:p>
            <w:pPr>
              <w:spacing w:after="0"/>
              <w:rPr>
                <w:sz w:val="17"/>
                <w:szCs w:val="17"/>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9"/>
        </w:trPr>
        <w:tc>
          <w:tcPr>
            <w:tcW w:w="566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Equity compensation plan approved by security holders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center"/>
              <w:ind w:left="114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1,192,349</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 not approved by security holders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center"/>
              <w:ind w:left="982"/>
              <w:spacing w:after="0"/>
              <w:rPr>
                <w:sz w:val="20"/>
                <w:szCs w:val="20"/>
                <w:color w:val="auto"/>
              </w:rPr>
            </w:pPr>
            <w:r>
              <w:rPr>
                <w:rFonts w:ascii="Times New Roman" w:cs="Times New Roman" w:eastAsia="Times New Roman" w:hAnsi="Times New Roman"/>
                <w:sz w:val="18"/>
                <w:szCs w:val="18"/>
                <w:color w:val="auto"/>
                <w:w w:val="96"/>
              </w:rPr>
              <w:t>N/A</w:t>
            </w:r>
          </w:p>
        </w:tc>
        <w:tc>
          <w:tcPr>
            <w:tcW w:w="17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center"/>
              <w:ind w:left="114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1,192,349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85" w:lineRule="exact"/>
        <w:rPr>
          <w:sz w:val="20"/>
          <w:szCs w:val="20"/>
          <w:color w:val="auto"/>
        </w:rPr>
      </w:pPr>
    </w:p>
    <w:p>
      <w:pPr>
        <w:ind w:left="340" w:right="20" w:hanging="332"/>
        <w:spacing w:after="0" w:line="266"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LTIP was adopted by our general partner's board of directors in connection with our initial public offering and amended and restated effective May 8, 2024, following approval by our unitholders. Only phantom unit awards have been granted under the LTIP. There is no weighted-average exercise price associated with these awards.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Westlake owns 14,122,230 common units, representing an aggregate approximate 40.1% limited partner interest in us; a 100% interest in our general partner; and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also serve as directors and executive officers of our general partner.</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the Partnership Agreement, of any agreement contemplated thereby or of any duty, if the resolution, course of action or transaction in respect of such conflict of interest is:</w:t>
      </w:r>
    </w:p>
    <w:p>
      <w:pPr>
        <w:spacing w:after="0" w:line="5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conflicts committee of our general partner; or</w:t>
      </w:r>
    </w:p>
    <w:p>
      <w:pPr>
        <w:spacing w:after="0" w:line="10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holders of a majority of our outstanding common units, excluding any such units owned by our general partner or any of its affiliates.</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the Partnership Agreement, the board of directors or its conflicts committee, as applicable, may consider any factors it determines in good faith to consider when resolving a conflict. An independent third party is not required to evaluate the resolution. Under the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Item 407(a) of Regulation S-K is included in "Item 10. Directors, Executive Officers and Corporate Governance."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Approval and Ratification of Transactions with Related Persons</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and Payments to our General Partner and its Affiliates</w:t>
      </w:r>
    </w:p>
    <w:p>
      <w:pPr>
        <w:spacing w:after="0" w:line="9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2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Assuming we have sufficient available cash to pay the full minimum quarterly distribution of $0.2750 per unit on all of our outstanding units for four quarters, Westlake would receive an aggregate annual distribution of approximately $15.5 million on its common units. During 2024, we made aggregate distributions of $1.8856 per unit to all of our unitholders, resulting in Westlake receiving approximately $26.6 million.</w:t>
      </w:r>
    </w:p>
    <w:p>
      <w:pPr>
        <w:spacing w:after="0" w:line="12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the Services and Secondment Agreement, our general partner will determine the expenses that are allocable to us in good faith, but there is no limit on the amount of expenses for which our general partner and its affiliates will be reimbursed. For the year ended December 31, 2024, we paid approximately $197.6 million for such expenses.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If we are ever liquidated, the partners, including Westlake, will be entitled to receive liquidating distributions according to their respective capital account balances.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Westlake</w:t>
      </w:r>
    </w:p>
    <w:p>
      <w:pPr>
        <w:spacing w:after="0" w:line="94"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agreements described below became effective on August 4, 2014, concurrent with the closing of the IPO. For amounts paid by us or Westlake, as applicable, under the agreements described below, see Note 11 to our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Sales Agreement</w:t>
      </w:r>
    </w:p>
    <w:p>
      <w:pPr>
        <w:spacing w:after="0" w:line="10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Westlake's purchase price for its minimum commitment of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unrecovered costs may be carried forward for recovery in subsequent years. Variable costs not incurred by OpCo due to deficiencies in purchases by Westlake are rebated to Westlake. If OpCo's actual production is in excess of planned ethylene production, Westlake has the option to purchase up to 95% of production in excess of planned production. The price for the sale of such excess ethylene to Westlake is based on a formula similar to that used for the minimum purchase commitment, with the exception of certain fixed costs.</w:t>
      </w:r>
    </w:p>
    <w:p>
      <w:pPr>
        <w:spacing w:after="0" w:line="13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12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On November 1, 2018, OpCo and Westlake entered into an amendment to the Ethylene Sales Agreement that provides OpCo with the option to curtail up to 5% of its ethylene production annually in the event OpCo reasonably determines that its sales of such ethylene to third parties during the relevant period would be uneconomic.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9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 leases and land.</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OpCo and Westlake are parties to the Omnibus Agreement, pursuant to which we granted Westlake, among other things, a right of first refusal on any proposed transfer of our equity interests in OpCo, the ethylene production facilities that serve Westlake's other facilities, or certain other assets we may acquire from Westlake. The Omnibus Agreement also provides for reimbursement to Westlake for the provision of various administrative and professional services and direct expenses incurred on our behalf and in connection with the operation of our business, including, but not limited to, legal, accounting services, audit services, human resources, insurance, tax, credit, finance, government affairs and regulatory affairs.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108"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OpCo GP and Westlake are parties to an amended and restated agreement of limited partnership of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 The OpCo LP Agreement was amended in December 2017 in connection with the passage of the Bipartisan Budget Act of 2015, which amended certain partnership tax audit rules.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Revolver</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August 4, 2014, OpCo entered into a $600 million senior unsecured revolving credit facility agreement with Westlake (as subsequently amended, the "OpCo Revolver"). The OpCo Revolver matures on July 12, 2027. Borrowings under the OpCo Revolver bear interest at a variable rate of either (a) SOFR plus the Applicable Margin plus a 0.10% credit spread adjustment or (b) if SOFR is no longer available, the Alternate Base Rate plus the Applicable Margin minus 1.0%. The Applicable Margin under the OpCo Revolver is 1.75%.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MLP Revolver</w:t>
      </w:r>
    </w:p>
    <w:p>
      <w:pPr>
        <w:spacing w:after="0" w:line="108" w:lineRule="exact"/>
        <w:rPr>
          <w:sz w:val="20"/>
          <w:szCs w:val="20"/>
          <w:color w:val="auto"/>
        </w:rPr>
      </w:pPr>
    </w:p>
    <w:p>
      <w:pPr>
        <w:ind w:firstLine="405"/>
        <w:spacing w:after="0" w:line="272" w:lineRule="auto"/>
        <w:rPr>
          <w:sz w:val="20"/>
          <w:szCs w:val="20"/>
          <w:color w:val="auto"/>
        </w:rPr>
      </w:pPr>
      <w:r>
        <w:rPr>
          <w:rFonts w:ascii="Times New Roman" w:cs="Times New Roman" w:eastAsia="Times New Roman" w:hAnsi="Times New Roman"/>
          <w:sz w:val="17"/>
          <w:szCs w:val="17"/>
          <w:color w:val="auto"/>
        </w:rPr>
        <w:t>On April 29, 2015, we entered into a $300 million revolving credit facility agreement with an affiliate of Westlake (as subsequently amended, the "MLP Revolver") to fund our purchase of an additional 2.7% newly-issued, limited partner interest in OpCo for approximately $135.3 million. In 2017, we entered into an amendment to the MLP Revolver credit agreement, increasing borrowing capacity from $300 million to $600 million. On March 29, 2019, we borrowed approximately $123.5 million under the MLP Revolver to partially fund the purchase of the additional 4.5% interest in OpCo. The MLP Revolver matures on July 12, 2027. Borrowings under the MLP Revolver bear interest at a variable rate of either (a) SOFR plus the Applicable Margin plus a 0.10% credit spread adjustment or (b) if SOFR is no longer available, the Alternate Base Rate plus the Applicable Margin minus 1.0%. The Applicable Margin under the MLP Revolver varies between 1.75% and 2.75%, depending on our Consolidated Leverage Ratio. The MLP Revolver provides that we may pay all or a portion of the interest on any borrowings in kind, in which case any such amounts would be added to the principal amount of the loan.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10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On August 1, 2017, we, OpCo and Westlake executed an Investment Management Agreement that authorizes Westlake to invest our and OpCo's excess cash with Westlake for durations of up to a maximum of nine months. Per the terms of the Investment Management Agreement, we earn a market return plus five basis points and Westlake provides daily availability of the invested cash to meet any liquidity needs of us or OpCo.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PricewaterhouseCoopers LLP serves as our independent registered public accounting firm.</w:t>
      </w:r>
    </w:p>
    <w:p>
      <w:pPr>
        <w:spacing w:after="0" w:line="17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PricewaterhouseCoopers LLP in connection with the 2024 and 2023 audits and fees billed by PricewaterhouseCoopers LLP for other services rendered in the years ended December 31, 2024 and December 31,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1,305,695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20" w:right="180" w:hanging="412"/>
        <w:spacing w:after="0" w:line="266" w:lineRule="auto"/>
        <w:tabs>
          <w:tab w:leader="none" w:pos="4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billed for professional services rendered for the audits of our annual consolidated financial statements, audit of internal controls and quarterly review of our consolidated financial statements in 2024 and 2023 and review of a registration statement filed with the SEC in 2024 and 2023.</w:t>
      </w:r>
    </w:p>
    <w:p>
      <w:pPr>
        <w:spacing w:after="0" w:line="40" w:lineRule="exact"/>
        <w:rPr>
          <w:rFonts w:ascii="Times New Roman" w:cs="Times New Roman" w:eastAsia="Times New Roman" w:hAnsi="Times New Roman"/>
          <w:sz w:val="18"/>
          <w:szCs w:val="18"/>
          <w:color w:val="auto"/>
        </w:rPr>
      </w:pPr>
    </w:p>
    <w:p>
      <w:pPr>
        <w:ind w:left="420" w:right="340" w:hanging="412"/>
        <w:spacing w:after="0" w:line="282" w:lineRule="auto"/>
        <w:tabs>
          <w:tab w:leader="none" w:pos="4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tax services with respect to the preparation of the Partnership's 2023 K-1 and K-3 statements in 2024 and the preparation of the Partnership's 2022 K-1 and K-3 statements in 2023 and tax consulting and compliance services in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Policy</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charter of the audit committee of our general partner's board of directors, which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The audit committee pre-approved all services provided by PricewaterhouseCoopers during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8. Financial Statements and Supplementary Data" contained elsewhere in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100" w:type="dxa"/>
            <w:vAlign w:val="bottom"/>
            <w:gridSpan w:val="21"/>
          </w:tcPr>
          <w:p>
            <w:pPr>
              <w:ind w:left="1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09"/>
        </w:trPr>
        <w:tc>
          <w:tcPr>
            <w:tcW w:w="15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40" w:type="dxa"/>
            <w:vAlign w:val="bottom"/>
            <w:gridSpan w:val="23"/>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9"/>
        </w:trPr>
        <w:tc>
          <w:tcPr>
            <w:tcW w:w="154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3.1</w:t>
            </w:r>
          </w:p>
        </w:tc>
        <w:tc>
          <w:tcPr>
            <w:tcW w:w="9640" w:type="dxa"/>
            <w:vAlign w:val="bottom"/>
            <w:gridSpan w:val="2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55"/>
        </w:trPr>
        <w:tc>
          <w:tcPr>
            <w:tcW w:w="1540" w:type="dxa"/>
            <w:vAlign w:val="bottom"/>
          </w:tcPr>
          <w:p>
            <w:pPr>
              <w:spacing w:after="0"/>
              <w:rPr>
                <w:sz w:val="13"/>
                <w:szCs w:val="13"/>
                <w:color w:val="auto"/>
              </w:rPr>
            </w:pPr>
          </w:p>
        </w:tc>
        <w:tc>
          <w:tcPr>
            <w:tcW w:w="95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4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3.2</w:t>
            </w:r>
          </w:p>
        </w:tc>
        <w:tc>
          <w:tcPr>
            <w:tcW w:w="9640" w:type="dxa"/>
            <w:vAlign w:val="bottom"/>
            <w:gridSpan w:val="2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Amended and Restated Agreement of Limited Partnership of Westlake Chemical Partners LP (incorporated by reference to</w:t>
              </w:r>
            </w:hyperlink>
          </w:p>
        </w:tc>
      </w:tr>
      <w:tr>
        <w:trPr>
          <w:trHeight w:val="155"/>
        </w:trPr>
        <w:tc>
          <w:tcPr>
            <w:tcW w:w="1540" w:type="dxa"/>
            <w:vAlign w:val="bottom"/>
          </w:tcPr>
          <w:p>
            <w:pPr>
              <w:spacing w:after="0"/>
              <w:rPr>
                <w:sz w:val="13"/>
                <w:szCs w:val="13"/>
                <w:color w:val="auto"/>
              </w:rPr>
            </w:pPr>
          </w:p>
        </w:tc>
        <w:tc>
          <w:tcPr>
            <w:tcW w:w="92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Exhibit 3.1 to Westlake Chemical Partners LP's Current Report on Form 8-K (File No. 001-36567) filed on August 8, 2014).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4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3.3</w:t>
            </w:r>
          </w:p>
        </w:tc>
        <w:tc>
          <w:tcPr>
            <w:tcW w:w="9640" w:type="dxa"/>
            <w:vAlign w:val="bottom"/>
            <w:gridSpan w:val="2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1 to the First Amended and Restated Agreement of Limited Partnership of Westlake Chemical Partners LP dated as</w:t>
              </w:r>
            </w:hyperlink>
          </w:p>
        </w:tc>
      </w:tr>
      <w:tr>
        <w:trPr>
          <w:trHeight w:val="155"/>
        </w:trPr>
        <w:tc>
          <w:tcPr>
            <w:tcW w:w="1540" w:type="dxa"/>
            <w:vAlign w:val="bottom"/>
          </w:tcPr>
          <w:p>
            <w:pPr>
              <w:spacing w:after="0"/>
              <w:rPr>
                <w:sz w:val="13"/>
                <w:szCs w:val="13"/>
                <w:color w:val="auto"/>
              </w:rPr>
            </w:pPr>
          </w:p>
        </w:tc>
        <w:tc>
          <w:tcPr>
            <w:tcW w:w="95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of November 16, 2017 (incorporated by Reference to Exhibit 3.1 to Westlake Chemical Partners LP's Current Report on Form 8-K,</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filed on November 16, 2017, File No. 01-36567).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4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3.4</w:t>
            </w:r>
          </w:p>
        </w:tc>
        <w:tc>
          <w:tcPr>
            <w:tcW w:w="9640" w:type="dxa"/>
            <w:vAlign w:val="bottom"/>
            <w:gridSpan w:val="2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56"/>
        </w:trPr>
        <w:tc>
          <w:tcPr>
            <w:tcW w:w="1540" w:type="dxa"/>
            <w:vAlign w:val="bottom"/>
          </w:tcPr>
          <w:p>
            <w:pPr>
              <w:spacing w:after="0"/>
              <w:rPr>
                <w:sz w:val="13"/>
                <w:szCs w:val="13"/>
                <w:color w:val="auto"/>
              </w:rPr>
            </w:pPr>
          </w:p>
        </w:tc>
        <w:tc>
          <w:tcPr>
            <w:tcW w:w="89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by reference to Exhibit 3.1 to Westlake Chemical Partners LP's Current Report on Form 8-K filed on July 30,</w:t>
              </w:r>
            </w:hyperlink>
          </w:p>
        </w:tc>
        <w:tc>
          <w:tcPr>
            <w:tcW w:w="360" w:type="dxa"/>
            <w:vAlign w:val="bottom"/>
            <w:gridSpan w:val="6"/>
          </w:tcPr>
          <w:p>
            <w:pPr>
              <w:jc w:val="right"/>
              <w:ind w:right="20"/>
              <w:spacing w:after="0" w:line="156" w:lineRule="exact"/>
              <w:rPr>
                <w:rFonts w:ascii="Times New Roman" w:cs="Times New Roman" w:eastAsia="Times New Roman" w:hAnsi="Times New Roman"/>
                <w:sz w:val="18"/>
                <w:szCs w:val="18"/>
                <w:color w:val="0000FF"/>
                <w:w w:val="88"/>
              </w:rPr>
            </w:pPr>
            <w:hyperlink r:id="rId141">
              <w:r>
                <w:rPr>
                  <w:rFonts w:ascii="Times New Roman" w:cs="Times New Roman" w:eastAsia="Times New Roman" w:hAnsi="Times New Roman"/>
                  <w:sz w:val="18"/>
                  <w:szCs w:val="18"/>
                  <w:color w:val="0000FF"/>
                  <w:w w:val="88"/>
                </w:rPr>
                <w:t>2018</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2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(File No. 01-36567)).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4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3.5</w:t>
            </w:r>
          </w:p>
        </w:tc>
        <w:tc>
          <w:tcPr>
            <w:tcW w:w="9640" w:type="dxa"/>
            <w:vAlign w:val="bottom"/>
            <w:gridSpan w:val="23"/>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Amended and Restated Agreement of Limited Partnership of Westlake Chemical OpCo LP (incorporated by reference to Exhibit 10.7</w:t>
              </w:r>
            </w:hyperlink>
          </w:p>
        </w:tc>
      </w:tr>
      <w:tr>
        <w:trPr>
          <w:trHeight w:val="156"/>
        </w:trPr>
        <w:tc>
          <w:tcPr>
            <w:tcW w:w="1540" w:type="dxa"/>
            <w:vAlign w:val="bottom"/>
          </w:tcPr>
          <w:p>
            <w:pPr>
              <w:spacing w:after="0"/>
              <w:rPr>
                <w:sz w:val="13"/>
                <w:szCs w:val="13"/>
                <w:color w:val="auto"/>
              </w:rPr>
            </w:pPr>
          </w:p>
        </w:tc>
        <w:tc>
          <w:tcPr>
            <w:tcW w:w="96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to Westlake Chemical Partners LP's Current Report on Form 8-K (File No. 001-36567) filed on August 8, 2014).</w:t>
              </w:r>
            </w:hyperlink>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80" w:type="dxa"/>
            <w:vAlign w:val="bottom"/>
            <w:gridSpan w:val="3"/>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18"/>
        </w:trPr>
        <w:tc>
          <w:tcPr>
            <w:tcW w:w="154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3.6</w:t>
            </w:r>
          </w:p>
        </w:tc>
        <w:tc>
          <w:tcPr>
            <w:tcW w:w="92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440" w:type="dxa"/>
            <w:vAlign w:val="bottom"/>
            <w:gridSpan w:val="12"/>
          </w:tcPr>
          <w:p>
            <w:pPr>
              <w:spacing w:after="0"/>
              <w:rPr>
                <w:sz w:val="24"/>
                <w:szCs w:val="24"/>
                <w:color w:val="auto"/>
              </w:rPr>
            </w:pPr>
          </w:p>
        </w:tc>
      </w:tr>
      <w:tr>
        <w:trPr>
          <w:trHeight w:val="156"/>
        </w:trPr>
        <w:tc>
          <w:tcPr>
            <w:tcW w:w="1540" w:type="dxa"/>
            <w:vAlign w:val="bottom"/>
          </w:tcPr>
          <w:p>
            <w:pPr>
              <w:spacing w:after="0"/>
              <w:rPr>
                <w:sz w:val="13"/>
                <w:szCs w:val="13"/>
                <w:color w:val="auto"/>
              </w:rPr>
            </w:pPr>
          </w:p>
        </w:tc>
        <w:tc>
          <w:tcPr>
            <w:tcW w:w="9640" w:type="dxa"/>
            <w:vAlign w:val="bottom"/>
            <w:gridSpan w:val="23"/>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December 1, 2017 (File No. 01-36567) (incorporated by reference to Exhibit 3.4 to Westlake Chemical Partners LP's Annual Report</w:t>
              </w:r>
            </w:hyperlink>
          </w:p>
        </w:tc>
      </w:tr>
      <w:tr>
        <w:trPr>
          <w:trHeight w:val="155"/>
        </w:trPr>
        <w:tc>
          <w:tcPr>
            <w:tcW w:w="154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on Form 10-K for the year ended December 31, 2017 (File No. 01-36567) filed on March 1, 2018).</w:t>
              </w:r>
            </w:hyperlink>
          </w:p>
        </w:tc>
        <w:tc>
          <w:tcPr>
            <w:tcW w:w="140" w:type="dxa"/>
            <w:vAlign w:val="bottom"/>
            <w:gridSpan w:val="4"/>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80" w:type="dxa"/>
            <w:vAlign w:val="bottom"/>
            <w:gridSpan w:val="3"/>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77"/>
        </w:trPr>
        <w:tc>
          <w:tcPr>
            <w:tcW w:w="154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4.1</w:t>
            </w:r>
          </w:p>
        </w:tc>
        <w:tc>
          <w:tcPr>
            <w:tcW w:w="9640" w:type="dxa"/>
            <w:vAlign w:val="bottom"/>
            <w:gridSpan w:val="2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Description of Securities Registered Pursuant to Section 12 of the Securities Exchange Act of 1934 (incorporated by reference to</w:t>
              </w:r>
            </w:hyperlink>
          </w:p>
        </w:tc>
      </w:tr>
      <w:tr>
        <w:trPr>
          <w:trHeight w:val="155"/>
        </w:trPr>
        <w:tc>
          <w:tcPr>
            <w:tcW w:w="1540" w:type="dxa"/>
            <w:vAlign w:val="bottom"/>
          </w:tcPr>
          <w:p>
            <w:pPr>
              <w:spacing w:after="0"/>
              <w:rPr>
                <w:sz w:val="13"/>
                <w:szCs w:val="13"/>
                <w:color w:val="auto"/>
              </w:rPr>
            </w:pPr>
          </w:p>
        </w:tc>
        <w:tc>
          <w:tcPr>
            <w:tcW w:w="93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Exhibit 4.1 to Westlake Chemical Partners' Annual Report on Form 10-K for the year ended December 31, 2019, File No. 001-</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44">
              <w:r>
                <w:rPr>
                  <w:rFonts w:ascii="Times New Roman" w:cs="Times New Roman" w:eastAsia="Times New Roman" w:hAnsi="Times New Roman"/>
                  <w:sz w:val="18"/>
                  <w:szCs w:val="18"/>
                  <w:color w:val="0000FF"/>
                  <w:w w:val="93"/>
                </w:rPr>
                <w:t>36567).</w:t>
              </w:r>
            </w:hyperlink>
          </w:p>
        </w:tc>
        <w:tc>
          <w:tcPr>
            <w:tcW w:w="100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4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4.2</w:t>
            </w:r>
          </w:p>
        </w:tc>
        <w:tc>
          <w:tcPr>
            <w:tcW w:w="92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Indenture dated as of January 1, 2006 by and among Westlake Corporation, the potential subsidiary guarantors listed therein and</w:t>
              </w:r>
            </w:hyperlink>
          </w:p>
        </w:tc>
        <w:tc>
          <w:tcPr>
            <w:tcW w:w="400" w:type="dxa"/>
            <w:vAlign w:val="bottom"/>
            <w:gridSpan w:val="10"/>
          </w:tcPr>
          <w:p>
            <w:pPr>
              <w:spacing w:after="0"/>
              <w:rPr>
                <w:sz w:val="24"/>
                <w:szCs w:val="24"/>
                <w:color w:val="auto"/>
              </w:rPr>
            </w:pPr>
          </w:p>
        </w:tc>
      </w:tr>
      <w:tr>
        <w:trPr>
          <w:trHeight w:val="156"/>
        </w:trPr>
        <w:tc>
          <w:tcPr>
            <w:tcW w:w="1540" w:type="dxa"/>
            <w:vAlign w:val="bottom"/>
          </w:tcPr>
          <w:p>
            <w:pPr>
              <w:spacing w:after="0"/>
              <w:rPr>
                <w:sz w:val="13"/>
                <w:szCs w:val="13"/>
                <w:color w:val="auto"/>
              </w:rPr>
            </w:pPr>
          </w:p>
        </w:tc>
        <w:tc>
          <w:tcPr>
            <w:tcW w:w="9640" w:type="dxa"/>
            <w:vAlign w:val="bottom"/>
            <w:gridSpan w:val="23"/>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JPMorgan Chase Bank, National Association, as trustee (incorporated by reference to Exhibit 4.1 to Westlake Corporation's Current</w:t>
              </w:r>
            </w:hyperlink>
          </w:p>
        </w:tc>
      </w:tr>
      <w:tr>
        <w:trPr>
          <w:trHeight w:val="156"/>
        </w:trPr>
        <w:tc>
          <w:tcPr>
            <w:tcW w:w="154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Report on Form 8-K, filed on January 13, 2006, File No. 1-32260).</w:t>
              </w:r>
            </w:hyperlink>
          </w:p>
        </w:tc>
        <w:tc>
          <w:tcPr>
            <w:tcW w:w="4660" w:type="dxa"/>
            <w:vAlign w:val="bottom"/>
            <w:tcBorders>
              <w:top w:val="single" w:sz="8" w:color="0000FF"/>
            </w:tcBorders>
            <w:gridSpan w:val="14"/>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77"/>
        </w:trPr>
        <w:tc>
          <w:tcPr>
            <w:tcW w:w="154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4.3</w:t>
            </w:r>
          </w:p>
        </w:tc>
        <w:tc>
          <w:tcPr>
            <w:tcW w:w="93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Eighth Supplemental Indenture (including the form of the Notes), dated as of August 10, 2016, among Westlake Corporation, the</w:t>
              </w:r>
            </w:hyperlink>
          </w:p>
        </w:tc>
        <w:tc>
          <w:tcPr>
            <w:tcW w:w="320" w:type="dxa"/>
            <w:vAlign w:val="bottom"/>
            <w:gridSpan w:val="7"/>
          </w:tcPr>
          <w:p>
            <w:pPr>
              <w:spacing w:after="0"/>
              <w:rPr>
                <w:sz w:val="24"/>
                <w:szCs w:val="24"/>
                <w:color w:val="auto"/>
              </w:rPr>
            </w:pPr>
          </w:p>
        </w:tc>
      </w:tr>
      <w:tr>
        <w:trPr>
          <w:trHeight w:val="156"/>
        </w:trPr>
        <w:tc>
          <w:tcPr>
            <w:tcW w:w="1540" w:type="dxa"/>
            <w:vAlign w:val="bottom"/>
          </w:tcPr>
          <w:p>
            <w:pPr>
              <w:spacing w:after="0"/>
              <w:rPr>
                <w:sz w:val="13"/>
                <w:szCs w:val="13"/>
                <w:color w:val="auto"/>
              </w:rPr>
            </w:pPr>
          </w:p>
        </w:tc>
        <w:tc>
          <w:tcPr>
            <w:tcW w:w="9640" w:type="dxa"/>
            <w:vAlign w:val="bottom"/>
            <w:gridSpan w:val="23"/>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Guarantors (as defined therein) and The Bank of New York Mellon Trust Company, N.A., as trustee (incorporated by reference to</w:t>
              </w:r>
            </w:hyperlink>
          </w:p>
        </w:tc>
      </w:tr>
      <w:tr>
        <w:trPr>
          <w:trHeight w:val="156"/>
        </w:trPr>
        <w:tc>
          <w:tcPr>
            <w:tcW w:w="1540" w:type="dxa"/>
            <w:vAlign w:val="bottom"/>
          </w:tcPr>
          <w:p>
            <w:pPr>
              <w:spacing w:after="0"/>
              <w:rPr>
                <w:sz w:val="13"/>
                <w:szCs w:val="13"/>
                <w:color w:val="auto"/>
              </w:rPr>
            </w:pPr>
          </w:p>
        </w:tc>
        <w:tc>
          <w:tcPr>
            <w:tcW w:w="93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Exhibit 4.2 to Westlake Corporation's Current Report on Form 8-K, filed on August 10, 2016, File No. 001-32260).</w:t>
              </w:r>
            </w:hyperlink>
          </w:p>
        </w:tc>
        <w:tc>
          <w:tcPr>
            <w:tcW w:w="320" w:type="dxa"/>
            <w:vAlign w:val="bottom"/>
            <w:gridSpan w:val="7"/>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br w:type="column"/>
      </w:r>
    </w:p>
    <w:p>
      <w:pPr>
        <w:ind w:right="240"/>
        <w:spacing w:after="0" w:line="272" w:lineRule="auto"/>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u w:val="single" w:color="auto"/>
            <w:color w:val="0000FF"/>
          </w:rPr>
          <w:t>Tenth Supplemental Indenture (including the form of the Notes), dated as of November 29, 2017, among Westlake Corporation, the</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Subsidiary Guarantors (as defined therein) and The Bank of New York Mellon Trust Company, N.A., as trustee (incorporated by</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reference to Exhibit 4.2 to Westlake Corporation's Current Report on Form 8-K, filed on November 28, 2017, File No. 001-32260)</w:t>
        </w:r>
        <w:r>
          <w:rPr>
            <w:rFonts w:ascii="Times New Roman" w:cs="Times New Roman" w:eastAsia="Times New Roman" w:hAnsi="Times New Roman"/>
            <w:sz w:val="17"/>
            <w:szCs w:val="17"/>
            <w:color w:val="000000"/>
          </w:rPr>
          <w:t>.</w:t>
        </w:r>
      </w:hyperlink>
    </w:p>
    <w:p>
      <w:pPr>
        <w:spacing w:after="0" w:line="64" w:lineRule="exact"/>
        <w:rPr>
          <w:rFonts w:ascii="Times New Roman" w:cs="Times New Roman" w:eastAsia="Times New Roman" w:hAnsi="Times New Roman"/>
          <w:sz w:val="17"/>
          <w:szCs w:val="17"/>
          <w:u w:val="single" w:color="auto"/>
          <w:color w:val="0000FF"/>
        </w:rPr>
      </w:pPr>
    </w:p>
    <w:p>
      <w:pPr>
        <w:ind w:right="180"/>
        <w:spacing w:after="0" w:line="272" w:lineRule="auto"/>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u w:val="single" w:color="auto"/>
            <w:color w:val="0000FF"/>
          </w:rPr>
          <w:t>Eleventh Supplemental Indenture (including the form of the Notes), dated as of November 28, 2017, among Westlake Corporation,</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the Subsidiary Guarantors (as defined therein) and The Bank of New York Mellon Trust Company, N.A., as trustee (incorporated by</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reference to Exhibit 4.3 to Westlake Corporation's Current Report on Form 8-K, filed on November 28, 2017, File No. 001-32260)</w:t>
        </w:r>
        <w:r>
          <w:rPr>
            <w:rFonts w:ascii="Times New Roman" w:cs="Times New Roman" w:eastAsia="Times New Roman" w:hAnsi="Times New Roman"/>
            <w:sz w:val="17"/>
            <w:szCs w:val="17"/>
            <w:color w:val="000000"/>
          </w:rPr>
          <w:t>.</w:t>
        </w:r>
      </w:hyperlink>
    </w:p>
    <w:p>
      <w:pPr>
        <w:spacing w:after="0" w:line="51" w:lineRule="exact"/>
        <w:rPr>
          <w:rFonts w:ascii="Times New Roman" w:cs="Times New Roman" w:eastAsia="Times New Roman" w:hAnsi="Times New Roman"/>
          <w:sz w:val="17"/>
          <w:szCs w:val="17"/>
          <w:u w:val="single" w:color="auto"/>
          <w:color w:val="0000FF"/>
        </w:rPr>
      </w:pPr>
    </w:p>
    <w:p>
      <w:pPr>
        <w:jc w:val="both"/>
        <w:ind w:right="80"/>
        <w:spacing w:after="0" w:line="226" w:lineRule="auto"/>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u w:val="single" w:color="auto"/>
            <w:color w:val="0000FF"/>
          </w:rPr>
          <w:t>Twelfth Supplemental Indenture (including the form of the Notes), dated as of July 17, 2019, between Westlake Corporation and The</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Bank of New York Mellon Trust Company, N.A., as trustee (incorporated by reference to Exhibit 4.2 to Westlake's Current Report on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Form 8-K filed on July 17, 2019, File No. 1-32260)</w:t>
        </w:r>
        <w:r>
          <w:rPr>
            <w:rFonts w:ascii="Times New Roman" w:cs="Times New Roman" w:eastAsia="Times New Roman" w:hAnsi="Times New Roman"/>
            <w:sz w:val="18"/>
            <w:szCs w:val="18"/>
            <w:color w:val="000000"/>
          </w:rPr>
          <w:t>.</w:t>
        </w:r>
      </w:hyperlink>
    </w:p>
    <w:p>
      <w:pPr>
        <w:spacing w:after="0" w:line="5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40" w:space="720"/>
            <w:col w:w="96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4.7</w:t>
            </w:r>
          </w:p>
        </w:tc>
        <w:tc>
          <w:tcPr>
            <w:tcW w:w="9680" w:type="dxa"/>
            <w:vAlign w:val="bottom"/>
            <w:gridSpan w:val="1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Thirteenth Supplemental Indenture (including the form of Notes), dated as of June 12, 2020, between Westlake Corporation and The</w:t>
              </w:r>
            </w:hyperlink>
          </w:p>
        </w:tc>
      </w:tr>
      <w:tr>
        <w:trPr>
          <w:trHeight w:val="156"/>
        </w:trPr>
        <w:tc>
          <w:tcPr>
            <w:tcW w:w="156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Bank of New Mellon Trust Company, N.A., as trustee (incorporated by reference to Exhibit 4.2 to Westlake Corporation's Current</w:t>
              </w:r>
            </w:hyperlink>
          </w:p>
        </w:tc>
        <w:tc>
          <w:tcPr>
            <w:tcW w:w="160" w:type="dxa"/>
            <w:vAlign w:val="bottom"/>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936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Report on Form 8-K filed on June 12, 2020, File No. 1-32260).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4.8</w:t>
            </w:r>
          </w:p>
        </w:tc>
        <w:tc>
          <w:tcPr>
            <w:tcW w:w="9680" w:type="dxa"/>
            <w:vAlign w:val="bottom"/>
            <w:gridSpan w:val="1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Fourteenth Supplemental Indenture (including the form of Notes), dated as of August 19, 2021, between Westlake Corporation and</w:t>
              </w:r>
            </w:hyperlink>
          </w:p>
        </w:tc>
      </w:tr>
      <w:tr>
        <w:trPr>
          <w:trHeight w:val="156"/>
        </w:trPr>
        <w:tc>
          <w:tcPr>
            <w:tcW w:w="1560" w:type="dxa"/>
            <w:vAlign w:val="bottom"/>
          </w:tcPr>
          <w:p>
            <w:pPr>
              <w:spacing w:after="0"/>
              <w:rPr>
                <w:sz w:val="13"/>
                <w:szCs w:val="13"/>
                <w:color w:val="auto"/>
              </w:rPr>
            </w:pPr>
          </w:p>
        </w:tc>
        <w:tc>
          <w:tcPr>
            <w:tcW w:w="94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The Bank of New Mellon Trust Company, N.A., as trustee (incorporated by reference to Westlake Corporation's Current Report on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Form 8-K filed on August 19, 2021, File No. 1-32260).</w:t>
              </w:r>
            </w:hyperlink>
          </w:p>
        </w:tc>
        <w:tc>
          <w:tcPr>
            <w:tcW w:w="5420" w:type="dxa"/>
            <w:vAlign w:val="bottom"/>
            <w:tcBorders>
              <w:top w:val="single" w:sz="8" w:color="0000FF"/>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77"/>
        </w:trPr>
        <w:tc>
          <w:tcPr>
            <w:tcW w:w="1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4.9</w:t>
            </w:r>
          </w:p>
        </w:tc>
        <w:tc>
          <w:tcPr>
            <w:tcW w:w="9680" w:type="dxa"/>
            <w:vAlign w:val="bottom"/>
            <w:gridSpan w:val="1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Registration Rights Agreement by and among Westlake Chemical Partners LP and the persons named therein, dated as of March 29,</w:t>
              </w:r>
            </w:hyperlink>
          </w:p>
        </w:tc>
      </w:tr>
      <w:tr>
        <w:trPr>
          <w:trHeight w:val="155"/>
        </w:trPr>
        <w:tc>
          <w:tcPr>
            <w:tcW w:w="1560" w:type="dxa"/>
            <w:vAlign w:val="bottom"/>
          </w:tcPr>
          <w:p>
            <w:pPr>
              <w:spacing w:after="0"/>
              <w:rPr>
                <w:sz w:val="13"/>
                <w:szCs w:val="13"/>
                <w:color w:val="auto"/>
              </w:rPr>
            </w:pPr>
          </w:p>
        </w:tc>
        <w:tc>
          <w:tcPr>
            <w:tcW w:w="95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2019 (incorporated by reference to Exhibit 4.1 to Westlake Chemical Partners LP's Current Report on Form 8-K, filed on March 29,</w:t>
              </w:r>
            </w:hyperlink>
          </w:p>
        </w:tc>
        <w:tc>
          <w:tcPr>
            <w:tcW w:w="180" w:type="dxa"/>
            <w:vAlign w:val="bottom"/>
            <w:gridSpan w:val="2"/>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94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2019, File No. 001-36567).</w:t>
              </w:r>
            </w:hyperlink>
          </w:p>
        </w:tc>
        <w:tc>
          <w:tcPr>
            <w:tcW w:w="200" w:type="dxa"/>
            <w:vAlign w:val="bottom"/>
            <w:gridSpan w:val="3"/>
          </w:tcPr>
          <w:p>
            <w:pPr>
              <w:spacing w:after="0"/>
              <w:rPr>
                <w:sz w:val="13"/>
                <w:szCs w:val="13"/>
                <w:color w:val="auto"/>
              </w:rPr>
            </w:pPr>
          </w:p>
        </w:tc>
      </w:tr>
      <w:tr>
        <w:trPr>
          <w:trHeight w:val="938"/>
        </w:trPr>
        <w:tc>
          <w:tcPr>
            <w:tcW w:w="1560" w:type="dxa"/>
            <w:vAlign w:val="bottom"/>
          </w:tcPr>
          <w:p>
            <w:pPr>
              <w:spacing w:after="0"/>
              <w:rPr>
                <w:sz w:val="24"/>
                <w:szCs w:val="24"/>
                <w:color w:val="auto"/>
              </w:rPr>
            </w:pPr>
          </w:p>
        </w:tc>
        <w:tc>
          <w:tcPr>
            <w:tcW w:w="1960" w:type="dxa"/>
            <w:vAlign w:val="bottom"/>
            <w:tcBorders>
              <w:top w:val="single" w:sz="8" w:color="0000FF"/>
            </w:tcBorders>
          </w:tcPr>
          <w:p>
            <w:pPr>
              <w:spacing w:after="0"/>
              <w:rPr>
                <w:sz w:val="24"/>
                <w:szCs w:val="24"/>
                <w:color w:val="auto"/>
              </w:rPr>
            </w:pPr>
          </w:p>
        </w:tc>
        <w:tc>
          <w:tcPr>
            <w:tcW w:w="2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96</w:t>
            </w: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80" w:type="dxa"/>
            <w:vAlign w:val="bottom"/>
            <w:gridSpan w:val="42"/>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5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9680" w:type="dxa"/>
            <w:vAlign w:val="bottom"/>
            <w:gridSpan w:val="42"/>
          </w:tcPr>
          <w:p>
            <w:pPr>
              <w:spacing w:after="0" w:line="195"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Omnibus Agreement among Westlake Management Services, Inc., Westlake Vinyl Corporation, Westlake Chemical Partners GP</w:t>
              </w:r>
            </w:hyperlink>
          </w:p>
        </w:tc>
      </w:tr>
      <w:tr>
        <w:trPr>
          <w:trHeight w:val="155"/>
        </w:trPr>
        <w:tc>
          <w:tcPr>
            <w:tcW w:w="1560" w:type="dxa"/>
            <w:vAlign w:val="bottom"/>
          </w:tcPr>
          <w:p>
            <w:pPr>
              <w:spacing w:after="0"/>
              <w:rPr>
                <w:sz w:val="13"/>
                <w:szCs w:val="13"/>
                <w:color w:val="auto"/>
              </w:rPr>
            </w:pPr>
          </w:p>
        </w:tc>
        <w:tc>
          <w:tcPr>
            <w:tcW w:w="92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LLC, Westlake Chemical Partners LP, WPT LLC, Westlake Petrochemicals LLC, Westlake Vinyls, Inc., Westlake Longview</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89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Corporation, Westlake Chemical OpCo GP LLC, Westlake Chemical OpCo LP, Westlake PVC Corporation, Westlake Styrene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6"/>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LLC</w:t>
              </w:r>
            </w:hyperlink>
          </w:p>
        </w:tc>
      </w:tr>
      <w:tr>
        <w:trPr>
          <w:trHeight w:val="169"/>
        </w:trPr>
        <w:tc>
          <w:tcPr>
            <w:tcW w:w="1560" w:type="dxa"/>
            <w:vAlign w:val="bottom"/>
          </w:tcPr>
          <w:p>
            <w:pPr>
              <w:spacing w:after="0"/>
              <w:rPr>
                <w:sz w:val="14"/>
                <w:szCs w:val="14"/>
                <w:color w:val="auto"/>
              </w:rPr>
            </w:pPr>
          </w:p>
        </w:tc>
        <w:tc>
          <w:tcPr>
            <w:tcW w:w="946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and Westlake Polymers LLC (incorporated by reference to Exhibit 10.1 to Westlake Chemical Partners LP's Current Report on Form</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560" w:type="dxa"/>
            <w:vAlign w:val="bottom"/>
          </w:tcPr>
          <w:p>
            <w:pPr>
              <w:spacing w:after="0"/>
              <w:rPr>
                <w:sz w:val="13"/>
                <w:szCs w:val="13"/>
                <w:color w:val="auto"/>
              </w:rPr>
            </w:pPr>
          </w:p>
        </w:tc>
        <w:tc>
          <w:tcPr>
            <w:tcW w:w="9540" w:type="dxa"/>
            <w:vAlign w:val="bottom"/>
            <w:gridSpan w:val="35"/>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8-K (File No. 001-36567) filed on August 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4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Services and Secondment Agreement by and among Westlake Chemical OpCo LP, Westlake Management Services, Inc., Westlake</w:t>
              </w:r>
            </w:hyperlink>
          </w:p>
        </w:tc>
        <w:tc>
          <w:tcPr>
            <w:tcW w:w="280" w:type="dxa"/>
            <w:vAlign w:val="bottom"/>
            <w:gridSpan w:val="14"/>
          </w:tcPr>
          <w:p>
            <w:pPr>
              <w:spacing w:after="0"/>
              <w:rPr>
                <w:sz w:val="24"/>
                <w:szCs w:val="24"/>
                <w:color w:val="auto"/>
              </w:rPr>
            </w:pPr>
          </w:p>
        </w:tc>
      </w:tr>
      <w:tr>
        <w:trPr>
          <w:trHeight w:val="156"/>
        </w:trPr>
        <w:tc>
          <w:tcPr>
            <w:tcW w:w="1560" w:type="dxa"/>
            <w:vAlign w:val="bottom"/>
          </w:tcPr>
          <w:p>
            <w:pPr>
              <w:spacing w:after="0"/>
              <w:rPr>
                <w:sz w:val="13"/>
                <w:szCs w:val="13"/>
                <w:color w:val="auto"/>
              </w:rPr>
            </w:pPr>
          </w:p>
        </w:tc>
        <w:tc>
          <w:tcPr>
            <w:tcW w:w="9680" w:type="dxa"/>
            <w:vAlign w:val="bottom"/>
            <w:gridSpan w:val="42"/>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Vinyls, Inc., WPT LLC and Westlake Petrochemicals LLC (incorporated by reference to Exhibit 10.2 to Westlake Chemical Partners</w:t>
              </w:r>
            </w:hyperlink>
          </w:p>
        </w:tc>
      </w:tr>
      <w:tr>
        <w:trPr>
          <w:trHeight w:val="156"/>
        </w:trPr>
        <w:tc>
          <w:tcPr>
            <w:tcW w:w="156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LP's Current Report on Form 8-K (File No. 001-36567) filed on August 8, 2014).</w:t>
              </w:r>
            </w:hyperlink>
          </w:p>
        </w:tc>
        <w:tc>
          <w:tcPr>
            <w:tcW w:w="370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Feedstock Supply Agreement between Westlake Petrochemicals LLC and Westlake Chemical OpCo LP (incorporated by reference to</w:t>
              </w:r>
            </w:hyperlink>
          </w:p>
        </w:tc>
      </w:tr>
      <w:tr>
        <w:trPr>
          <w:trHeight w:val="156"/>
        </w:trPr>
        <w:tc>
          <w:tcPr>
            <w:tcW w:w="156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Exhibit 10.3 to Westlake Chemical Partners LP's Current Report on Form 8-K (File No. 001-36567) filed on August 8, 2014).</w:t>
              </w:r>
            </w:hyperlink>
          </w:p>
        </w:tc>
        <w:tc>
          <w:tcPr>
            <w:tcW w:w="6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Ethylene Sales Agreement between Westlake Chemical OpCo LP, WPT LLC, Westlake Vinyls, Inc. and Westlake Petrochemicals</w:t>
              </w:r>
            </w:hyperlink>
          </w:p>
        </w:tc>
      </w:tr>
      <w:tr>
        <w:trPr>
          <w:trHeight w:val="156"/>
        </w:trPr>
        <w:tc>
          <w:tcPr>
            <w:tcW w:w="1560" w:type="dxa"/>
            <w:vAlign w:val="bottom"/>
          </w:tcPr>
          <w:p>
            <w:pPr>
              <w:spacing w:after="0"/>
              <w:rPr>
                <w:sz w:val="13"/>
                <w:szCs w:val="13"/>
                <w:color w:val="auto"/>
              </w:rPr>
            </w:pPr>
          </w:p>
        </w:tc>
        <w:tc>
          <w:tcPr>
            <w:tcW w:w="93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LLC (incorporated by reference to Exhibit 10.4 to Westlake Chemical Partners LP's Current Report on Form 8-K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36567) filed on August 8, 2014).</w:t>
              </w:r>
            </w:hyperlink>
          </w:p>
        </w:tc>
        <w:tc>
          <w:tcPr>
            <w:tcW w:w="68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to Ethylene Sales Agreement (incorporated herein by reference to Exhibit 10.1 to Westlake Chemical Partners LP's</w:t>
              </w:r>
            </w:hyperlink>
          </w:p>
        </w:tc>
      </w:tr>
      <w:tr>
        <w:trPr>
          <w:trHeight w:val="156"/>
        </w:trPr>
        <w:tc>
          <w:tcPr>
            <w:tcW w:w="15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Quarterly Report on Form 10-Q for the quarter ended June 30, 2016, filed on August 9, 2016, File No. 1-32260).</w:t>
              </w:r>
            </w:hyperlink>
          </w:p>
        </w:tc>
        <w:tc>
          <w:tcPr>
            <w:tcW w:w="150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Second Amendment to Ethylene Sales Agreement (incorporated by reference to Exhibit 10.2 to Westlake Chemical Partners LP's</w:t>
              </w:r>
            </w:hyperlink>
          </w:p>
        </w:tc>
      </w:tr>
      <w:tr>
        <w:trPr>
          <w:trHeight w:val="156"/>
        </w:trPr>
        <w:tc>
          <w:tcPr>
            <w:tcW w:w="156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Quarterly Report on Form 10-Q for the quarter ended September 30, 2018 (File No. 01-36567) filed on November 6, 2018).</w:t>
              </w:r>
            </w:hyperlink>
          </w:p>
        </w:tc>
        <w:tc>
          <w:tcPr>
            <w:tcW w:w="3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Site Lease Agreement (Calvert City) between Westlake Vinyls, Inc. and Westlake Chemical OpCo LP (incorporated by reference to</w:t>
              </w:r>
            </w:hyperlink>
          </w:p>
        </w:tc>
      </w:tr>
      <w:tr>
        <w:trPr>
          <w:trHeight w:val="156"/>
        </w:trPr>
        <w:tc>
          <w:tcPr>
            <w:tcW w:w="156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Exhibit 10.5 to Westlake Chemical Partners LP's Current Report on Form 8-K (File No. 001-36567) filed on August 8, 2014).</w:t>
              </w:r>
            </w:hyperlink>
          </w:p>
        </w:tc>
        <w:tc>
          <w:tcPr>
            <w:tcW w:w="4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Site Lease Agreement (Lake Charles) between Westlake Petrochemicals LLC and Westlake Chemical OpCo LP (incorporated by</w:t>
              </w:r>
            </w:hyperlink>
          </w:p>
        </w:tc>
      </w:tr>
      <w:tr>
        <w:trPr>
          <w:trHeight w:val="156"/>
        </w:trPr>
        <w:tc>
          <w:tcPr>
            <w:tcW w:w="156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reference to Exhibit 10.6 to Westlake Chemical Partners LP's Current Report on Form 8-K (File No. 001-36567) filed on August</w:t>
              </w:r>
            </w:hyperlink>
          </w:p>
        </w:tc>
        <w:tc>
          <w:tcPr>
            <w:tcW w:w="120" w:type="dxa"/>
            <w:vAlign w:val="bottom"/>
            <w:tcBorders>
              <w:bottom w:val="single" w:sz="8" w:color="0000FF"/>
            </w:tcBorders>
            <w:gridSpan w:val="6"/>
          </w:tcPr>
          <w:p>
            <w:pPr>
              <w:jc w:val="right"/>
              <w:ind w:right="20"/>
              <w:spacing w:after="0" w:line="156" w:lineRule="exact"/>
              <w:rPr>
                <w:rFonts w:ascii="Times New Roman" w:cs="Times New Roman" w:eastAsia="Times New Roman" w:hAnsi="Times New Roman"/>
                <w:sz w:val="15"/>
                <w:szCs w:val="15"/>
                <w:color w:val="0000FF"/>
                <w:w w:val="70"/>
              </w:rPr>
            </w:pPr>
            <w:hyperlink r:id="rId162">
              <w:r>
                <w:rPr>
                  <w:rFonts w:ascii="Times New Roman" w:cs="Times New Roman" w:eastAsia="Times New Roman" w:hAnsi="Times New Roman"/>
                  <w:sz w:val="15"/>
                  <w:szCs w:val="15"/>
                  <w:color w:val="0000FF"/>
                  <w:w w:val="70"/>
                </w:rPr>
                <w:t>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62">
              <w:r>
                <w:rPr>
                  <w:rFonts w:ascii="Times New Roman" w:cs="Times New Roman" w:eastAsia="Times New Roman" w:hAnsi="Times New Roman"/>
                  <w:sz w:val="18"/>
                  <w:szCs w:val="18"/>
                  <w:color w:val="0000FF"/>
                  <w:w w:val="94"/>
                </w:rPr>
                <w:t>2014).</w:t>
              </w:r>
            </w:hyperlink>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Senior Unsecured Revolving Credit Agreement by and among Westlake Chemical Partners LP and Westlake Chemical Finance</w:t>
              </w:r>
            </w:hyperlink>
          </w:p>
        </w:tc>
      </w:tr>
      <w:tr>
        <w:trPr>
          <w:trHeight w:val="155"/>
        </w:trPr>
        <w:tc>
          <w:tcPr>
            <w:tcW w:w="1560" w:type="dxa"/>
            <w:vAlign w:val="bottom"/>
          </w:tcPr>
          <w:p>
            <w:pPr>
              <w:spacing w:after="0"/>
              <w:rPr>
                <w:sz w:val="13"/>
                <w:szCs w:val="13"/>
                <w:color w:val="auto"/>
              </w:rPr>
            </w:pPr>
          </w:p>
        </w:tc>
        <w:tc>
          <w:tcPr>
            <w:tcW w:w="9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Corporation, dated as of April 29, 2015 (incorporated by reference to Exhibit 10.1 to Westlake Chemical Partners LP's Current</w:t>
              </w:r>
            </w:hyperlink>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Report on Form 8-K, filed on April 30, 2015, File No. 001-36567).</w:t>
              </w:r>
            </w:hyperlink>
          </w:p>
        </w:tc>
        <w:tc>
          <w:tcPr>
            <w:tcW w:w="4300" w:type="dxa"/>
            <w:vAlign w:val="bottom"/>
            <w:tcBorders>
              <w:top w:val="single" w:sz="8" w:color="0000FF"/>
            </w:tcBorders>
            <w:gridSpan w:val="9"/>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First Amendment to Senior Unsecured Revolving Credit Agreement by and between Westlake Chemical Partners LP, as borrower,</w:t>
              </w:r>
            </w:hyperlink>
          </w:p>
        </w:tc>
      </w:tr>
      <w:tr>
        <w:trPr>
          <w:trHeight w:val="155"/>
        </w:trPr>
        <w:tc>
          <w:tcPr>
            <w:tcW w:w="1560" w:type="dxa"/>
            <w:vAlign w:val="bottom"/>
          </w:tcPr>
          <w:p>
            <w:pPr>
              <w:spacing w:after="0"/>
              <w:rPr>
                <w:sz w:val="13"/>
                <w:szCs w:val="13"/>
                <w:color w:val="auto"/>
              </w:rPr>
            </w:pPr>
          </w:p>
        </w:tc>
        <w:tc>
          <w:tcPr>
            <w:tcW w:w="93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and Westlake Chemical Finance Corporation, as lender, dated as of August 1, 2017 (incorporated by reference to Exhibit 10.1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Westlake Chemical Partners LP's Quarterly Report on Form 10-Q for the quarter ended June 30, 2017 (File No. 01-36567) filed</w:t>
              </w:r>
            </w:hyperlink>
          </w:p>
        </w:tc>
        <w:tc>
          <w:tcPr>
            <w:tcW w:w="460" w:type="dxa"/>
            <w:vAlign w:val="bottom"/>
            <w:gridSpan w:val="22"/>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on</w:t>
              </w:r>
            </w:hyperlink>
          </w:p>
        </w:tc>
      </w:tr>
      <w:tr>
        <w:trPr>
          <w:trHeight w:val="169"/>
        </w:trPr>
        <w:tc>
          <w:tcPr>
            <w:tcW w:w="1560" w:type="dxa"/>
            <w:vAlign w:val="bottom"/>
          </w:tcPr>
          <w:p>
            <w:pPr>
              <w:spacing w:after="0"/>
              <w:rPr>
                <w:sz w:val="14"/>
                <w:szCs w:val="14"/>
                <w:color w:val="auto"/>
              </w:rPr>
            </w:pPr>
          </w:p>
        </w:tc>
        <w:tc>
          <w:tcPr>
            <w:tcW w:w="940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August 3,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10.7.2</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Second Amendment to Senior Unsecured Revolving Credit Agreement by and between Westlake Chemical Partners LP, as borrower,</w:t>
              </w:r>
            </w:hyperlink>
          </w:p>
        </w:tc>
      </w:tr>
      <w:tr>
        <w:trPr>
          <w:trHeight w:val="155"/>
        </w:trPr>
        <w:tc>
          <w:tcPr>
            <w:tcW w:w="1560" w:type="dxa"/>
            <w:vAlign w:val="bottom"/>
          </w:tcPr>
          <w:p>
            <w:pPr>
              <w:spacing w:after="0"/>
              <w:rPr>
                <w:sz w:val="13"/>
                <w:szCs w:val="13"/>
                <w:color w:val="auto"/>
              </w:rPr>
            </w:pPr>
          </w:p>
        </w:tc>
        <w:tc>
          <w:tcPr>
            <w:tcW w:w="95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and Westlake Chemical Finance Corporation, as lender, dated as of November 28, 2017 (incorporated by reference to Exhibit 10.24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94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to Westlake Chemical Partners LP's Annual Report on Form 10-K for the year ended December 31, 2017 (File No. 01-36567) filed</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6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on March 1, 2018).</w:t>
              </w:r>
            </w:hyperlink>
          </w:p>
        </w:tc>
        <w:tc>
          <w:tcPr>
            <w:tcW w:w="804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10.7.3</w:t>
            </w:r>
          </w:p>
        </w:tc>
        <w:tc>
          <w:tcPr>
            <w:tcW w:w="94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Third Amendment to Senior Unsecured Revolving Credit Agreement by and between Westlake Chemical Partners LP, as borrower,</w:t>
              </w:r>
            </w:hyperlink>
          </w:p>
        </w:tc>
        <w:tc>
          <w:tcPr>
            <w:tcW w:w="240" w:type="dxa"/>
            <w:vAlign w:val="bottom"/>
            <w:gridSpan w:val="12"/>
          </w:tcPr>
          <w:p>
            <w:pPr>
              <w:spacing w:after="0"/>
              <w:rPr>
                <w:sz w:val="22"/>
                <w:szCs w:val="22"/>
                <w:color w:val="auto"/>
              </w:rPr>
            </w:pPr>
          </w:p>
        </w:tc>
      </w:tr>
      <w:tr>
        <w:trPr>
          <w:trHeight w:val="155"/>
        </w:trPr>
        <w:tc>
          <w:tcPr>
            <w:tcW w:w="1560" w:type="dxa"/>
            <w:vAlign w:val="bottom"/>
          </w:tcPr>
          <w:p>
            <w:pPr>
              <w:spacing w:after="0"/>
              <w:rPr>
                <w:sz w:val="13"/>
                <w:szCs w:val="13"/>
                <w:color w:val="auto"/>
              </w:rPr>
            </w:pPr>
          </w:p>
        </w:tc>
        <w:tc>
          <w:tcPr>
            <w:tcW w:w="9680" w:type="dxa"/>
            <w:vAlign w:val="bottom"/>
            <w:gridSpan w:val="42"/>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and Westlake Chemical Finance Corporation, as lender, dated as of March 19, 2020 (incorporated herein by reference to Exhibit 10.1</w:t>
              </w:r>
            </w:hyperlink>
          </w:p>
        </w:tc>
      </w:tr>
      <w:tr>
        <w:trPr>
          <w:trHeight w:val="155"/>
        </w:trPr>
        <w:tc>
          <w:tcPr>
            <w:tcW w:w="156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38"/>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to Westlake Chemical Partners LP's Quarterly Report on Form 10-Q for the quarter ended March 31, 2020, filed on May 6, 2020, File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60" w:type="dxa"/>
            <w:vAlign w:val="bottom"/>
          </w:tcPr>
          <w:p>
            <w:pPr>
              <w:spacing w:after="0"/>
              <w:rPr>
                <w:sz w:val="14"/>
                <w:szCs w:val="14"/>
                <w:color w:val="auto"/>
              </w:rPr>
            </w:pPr>
          </w:p>
        </w:tc>
        <w:tc>
          <w:tcPr>
            <w:tcW w:w="9660" w:type="dxa"/>
            <w:vAlign w:val="bottom"/>
            <w:gridSpan w:val="41"/>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No. 001-36567).</w:t>
              </w:r>
            </w:hyperlink>
          </w:p>
        </w:tc>
        <w:tc>
          <w:tcPr>
            <w:tcW w:w="20" w:type="dxa"/>
            <w:vAlign w:val="bottom"/>
          </w:tcPr>
          <w:p>
            <w:pPr>
              <w:spacing w:after="0"/>
              <w:rPr>
                <w:sz w:val="14"/>
                <w:szCs w:val="14"/>
                <w:color w:val="auto"/>
              </w:rPr>
            </w:pPr>
          </w:p>
        </w:tc>
      </w:tr>
      <w:tr>
        <w:trPr>
          <w:trHeight w:val="20"/>
        </w:trPr>
        <w:tc>
          <w:tcPr>
            <w:tcW w:w="15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63"/>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10.7.4</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Fourth Amendment to Senior Unsecured Revolving Credit Agreement of Westlake Chemical Partners LP (incorporated by reference</w:t>
              </w:r>
            </w:hyperlink>
          </w:p>
        </w:tc>
      </w:tr>
      <w:tr>
        <w:trPr>
          <w:trHeight w:val="156"/>
        </w:trPr>
        <w:tc>
          <w:tcPr>
            <w:tcW w:w="156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to Exhibit 10.2 to Westlake Chemical Partners LP's Current Report on Form 8-K (File No. 001-36567) filed on July 15, 2022).</w:t>
              </w:r>
            </w:hyperlink>
          </w:p>
        </w:tc>
        <w:tc>
          <w:tcPr>
            <w:tcW w:w="420" w:type="dxa"/>
            <w:vAlign w:val="bottom"/>
            <w:tcBorders>
              <w:top w:val="single" w:sz="8" w:color="0000FF"/>
            </w:tcBorders>
            <w:gridSpan w:val="18"/>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Amended and Restated Senior Unsecured Revolving Credit Agreement by and among Westlake Chemical OpCo LP, Westlake</w:t>
              </w:r>
            </w:hyperlink>
          </w:p>
        </w:tc>
      </w:tr>
      <w:tr>
        <w:trPr>
          <w:trHeight w:val="156"/>
        </w:trPr>
        <w:tc>
          <w:tcPr>
            <w:tcW w:w="1560" w:type="dxa"/>
            <w:vAlign w:val="bottom"/>
          </w:tcPr>
          <w:p>
            <w:pPr>
              <w:spacing w:after="0"/>
              <w:rPr>
                <w:sz w:val="13"/>
                <w:szCs w:val="13"/>
                <w:color w:val="auto"/>
              </w:rPr>
            </w:pPr>
          </w:p>
        </w:tc>
        <w:tc>
          <w:tcPr>
            <w:tcW w:w="90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Polymers LLC, and the lenders party thereto, dated as of June 1, 2017 (incorporated by reference to Exhibit 10.9 to Westlake</w:t>
              </w:r>
            </w:hyperlink>
          </w:p>
        </w:tc>
        <w:tc>
          <w:tcPr>
            <w:tcW w:w="22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320" w:type="dxa"/>
            <w:vAlign w:val="bottom"/>
            <w:gridSpan w:val="16"/>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8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Chemical Partners LP's Annual Report on Form 10-K for the year ended December 31, 2019, filed on February 28, 2020, File</w:t>
              </w:r>
            </w:hyperlink>
          </w:p>
        </w:tc>
        <w:tc>
          <w:tcPr>
            <w:tcW w:w="700" w:type="dxa"/>
            <w:vAlign w:val="bottom"/>
            <w:gridSpan w:val="29"/>
          </w:tcPr>
          <w:p>
            <w:pPr>
              <w:ind w:left="120"/>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No.</w:t>
              </w:r>
            </w:hyperlink>
          </w:p>
        </w:tc>
      </w:tr>
      <w:tr>
        <w:trPr>
          <w:trHeight w:val="169"/>
        </w:trPr>
        <w:tc>
          <w:tcPr>
            <w:tcW w:w="156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001-36567).</w:t>
              </w:r>
            </w:hyperlink>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10.8.1</w:t>
            </w:r>
          </w:p>
        </w:tc>
        <w:tc>
          <w:tcPr>
            <w:tcW w:w="9680" w:type="dxa"/>
            <w:vAlign w:val="bottom"/>
            <w:gridSpan w:val="4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First Amendment to Amended and Restated Senior Unsecured Revolving Credit Agreement (incorporated by reference to Exhibit</w:t>
              </w:r>
            </w:hyperlink>
          </w:p>
        </w:tc>
      </w:tr>
      <w:tr>
        <w:trPr>
          <w:trHeight w:val="156"/>
        </w:trPr>
        <w:tc>
          <w:tcPr>
            <w:tcW w:w="1560" w:type="dxa"/>
            <w:vAlign w:val="bottom"/>
          </w:tcPr>
          <w:p>
            <w:pPr>
              <w:spacing w:after="0"/>
              <w:rPr>
                <w:sz w:val="13"/>
                <w:szCs w:val="13"/>
                <w:color w:val="auto"/>
              </w:rPr>
            </w:pPr>
          </w:p>
        </w:tc>
        <w:tc>
          <w:tcPr>
            <w:tcW w:w="93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Westlake Chemical Partners LP's Quarterly Report on Form 10-Q for the quarter ended September 30, 2018 (File No. 01-</w:t>
              </w:r>
            </w:hyperlink>
          </w:p>
        </w:tc>
        <w:tc>
          <w:tcPr>
            <w:tcW w:w="320" w:type="dxa"/>
            <w:vAlign w:val="bottom"/>
            <w:gridSpan w:val="16"/>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93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36567) filed on November 6, 2018)</w:t>
              </w:r>
              <w:r>
                <w:rPr>
                  <w:rFonts w:ascii="Times New Roman" w:cs="Times New Roman" w:eastAsia="Times New Roman" w:hAnsi="Times New Roman"/>
                  <w:sz w:val="18"/>
                  <w:szCs w:val="18"/>
                  <w:color w:val="000000"/>
                </w:rPr>
                <w:t>.</w:t>
              </w:r>
            </w:hyperlink>
          </w:p>
        </w:tc>
        <w:tc>
          <w:tcPr>
            <w:tcW w:w="380" w:type="dxa"/>
            <w:vAlign w:val="bottom"/>
            <w:gridSpan w:val="19"/>
          </w:tcPr>
          <w:p>
            <w:pPr>
              <w:spacing w:after="0"/>
              <w:rPr>
                <w:sz w:val="13"/>
                <w:szCs w:val="13"/>
                <w:color w:val="auto"/>
              </w:rPr>
            </w:pPr>
          </w:p>
        </w:tc>
      </w:tr>
      <w:tr>
        <w:trPr>
          <w:trHeight w:val="938"/>
        </w:trPr>
        <w:tc>
          <w:tcPr>
            <w:tcW w:w="1560" w:type="dxa"/>
            <w:vAlign w:val="bottom"/>
          </w:tcPr>
          <w:p>
            <w:pPr>
              <w:spacing w:after="0"/>
              <w:rPr>
                <w:sz w:val="24"/>
                <w:szCs w:val="24"/>
                <w:color w:val="auto"/>
              </w:rPr>
            </w:pPr>
          </w:p>
        </w:tc>
        <w:tc>
          <w:tcPr>
            <w:tcW w:w="2540" w:type="dxa"/>
            <w:vAlign w:val="bottom"/>
            <w:tcBorders>
              <w:top w:val="single" w:sz="8" w:color="0000FF"/>
            </w:tcBorders>
            <w:gridSpan w:val="6"/>
          </w:tcPr>
          <w:p>
            <w:pPr>
              <w:spacing w:after="0"/>
              <w:rPr>
                <w:sz w:val="24"/>
                <w:szCs w:val="24"/>
                <w:color w:val="auto"/>
              </w:rPr>
            </w:pPr>
          </w:p>
        </w:tc>
        <w:tc>
          <w:tcPr>
            <w:tcW w:w="2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97</w:t>
            </w:r>
          </w:p>
        </w:tc>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5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00" w:type="dxa"/>
            <w:vAlign w:val="bottom"/>
            <w:gridSpan w:val="37"/>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10.8.2</w:t>
            </w:r>
          </w:p>
        </w:tc>
        <w:tc>
          <w:tcPr>
            <w:tcW w:w="918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Second Amendment to Amended and Restated Senior Unsecured Revolving Credit Agreement of Westlake Chemical OpCo LP</w:t>
              </w:r>
            </w:hyperlink>
          </w:p>
        </w:tc>
        <w:tc>
          <w:tcPr>
            <w:tcW w:w="420" w:type="dxa"/>
            <w:vAlign w:val="bottom"/>
            <w:gridSpan w:val="15"/>
          </w:tcPr>
          <w:p>
            <w:pPr>
              <w:spacing w:after="0"/>
              <w:rPr>
                <w:sz w:val="16"/>
                <w:szCs w:val="16"/>
                <w:color w:val="auto"/>
              </w:rPr>
            </w:pPr>
          </w:p>
        </w:tc>
      </w:tr>
      <w:tr>
        <w:trPr>
          <w:trHeight w:val="156"/>
        </w:trPr>
        <w:tc>
          <w:tcPr>
            <w:tcW w:w="1540" w:type="dxa"/>
            <w:vAlign w:val="bottom"/>
          </w:tcPr>
          <w:p>
            <w:pPr>
              <w:spacing w:after="0"/>
              <w:rPr>
                <w:sz w:val="13"/>
                <w:szCs w:val="13"/>
                <w:color w:val="auto"/>
              </w:rPr>
            </w:pPr>
          </w:p>
        </w:tc>
        <w:tc>
          <w:tcPr>
            <w:tcW w:w="9600" w:type="dxa"/>
            <w:vAlign w:val="bottom"/>
            <w:gridSpan w:val="37"/>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(incorporated by reference to Exhibit 10.1 to Westlake Chemical Partners LP's Current Report on Form 8-K (File No. 001-36567)</w:t>
              </w:r>
            </w:hyperlink>
          </w:p>
        </w:tc>
      </w:tr>
      <w:tr>
        <w:trPr>
          <w:trHeight w:val="156"/>
        </w:trPr>
        <w:tc>
          <w:tcPr>
            <w:tcW w:w="154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filed on July 15, 2022).</w:t>
              </w:r>
            </w:hyperlink>
          </w:p>
        </w:tc>
        <w:tc>
          <w:tcPr>
            <w:tcW w:w="76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600" w:type="dxa"/>
            <w:vAlign w:val="bottom"/>
            <w:gridSpan w:val="37"/>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Westlake Chemical Partners LP Long-Term Incentive Plan (incorporated by reference to Exhibit 10.8 to Westlake Chemical Partners</w:t>
              </w:r>
            </w:hyperlink>
          </w:p>
        </w:tc>
      </w:tr>
      <w:tr>
        <w:trPr>
          <w:trHeight w:val="156"/>
        </w:trPr>
        <w:tc>
          <w:tcPr>
            <w:tcW w:w="154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LP's Current Report on Form 8-K (File No. 001-36567) filed on August 8, 2014).</w:t>
              </w:r>
            </w:hyperlink>
          </w:p>
        </w:tc>
        <w:tc>
          <w:tcPr>
            <w:tcW w:w="37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10.9.1†</w:t>
            </w:r>
          </w:p>
        </w:tc>
        <w:tc>
          <w:tcPr>
            <w:tcW w:w="90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Westlake Chemical Partners LP Long-Term Incentive Plan (as amended and restated effective May 8, 2024) (incorporated by</w:t>
              </w:r>
            </w:hyperlink>
          </w:p>
        </w:tc>
        <w:tc>
          <w:tcPr>
            <w:tcW w:w="600" w:type="dxa"/>
            <w:vAlign w:val="bottom"/>
            <w:gridSpan w:val="18"/>
          </w:tcPr>
          <w:p>
            <w:pPr>
              <w:spacing w:after="0"/>
              <w:rPr>
                <w:sz w:val="24"/>
                <w:szCs w:val="24"/>
                <w:color w:val="auto"/>
              </w:rPr>
            </w:pPr>
          </w:p>
        </w:tc>
      </w:tr>
      <w:tr>
        <w:trPr>
          <w:trHeight w:val="155"/>
        </w:trPr>
        <w:tc>
          <w:tcPr>
            <w:tcW w:w="1540" w:type="dxa"/>
            <w:vAlign w:val="bottom"/>
          </w:tcPr>
          <w:p>
            <w:pPr>
              <w:spacing w:after="0"/>
              <w:rPr>
                <w:sz w:val="13"/>
                <w:szCs w:val="13"/>
                <w:color w:val="auto"/>
              </w:rPr>
            </w:pPr>
          </w:p>
        </w:tc>
        <w:tc>
          <w:tcPr>
            <w:tcW w:w="9600" w:type="dxa"/>
            <w:vAlign w:val="bottom"/>
            <w:gridSpan w:val="37"/>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reference to Appendix A to Westlake Chemical Partners LP's Definitive Proxy Statement on Schedule 14A filed on March 18, 2024,</w:t>
              </w:r>
            </w:hyperlink>
          </w:p>
        </w:tc>
      </w:tr>
      <w:tr>
        <w:trPr>
          <w:trHeight w:val="155"/>
        </w:trPr>
        <w:tc>
          <w:tcPr>
            <w:tcW w:w="154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File No. 001-36567).</w:t>
              </w:r>
            </w:hyperlink>
          </w:p>
        </w:tc>
        <w:tc>
          <w:tcPr>
            <w:tcW w:w="800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600" w:type="dxa"/>
            <w:vAlign w:val="bottom"/>
            <w:gridSpan w:val="37"/>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Exchange Agreement, effective as of August 1, 2014, by and between WPT LLC and Westlake Chemical OpCo LP (incorporated by</w:t>
              </w:r>
            </w:hyperlink>
          </w:p>
        </w:tc>
      </w:tr>
      <w:tr>
        <w:trPr>
          <w:trHeight w:val="155"/>
        </w:trPr>
        <w:tc>
          <w:tcPr>
            <w:tcW w:w="1540" w:type="dxa"/>
            <w:vAlign w:val="bottom"/>
          </w:tcPr>
          <w:p>
            <w:pPr>
              <w:spacing w:after="0"/>
              <w:rPr>
                <w:sz w:val="13"/>
                <w:szCs w:val="13"/>
                <w:color w:val="auto"/>
              </w:rPr>
            </w:pPr>
          </w:p>
        </w:tc>
        <w:tc>
          <w:tcPr>
            <w:tcW w:w="95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reference to Exhibit 10.20 to Westlake Chemical Partners LP's Annual Report on Form 10-K for the year ended December 31,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(File No. 01-36567) filed on March 7, 2017).</w:t>
              </w:r>
            </w:hyperlink>
          </w:p>
        </w:tc>
        <w:tc>
          <w:tcPr>
            <w:tcW w:w="624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600" w:type="dxa"/>
            <w:vAlign w:val="bottom"/>
            <w:gridSpan w:val="3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Investment Management Agreement among Westlake Corporation, Westlake Chemical OpCo LP, and Westlake Chemical Partners</w:t>
              </w:r>
            </w:hyperlink>
          </w:p>
        </w:tc>
      </w:tr>
      <w:tr>
        <w:trPr>
          <w:trHeight w:val="156"/>
        </w:trPr>
        <w:tc>
          <w:tcPr>
            <w:tcW w:w="154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LP, dated as of August 1, 2017 (incorporated by reference to Exhibit 10.1 to Westlake Chemical Partners LP's Quarterly Report on</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400" w:type="dxa"/>
            <w:vAlign w:val="bottom"/>
            <w:gridSpan w:val="28"/>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10-Q for the quarter ended September 30, 2017, (File No. 01-36567) filed on November 7, 2017).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00" w:type="dxa"/>
            <w:vAlign w:val="bottom"/>
            <w:gridSpan w:val="37"/>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Form of Phantom Unit Agreement (incorporated by reference to Exhibit 10.12 to Westlake Chemical Partners LP's Annual Report on</w:t>
              </w:r>
            </w:hyperlink>
          </w:p>
        </w:tc>
      </w:tr>
      <w:tr>
        <w:trPr>
          <w:trHeight w:val="156"/>
        </w:trPr>
        <w:tc>
          <w:tcPr>
            <w:tcW w:w="154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Form 10-K for the year ended December 31, 2017 (File No. 01-36567) filed on March 1, 2018).</w:t>
              </w:r>
            </w:hyperlink>
          </w:p>
        </w:tc>
        <w:tc>
          <w:tcPr>
            <w:tcW w:w="26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600" w:type="dxa"/>
            <w:vAlign w:val="bottom"/>
            <w:gridSpan w:val="37"/>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Equity Distribution Agreement, dated October 4, 2018, by and among Westlake Chemical Partners LP, Westlake Chemical Partners</w:t>
              </w:r>
            </w:hyperlink>
          </w:p>
        </w:tc>
      </w:tr>
      <w:tr>
        <w:trPr>
          <w:trHeight w:val="156"/>
        </w:trPr>
        <w:tc>
          <w:tcPr>
            <w:tcW w:w="154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GP LLC, UBS Securities LLC, Barclays Capital Inc., Citigroup Global Markets Inc., Deutsche Bank Securities Inc., Merrill Lynch,</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460" w:type="dxa"/>
            <w:vAlign w:val="bottom"/>
            <w:gridSpan w:val="30"/>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Pierce, Fenner &amp; Smith Incorporated, RBC Capital Markets, LLC and Wells Fargo Securities, LLC (incorporated by reference to</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Exhibit 1.1 to Westlake Chemical Partners LP's Current Report on Form 8-K filed on October 5, 2018, File No. 001-36567).</w:t>
              </w:r>
            </w:hyperlink>
          </w:p>
        </w:tc>
        <w:tc>
          <w:tcPr>
            <w:tcW w:w="340" w:type="dxa"/>
            <w:vAlign w:val="bottom"/>
            <w:tcBorders>
              <w:top w:val="single" w:sz="8" w:color="0000FF"/>
            </w:tcBorders>
            <w:gridSpan w:val="7"/>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6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10.13.1</w:t>
            </w:r>
          </w:p>
        </w:tc>
        <w:tc>
          <w:tcPr>
            <w:tcW w:w="9600" w:type="dxa"/>
            <w:vAlign w:val="bottom"/>
            <w:gridSpan w:val="37"/>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First Amendment to Equity Distribution Agreement by and among Westlake Chemical Partners LP, Westlake Chemical Partners GP</w:t>
              </w:r>
            </w:hyperlink>
          </w:p>
        </w:tc>
      </w:tr>
      <w:tr>
        <w:trPr>
          <w:trHeight w:val="155"/>
        </w:trPr>
        <w:tc>
          <w:tcPr>
            <w:tcW w:w="1540" w:type="dxa"/>
            <w:vAlign w:val="bottom"/>
          </w:tcPr>
          <w:p>
            <w:pPr>
              <w:spacing w:after="0"/>
              <w:rPr>
                <w:sz w:val="13"/>
                <w:szCs w:val="13"/>
                <w:color w:val="auto"/>
              </w:rPr>
            </w:pPr>
          </w:p>
        </w:tc>
        <w:tc>
          <w:tcPr>
            <w:tcW w:w="95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LLC, UBS Securities LLC, Barclays Capital Inc., BofA Securities, Inc., Citigroup Global Markets Inc., Deutsche Bank Securities</w:t>
              </w:r>
            </w:hyperlink>
          </w:p>
        </w:tc>
        <w:tc>
          <w:tcPr>
            <w:tcW w:w="100" w:type="dxa"/>
            <w:vAlign w:val="bottom"/>
            <w:gridSpan w:val="5"/>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3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 RBC Capital Markets, LLC and Wells Fargo Securities, LLC dated as of February 28, 2020 (incorporated by reference to</w:t>
              </w:r>
            </w:hyperlink>
          </w:p>
        </w:tc>
        <w:tc>
          <w:tcPr>
            <w:tcW w:w="260" w:type="dxa"/>
            <w:vAlign w:val="bottom"/>
            <w:gridSpan w:val="11"/>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90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Exhibit 10.22 to Westlake Chemical Partners LP's Annual Report on Form 10-K for the year ended December 31, 2019, filed</w:t>
              </w:r>
            </w:hyperlink>
          </w:p>
        </w:tc>
        <w:tc>
          <w:tcPr>
            <w:tcW w:w="520" w:type="dxa"/>
            <w:vAlign w:val="bottom"/>
            <w:gridSpan w:val="16"/>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on</w:t>
              </w:r>
            </w:hyperlink>
          </w:p>
        </w:tc>
      </w:tr>
      <w:tr>
        <w:trPr>
          <w:trHeight w:val="155"/>
        </w:trPr>
        <w:tc>
          <w:tcPr>
            <w:tcW w:w="1540" w:type="dxa"/>
            <w:vAlign w:val="bottom"/>
          </w:tcPr>
          <w:p>
            <w:pPr>
              <w:spacing w:after="0"/>
              <w:rPr>
                <w:sz w:val="13"/>
                <w:szCs w:val="13"/>
                <w:color w:val="auto"/>
              </w:rPr>
            </w:pPr>
          </w:p>
        </w:tc>
        <w:tc>
          <w:tcPr>
            <w:tcW w:w="92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February 28, 2020, File No, 001-36567).</w:t>
              </w:r>
            </w:hyperlink>
          </w:p>
        </w:tc>
        <w:tc>
          <w:tcPr>
            <w:tcW w:w="380" w:type="dxa"/>
            <w:vAlign w:val="bottom"/>
            <w:gridSpan w:val="14"/>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17"/>
          </w:tcPr>
          <w:p>
            <w:pPr>
              <w:spacing w:after="0" w:line="20" w:lineRule="exact"/>
              <w:rPr>
                <w:sz w:val="1"/>
                <w:szCs w:val="1"/>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60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Westlake Chemical Partners LP Insider Trading Policy</w:t>
            </w:r>
            <w:r>
              <w:rPr>
                <w:rFonts w:ascii="Times New Roman" w:cs="Times New Roman" w:eastAsia="Times New Roman" w:hAnsi="Times New Roman"/>
                <w:sz w:val="18"/>
                <w:szCs w:val="18"/>
                <w:color w:val="000000"/>
              </w:rPr>
              <w:t>.</w:t>
            </w:r>
          </w:p>
        </w:tc>
      </w:tr>
      <w:tr>
        <w:trPr>
          <w:trHeight w:val="20"/>
        </w:trPr>
        <w:tc>
          <w:tcPr>
            <w:tcW w:w="154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17"/>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List of Subsidiaries of Westlake Chemical Partners LP.</w:t>
            </w:r>
          </w:p>
        </w:tc>
        <w:tc>
          <w:tcPr>
            <w:tcW w:w="5660" w:type="dxa"/>
            <w:vAlign w:val="bottom"/>
            <w:gridSpan w:val="30"/>
          </w:tcPr>
          <w:p>
            <w:pPr>
              <w:spacing w:after="0"/>
              <w:rPr>
                <w:sz w:val="24"/>
                <w:szCs w:val="24"/>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Consent of PricewaterhouseCoopers LLP.</w:t>
            </w:r>
          </w:p>
        </w:tc>
        <w:tc>
          <w:tcPr>
            <w:tcW w:w="6600" w:type="dxa"/>
            <w:vAlign w:val="bottom"/>
            <w:gridSpan w:val="33"/>
          </w:tcPr>
          <w:p>
            <w:pPr>
              <w:spacing w:after="0"/>
              <w:rPr>
                <w:sz w:val="22"/>
                <w:szCs w:val="22"/>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0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360" w:type="dxa"/>
            <w:vAlign w:val="bottom"/>
            <w:gridSpan w:val="27"/>
          </w:tcPr>
          <w:p>
            <w:pPr>
              <w:spacing w:after="0"/>
              <w:rPr>
                <w:sz w:val="22"/>
                <w:szCs w:val="22"/>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Section 1350 Certification (Principal Executive Officer and Principal Financial Officer).</w:t>
            </w:r>
          </w:p>
        </w:tc>
        <w:tc>
          <w:tcPr>
            <w:tcW w:w="3240" w:type="dxa"/>
            <w:vAlign w:val="bottom"/>
            <w:gridSpan w:val="23"/>
          </w:tcPr>
          <w:p>
            <w:pPr>
              <w:spacing w:after="0"/>
              <w:rPr>
                <w:sz w:val="22"/>
                <w:szCs w:val="22"/>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600" w:type="dxa"/>
            <w:vAlign w:val="bottom"/>
            <w:gridSpan w:val="3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Westlake Chemical Partners LP Policy for Recovery of Erroneously Awarded Compensation, effective as of October 2, 2023</w:t>
              </w:r>
            </w:hyperlink>
          </w:p>
        </w:tc>
      </w:tr>
      <w:tr>
        <w:trPr>
          <w:trHeight w:val="155"/>
        </w:trPr>
        <w:tc>
          <w:tcPr>
            <w:tcW w:w="154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(incorporated by reference to Exhibit 97 to Westlake Chemical Partners LP</w:t>
              </w:r>
              <w:r>
                <w:rPr>
                  <w:rFonts w:ascii="Times New Roman" w:cs="Times New Roman" w:eastAsia="Times New Roman" w:hAnsi="Times New Roman"/>
                  <w:sz w:val="18"/>
                  <w:szCs w:val="18"/>
                  <w:color w:val="000000"/>
                  <w:w w:val="98"/>
                </w:rPr>
                <w:t>'</w:t>
              </w:r>
              <w:r>
                <w:rPr>
                  <w:rFonts w:ascii="Times New Roman" w:cs="Times New Roman" w:eastAsia="Times New Roman" w:hAnsi="Times New Roman"/>
                  <w:sz w:val="18"/>
                  <w:szCs w:val="18"/>
                  <w:color w:val="0000FF"/>
                  <w:w w:val="98"/>
                </w:rPr>
                <w:t>s Annual Report on Form 10-K for the year ended</w:t>
              </w:r>
            </w:hyperlink>
          </w:p>
        </w:tc>
        <w:tc>
          <w:tcPr>
            <w:tcW w:w="40" w:type="dxa"/>
            <w:vAlign w:val="bottom"/>
            <w:gridSpan w:val="2"/>
          </w:tcPr>
          <w:p>
            <w:pPr>
              <w:spacing w:after="0"/>
              <w:rPr>
                <w:sz w:val="13"/>
                <w:szCs w:val="13"/>
                <w:color w:val="auto"/>
              </w:rPr>
            </w:pPr>
          </w:p>
        </w:tc>
        <w:tc>
          <w:tcPr>
            <w:tcW w:w="580" w:type="dxa"/>
            <w:vAlign w:val="bottom"/>
            <w:gridSpan w:val="17"/>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54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December 31, 2023, filed on February 28, 2024 (File No. 001-36567).</w:t>
              </w:r>
            </w:hyperlink>
          </w:p>
        </w:tc>
        <w:tc>
          <w:tcPr>
            <w:tcW w:w="20" w:type="dxa"/>
            <w:vAlign w:val="bottom"/>
          </w:tcPr>
          <w:p>
            <w:pPr>
              <w:spacing w:after="0"/>
              <w:rPr>
                <w:sz w:val="13"/>
                <w:szCs w:val="13"/>
                <w:color w:val="auto"/>
              </w:rPr>
            </w:pPr>
          </w:p>
        </w:tc>
        <w:tc>
          <w:tcPr>
            <w:tcW w:w="3600" w:type="dxa"/>
            <w:vAlign w:val="bottom"/>
            <w:tcBorders>
              <w:top w:val="single" w:sz="8" w:color="0000FF"/>
            </w:tcBorders>
            <w:gridSpan w:val="8"/>
          </w:tcPr>
          <w:p>
            <w:pPr>
              <w:spacing w:after="0"/>
              <w:rPr>
                <w:sz w:val="13"/>
                <w:szCs w:val="13"/>
                <w:color w:val="auto"/>
              </w:rPr>
            </w:pPr>
          </w:p>
        </w:tc>
        <w:tc>
          <w:tcPr>
            <w:tcW w:w="580" w:type="dxa"/>
            <w:vAlign w:val="bottom"/>
            <w:gridSpan w:val="17"/>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040" w:type="dxa"/>
            <w:vAlign w:val="bottom"/>
            <w:gridSpan w:val="8"/>
            <w:shd w:val="clear" w:color="auto" w:fill="0000FF"/>
          </w:tcPr>
          <w:p>
            <w:pPr>
              <w:spacing w:after="0" w:line="20" w:lineRule="exact"/>
              <w:rPr>
                <w:sz w:val="1"/>
                <w:szCs w:val="1"/>
                <w:color w:val="auto"/>
              </w:rPr>
            </w:pPr>
          </w:p>
        </w:tc>
        <w:tc>
          <w:tcPr>
            <w:tcW w:w="4560" w:type="dxa"/>
            <w:vAlign w:val="bottom"/>
            <w:gridSpan w:val="29"/>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540" w:type="dxa"/>
            <w:vAlign w:val="bottom"/>
          </w:tcPr>
          <w:p>
            <w:pPr>
              <w:spacing w:after="0"/>
              <w:rPr>
                <w:sz w:val="20"/>
                <w:szCs w:val="20"/>
                <w:color w:val="auto"/>
              </w:rPr>
            </w:pPr>
          </w:p>
        </w:tc>
        <w:tc>
          <w:tcPr>
            <w:tcW w:w="96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0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560" w:right="40" w:hanging="1534"/>
        <w:spacing w:after="0" w:line="237" w:lineRule="auto"/>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Furnished herewith.</w:t>
      </w:r>
    </w:p>
    <w:p>
      <w:pPr>
        <w:spacing w:after="0" w:line="63" w:lineRule="exact"/>
        <w:rPr>
          <w:rFonts w:ascii="Times New Roman" w:cs="Times New Roman" w:eastAsia="Times New Roman" w:hAnsi="Times New Roman"/>
          <w:sz w:val="16"/>
          <w:szCs w:val="16"/>
          <w:color w:val="auto"/>
        </w:rPr>
      </w:pPr>
    </w:p>
    <w:p>
      <w:pPr>
        <w:ind w:left="420" w:hanging="412"/>
        <w:spacing w:after="0" w:line="281" w:lineRule="auto"/>
        <w:tabs>
          <w:tab w:leader="none" w:pos="3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2022, Westlake Chemical Corporation changed its corporate name to Westlake Corporation. Accordingly, filings made prior to such date were made under the name Westlake Chemical Corporation.</w:t>
      </w:r>
    </w:p>
    <w:p>
      <w:pPr>
        <w:spacing w:after="0" w:line="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63" w:lineRule="exact"/>
        <w:rPr>
          <w:sz w:val="20"/>
          <w:szCs w:val="20"/>
          <w:color w:val="auto"/>
        </w:rPr>
      </w:pPr>
    </w:p>
    <w:p>
      <w:pPr>
        <w:ind w:left="420" w:right="80" w:hanging="412"/>
        <w:spacing w:after="0" w:line="282" w:lineRule="auto"/>
        <w:tabs>
          <w:tab w:leader="none" w:pos="3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WESTLAKE CHEMICAL PARTNERS LP</w:t>
      </w:r>
    </w:p>
    <w:p>
      <w:pPr>
        <w:spacing w:after="0" w:line="279" w:lineRule="exact"/>
        <w:rPr>
          <w:sz w:val="20"/>
          <w:szCs w:val="20"/>
          <w:color w:val="auto"/>
        </w:rPr>
      </w:pPr>
    </w:p>
    <w:p>
      <w:pPr>
        <w:ind w:left="20"/>
        <w:spacing w:after="0"/>
        <w:tabs>
          <w:tab w:leader="none" w:pos="640" w:val="left"/>
          <w:tab w:leader="none" w:pos="7920" w:val="left"/>
        </w:tabs>
        <w:rPr>
          <w:sz w:val="20"/>
          <w:szCs w:val="20"/>
          <w:color w:val="auto"/>
        </w:rPr>
      </w:pPr>
      <w:r>
        <w:rPr>
          <w:rFonts w:ascii="Times New Roman" w:cs="Times New Roman" w:eastAsia="Times New Roman" w:hAnsi="Times New Roman"/>
          <w:sz w:val="18"/>
          <w:szCs w:val="18"/>
          <w:color w:val="auto"/>
        </w:rPr>
        <w:t>Date:</w:t>
        <w:tab/>
        <w:t>March 5, 2025</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26035</wp:posOffset>
            </wp:positionV>
            <wp:extent cx="30518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Jean-Marc Gilson</w:t>
      </w:r>
    </w:p>
    <w:p>
      <w:pPr>
        <w:ind w:left="7280"/>
        <w:spacing w:after="0" w:line="209"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36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spacing w:after="0" w:line="1"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20" w:type="dxa"/>
            <w:vAlign w:val="bottom"/>
          </w:tcPr>
          <w:p>
            <w:pPr>
              <w:spacing w:after="0"/>
              <w:rPr>
                <w:sz w:val="13"/>
                <w:szCs w:val="13"/>
                <w:color w:val="auto"/>
              </w:rPr>
            </w:pPr>
          </w:p>
        </w:tc>
        <w:tc>
          <w:tcPr>
            <w:tcW w:w="4640" w:type="dxa"/>
            <w:vAlign w:val="bottom"/>
            <w:gridSpan w:val="3"/>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20" w:type="dxa"/>
            <w:vAlign w:val="bottom"/>
            <w:gridSpan w:val="3"/>
          </w:tcPr>
          <w:p>
            <w:pPr>
              <w:jc w:val="center"/>
              <w:ind w:left="67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tc>
        <w:tc>
          <w:tcPr>
            <w:tcW w:w="4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41"/>
        </w:trPr>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6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720" w:type="dxa"/>
            <w:vAlign w:val="bottom"/>
            <w:gridSpan w:val="4"/>
            <w:vMerge w:val="restart"/>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Jean-Marc Gilson</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46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5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rPr>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tc>
        <w:tc>
          <w:tcPr>
            <w:tcW w:w="4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41"/>
        </w:trPr>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6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and Director (Principal Financial Officer)</w:t>
            </w:r>
          </w:p>
        </w:tc>
        <w:tc>
          <w:tcPr>
            <w:tcW w:w="1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720" w:type="dxa"/>
            <w:vAlign w:val="bottom"/>
            <w:gridSpan w:val="4"/>
            <w:vMerge w:val="restart"/>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M. Steven Bender</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46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152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/S/</w:t>
            </w:r>
          </w:p>
        </w:tc>
        <w:tc>
          <w:tcPr>
            <w:tcW w:w="272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color w:val="auto"/>
                <w:w w:val="99"/>
              </w:rPr>
              <w:t>J</w:t>
            </w:r>
            <w:r>
              <w:rPr>
                <w:rFonts w:ascii="Times New Roman" w:cs="Times New Roman" w:eastAsia="Times New Roman" w:hAnsi="Times New Roman"/>
                <w:sz w:val="14"/>
                <w:szCs w:val="14"/>
                <w:color w:val="auto"/>
                <w:w w:val="99"/>
              </w:rPr>
              <w:t>EFFREY</w:t>
            </w:r>
            <w:r>
              <w:rPr>
                <w:rFonts w:ascii="Times New Roman" w:cs="Times New Roman" w:eastAsia="Times New Roman" w:hAnsi="Times New Roman"/>
                <w:sz w:val="18"/>
                <w:szCs w:val="18"/>
                <w:color w:val="auto"/>
                <w:w w:val="99"/>
              </w:rPr>
              <w:t xml:space="preserve"> A</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8"/>
                <w:szCs w:val="18"/>
                <w:color w:val="auto"/>
                <w:w w:val="99"/>
              </w:rPr>
              <w:t xml:space="preserve"> H</w:t>
            </w:r>
            <w:r>
              <w:rPr>
                <w:rFonts w:ascii="Times New Roman" w:cs="Times New Roman" w:eastAsia="Times New Roman" w:hAnsi="Times New Roman"/>
                <w:sz w:val="14"/>
                <w:szCs w:val="14"/>
                <w:color w:val="auto"/>
                <w:w w:val="99"/>
              </w:rPr>
              <w:t>OLY</w:t>
            </w:r>
          </w:p>
        </w:tc>
        <w:tc>
          <w:tcPr>
            <w:tcW w:w="4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40"/>
        </w:trPr>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6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720" w:type="dxa"/>
            <w:vAlign w:val="bottom"/>
            <w:gridSpan w:val="4"/>
            <w:vMerge w:val="restart"/>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Jeffrey A. Holy</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46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4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L. B</w:t>
            </w:r>
            <w:r>
              <w:rPr>
                <w:rFonts w:ascii="Times New Roman" w:cs="Times New Roman" w:eastAsia="Times New Roman" w:hAnsi="Times New Roman"/>
                <w:sz w:val="14"/>
                <w:szCs w:val="14"/>
                <w:color w:val="auto"/>
              </w:rPr>
              <w:t>ENJAMIN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DERINGTON</w:t>
            </w:r>
          </w:p>
        </w:tc>
        <w:tc>
          <w:tcPr>
            <w:tcW w:w="4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Vice President, Performance and</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640" w:type="dxa"/>
            <w:vAlign w:val="bottom"/>
            <w:gridSpan w:val="3"/>
            <w:vMerge w:val="restart"/>
          </w:tcPr>
          <w:p>
            <w:pPr>
              <w:ind w:left="420"/>
              <w:spacing w:after="0" w:line="157" w:lineRule="exact"/>
              <w:rPr>
                <w:sz w:val="20"/>
                <w:szCs w:val="20"/>
                <w:color w:val="auto"/>
              </w:rPr>
            </w:pPr>
            <w:r>
              <w:rPr>
                <w:rFonts w:ascii="Times New Roman" w:cs="Times New Roman" w:eastAsia="Times New Roman" w:hAnsi="Times New Roman"/>
                <w:sz w:val="18"/>
                <w:szCs w:val="18"/>
                <w:color w:val="auto"/>
              </w:rPr>
              <w:t>Essential Materials, General Counsel, Chief</w:t>
            </w:r>
          </w:p>
        </w:tc>
        <w:tc>
          <w:tcPr>
            <w:tcW w:w="1820" w:type="dxa"/>
            <w:vAlign w:val="bottom"/>
            <w:gridSpan w:val="3"/>
            <w:vMerge w:val="restart"/>
          </w:tcPr>
          <w:p>
            <w:pPr>
              <w:jc w:val="center"/>
              <w:ind w:left="672"/>
              <w:spacing w:after="0" w:line="157" w:lineRule="exact"/>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43"/>
        </w:trPr>
        <w:tc>
          <w:tcPr>
            <w:tcW w:w="4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 Benjamin Ederington</w:t>
            </w:r>
          </w:p>
        </w:tc>
        <w:tc>
          <w:tcPr>
            <w:tcW w:w="4640" w:type="dxa"/>
            <w:vAlign w:val="bottom"/>
            <w:gridSpan w:val="3"/>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4240" w:type="dxa"/>
            <w:vAlign w:val="bottom"/>
            <w:gridSpan w:val="5"/>
            <w:vMerge w:val="continue"/>
          </w:tcPr>
          <w:p>
            <w:pPr>
              <w:spacing w:after="0"/>
              <w:rPr>
                <w:sz w:val="20"/>
                <w:szCs w:val="20"/>
                <w:color w:val="auto"/>
              </w:rPr>
            </w:pPr>
          </w:p>
        </w:tc>
        <w:tc>
          <w:tcPr>
            <w:tcW w:w="46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Administrative Officer and Director</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Senior Chairman of the Board of Directors</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00" w:type="dxa"/>
            <w:vAlign w:val="bottom"/>
            <w:gridSpan w:val="3"/>
            <w:vMerge w:val="restart"/>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James Chao</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gridSpan w:val="3"/>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174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500" w:type="dxa"/>
            <w:vAlign w:val="bottom"/>
            <w:tcBorders>
              <w:bottom w:val="single" w:sz="8" w:color="auto"/>
            </w:tcBorders>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00" w:type="dxa"/>
            <w:vAlign w:val="bottom"/>
            <w:gridSpan w:val="3"/>
            <w:vMerge w:val="restart"/>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Albert Chao</w:t>
            </w:r>
          </w:p>
        </w:tc>
        <w:tc>
          <w:tcPr>
            <w:tcW w:w="464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gridSpan w:val="3"/>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1"/>
        </w:trPr>
        <w:tc>
          <w:tcPr>
            <w:tcW w:w="1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rPr>
              <w:t>G. 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INLEY</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720" w:type="dxa"/>
            <w:vAlign w:val="bottom"/>
            <w:gridSpan w:val="4"/>
            <w:vMerge w:val="restart"/>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G. Stephen Finley</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5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ISA</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RIEL</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2"/>
            <w:vMerge w:val="restart"/>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Lisa Friel</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5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ANDY</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OELFEL</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2720" w:type="dxa"/>
            <w:vAlign w:val="bottom"/>
            <w:gridSpan w:val="4"/>
            <w:vMerge w:val="restart"/>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Randy Woelfel</w:t>
            </w:r>
          </w:p>
        </w:tc>
        <w:tc>
          <w:tcPr>
            <w:tcW w:w="4640" w:type="dxa"/>
            <w:vAlign w:val="bottom"/>
            <w:gridSpan w:val="3"/>
            <w:vMerge w:val="continue"/>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00"/>
          </w:cols>
          <w:pgMar w:left="320" w:top="118" w:right="679" w:bottom="1440" w:gutter="0" w:footer="0" w:header="0"/>
        </w:sectPr>
      </w:pPr>
    </w:p>
    <w:bookmarkStart w:id="106" w:name="page107"/>
    <w:bookmarkEnd w:id="106"/>
    <w:p>
      <w:pPr>
        <w:ind w:left="976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WESTLAKE CHEMICAL PARTNERS LP</w:t>
      </w:r>
    </w:p>
    <w:p>
      <w:pPr>
        <w:spacing w:after="0" w:line="24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4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Revised and effective as of May 10, 2023</w:t>
      </w:r>
    </w:p>
    <w:p>
      <w:pPr>
        <w:spacing w:after="0" w:line="230" w:lineRule="exact"/>
        <w:rPr>
          <w:sz w:val="20"/>
          <w:szCs w:val="20"/>
          <w:color w:val="auto"/>
        </w:rPr>
      </w:pPr>
    </w:p>
    <w:p>
      <w:pPr>
        <w:ind w:left="8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I.</w:t>
      </w:r>
      <w:r>
        <w:rPr>
          <w:sz w:val="20"/>
          <w:szCs w:val="20"/>
          <w:color w:val="auto"/>
        </w:rPr>
        <w:tab/>
      </w:r>
      <w:r>
        <w:rPr>
          <w:rFonts w:ascii="Times New Roman" w:cs="Times New Roman" w:eastAsia="Times New Roman" w:hAnsi="Times New Roman"/>
          <w:sz w:val="19"/>
          <w:szCs w:val="19"/>
          <w:b w:val="1"/>
          <w:bCs w:val="1"/>
          <w:color w:val="auto"/>
        </w:rPr>
        <w:t>PURPOSE &amp; SCOPE</w:t>
      </w:r>
    </w:p>
    <w:p>
      <w:pPr>
        <w:spacing w:after="0" w:line="233" w:lineRule="exact"/>
        <w:rPr>
          <w:sz w:val="20"/>
          <w:szCs w:val="20"/>
          <w:color w:val="auto"/>
        </w:rPr>
      </w:pPr>
    </w:p>
    <w:p>
      <w:pPr>
        <w:jc w:val="both"/>
        <w:ind w:left="1020" w:hanging="647"/>
        <w:spacing w:after="0" w:line="253" w:lineRule="auto"/>
        <w:tabs>
          <w:tab w:leader="none" w:pos="1000" w:val="left"/>
        </w:tabs>
        <w:rPr>
          <w:sz w:val="20"/>
          <w:szCs w:val="20"/>
          <w:color w:val="auto"/>
        </w:rPr>
      </w:pPr>
      <w:r>
        <w:rPr>
          <w:rFonts w:ascii="Times New Roman" w:cs="Times New Roman" w:eastAsia="Times New Roman" w:hAnsi="Times New Roman"/>
          <w:sz w:val="20"/>
          <w:szCs w:val="20"/>
          <w:color w:val="auto"/>
        </w:rPr>
        <w:t>1.0</w:t>
        <w:tab/>
        <w:t>In the normal course of business, the officers, directors, and employees of the general partner of Westlake Chemical Partners LP (the “Partnership”) and its subsidiaries and affiliates (collectively, “WLKP”) may come into possession of significant, sensitive information related to WLKP, another company with which WLKP is conducting business, or a possible transaction between WLKP and another company. This policy sets forth WLKP’s guidelines for the handling of confidential information and focuses specifically on confidential information with respect to U.S. federal securities laws related to “insider trading”. Further, the purpose of this policy statement is to:</w:t>
      </w:r>
    </w:p>
    <w:p>
      <w:pPr>
        <w:spacing w:after="0" w:line="192" w:lineRule="exact"/>
        <w:rPr>
          <w:sz w:val="20"/>
          <w:szCs w:val="20"/>
          <w:color w:val="auto"/>
        </w:rPr>
      </w:pPr>
    </w:p>
    <w:p>
      <w:pPr>
        <w:ind w:left="1440" w:hanging="234"/>
        <w:spacing w:after="0"/>
        <w:tabs>
          <w:tab w:leader="none" w:pos="14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 persons that are affiliated with WLKP of their responsibilities in this area of the law;</w:t>
      </w:r>
    </w:p>
    <w:p>
      <w:pPr>
        <w:spacing w:after="0" w:line="107" w:lineRule="exact"/>
        <w:rPr>
          <w:rFonts w:ascii="Times New Roman" w:cs="Times New Roman" w:eastAsia="Times New Roman" w:hAnsi="Times New Roman"/>
          <w:sz w:val="20"/>
          <w:szCs w:val="20"/>
          <w:color w:val="auto"/>
        </w:rPr>
      </w:pPr>
    </w:p>
    <w:p>
      <w:pPr>
        <w:ind w:left="1440" w:hanging="234"/>
        <w:spacing w:after="0" w:line="283" w:lineRule="auto"/>
        <w:tabs>
          <w:tab w:leader="none" w:pos="142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policy for those persons to follow to maintain confidentiality of information related to WLKP and other companies and to prevent misuse of that information; and</w:t>
      </w:r>
    </w:p>
    <w:p>
      <w:pPr>
        <w:spacing w:after="0" w:line="38" w:lineRule="exact"/>
        <w:rPr>
          <w:rFonts w:ascii="Times New Roman" w:cs="Times New Roman" w:eastAsia="Times New Roman" w:hAnsi="Times New Roman"/>
          <w:sz w:val="20"/>
          <w:szCs w:val="20"/>
          <w:color w:val="auto"/>
        </w:rPr>
      </w:pPr>
    </w:p>
    <w:p>
      <w:pPr>
        <w:ind w:left="1520" w:hanging="314"/>
        <w:spacing w:after="0"/>
        <w:tabs>
          <w:tab w:leader="none" w:pos="15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explain the consequences of violating the law and this policy.</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II. POLICY</w:t>
      </w:r>
    </w:p>
    <w:p>
      <w:pPr>
        <w:spacing w:after="0" w:line="233" w:lineRule="exact"/>
        <w:rPr>
          <w:sz w:val="20"/>
          <w:szCs w:val="20"/>
          <w:color w:val="auto"/>
        </w:rPr>
      </w:pPr>
    </w:p>
    <w:p>
      <w:pPr>
        <w:jc w:val="both"/>
        <w:ind w:left="520" w:hanging="1198"/>
        <w:spacing w:after="0" w:line="253" w:lineRule="auto"/>
        <w:tabs>
          <w:tab w:leader="none" w:pos="500" w:val="left"/>
        </w:tabs>
        <w:rPr>
          <w:sz w:val="20"/>
          <w:szCs w:val="20"/>
          <w:color w:val="auto"/>
        </w:rPr>
      </w:pPr>
      <w:r>
        <w:rPr>
          <w:rFonts w:ascii="Times New Roman" w:cs="Times New Roman" w:eastAsia="Times New Roman" w:hAnsi="Times New Roman"/>
          <w:sz w:val="20"/>
          <w:szCs w:val="20"/>
          <w:color w:val="auto"/>
        </w:rPr>
        <w:t>2.0</w:t>
      </w:r>
      <w:r>
        <w:rPr>
          <w:sz w:val="20"/>
          <w:szCs w:val="20"/>
          <w:color w:val="auto"/>
        </w:rPr>
        <w:tab/>
      </w:r>
      <w:r>
        <w:rPr>
          <w:rFonts w:ascii="Times New Roman" w:cs="Times New Roman" w:eastAsia="Times New Roman" w:hAnsi="Times New Roman"/>
          <w:sz w:val="20"/>
          <w:szCs w:val="20"/>
          <w:u w:val="single" w:color="auto"/>
          <w:color w:val="auto"/>
        </w:rPr>
        <w:t xml:space="preserve">U.S. Insider Trading Laws: </w:t>
      </w:r>
      <w:r>
        <w:rPr>
          <w:rFonts w:ascii="Times New Roman" w:cs="Times New Roman" w:eastAsia="Times New Roman" w:hAnsi="Times New Roman"/>
          <w:sz w:val="20"/>
          <w:szCs w:val="20"/>
          <w:color w:val="auto"/>
        </w:rPr>
        <w:t>The Partnership is a registrant with the Securities and Exchange Commission (“SEC”) and as such is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subject to the U.S. federal insider-trading laws. These laws generally prohibit any director, officer, board member or employee of WLKP who possesses material non-public information concerning WLKP or another public company from buying or selling securities of WLKP or the other company or passing on that information to others, such as friends or family members, who do so. It is WLKP’s policy that all personnel must refrain from insider trading of the securities of WLKP and other public companies in violation of federal law.</w:t>
      </w:r>
    </w:p>
    <w:p>
      <w:pPr>
        <w:spacing w:after="0" w:line="179" w:lineRule="exact"/>
        <w:rPr>
          <w:sz w:val="20"/>
          <w:szCs w:val="20"/>
          <w:color w:val="auto"/>
        </w:rPr>
      </w:pPr>
    </w:p>
    <w:p>
      <w:pPr>
        <w:jc w:val="both"/>
        <w:ind w:left="880" w:hanging="809"/>
        <w:spacing w:after="0" w:line="258" w:lineRule="auto"/>
        <w:tabs>
          <w:tab w:leader="none" w:pos="8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 xml:space="preserve">Compliance: </w:t>
      </w:r>
      <w:r>
        <w:rPr>
          <w:rFonts w:ascii="Times New Roman" w:cs="Times New Roman" w:eastAsia="Times New Roman" w:hAnsi="Times New Roman"/>
          <w:sz w:val="20"/>
          <w:szCs w:val="20"/>
          <w:color w:val="auto"/>
        </w:rPr>
        <w:t>All WLKP officers, directors, and employees must strictly comply with this policy. Moreover, no person should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engage in any transaction in which he or she may even appear to be trading while in possession of inside information. Failure to observe this policy may result in serious legal difficulties for the employee, as well as WLKP. Persons violating this policy will be subject to disciplinary action, up to and including dismissal from WLKP.</w:t>
      </w:r>
    </w:p>
    <w:p>
      <w:pPr>
        <w:spacing w:after="0" w:line="186" w:lineRule="exact"/>
        <w:rPr>
          <w:sz w:val="20"/>
          <w:szCs w:val="20"/>
          <w:color w:val="auto"/>
        </w:rPr>
      </w:pPr>
    </w:p>
    <w:p>
      <w:pPr>
        <w:jc w:val="both"/>
        <w:ind w:left="1080" w:hanging="647"/>
        <w:spacing w:after="0" w:line="254" w:lineRule="auto"/>
        <w:tabs>
          <w:tab w:leader="none" w:pos="106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u w:val="single" w:color="auto"/>
          <w:color w:val="auto"/>
        </w:rPr>
        <w:t xml:space="preserve">Restrictions on Purchases and Sales: </w:t>
      </w:r>
      <w:r>
        <w:rPr>
          <w:rFonts w:ascii="Times New Roman" w:cs="Times New Roman" w:eastAsia="Times New Roman" w:hAnsi="Times New Roman"/>
          <w:sz w:val="20"/>
          <w:szCs w:val="20"/>
          <w:color w:val="auto"/>
        </w:rPr>
        <w:t>It is WLKP’s policy that if you possess material non-public information concerning</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WLKP or another company, neither you nor your spouse, minor children, or other adults living in your household, nor any family members who do not live in your household but whose transactions in securities of WLKP or another company are directed by you or subject to your influence or control,</w:t>
      </w:r>
    </w:p>
    <w:p>
      <w:pPr>
        <w:sectPr>
          <w:pgSz w:w="11900" w:h="16838" w:orient="portrait"/>
          <w:cols w:equalWidth="0" w:num="1">
            <w:col w:w="10980"/>
          </w:cols>
          <w:pgMar w:left="580" w:top="158" w:right="339" w:bottom="1440" w:gutter="0" w:footer="0" w:header="0"/>
        </w:sectPr>
      </w:pPr>
    </w:p>
    <w:bookmarkStart w:id="107" w:name="page108"/>
    <w:bookmarkEnd w:id="107"/>
    <w:p>
      <w:pPr>
        <w:ind w:left="1290" w:right="20"/>
        <w:spacing w:after="0" w:line="283" w:lineRule="auto"/>
        <w:rPr>
          <w:sz w:val="20"/>
          <w:szCs w:val="20"/>
          <w:color w:val="auto"/>
        </w:rPr>
      </w:pPr>
      <w:r>
        <w:rPr>
          <w:rFonts w:ascii="Times New Roman" w:cs="Times New Roman" w:eastAsia="Times New Roman" w:hAnsi="Times New Roman"/>
          <w:sz w:val="20"/>
          <w:szCs w:val="20"/>
          <w:color w:val="auto"/>
        </w:rPr>
        <w:t>nor any entity controlled by you, may (i) buy or sell securities of WLKP or such other company (or options on such securities) or (ii) pass on such information to others.</w:t>
      </w:r>
    </w:p>
    <w:p>
      <w:pPr>
        <w:spacing w:after="0" w:line="146" w:lineRule="exact"/>
        <w:rPr>
          <w:sz w:val="20"/>
          <w:szCs w:val="20"/>
          <w:color w:val="auto"/>
        </w:rPr>
      </w:pPr>
    </w:p>
    <w:p>
      <w:pPr>
        <w:jc w:val="both"/>
        <w:ind w:left="1290" w:hanging="647"/>
        <w:spacing w:after="0" w:line="252" w:lineRule="auto"/>
        <w:tabs>
          <w:tab w:leader="none" w:pos="127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u w:val="single" w:color="auto"/>
          <w:color w:val="auto"/>
        </w:rPr>
        <w:t xml:space="preserve">Policy on Maintaining Confidentiality: </w:t>
      </w:r>
      <w:r>
        <w:rPr>
          <w:rFonts w:ascii="Times New Roman" w:cs="Times New Roman" w:eastAsia="Times New Roman" w:hAnsi="Times New Roman"/>
          <w:sz w:val="20"/>
          <w:szCs w:val="20"/>
          <w:color w:val="auto"/>
        </w:rPr>
        <w:t>All officers, directors, and employees should avoid communicating non-public</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company information to any person (including family members and friends) unless the person has a need to know the information for an appropriate business-related reason. This policy applies without regard to the materiality of the information. Consistent with the foregoing, officers, directors, and employees should be discreet with non-public information and refrain from discussing it in public places where it can be overheard, such as elevators, restaurants, and on public transportation. To avoid even the appearance of impropriety, you should at all times refrain from providing advice or making recommendations regarding the purchase or sale of the Partnership’s securities or the securities of other companies of which you have knowledge as a result of employment or association with WLKP. If an officer, director, or employee communicates information that someone else uses to trade illegally in securities, the legal penalties described in this policy are applicable, whether or not any personal benefit was derived from the illegal trading.</w:t>
      </w:r>
    </w:p>
    <w:p>
      <w:pPr>
        <w:spacing w:after="0" w:line="173" w:lineRule="exact"/>
        <w:rPr>
          <w:sz w:val="20"/>
          <w:szCs w:val="20"/>
          <w:color w:val="auto"/>
        </w:rPr>
      </w:pPr>
    </w:p>
    <w:p>
      <w:pPr>
        <w:ind w:left="470" w:hanging="470"/>
        <w:spacing w:after="0"/>
        <w:tabs>
          <w:tab w:leader="none" w:pos="47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 10B5-1 TRADING PLANS</w:t>
      </w:r>
    </w:p>
    <w:p>
      <w:pPr>
        <w:spacing w:after="0" w:line="233" w:lineRule="exact"/>
        <w:rPr>
          <w:sz w:val="20"/>
          <w:szCs w:val="20"/>
          <w:color w:val="auto"/>
        </w:rPr>
      </w:pPr>
    </w:p>
    <w:p>
      <w:pPr>
        <w:jc w:val="both"/>
        <w:ind w:left="1090" w:hanging="647"/>
        <w:spacing w:after="0" w:line="250" w:lineRule="auto"/>
        <w:tabs>
          <w:tab w:leader="none" w:pos="1070" w:val="left"/>
        </w:tabs>
        <w:rPr>
          <w:sz w:val="20"/>
          <w:szCs w:val="20"/>
          <w:color w:val="auto"/>
        </w:rPr>
      </w:pPr>
      <w:r>
        <w:rPr>
          <w:rFonts w:ascii="Times New Roman" w:cs="Times New Roman" w:eastAsia="Times New Roman" w:hAnsi="Times New Roman"/>
          <w:sz w:val="20"/>
          <w:szCs w:val="20"/>
          <w:color w:val="auto"/>
        </w:rPr>
        <w:t>3.0</w:t>
      </w:r>
      <w:r>
        <w:rPr>
          <w:sz w:val="20"/>
          <w:szCs w:val="20"/>
          <w:color w:val="auto"/>
        </w:rPr>
        <w:tab/>
      </w:r>
      <w:r>
        <w:rPr>
          <w:rFonts w:ascii="Times New Roman" w:cs="Times New Roman" w:eastAsia="Times New Roman" w:hAnsi="Times New Roman"/>
          <w:sz w:val="20"/>
          <w:szCs w:val="20"/>
          <w:u w:val="single" w:color="auto"/>
          <w:color w:val="auto"/>
        </w:rPr>
        <w:t>Plan Requirements</w:t>
      </w:r>
      <w:r>
        <w:rPr>
          <w:rFonts w:ascii="Times New Roman" w:cs="Times New Roman" w:eastAsia="Times New Roman" w:hAnsi="Times New Roman"/>
          <w:sz w:val="20"/>
          <w:szCs w:val="20"/>
          <w:color w:val="auto"/>
        </w:rPr>
        <w:t>: The Partnership requires that all trading plans adopted under Rule 10b5-1 of the Securities Exchange Act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of 1934 (“Rule 10b5-1”) by an officer, employee or director be approved in writing by the Legal Department in advance of such adoption or amendment. A Rule 10b5-1 trading plan must be in writing and specify (including by formula) the amounts of, dates of, and prices at which the securities are to be traded or delegate discretion on those matters to an independent third party. A Rule 10b5-1 trading plan may not be adopted when the officer, employee or director is in possession of material nonpublic information about the Partnership. An officer, employee or director who wishes to enter into a Rule 10b5-1 trading plan must submit a written certification to the Legal Department certifying that the plan meets all of the requirements set forth in Rule 10b5-1, that such officer, employee or director is not aware of any material nonpublic information about the Partnership at such time, and that such officer, employee or director is adopting the plan in good faith and not as part of a plan or scheme to evade the prohibitions on insider trading.</w:t>
      </w:r>
    </w:p>
    <w:p>
      <w:pPr>
        <w:spacing w:after="0" w:line="196" w:lineRule="exact"/>
        <w:rPr>
          <w:sz w:val="20"/>
          <w:szCs w:val="20"/>
          <w:color w:val="auto"/>
        </w:rPr>
      </w:pPr>
    </w:p>
    <w:p>
      <w:pPr>
        <w:jc w:val="both"/>
        <w:ind w:left="1110" w:hanging="647"/>
        <w:spacing w:after="0" w:line="250" w:lineRule="auto"/>
        <w:tabs>
          <w:tab w:leader="none" w:pos="109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Transactions Pursuant to a 10b5-1 Trading Plan</w:t>
      </w:r>
      <w:r>
        <w:rPr>
          <w:rFonts w:ascii="Times New Roman" w:cs="Times New Roman" w:eastAsia="Times New Roman" w:hAnsi="Times New Roman"/>
          <w:sz w:val="20"/>
          <w:szCs w:val="20"/>
          <w:color w:val="auto"/>
        </w:rPr>
        <w:t>: If such certification is provided and the trading plan meets the requirements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of Rule 10b5-1, this policy permit officers, directors, employees and consultants to trade in Partnership securities regardless of their awareness of material nonpublic information. Once the Rule 10b5-1 trading plan is adopted, the officer, employee or director must not exercise any influence over the number of securities to be traded, the price at which they are to be traded or the date of the trade. If the officer, employee or director modifies or changes the number of securities to be purchased or sold, price or timing of the purchase or sale, or the formula, price or timing of the purchase or sale of securities, it will be deemed under Rule 10b5-1 to be a termination of the Rule 10b5-1 trading plan and the adoption of a new Rule 10b5-1 trading plan. Overlapping Rule 10b5-1 trading plans will not be approved if the overlapping plan does not fit within one of the exceptions specified in Rule 10b5-1.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70"/>
          </w:cols>
          <w:pgMar w:left="490" w:top="1413" w:right="339" w:bottom="1440" w:gutter="0" w:footer="0" w:header="0"/>
        </w:sectPr>
      </w:pPr>
    </w:p>
    <w:bookmarkStart w:id="108" w:name="page109"/>
    <w:bookmarkEnd w:id="108"/>
    <w:p>
      <w:pPr>
        <w:jc w:val="both"/>
        <w:ind w:left="1120" w:hanging="647"/>
        <w:spacing w:after="0" w:line="261" w:lineRule="auto"/>
        <w:tabs>
          <w:tab w:leader="none" w:pos="11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u w:val="single" w:color="auto"/>
          <w:color w:val="auto"/>
        </w:rPr>
        <w:t>Cooling Off Period</w:t>
      </w:r>
      <w:r>
        <w:rPr>
          <w:rFonts w:ascii="Times New Roman" w:cs="Times New Roman" w:eastAsia="Times New Roman" w:hAnsi="Times New Roman"/>
          <w:sz w:val="20"/>
          <w:szCs w:val="20"/>
          <w:color w:val="auto"/>
        </w:rPr>
        <w:t>: The first transaction under a Rule 10b5-1 trading plan may not be made until the later of (i) ninety (90)</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days after the adoption of the Rule 10b5-1 plan and (ii) two business days after the release of the Partnership’s financial results for the quarter in which the plan was adopted or modified.</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RESPONSIBILITIES</w:t>
      </w:r>
    </w:p>
    <w:p>
      <w:pPr>
        <w:spacing w:after="0" w:line="220" w:lineRule="exact"/>
        <w:rPr>
          <w:sz w:val="20"/>
          <w:szCs w:val="20"/>
          <w:color w:val="auto"/>
        </w:rPr>
      </w:pPr>
    </w:p>
    <w:p>
      <w:pPr>
        <w:jc w:val="both"/>
        <w:ind w:left="1080" w:hanging="647"/>
        <w:spacing w:after="0" w:line="268" w:lineRule="auto"/>
        <w:tabs>
          <w:tab w:leader="none" w:pos="1060" w:val="left"/>
        </w:tabs>
        <w:rPr>
          <w:sz w:val="20"/>
          <w:szCs w:val="20"/>
          <w:color w:val="auto"/>
        </w:rPr>
      </w:pPr>
      <w:r>
        <w:rPr>
          <w:rFonts w:ascii="Times New Roman" w:cs="Times New Roman" w:eastAsia="Times New Roman" w:hAnsi="Times New Roman"/>
          <w:sz w:val="20"/>
          <w:szCs w:val="20"/>
          <w:color w:val="auto"/>
        </w:rPr>
        <w:t>4.0</w:t>
      </w:r>
      <w:r>
        <w:rPr>
          <w:sz w:val="20"/>
          <w:szCs w:val="20"/>
          <w:color w:val="auto"/>
        </w:rPr>
        <w:tab/>
      </w:r>
      <w:r>
        <w:rPr>
          <w:rFonts w:ascii="Times New Roman" w:cs="Times New Roman" w:eastAsia="Times New Roman" w:hAnsi="Times New Roman"/>
          <w:sz w:val="20"/>
          <w:szCs w:val="20"/>
          <w:u w:val="single" w:color="auto"/>
          <w:color w:val="auto"/>
        </w:rPr>
        <w:t>Employees</w:t>
      </w:r>
      <w:r>
        <w:rPr>
          <w:rFonts w:ascii="Times New Roman" w:cs="Times New Roman" w:eastAsia="Times New Roman" w:hAnsi="Times New Roman"/>
          <w:sz w:val="20"/>
          <w:szCs w:val="20"/>
          <w:color w:val="auto"/>
        </w:rPr>
        <w:t>: Each employee is responsible to ensure his/her individual compliance with this policy and the corresponding law.</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Employees are further responsible to report any violations of this policy. They may do so by contacting the General Counsel.</w:t>
      </w:r>
    </w:p>
    <w:p>
      <w:pPr>
        <w:spacing w:after="0" w:line="161" w:lineRule="exact"/>
        <w:rPr>
          <w:sz w:val="20"/>
          <w:szCs w:val="20"/>
          <w:color w:val="auto"/>
        </w:rPr>
      </w:pPr>
    </w:p>
    <w:p>
      <w:pPr>
        <w:jc w:val="both"/>
        <w:ind w:left="1120" w:hanging="647"/>
        <w:spacing w:after="0" w:line="261" w:lineRule="auto"/>
        <w:tabs>
          <w:tab w:leader="none" w:pos="110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Managers and Executives</w:t>
      </w:r>
      <w:r>
        <w:rPr>
          <w:rFonts w:ascii="Times New Roman" w:cs="Times New Roman" w:eastAsia="Times New Roman" w:hAnsi="Times New Roman"/>
          <w:sz w:val="20"/>
          <w:szCs w:val="20"/>
          <w:color w:val="auto"/>
        </w:rPr>
        <w:t>: Each manager and executive is responsible to ensure that all employees under his/her charge are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made aware of the applicable provisions of this policy and to provide the necessary clarification and instructions to ensure compliance.</w:t>
      </w:r>
    </w:p>
    <w:p>
      <w:pPr>
        <w:spacing w:after="0" w:line="181" w:lineRule="exact"/>
        <w:rPr>
          <w:sz w:val="20"/>
          <w:szCs w:val="20"/>
          <w:color w:val="auto"/>
        </w:rPr>
      </w:pPr>
    </w:p>
    <w:p>
      <w:pPr>
        <w:jc w:val="both"/>
        <w:ind w:left="1280" w:hanging="647"/>
        <w:spacing w:after="0" w:line="261" w:lineRule="auto"/>
        <w:tabs>
          <w:tab w:leader="none" w:pos="126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u w:val="single" w:color="auto"/>
          <w:color w:val="auto"/>
        </w:rPr>
        <w:t>Legal Department</w:t>
      </w:r>
      <w:r>
        <w:rPr>
          <w:rFonts w:ascii="Times New Roman" w:cs="Times New Roman" w:eastAsia="Times New Roman" w:hAnsi="Times New Roman"/>
          <w:sz w:val="20"/>
          <w:szCs w:val="20"/>
          <w:color w:val="auto"/>
        </w:rPr>
        <w:t>: The Legal Department is charged with the administration of this policy to include: monitoring</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compliance, reviewing and recommending changes to the President and CEO, informing and training employees and responding to questions of officers, directors or employees of WLKP.</w:t>
      </w:r>
    </w:p>
    <w:p>
      <w:pPr>
        <w:spacing w:after="0" w:line="181"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Modifications</w:t>
      </w:r>
      <w:r>
        <w:rPr>
          <w:rFonts w:ascii="Times New Roman" w:cs="Times New Roman" w:eastAsia="Times New Roman" w:hAnsi="Times New Roman"/>
          <w:sz w:val="19"/>
          <w:szCs w:val="19"/>
          <w:color w:val="auto"/>
        </w:rPr>
        <w:t>: The President and CEO is authorized to approve any changes to this policy.</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V.</w:t>
      </w:r>
      <w:r>
        <w:rPr>
          <w:sz w:val="20"/>
          <w:szCs w:val="20"/>
          <w:color w:val="auto"/>
        </w:rPr>
        <w:tab/>
      </w:r>
      <w:r>
        <w:rPr>
          <w:rFonts w:ascii="Times New Roman" w:cs="Times New Roman" w:eastAsia="Times New Roman" w:hAnsi="Times New Roman"/>
          <w:sz w:val="19"/>
          <w:szCs w:val="19"/>
          <w:b w:val="1"/>
          <w:bCs w:val="1"/>
          <w:color w:val="auto"/>
        </w:rPr>
        <w:t>BLACKOUT PERIODS</w:t>
      </w:r>
    </w:p>
    <w:p>
      <w:pPr>
        <w:spacing w:after="0" w:line="233" w:lineRule="exact"/>
        <w:rPr>
          <w:sz w:val="20"/>
          <w:szCs w:val="20"/>
          <w:color w:val="auto"/>
        </w:rPr>
      </w:pPr>
    </w:p>
    <w:p>
      <w:pPr>
        <w:jc w:val="both"/>
        <w:ind w:left="1100" w:hanging="647"/>
        <w:spacing w:after="0" w:line="251" w:lineRule="auto"/>
        <w:tabs>
          <w:tab w:leader="none" w:pos="1080" w:val="left"/>
        </w:tabs>
        <w:rPr>
          <w:sz w:val="20"/>
          <w:szCs w:val="20"/>
          <w:color w:val="auto"/>
        </w:rPr>
      </w:pPr>
      <w:r>
        <w:rPr>
          <w:rFonts w:ascii="Times New Roman" w:cs="Times New Roman" w:eastAsia="Times New Roman" w:hAnsi="Times New Roman"/>
          <w:sz w:val="20"/>
          <w:szCs w:val="20"/>
          <w:color w:val="auto"/>
        </w:rPr>
        <w:t>5.0</w:t>
      </w:r>
      <w:r>
        <w:rPr>
          <w:sz w:val="20"/>
          <w:szCs w:val="20"/>
          <w:color w:val="auto"/>
        </w:rPr>
        <w:tab/>
      </w: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The Partnership’s announcement of its quarterly financial results almost always has the potential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to have a material effect on the market for Partnership securities. Therefore, to avoid even the appearance of trading while aware of material nonpublic information, directors, officers and those employees designated on the “insider trading list” are prohibited from trading, and will not be pre-cleared to trade in Partnership securities, during the period beginning on the first business day of the month following the month that includes the 15th business day after the Partnership’s issuance of its quarterly earnings release and ending after the first full business day following the Partnership’s issuance of its next quarterly earnings release. From time to time, the General Counsel may, in consultation with the Chief Financial Officer, reduce, expand or otherwise amend the blackout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60"/>
          </w:cols>
          <w:pgMar w:left="500" w:top="1413" w:right="339" w:bottom="1440" w:gutter="0" w:footer="0" w:header="0"/>
        </w:sectPr>
      </w:pPr>
    </w:p>
    <w:bookmarkStart w:id="109" w:name="page110"/>
    <w:bookmarkEnd w:id="109"/>
    <w:p>
      <w:pPr>
        <w:jc w:val="both"/>
        <w:ind w:left="220" w:hanging="647"/>
        <w:spacing w:after="0" w:line="250" w:lineRule="auto"/>
        <w:tabs>
          <w:tab w:leader="none" w:pos="2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0"/>
          <w:szCs w:val="20"/>
          <w:u w:val="single" w:color="auto"/>
          <w:color w:val="auto"/>
        </w:rPr>
        <w:t xml:space="preserve">Event-specific Blackout Periods: </w:t>
      </w:r>
      <w:r>
        <w:rPr>
          <w:rFonts w:ascii="Times New Roman" w:cs="Times New Roman" w:eastAsia="Times New Roman" w:hAnsi="Times New Roman"/>
          <w:sz w:val="20"/>
          <w:szCs w:val="20"/>
          <w:color w:val="auto"/>
        </w:rPr>
        <w:t>From time to time, an event may occur that is material to the Partnership and is known by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only a few employees with material non-public information, directors and officers. So long as the event remains material and non-public, employees with material non-public information, directors and officers may not trade in Partnership securities. The existence of an event-specific blackout will not be announced, other than to those who are aware of the event giving rise to the blackout. If, however, a person whose trades are subject to pre-clearance requests permission to trade in Partnership securities during an event-specific blackout, the Legal Department may inform the requester of the existence of a blackout period, without disclosing the reason for the blackout. Any person made aware of the existence of an event-specific blackout should not disclose the existence of the blackout to any other person. The failure of the Legal Department to designate a person as being subject to an event-specific blackout will not relieve that person of the obligation not to trade while aware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422" w:right="339" w:bottom="1440" w:gutter="0" w:footer="0" w:header="0"/>
        </w:sectPr>
      </w:pPr>
    </w:p>
    <w:bookmarkStart w:id="110" w:name="page111"/>
    <w:bookmarkEnd w:id="110"/>
    <w:p>
      <w:pPr>
        <w:jc w:val="center"/>
        <w:ind w:right="150"/>
        <w:spacing w:after="0"/>
        <w:rPr>
          <w:sz w:val="20"/>
          <w:szCs w:val="20"/>
          <w:color w:val="auto"/>
        </w:rPr>
      </w:pPr>
      <w:r>
        <w:rPr>
          <w:rFonts w:ascii="Times New Roman" w:cs="Times New Roman" w:eastAsia="Times New Roman" w:hAnsi="Times New Roman"/>
          <w:sz w:val="20"/>
          <w:szCs w:val="20"/>
          <w:b w:val="1"/>
          <w:bCs w:val="1"/>
          <w:i w:val="1"/>
          <w:iCs w:val="1"/>
          <w:color w:val="auto"/>
        </w:rPr>
        <w:t>DETAILED POLICY INFORMATION AND DEFINITIONS</w:t>
      </w:r>
    </w:p>
    <w:p>
      <w:pPr>
        <w:spacing w:after="0" w:line="229" w:lineRule="exact"/>
        <w:rPr>
          <w:sz w:val="20"/>
          <w:szCs w:val="20"/>
          <w:color w:val="auto"/>
        </w:rPr>
      </w:pPr>
    </w:p>
    <w:p>
      <w:pPr>
        <w:ind w:left="330" w:hanging="330"/>
        <w:spacing w:after="0"/>
        <w:tabs>
          <w:tab w:leader="none" w:pos="33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FEDERAL INSIDER-TRADING LAWS</w:t>
      </w:r>
    </w:p>
    <w:p>
      <w:pPr>
        <w:spacing w:after="0" w:line="216" w:lineRule="exact"/>
        <w:rPr>
          <w:sz w:val="20"/>
          <w:szCs w:val="20"/>
          <w:color w:val="auto"/>
        </w:rPr>
      </w:pPr>
    </w:p>
    <w:p>
      <w:pPr>
        <w:jc w:val="both"/>
        <w:ind w:left="10" w:firstLine="292"/>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Summary of the Law</w:t>
      </w:r>
      <w:r>
        <w:rPr>
          <w:rFonts w:ascii="Times New Roman" w:cs="Times New Roman" w:eastAsia="Times New Roman" w:hAnsi="Times New Roman"/>
          <w:sz w:val="20"/>
          <w:szCs w:val="20"/>
          <w:color w:val="auto"/>
        </w:rPr>
        <w:t>. Federal insider-trading laws generally prohibit any officer, director, or employee (or any person related to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 director or employee) of WLKP who possesses material, non-public information (also referred to as “inside information”) relating to WLKP or another public company from buying or selling securities of WLKP or such other company or any publicly traded options on WLKP’s or that other company’s securities, or engaging in any other action to take advantage of, or pass on to others, that information. The mere fact that a person knows the information is generally enough to bar him or her from trading, even if the reasons for the potential trade are not based on that information.</w:t>
      </w:r>
    </w:p>
    <w:p>
      <w:pPr>
        <w:spacing w:after="0" w:line="187" w:lineRule="exact"/>
        <w:rPr>
          <w:sz w:val="20"/>
          <w:szCs w:val="20"/>
          <w:color w:val="auto"/>
        </w:rPr>
      </w:pPr>
    </w:p>
    <w:p>
      <w:pPr>
        <w:jc w:val="both"/>
        <w:ind w:left="10" w:firstLine="486"/>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Materiality</w:t>
      </w:r>
      <w:r>
        <w:rPr>
          <w:rFonts w:ascii="Times New Roman" w:cs="Times New Roman" w:eastAsia="Times New Roman" w:hAnsi="Times New Roman"/>
          <w:sz w:val="20"/>
          <w:szCs w:val="20"/>
          <w:color w:val="auto"/>
        </w:rPr>
        <w:t>. Information is considered “material” if there is a substantial likelihood that a reasonable investor would consider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(whether positive or negative) important in making a decision to buy, hold or sell securities, or such information could affect the price of the security. There is no bright-line standard for assessing materiality; rather, materiality is based on an assessment of facts and circumstances, and is often evaluated by enforcement authorities with the benefit of hindsight. By way of example, it is probable that the following information, in most circumstances, would be deemed material:</w:t>
      </w:r>
    </w:p>
    <w:p>
      <w:pPr>
        <w:spacing w:after="0" w:line="191" w:lineRule="exact"/>
        <w:rPr>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quarterly or monthly financial results;</w:t>
      </w:r>
    </w:p>
    <w:p>
      <w:pPr>
        <w:spacing w:after="0" w:line="107"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earnings or earnings projections or other earnings guidance;</w:t>
      </w:r>
    </w:p>
    <w:p>
      <w:pPr>
        <w:spacing w:after="0" w:line="121" w:lineRule="exact"/>
        <w:rPr>
          <w:rFonts w:ascii="Times New Roman" w:cs="Times New Roman" w:eastAsia="Times New Roman" w:hAnsi="Times New Roman"/>
          <w:sz w:val="20"/>
          <w:szCs w:val="20"/>
          <w:color w:val="auto"/>
        </w:rPr>
      </w:pPr>
    </w:p>
    <w:p>
      <w:pPr>
        <w:ind w:left="1050" w:right="20" w:hanging="240"/>
        <w:spacing w:after="0" w:line="283" w:lineRule="auto"/>
        <w:tabs>
          <w:tab w:leader="none" w:pos="103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negotiations and agreements regarding, or the occurrence of, a significant pending or proposed merger, acquisition, business combination or tender offer;</w:t>
      </w:r>
    </w:p>
    <w:p>
      <w:pPr>
        <w:spacing w:after="0" w:line="38"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developments with creditors or significant changes in credit facilities or financing sources;</w:t>
      </w:r>
    </w:p>
    <w:p>
      <w:pPr>
        <w:spacing w:after="0" w:line="121"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announcements of bankruptcy or financial liquidity problems;</w:t>
      </w:r>
    </w:p>
    <w:p>
      <w:pPr>
        <w:spacing w:after="0" w:line="107"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sale of assets or the disposition of a subsidiary;</w:t>
      </w:r>
    </w:p>
    <w:p>
      <w:pPr>
        <w:spacing w:after="0" w:line="121"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prices, customers or suppliers;</w:t>
      </w:r>
    </w:p>
    <w:p>
      <w:pPr>
        <w:spacing w:after="0" w:line="107"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changes in dividend policies;</w:t>
      </w:r>
    </w:p>
    <w:p>
      <w:pPr>
        <w:spacing w:after="0" w:line="121"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declaration of a stock split or the offering of additional debt or equity securities;</w:t>
      </w:r>
    </w:p>
    <w:p>
      <w:pPr>
        <w:spacing w:after="0" w:line="121"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of significant new contracts or the non-performance by a party under a significant existing contract;</w:t>
      </w:r>
    </w:p>
    <w:p>
      <w:pPr>
        <w:spacing w:after="0" w:line="107"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threatened litigation or significant developments in existing litigation;</w:t>
      </w:r>
    </w:p>
    <w:p>
      <w:pPr>
        <w:spacing w:after="0" w:line="121"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labor disputes;</w:t>
      </w:r>
    </w:p>
    <w:p>
      <w:pPr>
        <w:spacing w:after="0" w:line="107"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contracts;</w:t>
      </w:r>
    </w:p>
    <w:p>
      <w:pPr>
        <w:spacing w:after="0" w:line="121"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the value of our derivatives portfolio;</w:t>
      </w:r>
    </w:p>
    <w:p>
      <w:pPr>
        <w:spacing w:after="0" w:line="121"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 management changes; and</w:t>
      </w:r>
    </w:p>
    <w:p>
      <w:pPr>
        <w:spacing w:after="0" w:line="107"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new products or discoveries, or results of important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70"/>
          </w:cols>
          <w:pgMar w:left="490" w:top="1409" w:right="339" w:bottom="1440" w:gutter="0" w:footer="0" w:header="0"/>
        </w:sectPr>
      </w:pPr>
    </w:p>
    <w:bookmarkStart w:id="111" w:name="page112"/>
    <w:bookmarkEnd w:id="111"/>
    <w:p>
      <w:pPr>
        <w:jc w:val="both"/>
        <w:ind w:left="10"/>
        <w:spacing w:after="0" w:line="283" w:lineRule="auto"/>
        <w:rPr>
          <w:sz w:val="20"/>
          <w:szCs w:val="20"/>
          <w:color w:val="auto"/>
        </w:rPr>
      </w:pPr>
      <w:r>
        <w:rPr>
          <w:rFonts w:ascii="Times New Roman" w:cs="Times New Roman" w:eastAsia="Times New Roman" w:hAnsi="Times New Roman"/>
          <w:sz w:val="20"/>
          <w:szCs w:val="20"/>
          <w:color w:val="auto"/>
        </w:rPr>
        <w:t>This list is not intended to be exhaustive; other types of information may also be material. Before engaging in any securities transactions, officers, directors, and employees should consider carefully how the SEC and others might view such a transaction in hindsight.</w:t>
      </w:r>
    </w:p>
    <w:p>
      <w:pPr>
        <w:spacing w:after="0" w:line="142" w:lineRule="exact"/>
        <w:rPr>
          <w:sz w:val="20"/>
          <w:szCs w:val="20"/>
          <w:color w:val="auto"/>
        </w:rPr>
      </w:pPr>
    </w:p>
    <w:p>
      <w:pPr>
        <w:jc w:val="both"/>
        <w:ind w:left="10" w:firstLine="486"/>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When Information is Public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is considered “public” and no longer “inside” only after it has been effectively disclosed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manner sufficient to ensure its availability to the investing public. This disclosure generally requires reporting on the Dow Jones tapes in the United States, the Associated Press or another wire service, Reuters Economic Services, or in the newspapers in major financial areas, or disclosure in filings with the SEC. Selective disclosure to a few persons does not make information public. Furthermore, adequate dissemination requires allowing enough time after the announcement for the market to react to the information. Generally, information will be deemed for purposes of this policy to have been adequately disseminated to and absorbed by the market by the beginning of the third business day after (and including) the date of its release to the communications media.</w:t>
      </w:r>
    </w:p>
    <w:p>
      <w:pPr>
        <w:spacing w:after="0" w:line="173" w:lineRule="exact"/>
        <w:rPr>
          <w:sz w:val="20"/>
          <w:szCs w:val="20"/>
          <w:color w:val="auto"/>
        </w:rPr>
      </w:pPr>
    </w:p>
    <w:p>
      <w:pPr>
        <w:jc w:val="both"/>
        <w:ind w:left="10" w:firstLine="486"/>
        <w:spacing w:after="0" w:line="258" w:lineRule="auto"/>
        <w:rPr>
          <w:sz w:val="20"/>
          <w:szCs w:val="20"/>
          <w:color w:val="auto"/>
        </w:rPr>
      </w:pPr>
      <w:r>
        <w:rPr>
          <w:rFonts w:ascii="Times New Roman" w:cs="Times New Roman" w:eastAsia="Times New Roman" w:hAnsi="Times New Roman"/>
          <w:sz w:val="20"/>
          <w:szCs w:val="20"/>
          <w:i w:val="1"/>
          <w:iCs w:val="1"/>
          <w:u w:val="single" w:color="auto"/>
          <w:color w:val="auto"/>
        </w:rPr>
        <w:t>Tipping</w:t>
      </w:r>
      <w:r>
        <w:rPr>
          <w:rFonts w:ascii="Times New Roman" w:cs="Times New Roman" w:eastAsia="Times New Roman" w:hAnsi="Times New Roman"/>
          <w:sz w:val="20"/>
          <w:szCs w:val="20"/>
          <w:color w:val="auto"/>
        </w:rPr>
        <w:t>. Information that could have an impact on a company’s securities prices, including customers, suppliers, or potential parties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contracts, must not be passed on to other companies or people (such as family members, friends, relatives or business associates). When “tipping” occurs, both the “tipper” and the “tippee” may be held liable, and this liability may extend to all those to whom the tippee gives the information. The legal penalties described in this policy are applicable whether or not a person derives any benefit from another’s actions.</w:t>
      </w:r>
    </w:p>
    <w:p>
      <w:pPr>
        <w:spacing w:after="0" w:line="168" w:lineRule="exact"/>
        <w:rPr>
          <w:sz w:val="20"/>
          <w:szCs w:val="20"/>
          <w:color w:val="auto"/>
        </w:rPr>
      </w:pPr>
    </w:p>
    <w:p>
      <w:pPr>
        <w:ind w:left="410" w:hanging="410"/>
        <w:spacing w:after="0"/>
        <w:tabs>
          <w:tab w:leader="none" w:pos="41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AND PENALTIES</w:t>
      </w:r>
    </w:p>
    <w:p>
      <w:pPr>
        <w:spacing w:after="0" w:line="229" w:lineRule="exact"/>
        <w:rPr>
          <w:sz w:val="20"/>
          <w:szCs w:val="20"/>
          <w:color w:val="auto"/>
        </w:rPr>
      </w:pPr>
    </w:p>
    <w:p>
      <w:pPr>
        <w:jc w:val="both"/>
        <w:ind w:left="10" w:firstLine="486"/>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Surveillance</w:t>
      </w:r>
      <w:r>
        <w:rPr>
          <w:rFonts w:ascii="Times New Roman" w:cs="Times New Roman" w:eastAsia="Times New Roman" w:hAnsi="Times New Roman"/>
          <w:sz w:val="20"/>
          <w:szCs w:val="20"/>
          <w:color w:val="auto"/>
        </w:rPr>
        <w:t>. The SEC and the national securities exchanges in the U.S. have extensive surveillance facilities that are used to monitor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trading in stocks and other securities. Frequently, these institutions have cooperative arrangements with comparable institutions outside the U.S. If a security transaction becomes the subject of scrutiny, the transaction will be viewed after the fact. As a result, before engaging in any transaction, all persons covered by this policy should carefully consider how regulators and others might view the transaction in hindsight.</w:t>
      </w:r>
    </w:p>
    <w:p>
      <w:pPr>
        <w:spacing w:after="0" w:line="187" w:lineRule="exact"/>
        <w:rPr>
          <w:sz w:val="20"/>
          <w:szCs w:val="20"/>
          <w:color w:val="auto"/>
        </w:rPr>
      </w:pPr>
    </w:p>
    <w:p>
      <w:pPr>
        <w:jc w:val="both"/>
        <w:ind w:left="10" w:firstLine="486"/>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auto"/>
        </w:rPr>
        <w:t>Penalties</w:t>
      </w:r>
      <w:r>
        <w:rPr>
          <w:rFonts w:ascii="Times New Roman" w:cs="Times New Roman" w:eastAsia="Times New Roman" w:hAnsi="Times New Roman"/>
          <w:sz w:val="20"/>
          <w:szCs w:val="20"/>
          <w:color w:val="auto"/>
        </w:rPr>
        <w:t>. The consequences of insider-trading violations can be severe under federal law. The SEC takes the position that these laws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apply to all transactions in securities or options of companies listed for trading in the U.S., </w:t>
      </w:r>
      <w:r>
        <w:rPr>
          <w:rFonts w:ascii="Times New Roman" w:cs="Times New Roman" w:eastAsia="Times New Roman" w:hAnsi="Times New Roman"/>
          <w:sz w:val="20"/>
          <w:szCs w:val="20"/>
          <w:i w:val="1"/>
          <w:iCs w:val="1"/>
          <w:color w:val="auto"/>
        </w:rPr>
        <w:t>whether or not the actual trades take place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the U.S. </w:t>
      </w:r>
      <w:r>
        <w:rPr>
          <w:rFonts w:ascii="Times New Roman" w:cs="Times New Roman" w:eastAsia="Times New Roman" w:hAnsi="Times New Roman"/>
          <w:sz w:val="20"/>
          <w:szCs w:val="20"/>
          <w:color w:val="auto"/>
        </w:rPr>
        <w:t>For individuals who trade on inside information (or tip information to others), penalties include:</w:t>
      </w:r>
    </w:p>
    <w:p>
      <w:pPr>
        <w:spacing w:after="0" w:line="179" w:lineRule="exact"/>
        <w:rPr>
          <w:sz w:val="20"/>
          <w:szCs w:val="20"/>
          <w:color w:val="auto"/>
        </w:rPr>
      </w:pPr>
    </w:p>
    <w:p>
      <w:pPr>
        <w:ind w:left="1050" w:hanging="240"/>
        <w:spacing w:after="0" w:line="269" w:lineRule="auto"/>
        <w:tabs>
          <w:tab w:leader="none" w:pos="103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disgorgement, or return, of profit gained or loss avoided, plus a fine of up to three times the profit gained or loss avoided;</w:t>
      </w:r>
    </w:p>
    <w:p>
      <w:pPr>
        <w:spacing w:after="0" w:line="64"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fine (no matter how small the profit) of up to $5 million; and</w:t>
      </w:r>
    </w:p>
    <w:p>
      <w:pPr>
        <w:spacing w:after="0" w:line="107" w:lineRule="exact"/>
        <w:rPr>
          <w:rFonts w:ascii="Times New Roman" w:cs="Times New Roman" w:eastAsia="Times New Roman" w:hAnsi="Times New Roman"/>
          <w:sz w:val="20"/>
          <w:szCs w:val="20"/>
          <w:color w:val="auto"/>
        </w:rPr>
      </w:pPr>
    </w:p>
    <w:p>
      <w:pPr>
        <w:ind w:left="1050" w:hanging="240"/>
        <w:spacing w:after="0"/>
        <w:tabs>
          <w:tab w:leader="none" w:pos="105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jail term of up to 20 years.</w:t>
      </w:r>
    </w:p>
    <w:p>
      <w:pPr>
        <w:spacing w:after="0" w:line="121" w:lineRule="exact"/>
        <w:rPr>
          <w:sz w:val="20"/>
          <w:szCs w:val="20"/>
          <w:color w:val="auto"/>
        </w:rPr>
      </w:pPr>
    </w:p>
    <w:p>
      <w:pPr>
        <w:jc w:val="both"/>
        <w:ind w:left="10" w:firstLine="486"/>
        <w:spacing w:after="0" w:line="261" w:lineRule="auto"/>
        <w:rPr>
          <w:sz w:val="20"/>
          <w:szCs w:val="20"/>
          <w:color w:val="auto"/>
        </w:rPr>
      </w:pPr>
      <w:r>
        <w:rPr>
          <w:rFonts w:ascii="Times New Roman" w:cs="Times New Roman" w:eastAsia="Times New Roman" w:hAnsi="Times New Roman"/>
          <w:sz w:val="20"/>
          <w:szCs w:val="20"/>
          <w:color w:val="auto"/>
        </w:rPr>
        <w:t>In addition to civil and criminal penalties, persons contemporaneously trading at the time of a violation of the insider trading laws have the right to sue the insider for an amount equal to the profit gained or loss avoided by the insider in such transaction, offset by any amounts the insider is required to disgorge by the SEC.</w:t>
      </w:r>
    </w:p>
    <w:p>
      <w:pPr>
        <w:spacing w:after="0" w:line="181" w:lineRule="exact"/>
        <w:rPr>
          <w:sz w:val="20"/>
          <w:szCs w:val="20"/>
          <w:color w:val="auto"/>
        </w:rPr>
      </w:pPr>
    </w:p>
    <w:p>
      <w:pPr>
        <w:jc w:val="both"/>
        <w:ind w:left="10" w:right="20" w:firstLine="486"/>
        <w:spacing w:after="0" w:line="269" w:lineRule="auto"/>
        <w:rPr>
          <w:sz w:val="20"/>
          <w:szCs w:val="20"/>
          <w:color w:val="auto"/>
        </w:rPr>
      </w:pPr>
      <w:r>
        <w:rPr>
          <w:rFonts w:ascii="Times New Roman" w:cs="Times New Roman" w:eastAsia="Times New Roman" w:hAnsi="Times New Roman"/>
          <w:sz w:val="20"/>
          <w:szCs w:val="20"/>
          <w:color w:val="auto"/>
        </w:rPr>
        <w:t>For a company (as well as any supervisory person of a company) that fails to take appropriate steps to prevent illegal trading, penalties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70"/>
          </w:cols>
          <w:pgMar w:left="490" w:top="1413" w:right="339" w:bottom="1440" w:gutter="0" w:footer="0" w:header="0"/>
        </w:sectPr>
      </w:pPr>
    </w:p>
    <w:bookmarkStart w:id="112" w:name="page113"/>
    <w:bookmarkEnd w:id="112"/>
    <w:p>
      <w:pPr>
        <w:ind w:left="1300" w:hanging="320"/>
        <w:spacing w:after="0" w:line="283" w:lineRule="auto"/>
        <w:tabs>
          <w:tab w:leader="none" w:pos="128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up to the greater of $1 million or three times the profit gained or loss avoided as a result of the employee’s violation; and</w:t>
      </w:r>
    </w:p>
    <w:p>
      <w:pPr>
        <w:spacing w:after="0" w:line="14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penalty of up to $25 million.</w:t>
      </w:r>
    </w:p>
    <w:p>
      <w:pPr>
        <w:spacing w:after="0" w:line="225" w:lineRule="exact"/>
        <w:rPr>
          <w:sz w:val="20"/>
          <w:szCs w:val="20"/>
          <w:color w:val="auto"/>
        </w:rPr>
      </w:pPr>
    </w:p>
    <w:p>
      <w:pPr>
        <w:ind w:firstLine="252"/>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Disciplinary Action by the Partnership</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Persons who violate this Policy shall be subject to disciplinary action by the Partnership,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include termination or other appropriate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83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SUBSIDIARIES OF WESTLAKE CHEMICAL PARTNERS LP</w:t>
            </w:r>
          </w:p>
        </w:tc>
      </w:tr>
      <w:tr>
        <w:trPr>
          <w:trHeight w:val="688"/>
        </w:trPr>
        <w:tc>
          <w:tcPr>
            <w:tcW w:w="2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6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6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OpCo GP LLC</w:t>
            </w:r>
          </w:p>
        </w:tc>
        <w:tc>
          <w:tcPr>
            <w:tcW w:w="6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OpCo LP</w:t>
            </w: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333-270176 and 333-230611) and Form S-8 (No. 333-198233) of Westlake Chemical Partners LP of our report dated March 5, 2025 relating to the financial statements and the effectiveness of internal control over financial reporting, which appears in this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22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Chemical Partners LP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652"/>
        <w:spacing w:after="0" w:line="257"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220" w:hanging="644"/>
        <w:spacing w:after="0" w:line="265" w:lineRule="auto"/>
        <w:tabs>
          <w:tab w:leader="none" w:pos="130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80" w:hanging="644"/>
        <w:spacing w:after="0" w:line="255"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100" w:hanging="652"/>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644"/>
        <w:spacing w:after="0" w:line="250"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60"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660" w:val="left"/>
          <w:tab w:leader="none" w:pos="7920" w:val="left"/>
        </w:tabs>
        <w:rPr>
          <w:sz w:val="20"/>
          <w:szCs w:val="20"/>
          <w:color w:val="auto"/>
        </w:rPr>
      </w:pPr>
      <w:r>
        <w:rPr>
          <w:rFonts w:ascii="Times New Roman" w:cs="Times New Roman" w:eastAsia="Times New Roman" w:hAnsi="Times New Roman"/>
          <w:sz w:val="18"/>
          <w:szCs w:val="18"/>
          <w:color w:val="auto"/>
        </w:rPr>
        <w:t>Date:</w:t>
        <w:tab/>
        <w:t>March 5, 2025</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00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Jean-Marc Gilson</w:t>
      </w:r>
    </w:p>
    <w:p>
      <w:pPr>
        <w:ind w:left="7260"/>
        <w:spacing w:after="0" w:line="229"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ind w:left="7640"/>
        <w:spacing w:after="0" w:line="20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spacing w:after="0" w:line="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2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Chemical Partners LP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652"/>
        <w:spacing w:after="0" w:line="257"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220" w:hanging="644"/>
        <w:spacing w:after="0" w:line="265" w:lineRule="auto"/>
        <w:tabs>
          <w:tab w:leader="none" w:pos="13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80" w:hanging="644"/>
        <w:spacing w:after="0" w:line="255"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100" w:hanging="652"/>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644"/>
        <w:spacing w:after="0" w:line="250"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60"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60" w:val="left"/>
          <w:tab w:leader="none" w:pos="7920" w:val="left"/>
        </w:tabs>
        <w:rPr>
          <w:sz w:val="20"/>
          <w:szCs w:val="20"/>
          <w:color w:val="auto"/>
        </w:rPr>
      </w:pPr>
      <w:r>
        <w:rPr>
          <w:rFonts w:ascii="Times New Roman" w:cs="Times New Roman" w:eastAsia="Times New Roman" w:hAnsi="Times New Roman"/>
          <w:sz w:val="18"/>
          <w:szCs w:val="18"/>
          <w:color w:val="auto"/>
        </w:rPr>
        <w:t>Date:</w:t>
        <w:tab/>
        <w:t>March 5, 2025</w:t>
      </w:r>
      <w:r>
        <w:rPr>
          <w:sz w:val="20"/>
          <w:szCs w:val="20"/>
          <w:color w:val="auto"/>
        </w:rPr>
        <w:tab/>
      </w:r>
      <w:r>
        <w:rPr>
          <w:rFonts w:ascii="Times New Roman" w:cs="Times New Roman" w:eastAsia="Times New Roman" w:hAnsi="Times New Roman"/>
          <w:sz w:val="18"/>
          <w:szCs w:val="18"/>
          <w:color w:val="auto"/>
        </w:rPr>
        <w:t>/s/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00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M. Steven Bender</w:t>
      </w:r>
    </w:p>
    <w:p>
      <w:pPr>
        <w:ind w:left="714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ind w:left="7280"/>
        <w:spacing w:after="0" w:line="20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spacing w:after="0" w:line="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Westlake Chemical Partners LP (the "Partnership"), as filed with the Securities and Exchange Commission on the date hereof (the "Report"), Jean-Marc Gilson, President, Chief Executive Officer and Director of the general partner of the Partnership, and M. Steven Bender, Executive Vice President, Chief Financial Officer, and Director of the general partner of the Partnership, each certify, pursuant to 18 U.S.C. Section 1350, as adopted pursuant to Section 906 of the Sarbanes-Oxley Act of 2002, that, to his knowledge:</w:t>
      </w:r>
    </w:p>
    <w:p>
      <w:pPr>
        <w:spacing w:after="0" w:line="180" w:lineRule="exact"/>
        <w:rPr>
          <w:sz w:val="20"/>
          <w:szCs w:val="20"/>
          <w:color w:val="auto"/>
        </w:rPr>
      </w:pPr>
    </w:p>
    <w:p>
      <w:pPr>
        <w:ind w:left="1040" w:hanging="384"/>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0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60" w:val="left"/>
          <w:tab w:leader="none" w:pos="7920" w:val="left"/>
        </w:tabs>
        <w:rPr>
          <w:sz w:val="20"/>
          <w:szCs w:val="20"/>
          <w:color w:val="auto"/>
        </w:rPr>
      </w:pPr>
      <w:r>
        <w:rPr>
          <w:rFonts w:ascii="Times New Roman" w:cs="Times New Roman" w:eastAsia="Times New Roman" w:hAnsi="Times New Roman"/>
          <w:sz w:val="18"/>
          <w:szCs w:val="18"/>
          <w:color w:val="auto"/>
        </w:rPr>
        <w:t>Date:</w:t>
        <w:tab/>
        <w:t>March 5, 2025</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00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Jean-Marc Gilson</w:t>
      </w:r>
    </w:p>
    <w:p>
      <w:pPr>
        <w:jc w:val="center"/>
        <w:ind w:left="6320"/>
        <w:spacing w:after="0" w:line="221"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32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spacing w:after="0" w:line="1"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60" w:val="left"/>
          <w:tab w:leader="none" w:pos="7920" w:val="left"/>
        </w:tabs>
        <w:rPr>
          <w:sz w:val="20"/>
          <w:szCs w:val="20"/>
          <w:color w:val="auto"/>
        </w:rPr>
      </w:pPr>
      <w:r>
        <w:rPr>
          <w:rFonts w:ascii="Times New Roman" w:cs="Times New Roman" w:eastAsia="Times New Roman" w:hAnsi="Times New Roman"/>
          <w:sz w:val="18"/>
          <w:szCs w:val="18"/>
          <w:color w:val="auto"/>
        </w:rPr>
        <w:t>Date:</w:t>
        <w:tab/>
        <w:t>March 5, 2025</w:t>
      </w:r>
      <w:r>
        <w:rPr>
          <w:sz w:val="20"/>
          <w:szCs w:val="20"/>
          <w:color w:val="auto"/>
        </w:rPr>
        <w:tab/>
      </w:r>
      <w:r>
        <w:rPr>
          <w:rFonts w:ascii="Times New Roman" w:cs="Times New Roman" w:eastAsia="Times New Roman" w:hAnsi="Times New Roman"/>
          <w:sz w:val="18"/>
          <w:szCs w:val="18"/>
          <w:color w:val="auto"/>
        </w:rPr>
        <w:t>/s/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00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M. Steven Bender</w:t>
      </w:r>
    </w:p>
    <w:p>
      <w:pPr>
        <w:jc w:val="center"/>
        <w:ind w:left="6320"/>
        <w:spacing w:after="0" w:line="221" w:lineRule="auto"/>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32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spacing w:after="0" w:line="1"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lvl w:ilvl="1">
      <w:lvlJc w:val="left"/>
      <w:lvlText w:val="(%2)"/>
      <w:numFmt w:val="decimal"/>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2"/>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5"/>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2"/>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04"/>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upperLetter"/>
      <w:start w:val="61"/>
    </w:lvl>
  </w:abstractNum>
  <w:abstractNum w:abstractNumId="52">
    <w:nsid w:val="39386575"/>
    <w:multiLevelType w:val="hybridMultilevel"/>
    <w:lvl w:ilvl="0">
      <w:lvlJc w:val="left"/>
      <w:lvlText w:val="%1."/>
      <w:numFmt w:val="upperLetter"/>
      <w:start w:val="9"/>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upperLetter"/>
      <w:start w:val="35"/>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lvl w:ilvl="1">
      <w:lvlJc w:val="left"/>
      <w:lvlText w:val="%2."/>
      <w:numFmt w:val="decimal"/>
      <w:start w:val="1"/>
    </w:lvl>
  </w:abstractNum>
  <w:abstractNum w:abstractNumId="58">
    <w:nsid w:val="15B5AF5C"/>
    <w:multiLevelType w:val="hybridMultilevel"/>
    <w:lvl w:ilvl="0">
      <w:lvlJc w:val="left"/>
      <w:lvlText w:val="%1."/>
      <w:numFmt w:val="decimal"/>
      <w:start w:val="1"/>
    </w:lvl>
    <w:lvl w:ilvl="1">
      <w:lvlJc w:val="left"/>
      <w:lvlText w:val="%2."/>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38" Type="http://schemas.openxmlformats.org/officeDocument/2006/relationships/hyperlink" Target="https://www.sec.gov/Archives/edgar/data/1604665/000119312514164760/d715499dex31.htm" TargetMode="External"/><Relationship Id="rId139" Type="http://schemas.openxmlformats.org/officeDocument/2006/relationships/hyperlink" Target="https://www.sec.gov/Archives/edgar/data/1604665/000119312514303305/d756630dex31.htm" TargetMode="External"/><Relationship Id="rId140" Type="http://schemas.openxmlformats.org/officeDocument/2006/relationships/hyperlink" Target="https://www.sec.gov/Archives/edgar/data/1604665/000119312517345554/d493400dex31.htm" TargetMode="External"/><Relationship Id="rId141" Type="http://schemas.openxmlformats.org/officeDocument/2006/relationships/hyperlink" Target="https://www.sec.gov/Archives/edgar/data/1604665/000119312518231463/d583758dex31.htm" TargetMode="External"/><Relationship Id="rId142" Type="http://schemas.openxmlformats.org/officeDocument/2006/relationships/hyperlink" Target="https://www.sec.gov/Archives/edgar/data/1604665/000119312514303305/d756630dex107.htm" TargetMode="External"/><Relationship Id="rId143" Type="http://schemas.openxmlformats.org/officeDocument/2006/relationships/hyperlink" Target="https://www.sec.gov/Archives/edgar/data/1604665/000160466518000007/ex3412311710k.htm" TargetMode="External"/><Relationship Id="rId144" Type="http://schemas.openxmlformats.org/officeDocument/2006/relationships/hyperlink" Target="https://www.sec.gov/Archives/edgar/data/1604665/000160466520000007/ex4112311910k.htm" TargetMode="External"/><Relationship Id="rId145" Type="http://schemas.openxmlformats.org/officeDocument/2006/relationships/hyperlink" Target="https://www.sec.gov/Archives/edgar/data/1262823/000119312506005830/dex41.htm" TargetMode="External"/><Relationship Id="rId146" Type="http://schemas.openxmlformats.org/officeDocument/2006/relationships/hyperlink" Target="https://www.sec.gov/Archives/edgar/data/1262823/000119312516678207/d235680dex42.htm" TargetMode="External"/><Relationship Id="rId147" Type="http://schemas.openxmlformats.org/officeDocument/2006/relationships/hyperlink" Target="https://www.sec.gov/Archives/edgar/data/1262823/000119312517353189/d499857dex42.htm" TargetMode="External"/><Relationship Id="rId148" Type="http://schemas.openxmlformats.org/officeDocument/2006/relationships/hyperlink" Target="https://www.sec.gov/Archives/edgar/data/1262823/000119312517353189/d499857dex43.htm" TargetMode="External"/><Relationship Id="rId149" Type="http://schemas.openxmlformats.org/officeDocument/2006/relationships/hyperlink" Target="https://www.sec.gov/Archives/edgar/data/1262823/000119312519195643/d770084dex42.htm" TargetMode="External"/><Relationship Id="rId150" Type="http://schemas.openxmlformats.org/officeDocument/2006/relationships/hyperlink" Target="https://www.sec.gov/Archives/edgar/data/1262823/000119312520167137/d943281dex42.htm" TargetMode="External"/><Relationship Id="rId151" Type="http://schemas.openxmlformats.org/officeDocument/2006/relationships/hyperlink" Target="https://www.sec.gov/Archives/edgar/data/1262823/000119312521250937/d198475dex42.htm" TargetMode="External"/><Relationship Id="rId152" Type="http://schemas.openxmlformats.org/officeDocument/2006/relationships/hyperlink" Target="https://www.sec.gov/Archives/edgar/data/1604665/000119312519092653/d728262dex41.htm" TargetMode="External"/><Relationship Id="rId155" Type="http://schemas.openxmlformats.org/officeDocument/2006/relationships/hyperlink" Target="https://www.sec.gov/Archives/edgar/data/1604665/000119312514303305/d756630dex101.htm" TargetMode="External"/><Relationship Id="rId156" Type="http://schemas.openxmlformats.org/officeDocument/2006/relationships/hyperlink" Target="https://www.sec.gov/Archives/edgar/data/1604665/000119312514303305/d756630dex102.htm" TargetMode="External"/><Relationship Id="rId157" Type="http://schemas.openxmlformats.org/officeDocument/2006/relationships/hyperlink" Target="https://www.sec.gov/Archives/edgar/data/1604665/000119312514303305/d756630dex103.htm" TargetMode="External"/><Relationship Id="rId158" Type="http://schemas.openxmlformats.org/officeDocument/2006/relationships/hyperlink" Target="https://www.sec.gov/Archives/edgar/data/1604665/000119312514303305/d756630dex104.htm" TargetMode="External"/><Relationship Id="rId159" Type="http://schemas.openxmlformats.org/officeDocument/2006/relationships/hyperlink" Target="https://www.sec.gov/Archives/edgar/data/1604665/000160466516000044/exhibit101_20160630.htm" TargetMode="External"/><Relationship Id="rId160" Type="http://schemas.openxmlformats.org/officeDocument/2006/relationships/hyperlink" Target="https://www.sec.gov/Archives/edgar/data/1604665/000160466518000027/exhibit102_20180930.htm" TargetMode="External"/><Relationship Id="rId161" Type="http://schemas.openxmlformats.org/officeDocument/2006/relationships/hyperlink" Target="https://www.sec.gov/Archives/edgar/data/1604665/000119312514303305/d756630dex105.htm" TargetMode="External"/><Relationship Id="rId162" Type="http://schemas.openxmlformats.org/officeDocument/2006/relationships/hyperlink" Target="https://www.sec.gov/Archives/edgar/data/1604665/000119312514303305/d756630dex106.htm" TargetMode="External"/><Relationship Id="rId163" Type="http://schemas.openxmlformats.org/officeDocument/2006/relationships/hyperlink" Target="https://www.sec.gov/Archives/edgar/data/1604665/000119312515162335/d919736dex101.htm" TargetMode="External"/><Relationship Id="rId164" Type="http://schemas.openxmlformats.org/officeDocument/2006/relationships/hyperlink" Target="https://www.sec.gov/Archives/edgar/data/1604665/000160466517000025/exhibit101_20170630.htm" TargetMode="External"/><Relationship Id="rId165" Type="http://schemas.openxmlformats.org/officeDocument/2006/relationships/hyperlink" Target="https://www.sec.gov/Archives/edgar/data/1604665/000160466518000007/ex102412311710k.htm" TargetMode="External"/><Relationship Id="rId166" Type="http://schemas.openxmlformats.org/officeDocument/2006/relationships/hyperlink" Target="https://www.sec.gov/Archives/edgar/data/1604665/000160466520000015/exhibit10120200331.htm" TargetMode="External"/><Relationship Id="rId167" Type="http://schemas.openxmlformats.org/officeDocument/2006/relationships/hyperlink" Target="https://www.sec.gov/Archives/edgar/data/1604665/000119312522195001/d278975dex102.htm" TargetMode="External"/><Relationship Id="rId168" Type="http://schemas.openxmlformats.org/officeDocument/2006/relationships/hyperlink" Target="https://www.sec.gov/Archives/edgar/data/1604665/000160466520000007/ex10912311910k.htm" TargetMode="External"/><Relationship Id="rId169" Type="http://schemas.openxmlformats.org/officeDocument/2006/relationships/hyperlink" Target="https://www.sec.gov/Archives/edgar/data/1604665/000160466518000027/exhibit101_20180930.htm" TargetMode="External"/><Relationship Id="rId172" Type="http://schemas.openxmlformats.org/officeDocument/2006/relationships/hyperlink" Target="https://www.sec.gov/Archives/edgar/data/1604665/000119312522195001/d278975dex101.htm" TargetMode="External"/><Relationship Id="rId173" Type="http://schemas.openxmlformats.org/officeDocument/2006/relationships/hyperlink" Target="https://www.sec.gov/Archives/edgar/data/1604665/000119312514303305/d756630dex108.htm" TargetMode="External"/><Relationship Id="rId174" Type="http://schemas.openxmlformats.org/officeDocument/2006/relationships/hyperlink" Target="https://www.sec.gov/ix?doc=/Archives/edgar/data/1604665/000114036124013767/ny20022131x1_def14a.htm" TargetMode="External"/><Relationship Id="rId175" Type="http://schemas.openxmlformats.org/officeDocument/2006/relationships/hyperlink" Target="https://www.sec.gov/Archives/edgar/data/1604665/000160466517000008/ex102012311610k.htm" TargetMode="External"/><Relationship Id="rId176" Type="http://schemas.openxmlformats.org/officeDocument/2006/relationships/hyperlink" Target="https://www.sec.gov/Archives/edgar/data/1604665/000160466517000033/exhibit101_20170930.htm" TargetMode="External"/><Relationship Id="rId177" Type="http://schemas.openxmlformats.org/officeDocument/2006/relationships/hyperlink" Target="https://www.sec.gov/Archives/edgar/data/1604665/000160466518000007/ex101212311710k.htm" TargetMode="External"/><Relationship Id="rId178" Type="http://schemas.openxmlformats.org/officeDocument/2006/relationships/hyperlink" Target="https://www.sec.gov/Archives/edgar/data/1604665/000119312518294123/d633576dex11.htm" TargetMode="External"/><Relationship Id="rId179" Type="http://schemas.openxmlformats.org/officeDocument/2006/relationships/hyperlink" Target="https://www.sec.gov/Archives/edgar/data/1604665/000160466520000007/ex102212311910k.htm" TargetMode="External"/><Relationship Id="rId180" Type="http://schemas.openxmlformats.org/officeDocument/2006/relationships/hyperlink" Target="https://www.sec.gov/Archives/edgar/data/1604665/000160466524000010/ex97-wlkp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2025-03-05T11:37:16Z</dcterms:created>
  <dcterms:modified xsi:type="dcterms:W3CDTF">2025-03-05T11:37:16Z</dcterms:modified>
</cp:coreProperties>
</file>