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158750</wp:posOffset>
            </wp:positionV>
            <wp:extent cx="3370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127000</wp:posOffset>
            </wp:positionV>
            <wp:extent cx="3370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720" w:right="1900" w:hanging="685"/>
        <w:spacing w:after="0" w:line="313"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3"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8" w:lineRule="exact"/>
        <w:rPr>
          <w:sz w:val="24"/>
          <w:szCs w:val="24"/>
          <w:color w:val="auto"/>
        </w:rPr>
      </w:pPr>
    </w:p>
    <w:p>
      <w:pPr>
        <w:ind w:left="7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001-36567</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Westlake Chemical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-302895</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90805</wp:posOffset>
            </wp:positionV>
            <wp:extent cx="3370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420" w:type="dxa"/>
        <w:tblCellMar>
          <w:top w:w="0" w:type="dxa"/>
          <w:left w:w="0" w:type="dxa"/>
          <w:bottom w:w="0" w:type="dxa"/>
          <w:right w:w="0" w:type="dxa"/>
        </w:tblCellMar>
      </w:tblPr>
      <w:tr>
        <w:trPr>
          <w:trHeight w:val="234"/>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3"/>
              </w:rPr>
              <w:t>Delaware</w:t>
            </w:r>
          </w:p>
        </w:tc>
        <w:tc>
          <w:tcPr>
            <w:tcW w:w="2340" w:type="dxa"/>
            <w:vAlign w:val="bottom"/>
            <w:gridSpan w:val="3"/>
          </w:tcPr>
          <w:p>
            <w:pPr>
              <w:jc w:val="center"/>
              <w:ind w:left="301"/>
              <w:spacing w:after="0"/>
              <w:rPr>
                <w:sz w:val="20"/>
                <w:szCs w:val="20"/>
                <w:color w:val="auto"/>
              </w:rPr>
            </w:pPr>
            <w:r>
              <w:rPr>
                <w:rFonts w:ascii="Arial" w:cs="Arial" w:eastAsia="Arial" w:hAnsi="Arial"/>
                <w:sz w:val="18"/>
                <w:szCs w:val="18"/>
                <w:b w:val="1"/>
                <w:bCs w:val="1"/>
                <w:color w:val="auto"/>
                <w:w w:val="91"/>
              </w:rPr>
              <w:t>32-0436529</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2"/>
              </w:rPr>
              <w:t>(State or other jurisdiction of</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6"/>
              </w:rPr>
              <w:t>(I.R.S. Employer</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gridSpan w:val="2"/>
          </w:tcPr>
          <w:p>
            <w:pPr>
              <w:jc w:val="center"/>
              <w:ind w:right="2096"/>
              <w:spacing w:after="0"/>
              <w:rPr>
                <w:sz w:val="20"/>
                <w:szCs w:val="20"/>
                <w:color w:val="auto"/>
              </w:rPr>
            </w:pPr>
            <w:r>
              <w:rPr>
                <w:rFonts w:ascii="Arial" w:cs="Arial" w:eastAsia="Arial" w:hAnsi="Arial"/>
                <w:sz w:val="14"/>
                <w:szCs w:val="14"/>
                <w:b w:val="1"/>
                <w:bCs w:val="1"/>
                <w:color w:val="auto"/>
                <w:w w:val="93"/>
              </w:rPr>
              <w:t>incorporation or organization)</w:t>
            </w:r>
          </w:p>
        </w:tc>
        <w:tc>
          <w:tcPr>
            <w:tcW w:w="2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4"/>
              </w:rPr>
              <w:t>Identification No.)</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9"/>
              </w:rPr>
              <w:t>2801 Post Oak Boulevard, Suite 600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320" w:type="dxa"/>
            <w:vAlign w:val="bottom"/>
          </w:tcPr>
          <w:p>
            <w:pPr>
              <w:jc w:val="center"/>
              <w:ind w:left="896"/>
              <w:spacing w:after="0"/>
              <w:rPr>
                <w:sz w:val="20"/>
                <w:szCs w:val="20"/>
                <w:color w:val="auto"/>
              </w:rPr>
            </w:pPr>
            <w:r>
              <w:rPr>
                <w:rFonts w:ascii="Arial" w:cs="Arial" w:eastAsia="Arial" w:hAnsi="Arial"/>
                <w:sz w:val="18"/>
                <w:szCs w:val="18"/>
                <w:b w:val="1"/>
                <w:bCs w:val="1"/>
                <w:color w:val="auto"/>
                <w:w w:val="87"/>
              </w:rPr>
              <w:t>Houston, Texas 77056</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960" w:type="dxa"/>
            <w:vAlign w:val="bottom"/>
            <w:gridSpan w:val="2"/>
          </w:tcPr>
          <w:p>
            <w:pPr>
              <w:jc w:val="center"/>
              <w:ind w:left="3557"/>
              <w:spacing w:after="0"/>
              <w:rPr>
                <w:sz w:val="20"/>
                <w:szCs w:val="20"/>
                <w:color w:val="auto"/>
              </w:rPr>
            </w:pPr>
            <w:r>
              <w:rPr>
                <w:rFonts w:ascii="Arial" w:cs="Arial" w:eastAsia="Arial" w:hAnsi="Arial"/>
                <w:sz w:val="18"/>
                <w:szCs w:val="18"/>
                <w:b w:val="1"/>
                <w:bCs w:val="1"/>
                <w:color w:val="auto"/>
                <w:w w:val="90"/>
              </w:rPr>
              <w:t>(713) 585-2900</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4320" w:type="dxa"/>
            <w:vAlign w:val="bottom"/>
          </w:tcPr>
          <w:p>
            <w:pPr>
              <w:jc w:val="center"/>
              <w:ind w:left="91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300" w:type="dxa"/>
            <w:vAlign w:val="bottom"/>
            <w:tcBorders>
              <w:bottom w:val="single" w:sz="8" w:color="auto"/>
            </w:tcBorders>
            <w:gridSpan w:val="2"/>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2640" w:type="dxa"/>
            <w:vAlign w:val="bottom"/>
          </w:tcPr>
          <w:p>
            <w:pPr>
              <w:spacing w:after="0"/>
              <w:rPr>
                <w:sz w:val="24"/>
                <w:szCs w:val="24"/>
                <w:color w:val="auto"/>
              </w:rPr>
            </w:pPr>
          </w:p>
        </w:tc>
        <w:tc>
          <w:tcPr>
            <w:tcW w:w="5980" w:type="dxa"/>
            <w:vAlign w:val="bottom"/>
            <w:gridSpan w:val="3"/>
          </w:tcPr>
          <w:p>
            <w:pPr>
              <w:ind w:left="48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960" w:type="dxa"/>
            <w:vAlign w:val="bottom"/>
            <w:gridSpan w:val="2"/>
          </w:tcPr>
          <w:p>
            <w:pPr>
              <w:jc w:val="center"/>
              <w:ind w:right="2076"/>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55"/>
        </w:trPr>
        <w:tc>
          <w:tcPr>
            <w:tcW w:w="6960" w:type="dxa"/>
            <w:vAlign w:val="bottom"/>
            <w:gridSpan w:val="2"/>
          </w:tcPr>
          <w:p>
            <w:pPr>
              <w:jc w:val="center"/>
              <w:ind w:right="2096"/>
              <w:spacing w:after="0"/>
              <w:rPr>
                <w:sz w:val="20"/>
                <w:szCs w:val="20"/>
                <w:color w:val="auto"/>
              </w:rPr>
            </w:pPr>
            <w:r>
              <w:rPr>
                <w:rFonts w:ascii="Arial" w:cs="Arial" w:eastAsia="Arial" w:hAnsi="Arial"/>
                <w:sz w:val="18"/>
                <w:szCs w:val="18"/>
                <w:b w:val="1"/>
                <w:bCs w:val="1"/>
                <w:color w:val="auto"/>
                <w:w w:val="90"/>
              </w:rPr>
              <w:t>Common units representing limited partner interests</w:t>
            </w:r>
          </w:p>
        </w:tc>
        <w:tc>
          <w:tcPr>
            <w:tcW w:w="298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0"/>
              </w:rPr>
              <w:t>New York Stock Exchange, Inc.</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4"/>
                <w:szCs w:val="24"/>
                <w:color w:val="auto"/>
              </w:rPr>
            </w:pPr>
          </w:p>
        </w:tc>
        <w:tc>
          <w:tcPr>
            <w:tcW w:w="59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5300" w:type="dxa"/>
            <w:vAlign w:val="bottom"/>
            <w:tcBorders>
              <w:bottom w:val="single" w:sz="8" w:color="auto"/>
            </w:tcBorders>
            <w:gridSpan w:val="2"/>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5"/>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ind w:right="60"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firstLine="405"/>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right="120" w:firstLine="40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40"/>
              <w:spacing w:after="0"/>
              <w:rPr>
                <w:sz w:val="20"/>
                <w:szCs w:val="20"/>
                <w:color w:val="auto"/>
              </w:rPr>
            </w:pPr>
            <w:r>
              <w:rPr>
                <w:rFonts w:ascii="Arial" w:cs="Arial" w:eastAsia="Arial" w:hAnsi="Arial"/>
                <w:sz w:val="18"/>
                <w:szCs w:val="18"/>
                <w:color w:val="auto"/>
              </w:rPr>
              <w:t>x</w:t>
            </w: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8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20"/>
        <w:spacing w:after="0" w:line="207" w:lineRule="exact"/>
        <w:tabs>
          <w:tab w:leader="none" w:pos="7980" w:val="left"/>
          <w:tab w:leader="none" w:pos="8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4" w:lineRule="exact"/>
        <w:rPr>
          <w:sz w:val="24"/>
          <w:szCs w:val="24"/>
          <w:color w:val="auto"/>
        </w:rPr>
      </w:pPr>
    </w:p>
    <w:p>
      <w:pPr>
        <w:ind w:firstLine="405"/>
        <w:spacing w:after="0" w:line="279" w:lineRule="auto"/>
        <w:rPr>
          <w:sz w:val="20"/>
          <w:szCs w:val="20"/>
          <w:color w:val="auto"/>
        </w:rPr>
      </w:pPr>
      <w:r>
        <w:rPr>
          <w:rFonts w:ascii="Arial" w:cs="Arial" w:eastAsia="Arial" w:hAnsi="Arial"/>
          <w:sz w:val="17"/>
          <w:szCs w:val="17"/>
          <w:color w:val="auto"/>
        </w:rPr>
        <w:t>The aggregate market value of registrant's common units held by non-affiliates of the registrant on June 30, 2018, the end of the registrant's most recently completed second fiscal quarter, based on the closing price on June 29, 2018 of $24.50 on the New York Stock Exchange, was approximately $435.8 million. Common units held by executive officers and directors of the registrant and its affiliates are not included in the computation. The registrant, solely for the purpose of this required presentation, has deemed its directors and executive officers and those of its affiliates to be affiliates.</w:t>
      </w:r>
    </w:p>
    <w:p>
      <w:pPr>
        <w:sectPr>
          <w:pgSz w:w="11900" w:h="16838" w:orient="portrait"/>
          <w:cols w:equalWidth="0" w:num="1">
            <w:col w:w="11420"/>
          </w:cols>
          <w:pgMar w:left="240" w:top="229" w:right="2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February 22, 2019, the registrant had 32,247,371 common units and no subordinated units outstanding.</w:t>
      </w:r>
    </w:p>
    <w:p>
      <w:pPr>
        <w:sectPr>
          <w:pgSz w:w="11900" w:h="16838" w:orient="portrait"/>
          <w:cols w:equalWidth="0" w:num="1">
            <w:col w:w="9799"/>
          </w:cols>
          <w:pgMar w:left="660" w:top="233" w:right="1440"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88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8"/>
        </w:trPr>
        <w:tc>
          <w:tcPr>
            <w:tcW w:w="4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80"/>
        </w:trPr>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Item</w:t>
            </w:r>
          </w:p>
        </w:tc>
        <w:tc>
          <w:tcPr>
            <w:tcW w:w="9880" w:type="dxa"/>
            <w:vAlign w:val="bottom"/>
            <w:vMerge w:val="restart"/>
          </w:tcPr>
          <w:p>
            <w:pPr>
              <w:jc w:val="center"/>
              <w:spacing w:after="0"/>
              <w:rPr>
                <w:rFonts w:ascii="Arial" w:cs="Arial" w:eastAsia="Arial" w:hAnsi="Arial"/>
                <w:sz w:val="18"/>
                <w:szCs w:val="18"/>
                <w:b w:val="1"/>
                <w:bCs w:val="1"/>
                <w:color w:val="auto"/>
                <w:w w:val="98"/>
              </w:rPr>
            </w:pPr>
            <w:hyperlink w:anchor="page6">
              <w:r>
                <w:rPr>
                  <w:rFonts w:ascii="Arial" w:cs="Arial" w:eastAsia="Arial" w:hAnsi="Arial"/>
                  <w:sz w:val="18"/>
                  <w:szCs w:val="18"/>
                  <w:b w:val="1"/>
                  <w:bCs w:val="1"/>
                  <w:color w:val="auto"/>
                  <w:w w:val="98"/>
                </w:rPr>
                <w:t>PART I</w:t>
              </w:r>
            </w:hyperlink>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40" w:type="dxa"/>
            <w:vAlign w:val="bottom"/>
            <w:vMerge w:val="continue"/>
          </w:tcPr>
          <w:p>
            <w:pPr>
              <w:spacing w:after="0"/>
              <w:rPr>
                <w:sz w:val="19"/>
                <w:szCs w:val="19"/>
                <w:color w:val="auto"/>
              </w:rPr>
            </w:pPr>
          </w:p>
        </w:tc>
        <w:tc>
          <w:tcPr>
            <w:tcW w:w="98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40" w:type="dxa"/>
            <w:vAlign w:val="bottom"/>
            <w:vMerge w:val="continue"/>
          </w:tcPr>
          <w:p>
            <w:pPr>
              <w:spacing w:after="0"/>
              <w:rPr>
                <w:sz w:val="24"/>
                <w:szCs w:val="24"/>
                <w:color w:val="auto"/>
              </w:rPr>
            </w:pPr>
          </w:p>
        </w:tc>
        <w:tc>
          <w:tcPr>
            <w:tcW w:w="9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1)</w:t>
              </w:r>
            </w:hyperlink>
          </w:p>
        </w:tc>
        <w:tc>
          <w:tcPr>
            <w:tcW w:w="9880" w:type="dxa"/>
            <w:vAlign w:val="bottom"/>
          </w:tcPr>
          <w:p>
            <w:pPr>
              <w:ind w:left="100"/>
              <w:spacing w:after="0"/>
              <w:rPr>
                <w:rFonts w:ascii="Arial" w:cs="Arial" w:eastAsia="Arial" w:hAnsi="Arial"/>
                <w:sz w:val="18"/>
                <w:szCs w:val="18"/>
                <w:color w:val="auto"/>
              </w:rPr>
            </w:pPr>
            <w:hyperlink w:anchor="page6">
              <w:r>
                <w:rPr>
                  <w:rFonts w:ascii="Arial" w:cs="Arial" w:eastAsia="Arial" w:hAnsi="Arial"/>
                  <w:sz w:val="18"/>
                  <w:szCs w:val="18"/>
                  <w:color w:val="auto"/>
                </w:rPr>
                <w:t>Business</w:t>
              </w:r>
            </w:hyperlink>
          </w:p>
        </w:tc>
        <w:tc>
          <w:tcPr>
            <w:tcW w:w="9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1A)</w:t>
              </w:r>
            </w:hyperlink>
          </w:p>
        </w:tc>
        <w:tc>
          <w:tcPr>
            <w:tcW w:w="9880" w:type="dxa"/>
            <w:vAlign w:val="bottom"/>
          </w:tcPr>
          <w:p>
            <w:pPr>
              <w:ind w:left="100"/>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900" w:type="dxa"/>
            <w:vAlign w:val="bottom"/>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1B)</w:t>
              </w:r>
            </w:hyperlink>
          </w:p>
        </w:tc>
        <w:tc>
          <w:tcPr>
            <w:tcW w:w="9880" w:type="dxa"/>
            <w:vAlign w:val="bottom"/>
          </w:tcPr>
          <w:p>
            <w:pPr>
              <w:ind w:left="100"/>
              <w:spacing w:after="0"/>
              <w:rPr>
                <w:rFonts w:ascii="Arial" w:cs="Arial" w:eastAsia="Arial" w:hAnsi="Arial"/>
                <w:sz w:val="18"/>
                <w:szCs w:val="18"/>
                <w:color w:val="auto"/>
              </w:rPr>
            </w:pPr>
            <w:hyperlink w:anchor="page28">
              <w:r>
                <w:rPr>
                  <w:rFonts w:ascii="Arial" w:cs="Arial" w:eastAsia="Arial" w:hAnsi="Arial"/>
                  <w:sz w:val="18"/>
                  <w:szCs w:val="18"/>
                  <w:color w:val="auto"/>
                </w:rPr>
                <w:t>Unresolved Staff Comments</w:t>
              </w:r>
            </w:hyperlink>
          </w:p>
        </w:tc>
        <w:tc>
          <w:tcPr>
            <w:tcW w:w="90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w:t>
              </w:r>
            </w:hyperlink>
          </w:p>
        </w:tc>
        <w:tc>
          <w:tcPr>
            <w:tcW w:w="9880" w:type="dxa"/>
            <w:vAlign w:val="bottom"/>
          </w:tcPr>
          <w:p>
            <w:pPr>
              <w:ind w:left="100"/>
              <w:spacing w:after="0"/>
              <w:rPr>
                <w:rFonts w:ascii="Arial" w:cs="Arial" w:eastAsia="Arial" w:hAnsi="Arial"/>
                <w:sz w:val="18"/>
                <w:szCs w:val="18"/>
                <w:color w:val="auto"/>
              </w:rPr>
            </w:pPr>
            <w:hyperlink w:anchor="page28">
              <w:r>
                <w:rPr>
                  <w:rFonts w:ascii="Arial" w:cs="Arial" w:eastAsia="Arial" w:hAnsi="Arial"/>
                  <w:sz w:val="18"/>
                  <w:szCs w:val="18"/>
                  <w:color w:val="auto"/>
                </w:rPr>
                <w:t>Properties</w:t>
              </w:r>
            </w:hyperlink>
          </w:p>
        </w:tc>
        <w:tc>
          <w:tcPr>
            <w:tcW w:w="900" w:type="dxa"/>
            <w:vAlign w:val="bottom"/>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Legal Proceedings</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4)</w:t>
              </w:r>
            </w:hyperlink>
          </w:p>
        </w:tc>
        <w:tc>
          <w:tcPr>
            <w:tcW w:w="9880" w:type="dxa"/>
            <w:vAlign w:val="bottom"/>
          </w:tcPr>
          <w:p>
            <w:pPr>
              <w:ind w:left="100"/>
              <w:spacing w:after="0"/>
              <w:rPr>
                <w:rFonts w:ascii="Arial" w:cs="Arial" w:eastAsia="Arial" w:hAnsi="Arial"/>
                <w:sz w:val="18"/>
                <w:szCs w:val="18"/>
                <w:color w:val="auto"/>
              </w:rPr>
            </w:pPr>
            <w:hyperlink w:anchor="page29">
              <w:r>
                <w:rPr>
                  <w:rFonts w:ascii="Arial" w:cs="Arial" w:eastAsia="Arial" w:hAnsi="Arial"/>
                  <w:sz w:val="18"/>
                  <w:szCs w:val="18"/>
                  <w:color w:val="auto"/>
                </w:rPr>
                <w:t>Mine Safety Disclosure</w:t>
              </w:r>
            </w:hyperlink>
          </w:p>
        </w:tc>
        <w:tc>
          <w:tcPr>
            <w:tcW w:w="900" w:type="dxa"/>
            <w:vAlign w:val="bottom"/>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30">
              <w:r>
                <w:rPr>
                  <w:rFonts w:ascii="Arial" w:cs="Arial" w:eastAsia="Arial" w:hAnsi="Arial"/>
                  <w:sz w:val="18"/>
                  <w:szCs w:val="18"/>
                  <w:b w:val="1"/>
                  <w:bCs w:val="1"/>
                  <w:color w:val="auto"/>
                </w:rPr>
                <w:t>PART 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4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5)</w:t>
              </w:r>
            </w:hyperlink>
          </w:p>
        </w:tc>
        <w:tc>
          <w:tcPr>
            <w:tcW w:w="9880" w:type="dxa"/>
            <w:vAlign w:val="bottom"/>
          </w:tcPr>
          <w:p>
            <w:pPr>
              <w:ind w:left="100"/>
              <w:spacing w:after="0"/>
              <w:rPr>
                <w:rFonts w:ascii="Arial" w:cs="Arial" w:eastAsia="Arial" w:hAnsi="Arial"/>
                <w:sz w:val="18"/>
                <w:szCs w:val="18"/>
                <w:color w:val="auto"/>
              </w:rPr>
            </w:pPr>
            <w:hyperlink w:anchor="page30">
              <w:r>
                <w:rPr>
                  <w:rFonts w:ascii="Arial" w:cs="Arial" w:eastAsia="Arial" w:hAnsi="Arial"/>
                  <w:sz w:val="18"/>
                  <w:szCs w:val="18"/>
                  <w:color w:val="auto"/>
                </w:rPr>
                <w:t>Market for Registrant's Common Equity, Related Stockholder Matters and Issuer Purchases</w:t>
              </w:r>
            </w:hyperlink>
          </w:p>
        </w:tc>
        <w:tc>
          <w:tcPr>
            <w:tcW w:w="90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9880" w:type="dxa"/>
            <w:vAlign w:val="bottom"/>
          </w:tcPr>
          <w:p>
            <w:pPr>
              <w:ind w:left="240"/>
              <w:spacing w:after="0"/>
              <w:rPr>
                <w:rFonts w:ascii="Arial" w:cs="Arial" w:eastAsia="Arial" w:hAnsi="Arial"/>
                <w:sz w:val="18"/>
                <w:szCs w:val="18"/>
                <w:color w:val="auto"/>
              </w:rPr>
            </w:pPr>
            <w:hyperlink w:anchor="page30">
              <w:r>
                <w:rPr>
                  <w:rFonts w:ascii="Arial" w:cs="Arial" w:eastAsia="Arial" w:hAnsi="Arial"/>
                  <w:sz w:val="18"/>
                  <w:szCs w:val="18"/>
                  <w:color w:val="auto"/>
                </w:rPr>
                <w:t>of Equity Securities</w:t>
              </w:r>
            </w:hyperlink>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6)</w:t>
              </w:r>
            </w:hyperlink>
          </w:p>
        </w:tc>
        <w:tc>
          <w:tcPr>
            <w:tcW w:w="9880" w:type="dxa"/>
            <w:vAlign w:val="bottom"/>
          </w:tcPr>
          <w:p>
            <w:pPr>
              <w:ind w:left="100"/>
              <w:spacing w:after="0"/>
              <w:rPr>
                <w:rFonts w:ascii="Arial" w:cs="Arial" w:eastAsia="Arial" w:hAnsi="Arial"/>
                <w:sz w:val="18"/>
                <w:szCs w:val="18"/>
                <w:color w:val="auto"/>
              </w:rPr>
            </w:pPr>
            <w:hyperlink w:anchor="page32">
              <w:r>
                <w:rPr>
                  <w:rFonts w:ascii="Arial" w:cs="Arial" w:eastAsia="Arial" w:hAnsi="Arial"/>
                  <w:sz w:val="18"/>
                  <w:szCs w:val="18"/>
                  <w:color w:val="auto"/>
                </w:rPr>
                <w:t xml:space="preserve">Selected Financial </w:t>
              </w:r>
            </w:hyperlink>
            <w:r>
              <w:rPr>
                <w:rFonts w:ascii="Arial" w:cs="Arial" w:eastAsia="Arial" w:hAnsi="Arial"/>
                <w:sz w:val="18"/>
                <w:szCs w:val="18"/>
                <w:color w:val="auto"/>
              </w:rPr>
              <w:t>Data</w:t>
            </w:r>
          </w:p>
        </w:tc>
        <w:tc>
          <w:tcPr>
            <w:tcW w:w="90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7)</w:t>
              </w:r>
            </w:hyperlink>
          </w:p>
        </w:tc>
        <w:tc>
          <w:tcPr>
            <w:tcW w:w="9880" w:type="dxa"/>
            <w:vAlign w:val="bottom"/>
          </w:tcPr>
          <w:p>
            <w:pPr>
              <w:ind w:left="100"/>
              <w:spacing w:after="0"/>
              <w:rPr>
                <w:rFonts w:ascii="Arial" w:cs="Arial" w:eastAsia="Arial" w:hAnsi="Arial"/>
                <w:sz w:val="18"/>
                <w:szCs w:val="18"/>
                <w:color w:val="auto"/>
              </w:rPr>
            </w:pPr>
            <w:hyperlink w:anchor="page36">
              <w:r>
                <w:rPr>
                  <w:rFonts w:ascii="Arial" w:cs="Arial" w:eastAsia="Arial" w:hAnsi="Arial"/>
                  <w:sz w:val="18"/>
                  <w:szCs w:val="18"/>
                  <w:color w:val="auto"/>
                </w:rPr>
                <w:t>Management's Discussion and Analysis of Financial Condition and Results of Operations</w:t>
              </w:r>
            </w:hyperlink>
          </w:p>
        </w:tc>
        <w:tc>
          <w:tcPr>
            <w:tcW w:w="90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7A)</w:t>
              </w:r>
            </w:hyperlink>
          </w:p>
        </w:tc>
        <w:tc>
          <w:tcPr>
            <w:tcW w:w="9880" w:type="dxa"/>
            <w:vAlign w:val="bottom"/>
          </w:tcPr>
          <w:p>
            <w:pPr>
              <w:ind w:left="100"/>
              <w:spacing w:after="0"/>
              <w:rPr>
                <w:rFonts w:ascii="Arial" w:cs="Arial" w:eastAsia="Arial" w:hAnsi="Arial"/>
                <w:sz w:val="18"/>
                <w:szCs w:val="18"/>
                <w:color w:val="auto"/>
              </w:rPr>
            </w:pPr>
            <w:hyperlink w:anchor="page47">
              <w:r>
                <w:rPr>
                  <w:rFonts w:ascii="Arial" w:cs="Arial" w:eastAsia="Arial" w:hAnsi="Arial"/>
                  <w:sz w:val="18"/>
                  <w:szCs w:val="18"/>
                  <w:color w:val="auto"/>
                </w:rPr>
                <w:t>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8)</w:t>
              </w:r>
            </w:hyperlink>
          </w:p>
        </w:tc>
        <w:tc>
          <w:tcPr>
            <w:tcW w:w="9880" w:type="dxa"/>
            <w:vAlign w:val="bottom"/>
          </w:tcPr>
          <w:p>
            <w:pPr>
              <w:ind w:left="100"/>
              <w:spacing w:after="0"/>
              <w:rPr>
                <w:rFonts w:ascii="Arial" w:cs="Arial" w:eastAsia="Arial" w:hAnsi="Arial"/>
                <w:sz w:val="18"/>
                <w:szCs w:val="18"/>
                <w:color w:val="auto"/>
              </w:rPr>
            </w:pPr>
            <w:hyperlink w:anchor="page48">
              <w:r>
                <w:rPr>
                  <w:rFonts w:ascii="Arial" w:cs="Arial" w:eastAsia="Arial" w:hAnsi="Arial"/>
                  <w:sz w:val="18"/>
                  <w:szCs w:val="18"/>
                  <w:color w:val="auto"/>
                </w:rPr>
                <w:t>Financial Statements and Supplementary Data</w:t>
              </w:r>
            </w:hyperlink>
          </w:p>
        </w:tc>
        <w:tc>
          <w:tcPr>
            <w:tcW w:w="90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w:t>
              </w:r>
            </w:hyperlink>
          </w:p>
        </w:tc>
        <w:tc>
          <w:tcPr>
            <w:tcW w:w="9880" w:type="dxa"/>
            <w:vAlign w:val="bottom"/>
          </w:tcPr>
          <w:p>
            <w:pPr>
              <w:ind w:left="100"/>
              <w:spacing w:after="0"/>
              <w:rPr>
                <w:rFonts w:ascii="Arial" w:cs="Arial" w:eastAsia="Arial" w:hAnsi="Arial"/>
                <w:sz w:val="18"/>
                <w:szCs w:val="18"/>
                <w:color w:val="auto"/>
              </w:rPr>
            </w:pPr>
            <w:hyperlink w:anchor="page74">
              <w:r>
                <w:rPr>
                  <w:rFonts w:ascii="Arial" w:cs="Arial" w:eastAsia="Arial" w:hAnsi="Arial"/>
                  <w:sz w:val="18"/>
                  <w:szCs w:val="18"/>
                  <w:color w:val="auto"/>
                </w:rPr>
                <w:t>Changes in and Disagreements with Accountants on Accounting and Financial Disclosure</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9A)</w:t>
              </w:r>
            </w:hyperlink>
          </w:p>
        </w:tc>
        <w:tc>
          <w:tcPr>
            <w:tcW w:w="9880" w:type="dxa"/>
            <w:vAlign w:val="bottom"/>
          </w:tcPr>
          <w:p>
            <w:pPr>
              <w:ind w:left="100"/>
              <w:spacing w:after="0"/>
              <w:rPr>
                <w:rFonts w:ascii="Arial" w:cs="Arial" w:eastAsia="Arial" w:hAnsi="Arial"/>
                <w:sz w:val="18"/>
                <w:szCs w:val="18"/>
                <w:color w:val="auto"/>
              </w:rPr>
            </w:pPr>
            <w:hyperlink w:anchor="page74">
              <w:r>
                <w:rPr>
                  <w:rFonts w:ascii="Arial" w:cs="Arial" w:eastAsia="Arial" w:hAnsi="Arial"/>
                  <w:sz w:val="18"/>
                  <w:szCs w:val="18"/>
                  <w:color w:val="auto"/>
                </w:rPr>
                <w:t>Controls and Procedures</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9B)</w:t>
              </w:r>
            </w:hyperlink>
          </w:p>
        </w:tc>
        <w:tc>
          <w:tcPr>
            <w:tcW w:w="9880" w:type="dxa"/>
            <w:vAlign w:val="bottom"/>
          </w:tcPr>
          <w:p>
            <w:pPr>
              <w:ind w:left="100"/>
              <w:spacing w:after="0"/>
              <w:rPr>
                <w:rFonts w:ascii="Arial" w:cs="Arial" w:eastAsia="Arial" w:hAnsi="Arial"/>
                <w:sz w:val="18"/>
                <w:szCs w:val="18"/>
                <w:color w:val="auto"/>
              </w:rPr>
            </w:pPr>
            <w:hyperlink w:anchor="page74">
              <w:r>
                <w:rPr>
                  <w:rFonts w:ascii="Arial" w:cs="Arial" w:eastAsia="Arial" w:hAnsi="Arial"/>
                  <w:sz w:val="18"/>
                  <w:szCs w:val="18"/>
                  <w:color w:val="auto"/>
                </w:rPr>
                <w:t>Other Information</w:t>
              </w:r>
            </w:hyperlink>
          </w:p>
        </w:tc>
        <w:tc>
          <w:tcPr>
            <w:tcW w:w="90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PART III</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10)</w:t>
              </w:r>
            </w:hyperlink>
          </w:p>
        </w:tc>
        <w:tc>
          <w:tcPr>
            <w:tcW w:w="9880" w:type="dxa"/>
            <w:vAlign w:val="bottom"/>
          </w:tcPr>
          <w:p>
            <w:pPr>
              <w:ind w:left="100"/>
              <w:spacing w:after="0"/>
              <w:rPr>
                <w:rFonts w:ascii="Arial" w:cs="Arial" w:eastAsia="Arial" w:hAnsi="Arial"/>
                <w:sz w:val="18"/>
                <w:szCs w:val="18"/>
                <w:color w:val="auto"/>
              </w:rPr>
            </w:pPr>
            <w:hyperlink w:anchor="page75">
              <w:r>
                <w:rPr>
                  <w:rFonts w:ascii="Arial" w:cs="Arial" w:eastAsia="Arial" w:hAnsi="Arial"/>
                  <w:sz w:val="18"/>
                  <w:szCs w:val="18"/>
                  <w:color w:val="auto"/>
                </w:rPr>
                <w:t>Directors, Executive Officers and Corporate Governance</w:t>
              </w:r>
            </w:hyperlink>
          </w:p>
        </w:tc>
        <w:tc>
          <w:tcPr>
            <w:tcW w:w="900" w:type="dxa"/>
            <w:vAlign w:val="bottom"/>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11)</w:t>
              </w:r>
            </w:hyperlink>
          </w:p>
        </w:tc>
        <w:tc>
          <w:tcPr>
            <w:tcW w:w="9880" w:type="dxa"/>
            <w:vAlign w:val="bottom"/>
          </w:tcPr>
          <w:p>
            <w:pPr>
              <w:ind w:left="100"/>
              <w:spacing w:after="0"/>
              <w:rPr>
                <w:rFonts w:ascii="Arial" w:cs="Arial" w:eastAsia="Arial" w:hAnsi="Arial"/>
                <w:sz w:val="18"/>
                <w:szCs w:val="18"/>
                <w:color w:val="auto"/>
              </w:rPr>
            </w:pPr>
            <w:hyperlink w:anchor="page79">
              <w:r>
                <w:rPr>
                  <w:rFonts w:ascii="Arial" w:cs="Arial" w:eastAsia="Arial" w:hAnsi="Arial"/>
                  <w:sz w:val="18"/>
                  <w:szCs w:val="18"/>
                  <w:color w:val="auto"/>
                </w:rPr>
                <w:t>Executive Compensation</w:t>
              </w:r>
            </w:hyperlink>
          </w:p>
        </w:tc>
        <w:tc>
          <w:tcPr>
            <w:tcW w:w="900" w:type="dxa"/>
            <w:vAlign w:val="bottom"/>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12)</w:t>
              </w:r>
            </w:hyperlink>
          </w:p>
        </w:tc>
        <w:tc>
          <w:tcPr>
            <w:tcW w:w="9880" w:type="dxa"/>
            <w:vAlign w:val="bottom"/>
          </w:tcPr>
          <w:p>
            <w:pPr>
              <w:ind w:left="100"/>
              <w:spacing w:after="0"/>
              <w:rPr>
                <w:rFonts w:ascii="Arial" w:cs="Arial" w:eastAsia="Arial" w:hAnsi="Arial"/>
                <w:sz w:val="18"/>
                <w:szCs w:val="18"/>
                <w:color w:val="auto"/>
              </w:rPr>
            </w:pPr>
            <w:hyperlink w:anchor="page85">
              <w:r>
                <w:rPr>
                  <w:rFonts w:ascii="Arial" w:cs="Arial" w:eastAsia="Arial" w:hAnsi="Arial"/>
                  <w:sz w:val="18"/>
                  <w:szCs w:val="18"/>
                  <w:color w:val="auto"/>
                </w:rPr>
                <w:t>Security Ownership of Certain Beneficial Owners and Management and Related Stockholder Matters</w:t>
              </w:r>
            </w:hyperlink>
          </w:p>
        </w:tc>
        <w:tc>
          <w:tcPr>
            <w:tcW w:w="900" w:type="dxa"/>
            <w:vAlign w:val="bottom"/>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13)</w:t>
              </w:r>
            </w:hyperlink>
          </w:p>
        </w:tc>
        <w:tc>
          <w:tcPr>
            <w:tcW w:w="9880" w:type="dxa"/>
            <w:vAlign w:val="bottom"/>
          </w:tcPr>
          <w:p>
            <w:pPr>
              <w:ind w:left="100"/>
              <w:spacing w:after="0"/>
              <w:rPr>
                <w:rFonts w:ascii="Arial" w:cs="Arial" w:eastAsia="Arial" w:hAnsi="Arial"/>
                <w:sz w:val="18"/>
                <w:szCs w:val="18"/>
                <w:color w:val="auto"/>
              </w:rPr>
            </w:pPr>
            <w:hyperlink w:anchor="page87">
              <w:r>
                <w:rPr>
                  <w:rFonts w:ascii="Arial" w:cs="Arial" w:eastAsia="Arial" w:hAnsi="Arial"/>
                  <w:sz w:val="18"/>
                  <w:szCs w:val="18"/>
                  <w:color w:val="auto"/>
                </w:rPr>
                <w:t>Certain Relationships and Related Transactions, and Director Independence</w:t>
              </w:r>
            </w:hyperlink>
          </w:p>
        </w:tc>
        <w:tc>
          <w:tcPr>
            <w:tcW w:w="900" w:type="dxa"/>
            <w:vAlign w:val="bottom"/>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rFonts w:ascii="Arial" w:cs="Arial" w:eastAsia="Arial" w:hAnsi="Arial"/>
                <w:sz w:val="18"/>
                <w:szCs w:val="18"/>
                <w:color w:val="auto"/>
              </w:rPr>
            </w:pPr>
            <w:hyperlink w:anchor="page90">
              <w:r>
                <w:rPr>
                  <w:rFonts w:ascii="Arial" w:cs="Arial" w:eastAsia="Arial" w:hAnsi="Arial"/>
                  <w:sz w:val="18"/>
                  <w:szCs w:val="18"/>
                  <w:color w:val="auto"/>
                </w:rPr>
                <w:t>14)</w:t>
              </w:r>
            </w:hyperlink>
          </w:p>
        </w:tc>
        <w:tc>
          <w:tcPr>
            <w:tcW w:w="9880" w:type="dxa"/>
            <w:vAlign w:val="bottom"/>
          </w:tcPr>
          <w:p>
            <w:pPr>
              <w:ind w:left="100"/>
              <w:spacing w:after="0"/>
              <w:rPr>
                <w:rFonts w:ascii="Arial" w:cs="Arial" w:eastAsia="Arial" w:hAnsi="Arial"/>
                <w:sz w:val="18"/>
                <w:szCs w:val="18"/>
                <w:color w:val="auto"/>
              </w:rPr>
            </w:pPr>
            <w:hyperlink w:anchor="page90">
              <w:r>
                <w:rPr>
                  <w:rFonts w:ascii="Arial" w:cs="Arial" w:eastAsia="Arial" w:hAnsi="Arial"/>
                  <w:sz w:val="18"/>
                  <w:szCs w:val="18"/>
                  <w:color w:val="auto"/>
                </w:rPr>
                <w:t>Principal Accountant Fees and Services</w:t>
              </w:r>
            </w:hyperlink>
          </w:p>
        </w:tc>
        <w:tc>
          <w:tcPr>
            <w:tcW w:w="900" w:type="dxa"/>
            <w:vAlign w:val="bottom"/>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85</w:t>
              </w:r>
            </w:hyperlink>
          </w:p>
        </w:tc>
        <w:tc>
          <w:tcPr>
            <w:tcW w:w="0" w:type="dxa"/>
            <w:vAlign w:val="bottom"/>
          </w:tcPr>
          <w:p>
            <w:pPr>
              <w:spacing w:after="0"/>
              <w:rPr>
                <w:sz w:val="1"/>
                <w:szCs w:val="1"/>
                <w:color w:val="auto"/>
              </w:rPr>
            </w:pPr>
          </w:p>
        </w:tc>
      </w:tr>
      <w:tr>
        <w:trPr>
          <w:trHeight w:val="594"/>
        </w:trPr>
        <w:tc>
          <w:tcPr>
            <w:tcW w:w="440" w:type="dxa"/>
            <w:vAlign w:val="bottom"/>
          </w:tcPr>
          <w:p>
            <w:pPr>
              <w:spacing w:after="0"/>
              <w:rPr>
                <w:sz w:val="24"/>
                <w:szCs w:val="24"/>
                <w:color w:val="auto"/>
              </w:rPr>
            </w:pPr>
          </w:p>
        </w:tc>
        <w:tc>
          <w:tcPr>
            <w:tcW w:w="9880" w:type="dxa"/>
            <w:vAlign w:val="bottom"/>
          </w:tcPr>
          <w:p>
            <w:pPr>
              <w:jc w:val="center"/>
              <w:spacing w:after="0"/>
              <w:rPr>
                <w:rFonts w:ascii="Arial" w:cs="Arial" w:eastAsia="Arial" w:hAnsi="Arial"/>
                <w:sz w:val="18"/>
                <w:szCs w:val="18"/>
                <w:b w:val="1"/>
                <w:bCs w:val="1"/>
                <w:color w:val="auto"/>
              </w:rPr>
            </w:pPr>
            <w:hyperlink w:anchor="page91">
              <w:r>
                <w:rPr>
                  <w:rFonts w:ascii="Arial" w:cs="Arial" w:eastAsia="Arial" w:hAnsi="Arial"/>
                  <w:sz w:val="18"/>
                  <w:szCs w:val="18"/>
                  <w:b w:val="1"/>
                  <w:bCs w:val="1"/>
                  <w:color w:val="auto"/>
                </w:rPr>
                <w:t>PART IV</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4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15)</w:t>
              </w:r>
            </w:hyperlink>
          </w:p>
        </w:tc>
        <w:tc>
          <w:tcPr>
            <w:tcW w:w="9880" w:type="dxa"/>
            <w:vAlign w:val="bottom"/>
          </w:tcPr>
          <w:p>
            <w:pPr>
              <w:ind w:left="100"/>
              <w:spacing w:after="0"/>
              <w:rPr>
                <w:rFonts w:ascii="Arial" w:cs="Arial" w:eastAsia="Arial" w:hAnsi="Arial"/>
                <w:sz w:val="18"/>
                <w:szCs w:val="18"/>
                <w:color w:val="auto"/>
              </w:rPr>
            </w:pPr>
            <w:hyperlink w:anchor="page91">
              <w:r>
                <w:rPr>
                  <w:rFonts w:ascii="Arial" w:cs="Arial" w:eastAsia="Arial" w:hAnsi="Arial"/>
                  <w:sz w:val="18"/>
                  <w:szCs w:val="18"/>
                  <w:color w:val="auto"/>
                </w:rPr>
                <w:t>Exhibits and Financial Statement Schedules</w:t>
              </w:r>
            </w:hyperlink>
          </w:p>
        </w:tc>
        <w:tc>
          <w:tcPr>
            <w:tcW w:w="900" w:type="dxa"/>
            <w:vAlign w:val="bottom"/>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70"/>
        </w:trPr>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9880" w:type="dxa"/>
            <w:vAlign w:val="bottom"/>
          </w:tcPr>
          <w:p>
            <w:pPr>
              <w:ind w:left="100"/>
              <w:spacing w:after="0"/>
              <w:rPr>
                <w:sz w:val="20"/>
                <w:szCs w:val="20"/>
                <w:color w:val="auto"/>
              </w:rPr>
            </w:pPr>
            <w:r>
              <w:rPr>
                <w:rFonts w:ascii="Arial" w:cs="Arial" w:eastAsia="Arial" w:hAnsi="Arial"/>
                <w:sz w:val="18"/>
                <w:szCs w:val="18"/>
                <w:color w:val="auto"/>
              </w:rPr>
              <w:t>Form 10-K Summary</w:t>
            </w:r>
          </w:p>
        </w:tc>
        <w:tc>
          <w:tcPr>
            <w:tcW w:w="900" w:type="dxa"/>
            <w:vAlign w:val="bottom"/>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70" w:lineRule="exact"/>
        <w:rPr>
          <w:sz w:val="20"/>
          <w:szCs w:val="20"/>
          <w:color w:val="auto"/>
        </w:rPr>
      </w:pPr>
    </w:p>
    <w:p>
      <w:pPr>
        <w:jc w:val="both"/>
        <w:ind w:right="40" w:firstLine="405"/>
        <w:spacing w:after="0" w:line="288" w:lineRule="auto"/>
        <w:rPr>
          <w:sz w:val="20"/>
          <w:szCs w:val="20"/>
          <w:color w:val="auto"/>
        </w:rPr>
      </w:pPr>
      <w:r>
        <w:rPr>
          <w:rFonts w:ascii="Arial" w:cs="Arial" w:eastAsia="Arial" w:hAnsi="Arial"/>
          <w:sz w:val="16"/>
          <w:szCs w:val="16"/>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Chemical Corporation and its consolidated subsidiaries other than the Partnership, OpCo GP and OpCo.</w:t>
      </w:r>
    </w:p>
    <w:p>
      <w:pPr>
        <w:ind w:right="180"/>
        <w:spacing w:after="0" w:line="255" w:lineRule="auto"/>
        <w:rPr>
          <w:sz w:val="20"/>
          <w:szCs w:val="20"/>
          <w:color w:val="auto"/>
        </w:rPr>
      </w:pPr>
      <w:r>
        <w:rPr>
          <w:rFonts w:ascii="Arial" w:cs="Arial" w:eastAsia="Arial" w:hAnsi="Arial"/>
          <w:sz w:val="18"/>
          <w:szCs w:val="18"/>
          <w:color w:val="auto"/>
        </w:rPr>
        <w:t>Unless the context otherwise requires, references to our "board of directors" or our "directors" refer to the board of directors of our general partner and such board's directors, respectively. References in this report to the "Predecessor" refer to Westlake Chemical Partners LP Predecessor, our predecessor for accounting purposes, and refer to the time period prior to our initial public offering (the "IPO").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171"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including information from IHS Markit ("IHS").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Capacity</w:t>
      </w:r>
    </w:p>
    <w:p>
      <w:pPr>
        <w:spacing w:after="0" w:line="175" w:lineRule="exact"/>
        <w:rPr>
          <w:sz w:val="20"/>
          <w:szCs w:val="20"/>
          <w:color w:val="auto"/>
        </w:rPr>
      </w:pPr>
    </w:p>
    <w:p>
      <w:pPr>
        <w:jc w:val="both"/>
        <w:ind w:right="120" w:firstLine="432"/>
        <w:spacing w:after="0" w:line="302"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2018.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Effective August 30, 2017, the subordination period for the 12,686,115 subordinated units owned by Westlake ended and the subordinated units converted into common units on a one-for-one basis and thereafter participate on terms equal with all other common units in distributions of available cash. On September 29, 2017, we completed a secondary offering of 5,175,000 common units at a price of $22.00 per unit and purchased an additional 5.0% newly-issued limited partner interest in OpCo, resulting in an aggregate 18.3% limited partner interest in OpCo, effective as of July 1, 2017.</w:t>
      </w:r>
    </w:p>
    <w:p>
      <w:pPr>
        <w:spacing w:after="0" w:line="3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business and operations are conducted through OpCo. Because we own OpCo's general partner, we have control over all of OpCo's assets and operations. As of December 31, 2018, Westlake held an 81.7% limited partner interest in OpCo and held a 43.8% limited partner interest in us (consisting of 14,122,230 common units), our general partner interest and our incentive distribution rights.</w:t>
      </w:r>
    </w:p>
    <w:p>
      <w:pPr>
        <w:spacing w:after="0" w:line="127" w:lineRule="exact"/>
        <w:rPr>
          <w:sz w:val="20"/>
          <w:szCs w:val="20"/>
          <w:color w:val="auto"/>
        </w:rPr>
      </w:pPr>
    </w:p>
    <w:p>
      <w:pPr>
        <w:jc w:val="both"/>
        <w:ind w:right="60" w:firstLine="405"/>
        <w:spacing w:after="0" w:line="286" w:lineRule="auto"/>
        <w:rPr>
          <w:sz w:val="20"/>
          <w:szCs w:val="20"/>
          <w:color w:val="auto"/>
        </w:rPr>
      </w:pPr>
      <w:r>
        <w:rPr>
          <w:rFonts w:ascii="Arial" w:cs="Arial" w:eastAsia="Arial" w:hAnsi="Arial"/>
          <w:sz w:val="16"/>
          <w:szCs w:val="16"/>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18.3% limited partner interest in OpCo.</w:t>
      </w:r>
    </w:p>
    <w:p>
      <w:pPr>
        <w:spacing w:after="0" w:line="119"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70"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OpCo primarily uses ethane (a component of natural gas liquids, or NGLs) to produce ethylene. OpCo completed an upgrade and capacity expansion of its Petro 1 ethylene unit at its Lake Charles site in 2016. The Petro 1 expansion project increased OpCo's ethylene capacity by approximately 250 million pounds annually. OpCo completed an expansion project to increase the ethylene capacity at its Calvert City facility in 2017. The expansion, along with other initiatives, increased ethylene capacity by approximately 100 million pounds annually.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simplified diagram depicts our organizational structure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66040</wp:posOffset>
            </wp:positionV>
            <wp:extent cx="5128260" cy="4227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8260" cy="422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Common Units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340" w:type="dxa"/>
            <w:vAlign w:val="bottom"/>
            <w:shd w:val="clear" w:color="auto" w:fill="CCEEFF"/>
          </w:tcPr>
          <w:p>
            <w:pPr>
              <w:spacing w:after="0"/>
              <w:rPr>
                <w:sz w:val="23"/>
                <w:szCs w:val="23"/>
                <w:color w:val="auto"/>
              </w:rPr>
            </w:pPr>
          </w:p>
        </w:tc>
      </w:tr>
      <w:tr>
        <w:trPr>
          <w:trHeight w:val="243"/>
        </w:trPr>
        <w:tc>
          <w:tcPr>
            <w:tcW w:w="9520" w:type="dxa"/>
            <w:vAlign w:val="bottom"/>
          </w:tcPr>
          <w:p>
            <w:pPr>
              <w:ind w:left="40"/>
              <w:spacing w:after="0"/>
              <w:rPr>
                <w:sz w:val="20"/>
                <w:szCs w:val="20"/>
                <w:color w:val="auto"/>
              </w:rPr>
            </w:pPr>
            <w:r>
              <w:rPr>
                <w:rFonts w:ascii="Arial" w:cs="Arial" w:eastAsia="Arial" w:hAnsi="Arial"/>
                <w:sz w:val="18"/>
                <w:szCs w:val="18"/>
                <w:color w:val="auto"/>
              </w:rPr>
              <w:t>Interests of Westlake:</w:t>
            </w:r>
          </w:p>
        </w:tc>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Units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9520" w:type="dxa"/>
            <w:vAlign w:val="bottom"/>
          </w:tcPr>
          <w:p>
            <w:pPr>
              <w:ind w:left="380"/>
              <w:spacing w:after="0"/>
              <w:rPr>
                <w:sz w:val="20"/>
                <w:szCs w:val="20"/>
                <w:color w:val="auto"/>
              </w:rPr>
            </w:pPr>
            <w:r>
              <w:rPr>
                <w:rFonts w:ascii="Arial" w:cs="Arial" w:eastAsia="Arial" w:hAnsi="Arial"/>
                <w:sz w:val="18"/>
                <w:szCs w:val="18"/>
                <w:color w:val="auto"/>
              </w:rPr>
              <w:t>Non-Economic General Partner Interest</w:t>
            </w: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r>
      <w:tr>
        <w:trPr>
          <w:trHeight w:val="27"/>
        </w:trPr>
        <w:tc>
          <w:tcPr>
            <w:tcW w:w="9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Incentive Distribution Rights</w:t>
            </w:r>
          </w:p>
        </w:tc>
        <w:tc>
          <w:tcPr>
            <w:tcW w:w="1900" w:type="dxa"/>
            <w:vAlign w:val="bottom"/>
            <w:gridSpan w:val="2"/>
            <w:shd w:val="clear" w:color="auto" w:fill="CCEEFF"/>
          </w:tcPr>
          <w:p>
            <w:pPr>
              <w:ind w:left="12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r>
      <w:tr>
        <w:trPr>
          <w:trHeight w:val="237"/>
        </w:trPr>
        <w:tc>
          <w:tcPr>
            <w:tcW w:w="95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0"/>
                <w:szCs w:val="20"/>
                <w:color w:val="auto"/>
              </w:rPr>
            </w:pPr>
          </w:p>
        </w:tc>
      </w:tr>
      <w:tr>
        <w:trPr>
          <w:trHeight w:val="27"/>
        </w:trPr>
        <w:tc>
          <w:tcPr>
            <w:tcW w:w="95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
        </w:trPr>
        <w:tc>
          <w:tcPr>
            <w:tcW w:w="95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0" w:hanging="412"/>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sole revenue generating asset is our 18.3% limited partner interest in OpCo. We also own the general partner interest of OpCo. OpCo owns:</w:t>
      </w:r>
    </w:p>
    <w:p>
      <w:pPr>
        <w:spacing w:after="0" w:line="102" w:lineRule="exact"/>
        <w:rPr>
          <w:sz w:val="20"/>
          <w:szCs w:val="20"/>
          <w:color w:val="auto"/>
        </w:rPr>
      </w:pPr>
    </w:p>
    <w:p>
      <w:pPr>
        <w:ind w:left="660" w:right="5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730 million pounds; and</w:t>
      </w:r>
    </w:p>
    <w:p>
      <w:pPr>
        <w:spacing w:after="0" w:line="3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16"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Production Facilities</w:t>
      </w:r>
      <w:r>
        <w:rPr>
          <w:rFonts w:ascii="Arial" w:cs="Arial" w:eastAsia="Arial" w:hAnsi="Arial"/>
          <w:sz w:val="18"/>
          <w:szCs w:val="18"/>
          <w:color w:val="auto"/>
        </w:rPr>
        <w:t>.</w:t>
      </w:r>
    </w:p>
    <w:p>
      <w:pPr>
        <w:spacing w:after="0" w:line="90"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Production</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rPr>
              <w:t>Capacity</w:t>
            </w:r>
          </w:p>
        </w:tc>
        <w:tc>
          <w:tcPr>
            <w:tcW w:w="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Primary Uses of</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(millions of</w:t>
            </w:r>
          </w:p>
        </w:tc>
        <w:tc>
          <w:tcPr>
            <w:tcW w:w="100" w:type="dxa"/>
            <w:vAlign w:val="bottom"/>
          </w:tcPr>
          <w:p>
            <w:pPr>
              <w:spacing w:after="0"/>
              <w:rPr>
                <w:sz w:val="12"/>
                <w:szCs w:val="12"/>
                <w:color w:val="auto"/>
              </w:rPr>
            </w:pPr>
          </w:p>
        </w:tc>
        <w:tc>
          <w:tcPr>
            <w:tcW w:w="3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Lake Charles, Louisiana (Petro 1)</w:t>
            </w:r>
          </w:p>
        </w:tc>
        <w:tc>
          <w:tcPr>
            <w:tcW w:w="13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Ethane, ethane/propane mix, propane,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Lake Charles, Louisiana (Petro 2)</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butane or naphtha</w:t>
            </w:r>
          </w:p>
        </w:tc>
        <w:tc>
          <w:tcPr>
            <w:tcW w:w="1480" w:type="dxa"/>
            <w:vAlign w:val="bottom"/>
          </w:tcPr>
          <w:p>
            <w:pPr>
              <w:ind w:left="4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Calvert City, Kentucky (Calvert City Olefins)</w:t>
            </w:r>
          </w:p>
        </w:tc>
        <w:tc>
          <w:tcPr>
            <w:tcW w:w="6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Ethane or propane</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3,720</w:t>
            </w: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0" w:lineRule="exact"/>
        <w:rPr>
          <w:sz w:val="20"/>
          <w:szCs w:val="20"/>
          <w:color w:val="auto"/>
        </w:rPr>
      </w:pPr>
    </w:p>
    <w:p>
      <w:pPr>
        <w:ind w:right="720" w:firstLine="405"/>
        <w:spacing w:after="0" w:line="342"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70"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9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Except as otherwise indicated, the agreements described below became effective on August 4, 2014, concurrent with the closing of the IPO.</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takes are rebated to Westlake. Under specified circumstances, unrecovered costs may be carried forward for recovery in subsequent years.</w:t>
      </w:r>
    </w:p>
    <w:p>
      <w:pPr>
        <w:spacing w:after="0" w:line="32"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4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approximately 5% of its ethylene production annually in the event OpCo reasonably determines that its sales of such ethylene to third parties during the relevant period would be uneconomic.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OpCo and Westlake are parties to two 50-year site lease agreements (the "Site Leases"). Under the Site Leases, OpCo leases the real property underlying Calvert City Olefins and Lake Charles Olefins and is granted certain use and access right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7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340" w:firstLine="405"/>
        <w:spacing w:after="0" w:line="312"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On August 17, 2017, we, OpCo and Westlake executed an Investment Management Agreement that authorizes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See "Liquidity and Capital Resources" in Item 7. "Management's Discussion and Analysis" for discussions of the Partnership's and OpCo's debt agreements with Westlake and "Interest Rate Risk" in Item 7A. "Quantitative and Qualitative Disclosures about Market Risk" for the Partnership's interest rate contract with Westlake.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 operating costs. Pursuant to our arrangement with Westlake, Westlake will indemnify us for liabilities that occurred or existed (in connection with compliance with such laws and regulations) prior to August 4, 2014.</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2018, OpCo incurred capital expenditures of $1.0 million related to environmental compliance. We estimate that OpCo will make capital expenditures of approximately $3.8 million in 2019 and $2.2 million in 2020, respectively, related to environmental compliance. The expected 2019 and 2020 capital expenditures are relatively higher than the amounts we have spent related to environmental compliance in recent years due to increased capital expenditures related to Environmental Protection Agency (the "EPA") regulations. We anticipate that stringent environmental regulations will continue to be imposed on us and the industry in general. Although we cannot predict with certainty future expenditures, management believes that our current spending trends will continue.</w:t>
      </w:r>
    </w:p>
    <w:p>
      <w:pPr>
        <w:spacing w:after="0" w:line="11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Potential Flare Modifications</w:t>
      </w:r>
      <w:r>
        <w:rPr>
          <w:rFonts w:ascii="Arial" w:cs="Arial" w:eastAsia="Arial" w:hAnsi="Arial"/>
          <w:sz w:val="17"/>
          <w:szCs w:val="17"/>
          <w:color w:val="auto"/>
        </w:rPr>
        <w:t>. For several years, the EPA has been conducting an enforcement initiative against petroleum refineries and petrochemical</w:t>
      </w:r>
      <w:r>
        <w:rPr>
          <w:rFonts w:ascii="Arial" w:cs="Arial" w:eastAsia="Arial" w:hAnsi="Arial"/>
          <w:sz w:val="17"/>
          <w:szCs w:val="17"/>
          <w:i w:val="1"/>
          <w:iCs w:val="1"/>
          <w:color w:val="auto"/>
        </w:rPr>
        <w:t xml:space="preserve"> </w:t>
      </w:r>
      <w:r>
        <w:rPr>
          <w:rFonts w:ascii="Arial" w:cs="Arial" w:eastAsia="Arial" w:hAnsi="Arial"/>
          <w:sz w:val="17"/>
          <w:szCs w:val="17"/>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$100,000.</w:t>
      </w:r>
    </w:p>
    <w:p>
      <w:pPr>
        <w:spacing w:after="0" w:line="12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Risk Management Program Investigation</w:t>
      </w:r>
      <w:r>
        <w:rPr>
          <w:rFonts w:ascii="Arial" w:cs="Arial" w:eastAsia="Arial" w:hAnsi="Arial"/>
          <w:sz w:val="17"/>
          <w:szCs w:val="17"/>
          <w:color w:val="auto"/>
        </w:rPr>
        <w:t>. The EPA has conducted inspections and information requests to assess compliance with Risk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requirements under the Clean Air Act at the Calvert City facility. The EPA has identified concerns with the facility’s compliance under the Risk Management Program and Release Prevention regulations in connection with certain emissions release events between 2011 and 2015. Westlake has engaged in communications with the EPA to resolve these concerns. Westlake has reached an agreement in principle with the EPA to resolve all concerns for a penalty of $49,000 and a $184,000 supplemental environmental project involving the purchase of emergency response equipment for Marshall and Livingston Counties. The EPA and Westlake are currently finalizing the settlement documents.</w:t>
      </w:r>
    </w:p>
    <w:p>
      <w:pPr>
        <w:spacing w:after="0" w:line="124"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Also, see the discussion of our environmental matters contained in Item 1A. "Risk Factors" and Item 3"—Legal Proceedings"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Such seconded employees are under OpCo's control while they work on OpCo's facilities. As of December 31, 2018, 145 employees were seconded to OpCo. Of these, 20 are covered by collective bargaining agreements that expire on November 4, 2019. There have been no strikes, lockouts or work stoppages at OpCo's facilities. We believe that Westlake's relationship with the local union officials and bargaining committees is open and positive.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jc w:val="both"/>
        <w:ind w:right="340" w:firstLine="405"/>
        <w:spacing w:after="0" w:line="286" w:lineRule="auto"/>
        <w:rPr>
          <w:sz w:val="20"/>
          <w:szCs w:val="20"/>
          <w:color w:val="auto"/>
        </w:rPr>
      </w:pPr>
      <w:r>
        <w:rPr>
          <w:rFonts w:ascii="Arial" w:cs="Arial" w:eastAsia="Arial" w:hAnsi="Arial"/>
          <w:sz w:val="17"/>
          <w:szCs w:val="17"/>
          <w:color w:val="auto"/>
        </w:rPr>
        <w:t>Due to the Ethylene Sales Agreement and integration with Westlake, OpCo does not directly compete with other ethylene producers for 95% of the planned volumes it produces. It is only on the 5% of planned ethylene volumes not sold to Westlake where OpCo competes with other regional merchant ethylene producers, including LyondellBasell Industries, N.V., Royal Dutch Shell, BASF Corporation and Flint Hills Resources.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website address is www.wlkpartners.com</w:t>
      </w:r>
      <w:r>
        <w:rPr>
          <w:rFonts w:ascii="Arial" w:cs="Arial" w:eastAsia="Arial" w:hAnsi="Arial"/>
          <w:sz w:val="17"/>
          <w:szCs w:val="17"/>
          <w:i w:val="1"/>
          <w:iCs w:val="1"/>
          <w:color w:val="auto"/>
        </w:rPr>
        <w:t>.</w:t>
      </w:r>
      <w:r>
        <w:rPr>
          <w:rFonts w:ascii="Arial" w:cs="Arial" w:eastAsia="Arial" w:hAnsi="Arial"/>
          <w:sz w:val="17"/>
          <w:szCs w:val="17"/>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proxy statements, annual reports on Form 10-K, quarterly reports on Form 10-Q, current reports on Form 8-K and amendments to those materials as soon as reasonably practicable after we electronically file those materials with, or furnish those materials to, the SEC. The SEC also maintains a website at www.sec.gov that contains reports, proxy statements and other information regarding SEC registrants, including us.</w:t>
      </w:r>
    </w:p>
    <w:p>
      <w:pPr>
        <w:spacing w:after="0" w:line="119"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33"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(which occur approximately every five years) other than under certain circumstances relating to the occurrence of force majeure. We expect that each of OpCo's facilities will have a turnaround once every five years and will not operate for typically between 25 and 45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1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sustained lower prices of crude oil, such as the prices experienced from the third quarter of 2014 through 2018 (as of December 31, 2018, approximately 58% lower than their 2014 peak levels) have led and may lead to lower margins for Westlake in the United States.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34" w:lineRule="exact"/>
        <w:rPr>
          <w:sz w:val="20"/>
          <w:szCs w:val="20"/>
          <w:color w:val="auto"/>
        </w:rPr>
      </w:pPr>
    </w:p>
    <w:p>
      <w:pPr>
        <w:ind w:left="660" w:right="2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right="5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OpCo's ability to meet minimum volume requirements, yield standards and ethylene quality requirements in the Ethylene Sales Agreement;</w:t>
      </w:r>
    </w:p>
    <w:p>
      <w:pPr>
        <w:spacing w:after="0" w:line="101" w:lineRule="exact"/>
        <w:rPr>
          <w:rFonts w:ascii="Arial" w:cs="Arial" w:eastAsia="Arial" w:hAnsi="Arial"/>
          <w:sz w:val="17"/>
          <w:szCs w:val="17"/>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35"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0" w:lineRule="exact"/>
        <w:rPr>
          <w:sz w:val="20"/>
          <w:szCs w:val="20"/>
          <w:color w:val="auto"/>
        </w:rPr>
      </w:pPr>
    </w:p>
    <w:p>
      <w:pPr>
        <w:ind w:left="660" w:right="18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sustained lower prices of crude oil, such as those experienced from the third quarter of 2014 through 2018, and could be less than the margin we earn from ethylene sales to Westlake;</w:t>
      </w:r>
    </w:p>
    <w:p>
      <w:pPr>
        <w:spacing w:after="0" w:line="1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OpCo is subject to the credit risk of Westlake on a substantial majority of its revenues, and Westlake's leverage and creditworthiness could adversely affect our ability to make distributions to our unitholders.</w:t>
      </w:r>
    </w:p>
    <w:p>
      <w:pPr>
        <w:spacing w:after="0" w:line="35"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27"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OpCo is a restricted subsidiary under certain indentures governing Westlake's senior notes. Restrictions in the indentures could limit OpCo's ability to make distributions to us.</w:t>
      </w:r>
    </w:p>
    <w:p>
      <w:pPr>
        <w:spacing w:after="0" w:line="3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3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investments and other restricted payments;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 or issue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the indentures governing Westlake's senior notes prevent OpCo from making distributions to us if any default or event of default (as defined in the indentures) exists.</w:t>
      </w:r>
    </w:p>
    <w:p>
      <w:pPr>
        <w:spacing w:after="0" w:line="116"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These limitations are subject to a number of important qualifications and exceptions. Currently, many of these restrictions in the indentures governing Westlake's senior notes are suspended because the senior notes are currently rated investment grade by at least two nationally recognized credit rating agencies.</w:t>
      </w:r>
    </w:p>
    <w:p>
      <w:pPr>
        <w:spacing w:after="0" w:line="12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181"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0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Any sustained disruption in its ability to meet its supply obligations under the Ethylene Sales Agreement could have a material adverse effect on our results of operations and therefore our ability to distribute cash to unitholders.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will reduce our net operating profit.</w:t>
      </w:r>
    </w:p>
    <w:p>
      <w:pPr>
        <w:spacing w:after="0" w:line="3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or operational efficiency. The ethylene sales price also does not increase to cover our public partnership costs. Both of these costs reduce our net operating profit.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1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4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35" w:lineRule="exact"/>
        <w:rPr>
          <w:sz w:val="20"/>
          <w:szCs w:val="20"/>
          <w:color w:val="auto"/>
        </w:rPr>
      </w:pPr>
    </w:p>
    <w:p>
      <w:pPr>
        <w:jc w:val="both"/>
        <w:ind w:right="40" w:firstLine="405"/>
        <w:spacing w:after="0" w:line="302" w:lineRule="auto"/>
        <w:rPr>
          <w:sz w:val="20"/>
          <w:szCs w:val="20"/>
          <w:color w:val="auto"/>
        </w:rPr>
      </w:pPr>
      <w:r>
        <w:rPr>
          <w:rFonts w:ascii="Arial" w:cs="Arial" w:eastAsia="Arial" w:hAnsi="Arial"/>
          <w:sz w:val="16"/>
          <w:szCs w:val="16"/>
          <w:color w:val="auto"/>
        </w:rPr>
        <w:t>The amount of cash we have available for distribution depends primarily upon our cash flow, including cash flow from reserves and working capital or borrowings (including any under our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revolving credit facilities when we do not have sufficient cash flows to pay cash distributions.</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5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intend to establish cash reserves in order to cover turnaround expenditures, the amounts we reserve may not be sufficient to fully cover such expenditures.</w:t>
      </w:r>
    </w:p>
    <w:p>
      <w:pPr>
        <w:spacing w:after="0" w:line="46"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intend to establish cash reserves in order to cover our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Regulations concerning the transportation of hazardous chemicals and the security of chemical manufacturing facilities could result in higher operating costs.</w:t>
      </w:r>
    </w:p>
    <w:p>
      <w:pPr>
        <w:spacing w:after="0" w:line="3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Chemical manufacturing facilities may be at greater risk of terrorist attacks than other potential targets in the U.S. As a result, the chemicals industry responded to the issues surrounding the terrorist attacks of September 11, 2001 by starting initiatives relating to the security of chemicals industry facilities and the transportation of hazardous chemicals in the U.S. Simultaneously, local, state and federal governments began a regulatory process that led to new regulations impacting the security of chemical plant locations and the transportation of hazardous chemicals. Our business or our customers' businesses could be adversely affected because of the cost of complying with these regulations.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production facilities process volatile and hazardous materials that subject us to operating risks that could adversely affect our operating results.</w:t>
      </w:r>
    </w:p>
    <w:p>
      <w:pPr>
        <w:spacing w:after="0" w:line="11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0"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2"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has evaluated companies’ responses and testing data from the ICR and has been developing a proposed revision to the ethylene MACT standard. A proposed rule is anticipated in 2019 that could impose more stringent limits and require additional controls or operational practices. Our operations also produce greenhouse gas ("GHG") emissions, which have been the subject of increased scrutiny and regulation.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0" w:lineRule="exact"/>
        <w:rPr>
          <w:sz w:val="20"/>
          <w:szCs w:val="20"/>
          <w:color w:val="auto"/>
        </w:rPr>
      </w:pPr>
    </w:p>
    <w:p>
      <w:pPr>
        <w:ind w:firstLine="392"/>
        <w:spacing w:after="0" w:line="271" w:lineRule="auto"/>
        <w:rPr>
          <w:sz w:val="20"/>
          <w:szCs w:val="20"/>
          <w:color w:val="auto"/>
        </w:rPr>
      </w:pPr>
      <w:r>
        <w:rPr>
          <w:rFonts w:ascii="Arial" w:cs="Arial" w:eastAsia="Arial" w:hAnsi="Arial"/>
          <w:sz w:val="17"/>
          <w:szCs w:val="17"/>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Westlake, which manages our security protocol under the omnibus agreement, has taken steps to address these concerns by implementing network security and internal control measures, including employee training, comprehensive monitoring of our networks and systems, maintenance of backup and protective systems and disaster recovery and incident response plans, Westlake's employees, systems, networks, products, facilities and services remain potentially vulnerable to sophisticated cyber-assault, and, as such, there can be no assurance that a system failure, network disruption or data security breach will not have a material adverse effect on our operations, business, financial condition, operating results or cash flow.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9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Terrorist activities, anti-terrorist efforts and other armed conflicts involving the U.S. or other jurisdictions could adversely affect the U.S.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4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23" w:lineRule="exact"/>
        <w:rPr>
          <w:sz w:val="20"/>
          <w:szCs w:val="20"/>
          <w:color w:val="auto"/>
        </w:rPr>
      </w:pPr>
    </w:p>
    <w:p>
      <w:pPr>
        <w:ind w:left="660" w:right="4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in limited circumstances, our general partner has the power and authority to conduct our business without unitholder approval;</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35"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46"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pay such cash distributions;</w:t>
      </w:r>
    </w:p>
    <w:p>
      <w:pPr>
        <w:spacing w:after="0" w:line="46" w:lineRule="exact"/>
        <w:rPr>
          <w:rFonts w:ascii="Arial" w:cs="Arial" w:eastAsia="Arial" w:hAnsi="Arial"/>
          <w:sz w:val="18"/>
          <w:szCs w:val="18"/>
          <w:color w:val="auto"/>
        </w:rPr>
      </w:pPr>
    </w:p>
    <w:p>
      <w:pPr>
        <w:jc w:val="both"/>
        <w:ind w:left="660" w:right="4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general partner may exercise its right to call and purchase common units if it and its affiliates own more than 80% of the common units;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9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2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Please read "Westlake and other affiliates of our general partner may compete with us."</w:t>
      </w:r>
    </w:p>
    <w:p>
      <w:pPr>
        <w:spacing w:after="0" w:line="2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35"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93"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intends to limit its liability regarding our obligations.</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general partner intends to limit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1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90"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35"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11" w:lineRule="exact"/>
        <w:rPr>
          <w:sz w:val="20"/>
          <w:szCs w:val="20"/>
          <w:color w:val="auto"/>
        </w:rPr>
      </w:pPr>
    </w:p>
    <w:p>
      <w:pPr>
        <w:ind w:left="660" w:right="14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0" w:lineRule="exact"/>
        <w:rPr>
          <w:rFonts w:ascii="Arial" w:cs="Arial" w:eastAsia="Arial" w:hAnsi="Arial"/>
          <w:sz w:val="17"/>
          <w:szCs w:val="17"/>
          <w:color w:val="auto"/>
        </w:rPr>
      </w:pPr>
    </w:p>
    <w:p>
      <w:pPr>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53"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35"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approved by the conflicts committee of the board of directors, although our general partner is not obligated to seek such approval; or</w:t>
      </w:r>
    </w:p>
    <w:p>
      <w:pPr>
        <w:spacing w:after="0" w:line="101" w:lineRule="exact"/>
        <w:rPr>
          <w:rFonts w:ascii="Arial" w:cs="Arial" w:eastAsia="Arial" w:hAnsi="Arial"/>
          <w:sz w:val="17"/>
          <w:szCs w:val="17"/>
          <w:color w:val="auto"/>
        </w:rPr>
      </w:pPr>
    </w:p>
    <w:p>
      <w:pPr>
        <w:ind w:left="980" w:right="6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common units, excluding any common units owned by our general partner and its affiliates.</w:t>
      </w:r>
    </w:p>
    <w:p>
      <w:pPr>
        <w:spacing w:after="0" w:line="116"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0" w:lineRule="exact"/>
        <w:rPr>
          <w:sz w:val="20"/>
          <w:szCs w:val="20"/>
          <w:color w:val="auto"/>
        </w:rPr>
      </w:pPr>
    </w:p>
    <w:p>
      <w:pPr>
        <w:jc w:val="both"/>
        <w:ind w:right="100" w:firstLine="405"/>
        <w:spacing w:after="0" w:line="342"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7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30"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ind w:right="20"/>
        <w:spacing w:after="0" w:line="252"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3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 traded corporations, we will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90" w:lineRule="exact"/>
        <w:rPr>
          <w:sz w:val="20"/>
          <w:szCs w:val="20"/>
          <w:color w:val="auto"/>
        </w:rPr>
      </w:pPr>
    </w:p>
    <w:p>
      <w:pPr>
        <w:ind w:right="60" w:firstLine="405"/>
        <w:spacing w:after="0" w:line="235" w:lineRule="auto"/>
        <w:rPr>
          <w:sz w:val="20"/>
          <w:szCs w:val="20"/>
          <w:color w:val="auto"/>
        </w:rPr>
      </w:pPr>
      <w:r>
        <w:rPr>
          <w:rFonts w:ascii="Arial" w:cs="Arial" w:eastAsia="Arial" w:hAnsi="Arial"/>
          <w:sz w:val="18"/>
          <w:szCs w:val="18"/>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all outstanding common and subordinated units voting together as a single class is required to remove our general partner. As of February 22, 2019, Westlake owned an aggregate of 43.8% of our common units. This condition provides Westlake the ability to prevent the removal of our general partner.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0"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90"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3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9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08"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will reduce our earnings and therefore our cash available for distribution to our unitholders. The amount and timing of such reimbursements will be determined by our general partner.</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will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The reimbursement of expenses and payment of fees, if any, to our general partner and its affiliates will reduce the amount of our earnings and, thereby, our ability to distribute cash to our unitholders.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Under certain circumstances, unitholders may have to repay amounts wrongfully returned or distributed to them. Under Section 17-607 of the Delaware Revised Uniform Limited Partnership Act, or the Delaware Act,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220" w:lineRule="exact"/>
        <w:rPr>
          <w:sz w:val="20"/>
          <w:szCs w:val="20"/>
          <w:color w:val="auto"/>
        </w:rPr>
      </w:pPr>
    </w:p>
    <w:p>
      <w:pPr>
        <w:ind w:right="120"/>
        <w:spacing w:after="0" w:line="357"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we may not be able to accurately report our financial results or prevent fraud. As a result, current and potential unitholders could lose confidence in our financial reporting, which would harm our business and the trading price of our units.</w:t>
      </w:r>
    </w:p>
    <w:p>
      <w:pPr>
        <w:ind w:right="20" w:firstLine="405"/>
        <w:spacing w:after="0" w:line="255" w:lineRule="auto"/>
        <w:rPr>
          <w:sz w:val="20"/>
          <w:szCs w:val="20"/>
          <w:color w:val="auto"/>
        </w:rPr>
      </w:pPr>
      <w:r>
        <w:rPr>
          <w:rFonts w:ascii="Arial" w:cs="Arial" w:eastAsia="Arial" w:hAnsi="Arial"/>
          <w:sz w:val="18"/>
          <w:szCs w:val="18"/>
          <w:color w:val="auto"/>
        </w:rPr>
        <w:t>Effective internal controls are necessary for us to provide reliable financial reports, prevent fraud and operate successfully as a public company.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Sarbanes-Oxley. Any failure to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federal income tax purposes, and not being subject to a material amount of entity-level taxation. If the Internal Revenue Service ("IRS"), were to treat us as a corporation for federal income tax purposes, or we become subject to entity-level taxation for state tax purposes, our cash available for distribution to our unitholders would be substantially reduced.</w:t>
      </w:r>
    </w:p>
    <w:p>
      <w:pPr>
        <w:spacing w:after="0" w:line="1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federal income tax purposes.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1" w:right="3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12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04"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If we were treated as a corporation for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3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Specifically, we currently own assets and conduct business in Louisiana, Kentucky and Texas. Texas and Kentucky impose entity-level franchise or gross receipt taxes on partnerships. In the future, we may expand our operations. Imposition of similar entity-level taxes on us in Louisiana or other jurisdictions that we may expand to could substantially reduce our cash available for distribution to you.</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3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present U.S. federal income tax treatment of publicly traded partnerships, including us, or an investment in our common units may be modified by administrative, legislative or judicial changes or differing interpretations at any time. From time to time, members of Congress have proposed and considered substantive changes to the existing U.S. federal income tax laws that affect publicly-traded partnerships, including a prior legislative proposal would have eliminated the qualifying income exception to the treatment of all publicly-traded partnerships as corporations upon which we rely for our treatment as a partnership for U.S. federal income tax purposes.</w:t>
      </w:r>
    </w:p>
    <w:p>
      <w:pPr>
        <w:spacing w:after="0" w:line="53"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Although there are no current legislative or administrative proposals, there can be no assurance that there will not be further changes to U.S. federal income tax laws or the Treasury Department's interpretation of the qualifying income rules in a manner that could impact our ability to qualify as a publicly-traded partnership in the future.</w:t>
      </w:r>
    </w:p>
    <w:p>
      <w:pPr>
        <w:spacing w:after="0" w:line="10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In addition, 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similar or future legislative or administrative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2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IRS were to contest the federal income tax positions we take, it may adversely impact the market for our common units, and the costs of any such contest would reduce our cash available for distribution to our unitholders.</w:t>
      </w:r>
    </w:p>
    <w:p>
      <w:pPr>
        <w:spacing w:after="0" w:line="3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1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These rules are not applicable for tax years beginning on or prior to December 31, 2017.</w:t>
      </w:r>
    </w:p>
    <w:p>
      <w:pPr>
        <w:spacing w:after="0" w:line="20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Even if unitholders do not receive any cash distributions from us, unitholders will be required to pay taxes on their share of our taxable income, including their share of income from the cancellation of debt.</w:t>
      </w:r>
    </w:p>
    <w:p>
      <w:pPr>
        <w:spacing w:after="0" w:line="3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Unitholders are required to pay federal income taxes and, in some cases, state and local income taxes, on unitholders’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9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12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9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and in the case of taxable years beginning before January 1, 2022, any deduction allowable for depreciation, amortization, or depletion to the extent such depreciation, amortization, or depletion is not capitalized into cost of goods sold with respect to inventory.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r>
        <w:rPr>
          <w:rFonts w:ascii="Arial" w:cs="Arial" w:eastAsia="Arial" w:hAnsi="Arial"/>
          <w:sz w:val="18"/>
          <w:szCs w:val="18"/>
          <w:color w:val="auto"/>
        </w:rPr>
        <w:t>.</w:t>
      </w:r>
    </w:p>
    <w:p>
      <w:pPr>
        <w:spacing w:after="0" w:line="9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and will be taxable to them. With respect to taxable years beginning after December 31, 2017, subject to the proposed aggregation rules for certain similarly situated business or activities issued by the Treasury Department, a tax-exempt entity with more than one unrelated trade or business (including by attribution from investment in a partnership such as ours)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common units.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34"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The Tax Cuts and Jobs Act imposes a withholding obligation of 10% of the amount realized upon a Non-U.S. unitholder’s sale or exchange of an interest in a partnership that is engaged in a U.S.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 promulgation of regulations or other guidance that resolves the challenges. It is not clear if or when such regulations or other guidance will be issued. Non-U.S. unitholders should consult a tax advisor before investing in our common units.</w:t>
      </w:r>
    </w:p>
    <w:p>
      <w:pPr>
        <w:spacing w:after="0" w:line="2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35"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181"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1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46"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254" w:lineRule="auto"/>
        <w:rPr>
          <w:sz w:val="20"/>
          <w:szCs w:val="20"/>
          <w:color w:val="auto"/>
        </w:rPr>
      </w:pPr>
      <w:r>
        <w:rPr>
          <w:rFonts w:ascii="Arial" w:cs="Arial" w:eastAsia="Arial" w:hAnsi="Arial"/>
          <w:sz w:val="18"/>
          <w:szCs w:val="18"/>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3"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3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34" w:lineRule="exact"/>
        <w:rPr>
          <w:sz w:val="20"/>
          <w:szCs w:val="20"/>
          <w:color w:val="auto"/>
        </w:rPr>
      </w:pPr>
    </w:p>
    <w:p>
      <w:pPr>
        <w:ind w:right="140" w:firstLine="392"/>
        <w:spacing w:after="0" w:line="273" w:lineRule="auto"/>
        <w:rPr>
          <w:sz w:val="20"/>
          <w:szCs w:val="20"/>
          <w:color w:val="auto"/>
        </w:rPr>
      </w:pPr>
      <w:r>
        <w:rPr>
          <w:rFonts w:ascii="Arial" w:cs="Arial" w:eastAsia="Arial" w:hAnsi="Arial"/>
          <w:sz w:val="17"/>
          <w:szCs w:val="17"/>
          <w:color w:val="auto"/>
        </w:rPr>
        <w:t>We currently own assets and conduct business in Kentucky, Louisiana and Texas. Kentucky and Louisiana currently impose a personal income tax on individuals, Kentucky and Texas impose an entity-level franchise or gross receipts tax on a variety of legal entities, and Kentucky and Louisiana impose a corporate income tax on corporations and other entities treated as corporations for federal income tax purposes. As we make acquisitions or expand our business, we may own assets or conduct business in additional states that impose similar taxes. It is our unitholders' responsibility to file all United States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4"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the ordinary conduct of our business, we and Westlake and Westlake's subsidiaries, including OpCo, are subject to periodic lawsuits, investigations and claims, including environmental claims and employee related matters. See the discussion of our environmental matters contained in Item 1. "Business</w:t>
      </w:r>
      <w:r>
        <w:rPr>
          <w:rFonts w:ascii="Arial" w:cs="Arial" w:eastAsia="Arial" w:hAnsi="Arial"/>
          <w:sz w:val="17"/>
          <w:szCs w:val="17"/>
          <w:i w:val="1"/>
          <w:iCs w:val="1"/>
          <w:color w:val="auto"/>
        </w:rPr>
        <w:t>—</w:t>
      </w:r>
      <w:r>
        <w:rPr>
          <w:rFonts w:ascii="Arial" w:cs="Arial" w:eastAsia="Arial" w:hAnsi="Arial"/>
          <w:sz w:val="17"/>
          <w:szCs w:val="17"/>
          <w:color w:val="auto"/>
        </w:rPr>
        <w:t xml:space="preserve"> Environmental" and Note 16" </w:t>
      </w:r>
      <w:r>
        <w:rPr>
          <w:rFonts w:ascii="Arial" w:cs="Arial" w:eastAsia="Arial" w:hAnsi="Arial"/>
          <w:sz w:val="17"/>
          <w:szCs w:val="17"/>
          <w:i w:val="1"/>
          <w:iCs w:val="1"/>
          <w:color w:val="auto"/>
        </w:rPr>
        <w:t>—</w:t>
      </w:r>
      <w:r>
        <w:rPr>
          <w:rFonts w:ascii="Arial" w:cs="Arial" w:eastAsia="Arial" w:hAnsi="Arial"/>
          <w:sz w:val="17"/>
          <w:szCs w:val="17"/>
          <w:color w:val="auto"/>
        </w:rPr>
        <w:t>Commitments and Contingencies", to the consolidated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1" w:right="3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ind w:right="214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660" w:firstLine="405"/>
        <w:spacing w:after="0" w:line="342" w:lineRule="auto"/>
        <w:rPr>
          <w:sz w:val="20"/>
          <w:szCs w:val="20"/>
          <w:color w:val="auto"/>
        </w:rPr>
      </w:pPr>
      <w:r>
        <w:rPr>
          <w:rFonts w:ascii="Arial" w:cs="Arial" w:eastAsia="Arial" w:hAnsi="Arial"/>
          <w:sz w:val="16"/>
          <w:szCs w:val="16"/>
          <w:color w:val="auto"/>
        </w:rPr>
        <w:t>Our common units are listed and traded on the New York Stock Exchange ("NYSE") under the symbol "WLKP." As of the close of business on February 22, 2019, based upon information received from our transfer agent, there were two holders of record of our common units.</w:t>
      </w:r>
    </w:p>
    <w:p>
      <w:pPr>
        <w:spacing w:after="0" w:line="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are a publicly traded partnership and are not subject to federal income tax. Instead, unitholders are required to report their allocable share of our income, gain, loss and deduction, regardless of whether we make distributions.</w:t>
      </w:r>
    </w:p>
    <w:p>
      <w:pPr>
        <w:spacing w:after="0" w:line="116"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94"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04" w:lineRule="exact"/>
        <w:rPr>
          <w:sz w:val="20"/>
          <w:szCs w:val="20"/>
          <w:color w:val="auto"/>
        </w:rPr>
      </w:pPr>
    </w:p>
    <w:p>
      <w:pPr>
        <w:jc w:val="both"/>
        <w:ind w:right="580" w:firstLine="405"/>
        <w:spacing w:after="0" w:line="342"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partnership agreement provides that, during the subordination period, the common units will have the right to receive distributions of available cash from operating surplus each quarter in an amount equal to $0.2750 per common unit, which amount is defined in our partnership agreement as the minimum quarterly distribution, plus any arrearages in the payment of the minimum quarterly distribution on the common units from prior quarters, before any distributions of available cash from operating surplus may be made on subordinated units. Following the Partnership’s cash distribution for the second quarter of 2017, the requirement under the Partnership’s partnership agreement for the conversion of all subordinated units was satisfied. As a result, effective August 30, 2017, all the 12,686,115 subordinated units owned by Westlake were converted into common units on a one-for-one basis and thereafter participate on terms equal with all other common units in distributions of available cash. 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For more information on the Partnership's amended distribution allocation percentages, see Note 9 "Distributions and Net Income Per Limited Partner Unit" to the consolidated financial statements within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9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minimum quarterly distribution and the target distribution levels have been achieved. Westlake currently holds the incentive distribution rights, but may transfer these rights separately from its general partner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4"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The following information should be read together with "Item 7. Management's Discussion and Analysis of Financial Condition and Results of Operations" and our consolidated financial statements and the related notes included elsewhere in this report.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(1) (2)</w:t>
            </w:r>
          </w:p>
        </w:tc>
        <w:tc>
          <w:tcPr>
            <w:tcW w:w="0" w:type="dxa"/>
            <w:vAlign w:val="bottom"/>
          </w:tcPr>
          <w:p>
            <w:pPr>
              <w:spacing w:after="0"/>
              <w:rPr>
                <w:sz w:val="1"/>
                <w:szCs w:val="1"/>
                <w:color w:val="auto"/>
              </w:rPr>
            </w:pPr>
          </w:p>
        </w:tc>
      </w:tr>
      <w:tr>
        <w:trPr>
          <w:trHeight w:val="547"/>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91"/>
              </w:rPr>
              <w:t>(in thousands of dollars, except unit amounts and per unit data)</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1,285,622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1,172,981</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986,736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1,007,221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1,749,700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403,667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391,331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382,882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745,812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24,887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23,550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366,444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716,556</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330,593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354,338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354,438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354,525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709,208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199,388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330,571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353,058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Predecessor net income prior to initial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offering on August 4, 2014</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subsequent to initial public</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330,571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353,058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148,486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304,388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312,463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134,909</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income attributable to Westlake</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Chemical Partners LP subsequent to</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initial public offering and limited</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49,347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48,670</w:t>
            </w:r>
          </w:p>
        </w:tc>
        <w:tc>
          <w:tcPr>
            <w:tcW w:w="460" w:type="dxa"/>
            <w:vAlign w:val="bottom"/>
            <w:gridSpan w:val="3"/>
            <w:vMerge w:val="restart"/>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40,940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39,831</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13,577</w:t>
            </w:r>
          </w:p>
        </w:tc>
        <w:tc>
          <w:tcPr>
            <w:tcW w:w="0" w:type="dxa"/>
            <w:vAlign w:val="bottom"/>
          </w:tcPr>
          <w:p>
            <w:pPr>
              <w:spacing w:after="0"/>
              <w:rPr>
                <w:sz w:val="1"/>
                <w:szCs w:val="1"/>
                <w:color w:val="auto"/>
              </w:rPr>
            </w:pPr>
          </w:p>
        </w:tc>
      </w:tr>
      <w:tr>
        <w:trPr>
          <w:trHeight w:val="277"/>
        </w:trPr>
        <w:tc>
          <w:tcPr>
            <w:tcW w:w="4120" w:type="dxa"/>
            <w:vAlign w:val="bottom"/>
          </w:tcPr>
          <w:p>
            <w:pPr>
              <w:ind w:left="180"/>
              <w:spacing w:after="0"/>
              <w:rPr>
                <w:sz w:val="20"/>
                <w:szCs w:val="20"/>
                <w:color w:val="auto"/>
              </w:rPr>
            </w:pPr>
            <w:r>
              <w:rPr>
                <w:rFonts w:ascii="Arial" w:cs="Arial" w:eastAsia="Arial" w:hAnsi="Arial"/>
                <w:sz w:val="18"/>
                <w:szCs w:val="18"/>
                <w:color w:val="auto"/>
              </w:rPr>
              <w:t>partners' interest in net income</w:t>
            </w:r>
          </w:p>
        </w:tc>
        <w:tc>
          <w:tcPr>
            <w:tcW w:w="34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shd w:val="clear" w:color="auto" w:fill="CCEEFF"/>
          </w:tcPr>
          <w:p>
            <w:pPr>
              <w:ind w:left="40"/>
              <w:spacing w:after="0" w:line="185" w:lineRule="exact"/>
              <w:rPr>
                <w:sz w:val="20"/>
                <w:szCs w:val="20"/>
                <w:color w:val="auto"/>
              </w:rPr>
            </w:pPr>
            <w:r>
              <w:rPr>
                <w:rFonts w:ascii="Arial" w:cs="Arial" w:eastAsia="Arial" w:hAnsi="Arial"/>
                <w:sz w:val="18"/>
                <w:szCs w:val="18"/>
                <w:b w:val="1"/>
                <w:bCs w:val="1"/>
                <w:color w:val="auto"/>
              </w:rPr>
              <w:t>Net income attributable to</w:t>
            </w: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Westlake Chemical Partners LP</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subsequent to initial public offering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limited partner unit (basic and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units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Subordinated units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Sheet Data (end of period):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198,370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191,149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194,388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167,593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164,661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1,515,276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1,555,228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1,096,435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477,608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473,960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594,629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384,006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227,638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934,081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998,749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920,963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834,950</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Distributions per unit </w:t>
            </w:r>
            <w:r>
              <w:rPr>
                <w:rFonts w:ascii="Arial" w:cs="Arial" w:eastAsia="Arial" w:hAnsi="Arial"/>
                <w:sz w:val="25"/>
                <w:szCs w:val="25"/>
                <w:color w:val="auto"/>
                <w:vertAlign w:val="superscript"/>
              </w:rPr>
              <w:t>(4)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from:</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537,357</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(203,229)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(299,481)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(202,956)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(396,020)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113,985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98,210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299,638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202,823</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(5)</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54,700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37,730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13,812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460,868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490,184</w:t>
            </w:r>
          </w:p>
        </w:tc>
        <w:tc>
          <w:tcPr>
            <w:tcW w:w="4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465,255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right="40" w:hanging="41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amounts for the pre-IPO period from January 1, 2014 through August 3, 2014 and post-IPO period from August 4, 2014 through December 31, 2014.</w:t>
      </w:r>
    </w:p>
    <w:p>
      <w:pPr>
        <w:spacing w:after="0" w:line="35" w:lineRule="exact"/>
        <w:rPr>
          <w:rFonts w:ascii="Arial" w:cs="Arial" w:eastAsia="Arial" w:hAnsi="Arial"/>
          <w:sz w:val="18"/>
          <w:szCs w:val="18"/>
          <w:color w:val="auto"/>
        </w:rPr>
      </w:pPr>
    </w:p>
    <w:p>
      <w:pPr>
        <w:ind w:left="420" w:right="100" w:hanging="412"/>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results of operations subsequent to the IPO are not comparable to the Predecessor's historical results of operations due to the differences in how we generate and record revenues, recognize expenses and account for income taxes.</w:t>
      </w:r>
    </w:p>
    <w:p>
      <w:pPr>
        <w:spacing w:after="0" w:line="35" w:lineRule="exact"/>
        <w:rPr>
          <w:rFonts w:ascii="Arial" w:cs="Arial" w:eastAsia="Arial" w:hAnsi="Arial"/>
          <w:sz w:val="18"/>
          <w:szCs w:val="18"/>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equals current assets less current liabilities.</w:t>
      </w:r>
    </w:p>
    <w:p>
      <w:pPr>
        <w:spacing w:after="0" w:line="90" w:lineRule="exact"/>
        <w:rPr>
          <w:rFonts w:ascii="Arial" w:cs="Arial" w:eastAsia="Arial" w:hAnsi="Arial"/>
          <w:sz w:val="18"/>
          <w:szCs w:val="18"/>
          <w:color w:val="auto"/>
        </w:rPr>
      </w:pPr>
    </w:p>
    <w:p>
      <w:pPr>
        <w:ind w:left="420" w:right="240" w:hanging="412"/>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Distribution per unit for 2014 represents cash distributions per common unit for the initial period from August 4, 2014 to September 30, 2014 and for the quarter ended December 31, 2014. Distribution per unit for 2018, 2017, 2016 and 2015 represents cash distributions per common unit for the quarters ended March 31, June 30, September 30 and December 31.</w:t>
      </w:r>
    </w:p>
    <w:p>
      <w:pPr>
        <w:spacing w:after="0" w:line="46" w:lineRule="exact"/>
        <w:rPr>
          <w:rFonts w:ascii="Arial" w:cs="Arial" w:eastAsia="Arial" w:hAnsi="Arial"/>
          <w:sz w:val="18"/>
          <w:szCs w:val="18"/>
          <w:color w:val="auto"/>
        </w:rPr>
      </w:pPr>
    </w:p>
    <w:p>
      <w:pPr>
        <w:ind w:left="420" w:hanging="412"/>
        <w:spacing w:after="0" w:line="284"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use MLP distributable cash flow (a non-GAAP financial measure) to analyze our performance. The body of accounting principles generally accepted in the United States is commonly referred to as "GAAP." A non-GAAP financial measure is generally defined by the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define distributable cash flow as net income plus depreciation, amortization, disposition of property, plant and equipment, and the mark-to-market adjustment loss on derivative contracts less contributions for turnaround reserves, and maintenance capital expenditures. We define MLP distributable cash flow as distributable cash flow attributable to periods subsequent to the date of our IPO less distributable cash flow attributable to Westlake's noncontrolling interest in OpCo. MLP distributable cash flow does not reflect changes in working capital balances. MLP distributable cash flow is a non-GAAP supplemental financial measure that management and external users of our consolidated financial statements, such as industry analysts, investors, lenders and rating agencies, may use to assess our operating performance as compared to other publicly traded partnerships, our ability to incur and service debt and fund capital expenditures and the viability of acquisitions and other capital expenditure projects and the returns on investment of various investment opportunities. We believe that the presentation of MLP distributable cash flow provides useful information to investors in assessing our financial condition and results of operations. MLP distributable cash flow should not be considered an alternative to GAAP net income or net cash provided by operating activities. MLP distributable cash flow has important limitations as an analytical tool because it excludes some but not all items that affect net income and net cash provided by operating activities. MLP distributable cash flow should not be considered in isolation or as a substitute for analysis of our results as reported under GAAP. It should be noted that other limited partnerships and companies calculate MLP distributable cash flows differently, and, therefore, MLP distributable cash flows as presented for us may not be comparable to MLP distributable cash flows reported by other partnerships and companies. The following table reconciles MLP distributable cash flow to net income and net cash provided by operating activities, the most directly comparable GAAP financial measures.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8"/>
        </w:trPr>
        <w:tc>
          <w:tcPr>
            <w:tcW w:w="4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58"/>
        </w:trPr>
        <w:tc>
          <w:tcPr>
            <w:tcW w:w="4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4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(dollars in thousands)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436,151</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537,357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Loss from disposition of fixed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other</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(92,648)</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330,571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353,058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r>
      <w:tr>
        <w:trPr>
          <w:trHeight w:val="27"/>
        </w:trPr>
        <w:tc>
          <w:tcPr>
            <w:tcW w:w="4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424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4240" w:type="dxa"/>
            <w:vAlign w:val="bottom"/>
          </w:tcPr>
          <w:p>
            <w:pPr>
              <w:ind w:left="520"/>
              <w:spacing w:after="0" w:line="257" w:lineRule="exact"/>
              <w:rPr>
                <w:sz w:val="20"/>
                <w:szCs w:val="20"/>
                <w:color w:val="auto"/>
              </w:rPr>
            </w:pPr>
            <w:r>
              <w:rPr>
                <w:rFonts w:ascii="Arial" w:cs="Arial" w:eastAsia="Arial" w:hAnsi="Arial"/>
                <w:sz w:val="18"/>
                <w:szCs w:val="18"/>
                <w:color w:val="auto"/>
              </w:rPr>
              <w:t xml:space="preserve">of property, plant and equipment </w:t>
            </w:r>
            <w:r>
              <w:rPr>
                <w:rFonts w:ascii="Arial" w:cs="Arial" w:eastAsia="Arial" w:hAnsi="Arial"/>
                <w:sz w:val="25"/>
                <w:szCs w:val="25"/>
                <w:color w:val="auto"/>
                <w:vertAlign w:val="superscript"/>
              </w:rPr>
              <w:t>(1) (2)</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110,691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117,128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98,210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81,210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31,831</w:t>
            </w: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adjustment loss on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derivative contracts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Contribution to turnaround reserves </w:t>
            </w:r>
            <w:r>
              <w:rPr>
                <w:rFonts w:ascii="Arial" w:cs="Arial" w:eastAsia="Arial" w:hAnsi="Arial"/>
                <w:sz w:val="25"/>
                <w:szCs w:val="25"/>
                <w:color w:val="auto"/>
                <w:vertAlign w:val="superscript"/>
              </w:rPr>
              <w:t>(1) (3)</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(1) (4)</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(31,481)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(37,775)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(17,629)</w:t>
            </w: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the Predecessor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(361,334)</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(332,246)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(345,465)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(136,929)</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54,700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32,405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37,730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13,812</w:t>
            </w:r>
          </w:p>
        </w:tc>
      </w:tr>
      <w:tr>
        <w:trPr>
          <w:trHeight w:val="20"/>
        </w:trPr>
        <w:tc>
          <w:tcPr>
            <w:tcW w:w="4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68"/>
        </w:trPr>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w w:val="89"/>
              </w:rPr>
              <w:t>29</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52"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1060" w:hanging="404"/>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2014 balances include the amounts for the period from August 4, 2014 through December 31, 2014 only.</w:t>
      </w:r>
    </w:p>
    <w:p>
      <w:pPr>
        <w:spacing w:after="0" w:line="63" w:lineRule="exact"/>
        <w:rPr>
          <w:rFonts w:ascii="Arial" w:cs="Arial" w:eastAsia="Arial" w:hAnsi="Arial"/>
          <w:sz w:val="18"/>
          <w:szCs w:val="18"/>
          <w:color w:val="auto"/>
        </w:rPr>
      </w:pPr>
    </w:p>
    <w:p>
      <w:pPr>
        <w:ind w:left="1060" w:right="140" w:hanging="404"/>
        <w:spacing w:after="0" w:line="259"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Higher depreciation, amortization and disposition of property, plant and equipment in 2018 and 2017, as compared to 2016, are primarily related to the increase in the property, plant and equipment and the turnaround deferred costs associated with the Lake Charles Petro 1 facility upgrade and expansion project that was completed in July 2016 and the Calvert City Olefins facility upgrade and capacity expansion project that was completed in April 2017.</w:t>
      </w:r>
    </w:p>
    <w:p>
      <w:pPr>
        <w:spacing w:after="0" w:line="24" w:lineRule="exact"/>
        <w:rPr>
          <w:rFonts w:ascii="Arial" w:cs="Arial" w:eastAsia="Arial" w:hAnsi="Arial"/>
          <w:sz w:val="18"/>
          <w:szCs w:val="18"/>
          <w:color w:val="auto"/>
        </w:rPr>
      </w:pPr>
    </w:p>
    <w:p>
      <w:pPr>
        <w:ind w:left="1060" w:hanging="404"/>
        <w:spacing w:after="0"/>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contribution to turnaround reserves is primarily driven by the turnaround cycle.</w:t>
      </w:r>
    </w:p>
    <w:p>
      <w:pPr>
        <w:spacing w:after="0" w:line="63" w:lineRule="exact"/>
        <w:rPr>
          <w:rFonts w:ascii="Arial" w:cs="Arial" w:eastAsia="Arial" w:hAnsi="Arial"/>
          <w:sz w:val="18"/>
          <w:szCs w:val="18"/>
          <w:color w:val="auto"/>
        </w:rPr>
      </w:pPr>
    </w:p>
    <w:p>
      <w:pPr>
        <w:ind w:left="1060" w:right="440" w:hanging="404"/>
        <w:spacing w:after="0" w:line="277" w:lineRule="auto"/>
        <w:tabs>
          <w:tab w:leader="none" w:pos="10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maintenance capital expenditures in 2018 and 2017, as compared to 2016, are primarily related to the Lake Charles Petro 1 facility maintenance capital expenditures incurred in 2016.</w:t>
      </w:r>
    </w:p>
    <w:p>
      <w:pPr>
        <w:spacing w:after="0" w:line="35" w:lineRule="exact"/>
        <w:rPr>
          <w:rFonts w:ascii="Arial" w:cs="Arial" w:eastAsia="Arial" w:hAnsi="Arial"/>
          <w:sz w:val="18"/>
          <w:szCs w:val="18"/>
          <w:color w:val="auto"/>
        </w:rPr>
      </w:pPr>
    </w:p>
    <w:p>
      <w:pPr>
        <w:ind w:left="420" w:hanging="412"/>
        <w:spacing w:after="0" w:line="285"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EBITDA (a non-GAAP financial measure) is calculated as net income before interest expense, income taxes, depreciation and amortization. The body of accounting principles generally accepted in the United States is commonly referred to as "GAAP." For this purpose a non-GAAP financial measure is generally defined by the SEC as one that purports to measure historical and future financial performance, financial position or cash flows, but excludes or includes amounts that would not be so adjusted in the most comparable GAAP measures. We have included EBITDA in this Form 10-K because, in addition to the MLP distributable cash flow measure as described above, our management considers EBITDA an important supplemental measure of our performance and believes that it is frequently used by securities analysts, investors and other interested parties in the evaluation of partnerships and companies in our industry, some of which present EBITDA when reporting their results. We regularly evaluate our performance as compared to other partnerships and companies in our industry that have different financing and capital structures and/or tax rates by using EBITDA. EBITDA allows for meaningful performance comparisons by adjusting for factors such as interest expense, depreciation and amortization and taxes, which often vary from company to company. In addition, we utilize EBITDA in evaluating acquisition targets. Management also believes that EBITDA is a useful tool for measuring our ability to meet our future debt service, capital expenditures and working capital requirements, and EBITDA is commonly used by us and our investors to measure our ability to service indebtedness. EBITDA is not a substitute for the GAAP measures of earnings or of cash flow and is not necessarily a measure of our ability to fund our cash needs. In addition, it should be noted that companies calculate EBITDA differently and, therefore, EBITDA as presented in this Form 10-K may not be comparable to EBITDA reported by other companies. EBITDA has material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Predecessor's operations. We compensate for these limitations by relying primarily on our GAAP results and using EBITDA only supplementally. The following table reconciles EBITDA to net income, income from operations and to cash flows from operating activities, the most directly comparable GAAP measures.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w w:val="99"/>
              </w:rPr>
              <w:t>(dollars in thousands)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5"/>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436,151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537,357</w:t>
            </w:r>
          </w:p>
        </w:tc>
        <w:tc>
          <w:tcPr>
            <w:tcW w:w="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287,726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604,012</w:t>
            </w: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Loss from disposition of fixed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liabilities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(181,266)</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68,698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(92,648)</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330,571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353,058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353,403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353,853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509,820</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(10,499)</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(199,388)</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349,569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374,407</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366,444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716,556</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Add:</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77,611</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3,151</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460,868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490,184</w:t>
            </w:r>
          </w:p>
        </w:tc>
        <w:tc>
          <w:tcPr>
            <w:tcW w:w="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465,255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440,702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797,318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0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 this report.</w:t>
      </w:r>
    </w:p>
    <w:p>
      <w:pPr>
        <w:spacing w:after="0" w:line="133"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On September 29, 2017, we completed a secondary public offering of 5,175,000 common units and purchased an additional 5.0% newly-issued limited partner interest in OpCo, resulting in an aggregate 18.3% limited partner interest in OpCo, effective as of July 1, 2017. The 12,686,115 subordinated units of the Partnership, all of which were previously owned by Westlake, were converted into common units of the Partnership on August 30, 2017.</w:t>
      </w:r>
    </w:p>
    <w:p>
      <w:pPr>
        <w:spacing w:after="0" w:line="12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Currently, our sole revenue generating asset is our 18.3% limited partner interest in OpCo, a limited partnership formed by Westlake and us in anticipation of the IPO to own and operate an ethylene production business. We control OpCo through our ownership of its general partner. Westlake retains the remaining 81.7% limited partner interest in OpCo as well as a significant interest in us through its ownership of our general partner, 43.8% of our limited partner units (consisting of 14,122,230 common units )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at the end of the year, is generally not reduced for the first 45 days of a force majeure event, but is reduced for the portion of a force majeure event extending beyond the 45th day.</w:t>
      </w:r>
    </w:p>
    <w:p>
      <w:pPr>
        <w:spacing w:after="0" w:line="11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2018, all the third-party ethylene and associated co-products sales generated 16.4% of our total revenues.</w:t>
      </w:r>
    </w:p>
    <w:p>
      <w:pPr>
        <w:spacing w:after="0" w:line="13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Please refer to Note 2 to the consolidated financial statements included within this report for more information on the Ethylene Sales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94"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OpCo may purchase the ethane and other feedstocks to produce ethylene and resulting co-products to sell to unrelated third parties from Westlake Petrochemicals LLC.</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Feedstock Supply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0"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46" w:lineRule="exact"/>
        <w:rPr>
          <w:sz w:val="20"/>
          <w:szCs w:val="20"/>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 or increase capacity at our existing production facilities, or add additional production capacity via organic expansion projects and acquisitions;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use each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loss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4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believe that the presentation of MLP distributable cash flow and EBITDA provides useful information to investors in assessing our financial condition and results of operations. MLP distributable cash flow should not be considered as an alternative to GAAP measures. MLP distributable cash flow has important limitations as an analytical tool because it excludes some but not all items that affect net income and net cash provided by operating activities. EBITDA should not be considered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Item 6 "Selected Financial Data"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3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in order to provide OpCo with the option to curtail up to approximately 5% of its ethylene production annually in the event OpCo reasonably determines that its sales of such ethylene to third parties during the relevant period would be uneconomic.</w:t>
      </w:r>
    </w:p>
    <w:p>
      <w:pPr>
        <w:spacing w:after="0" w:line="12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October 4, 2018, the Partnership and Westlake Chemical Partners GP LLC, the general partner of the Partnership, entered into an Equity Distribution Agreement (the "ATM Agreement") with UBS Securities LLC, Barclays Capital Inc., Citigroup Global Markets Inc., Deutsche Bank Securities Inc., RBC Capital Markets, LLC, Merrill Lynch, Pierce, Fenner &amp; Smith Incorporated and Wells Fargo Securities, LLC (collectively, the "Managers"). Pursuant to the terms of the ATM Agreement, the Partnership may offer and sell common units representing limited partner interests in the Partnership from time to time to or through the Managers, as the Partnership's sales agents or as principals, having an aggregate offering amount of up to $50.0 million. The Partnership intends to use the net proceeds of sales of the common units for general partnership purposes, including the funding of potential drop-downs and other acquisitions.</w:t>
      </w:r>
    </w:p>
    <w:p>
      <w:pPr>
        <w:spacing w:after="0" w:line="216" w:lineRule="exact"/>
        <w:rPr>
          <w:sz w:val="20"/>
          <w:szCs w:val="20"/>
          <w:color w:val="auto"/>
        </w:rPr>
      </w:pPr>
    </w:p>
    <w:p>
      <w:pPr>
        <w:ind w:right="380" w:firstLine="392"/>
        <w:spacing w:after="0" w:line="308" w:lineRule="auto"/>
        <w:rPr>
          <w:sz w:val="20"/>
          <w:szCs w:val="20"/>
          <w:color w:val="auto"/>
        </w:rPr>
      </w:pPr>
      <w:r>
        <w:rPr>
          <w:rFonts w:ascii="Arial" w:cs="Arial" w:eastAsia="Arial" w:hAnsi="Arial"/>
          <w:sz w:val="17"/>
          <w:szCs w:val="17"/>
          <w:color w:val="auto"/>
        </w:rPr>
        <w:t>On September 25, 2018, the OpCo Revolver was amended to extend the maturity date from August 4, 2019 to September 25, 2023 and to revise the applicable margin from 3% to 2%. See Note 8 "Long-Term Debt" to the consolidated financial statements included within this report.</w:t>
      </w:r>
    </w:p>
    <w:p>
      <w:pPr>
        <w:spacing w:after="0" w:line="93"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On July 27, 2018, the Partnership's partnership agreement was amended to revise the minimum quarterly distribution thresholds for the Partnership's incentive distribution rights to Westlake.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amendment. For more information on the Partnership's amended distribution allocation percentages, see Note 9 "Distributions and Net Income Per Limited Partner Unit" to the consolidated financial statements included within this report.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and descriptions that follow represent the consolidated results of operations of the Partnership for the years 2018, 2017 and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920" w:type="dxa"/>
            <w:vAlign w:val="bottom"/>
            <w:gridSpan w:val="7"/>
          </w:tcPr>
          <w:p>
            <w:pPr>
              <w:jc w:val="center"/>
              <w:ind w:right="311"/>
              <w:spacing w:after="0"/>
              <w:rPr>
                <w:sz w:val="20"/>
                <w:szCs w:val="20"/>
                <w:color w:val="auto"/>
              </w:rPr>
            </w:pPr>
            <w:r>
              <w:rPr>
                <w:rFonts w:ascii="Arial" w:cs="Arial" w:eastAsia="Arial" w:hAnsi="Arial"/>
                <w:sz w:val="14"/>
                <w:szCs w:val="14"/>
                <w:b w:val="1"/>
                <w:bCs w:val="1"/>
                <w:color w:val="auto"/>
                <w:w w:val="92"/>
              </w:rPr>
              <w:t>(in thousands of dollars, except unit amounts and per unit data)</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1,074,957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973,081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853,719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co-products, ethylene and feedstock sales—third parties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210,665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199,900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133,017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1,172,981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986,736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377,159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403,667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391,331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349,569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374,407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366,444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Interest expense—Westlake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330,593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354,338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354,438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330,571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353,058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OpCo</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304,388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312,463</w:t>
            </w:r>
          </w:p>
        </w:tc>
        <w:tc>
          <w:tcPr>
            <w:tcW w:w="0" w:type="dxa"/>
            <w:vAlign w:val="bottom"/>
          </w:tcPr>
          <w:p>
            <w:pPr>
              <w:spacing w:after="0"/>
              <w:rPr>
                <w:sz w:val="1"/>
                <w:szCs w:val="1"/>
                <w:color w:val="auto"/>
              </w:rPr>
            </w:pPr>
          </w:p>
        </w:tc>
      </w:tr>
      <w:tr>
        <w:trPr>
          <w:trHeight w:val="205"/>
        </w:trPr>
        <w:tc>
          <w:tcPr>
            <w:tcW w:w="608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49,347</w:t>
            </w:r>
          </w:p>
        </w:tc>
        <w:tc>
          <w:tcPr>
            <w:tcW w:w="10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b w:val="1"/>
                <w:bCs w:val="1"/>
                <w:color w:val="auto"/>
              </w:rPr>
              <w:t>48,670</w:t>
            </w:r>
          </w:p>
        </w:tc>
        <w:tc>
          <w:tcPr>
            <w:tcW w:w="100" w:type="dxa"/>
            <w:vAlign w:val="bottom"/>
          </w:tcPr>
          <w:p>
            <w:pPr>
              <w:spacing w:after="0"/>
              <w:rPr>
                <w:sz w:val="17"/>
                <w:szCs w:val="17"/>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40,940</w:t>
            </w:r>
          </w:p>
        </w:tc>
        <w:tc>
          <w:tcPr>
            <w:tcW w:w="0" w:type="dxa"/>
            <w:vAlign w:val="bottom"/>
          </w:tcPr>
          <w:p>
            <w:pPr>
              <w:spacing w:after="0"/>
              <w:rPr>
                <w:sz w:val="1"/>
                <w:szCs w:val="1"/>
                <w:color w:val="auto"/>
              </w:rPr>
            </w:pPr>
          </w:p>
        </w:tc>
      </w:tr>
      <w:tr>
        <w:trPr>
          <w:trHeight w:val="281"/>
        </w:trPr>
        <w:tc>
          <w:tcPr>
            <w:tcW w:w="6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Partners LP s and limited partners' interest in net income</w:t>
            </w:r>
          </w:p>
        </w:tc>
        <w:tc>
          <w:tcPr>
            <w:tcW w:w="4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w:t>
            </w: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limited partner unit (basic and diluted)</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Common units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units—public</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18,118,628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14,270,240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Common units—Westlake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7,831,307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Subordinated units—Westlake</w:t>
            </w:r>
          </w:p>
        </w:tc>
        <w:tc>
          <w:tcPr>
            <w:tcW w:w="4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6,290,923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08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60,024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54,700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32,405</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460,868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490,184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465,255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right"/>
              <w:ind w:right="880"/>
              <w:spacing w:after="0"/>
              <w:rPr>
                <w:sz w:val="20"/>
                <w:szCs w:val="20"/>
                <w:color w:val="auto"/>
              </w:rPr>
            </w:pPr>
            <w:r>
              <w:rPr>
                <w:rFonts w:ascii="Arial" w:cs="Arial" w:eastAsia="Arial" w:hAnsi="Arial"/>
                <w:sz w:val="14"/>
                <w:szCs w:val="14"/>
                <w:b w:val="1"/>
                <w:bCs w:val="1"/>
                <w:color w:val="auto"/>
                <w:w w:val="94"/>
              </w:rPr>
              <w:t>Year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540" w:type="dxa"/>
            <w:vAlign w:val="bottom"/>
            <w:tcBorders>
              <w:top w:val="single" w:sz="8" w:color="auto"/>
            </w:tcBorders>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Average Sales</w:t>
            </w:r>
          </w:p>
        </w:tc>
        <w:tc>
          <w:tcPr>
            <w:tcW w:w="1180" w:type="dxa"/>
            <w:vAlign w:val="bottom"/>
            <w:tcBorders>
              <w:top w:val="single" w:sz="8" w:color="auto"/>
            </w:tcBorders>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660" w:type="dxa"/>
            <w:vAlign w:val="bottom"/>
            <w:tcBorders>
              <w:top w:val="single" w:sz="8" w:color="auto"/>
            </w:tcBorders>
            <w:gridSpan w:val="5"/>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Average Sales</w:t>
            </w:r>
          </w:p>
        </w:tc>
        <w:tc>
          <w:tcPr>
            <w:tcW w:w="11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 and volume percentage change</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prior year</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399"/>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4"/>
                <w:szCs w:val="14"/>
                <w:b w:val="1"/>
                <w:bCs w:val="1"/>
                <w:color w:val="auto"/>
                <w:w w:val="95"/>
              </w:rPr>
              <w:t>Year Ended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gridSpan w:val="2"/>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6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5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(2)</w:t>
            </w:r>
          </w:p>
        </w:tc>
        <w:tc>
          <w:tcPr>
            <w:tcW w:w="260" w:type="dxa"/>
            <w:vAlign w:val="bottom"/>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Ethane (cents/lb)</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Propane (cents/lb)</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w w:val="85"/>
              </w:rPr>
              <w:t>20.8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gridSpan w:val="2"/>
          </w:tcPr>
          <w:p>
            <w:pPr>
              <w:jc w:val="right"/>
              <w:ind w:right="48"/>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5"/>
              </w:rPr>
              <w:t>19.0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Item 6, Selected Financial Data, for discussions on non-GAAP financial measures.</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pricing data was obtained through IHS. We have not independently verified the data.</w:t>
      </w:r>
    </w:p>
    <w:p>
      <w:pPr>
        <w:spacing w:after="0" w:line="63" w:lineRule="exact"/>
        <w:rPr>
          <w:rFonts w:ascii="Arial" w:cs="Arial" w:eastAsia="Arial" w:hAnsi="Arial"/>
          <w:sz w:val="18"/>
          <w:szCs w:val="18"/>
          <w:color w:val="auto"/>
        </w:rPr>
      </w:pPr>
    </w:p>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For the year ended December 31, 2018, net income was $330.6 million on net sales of $1,285.6 million. This represents a decrease in net income of $22.5 million compared to 2017 net income of $353.1 million on net sales of $1,173.0 million. Net income in 2018 was lower due to lower margins on third party ethylene sales resulting from lower ethylene sales prices and higher feedstock costs. This decrease was partially offset by higher ethylene sales volumes to Westlake, higher pipeline services fee income and lower state income tax expense as compared to 2017. Net income attributable to the Partnership in 2018 was $49.3 million as compared to $48.7 million in 2017, an increase of $0.6 million, which was primarily due to a 5% increase in the Partnership's interest in OpCo, effective as of July 1, 2017 and increased production at OpCo's facilities, partially offset by lower margins on third party sales volumes. Net sales for 2018 increased by $112.6 million as compared to 2017 mainly due to higher sales volumes to Westlake and third parties, higher ethylene sales prices to Westlake and higher pipeline services fee income, partially offset by lower third party ethylene sales prices. Income from operations was $349.6 million for 2018 as compared to $374.4 million for 2017. Income from operations decreased mainly as a result of lower third party ethylene sales margins, partially offset by higher ethylene sales to Westlake and higher pipeline services fee income, as compared to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9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$112.6 million, or 9.6%, to $1,285.6 million in 2018 from $1,173.0 million in 2017, primarily due to higher sales</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to Westlake and third parties, higher ethylene sales prices to Westlake and higher pipeline services fee income, partially offset by lower third party ethylene sales prices. The overall increase in sales volumes for 2018 contributed to a 3.6% increase in net sales, as compared to 2017, which was mainly due to higher sales volumes to Westlake and third parties and higher pipeline services fees income. The average sales price contributed to an increase in net sales by 6.0% in 2018 compared to 2017, primarily as a result of higher sales prices to Westlake per the terms of the Ethylene Sales Agreement, partially offset by lower third party ethylene sales prices.</w:t>
      </w:r>
    </w:p>
    <w:p>
      <w:pPr>
        <w:spacing w:after="0" w:line="13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decreased to $377.2 million in 2018 from $403.7 million in 2017. The gross profit margin was 29.3% in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34.4% in 2017. The 2018 gross profit margin was lower mainly due to lower third party ethylene sales prices and higher feedstock costs, partially offset by overall higher sales volumes to Westlake and third parties as a result of higher overall production at OpCo's facilities and higher pipeline services fee income, as compared to 2017.</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decreased by $1.7 million, or 5.8%, to $27.6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from $29.3 million in 2017. The decrease was mainly attributable to lower service costs, partially offset by an increase in professional consulting fees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as compared to 2017.</w:t>
      </w:r>
    </w:p>
    <w:p>
      <w:pPr>
        <w:spacing w:after="0" w:line="157"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$0.5 million to $21.4 million in 2018 from $21.9 million in 2017, largely due to a lower average debt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in 2018, mostly offset by a higher interest rate on debt due to an increase in the London Interbank Offered Rate ("LIBOR") in 2018. The lower debt balance was due to the partial repayment of borrowings under the OpCo Revolver and full repayment of the August 2013 Promissory Notes during the third quarter of 2017.</w:t>
      </w:r>
    </w:p>
    <w:p>
      <w:pPr>
        <w:spacing w:after="0" w:line="13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in 2018 as compared to 2017 was primarily due to the interest income related to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entered into in August 2017 between the Partnership, OpCo and Westlake that authorized Westlake to invest the Partnership's and OpCo’s excess cash with Westlake ("Investment Management Agreement").</w:t>
      </w:r>
    </w:p>
    <w:p>
      <w:pPr>
        <w:spacing w:after="0" w:line="127"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Provision for income taxes decreased to $0.02 million in 2018 as compared to $1.3 million in 2017.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mainly attributable to the revaluation of state deferred income tax liability as a result of a decrease in state tax apportionment.</w:t>
      </w:r>
    </w:p>
    <w:p>
      <w:pPr>
        <w:spacing w:after="0" w:line="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$5.3 million to $60.0 million in 2018 from $54.7 million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MLP distributable cash flow as compared to 2017 was primarily due to the 5% increase in the Partnership's interest in OpCo, effective as of July 1, 2017, an increase in overall production at OpCo's facilities, lower maintenance capital expenditures and the elimination of the Partnership's distributions to Westlake as the holder of the Partnership's incentive distribution rights per the July 2018 amendment to the Partnership's target distribution tiers, partially offset by lower margins on third party sales.</w:t>
      </w:r>
    </w:p>
    <w:p>
      <w:pPr>
        <w:spacing w:after="0" w:line="13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$29.3 million to $460.9 million in 2018 from $490.2 million in 2017. The decrease in EBITDA, as compared to 2017,</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third party ethylene sales prices, partially offset by higher sales volumes as a result of higher overall production at OpCo's facilities.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17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by $186.3 million, or 18.9%, to $1,173.0 million in 2017 from $986.7 million in 2016, primarily due to higher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to Westlake and third parties, partially offset by the Shortfall of approximately $63.5 million recognized during 2016. The overall sales volumes in 2017 contributed to an increase in net sales of 20.5%, as compared to 2016, due to higher sales volumes to Westlake and third parties. Ethylene production at the Lake Charles Petro I facility increased in 2017 as a result of the upgrade and capacity expansion that was completed in July 2016 and higher production rates at the Lake Charles Petro 2 and Calvert City Olefins facilities, as compared to 2016. The overall ethylene and co-product sales price in 2017 decreased by 1.6%, which was primarily due to lower ethylene sales prices to Westlake in 2017, as compared to 2016, partially offset by the increase in sales prices of ethylene and co-products to third parties in 2017, as compared to 2016.</w:t>
      </w:r>
    </w:p>
    <w:p>
      <w:pPr>
        <w:spacing w:after="0" w:line="12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margin percentage was 34.4% in 2017 as compared to 39.7% in 2016. The lower gross profit margin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higher depreciation and amortization expense in 2017 as a result of the 2016 Lake Charles Petro 1 facility upgrade and expansion and the recognition of the Shortfall in 2016, partially offset by higher sales volume to third parties and Westlake, as compared to 2016. Gross profit increased to $403.7 million in 2017 from $391.3 million in 2016, primarily because of higher sales volume in 2017.</w:t>
      </w:r>
    </w:p>
    <w:p>
      <w:pPr>
        <w:spacing w:after="0" w:line="13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$4.4 million, or 17.7%, to $29.3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2017 from $24.9 million in 2016. The increase was mainly attributable to an increase in consulting and professional fees and services costs, partially offset by a decrease in the allowance for bad debt accounts in 2017, as compared to 2016.</w:t>
      </w:r>
    </w:p>
    <w:p>
      <w:pPr>
        <w:spacing w:after="0" w:line="127"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$9.3 million to $21.9 million in 2017 from $12.6 million in 2016, largely due to decreased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major projects in 2017, as compared to 2016, and a higher average debt balance in 2017 to fund the capital expenditures related to the Lake Charles Petro 1 upgrade and expansion in 2016 and the Calvert City Olefins upgrade and expansion.</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MLP Distributable Cash Flow</w:t>
      </w:r>
      <w:r>
        <w:rPr>
          <w:rFonts w:ascii="Arial" w:cs="Arial" w:eastAsia="Arial" w:hAnsi="Arial"/>
          <w:sz w:val="18"/>
          <w:szCs w:val="18"/>
          <w:color w:val="auto"/>
        </w:rPr>
        <w:t>. MLP distributable cash flow increased by $22.3 million to $54.7 million in 2017 from $32.4 million in 2016.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MLP distributable cash flow as compared to prior year was due to the Partnership’s increased ownership interest in OpCo and higher production volume in 2016.</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EBITDA increased by $24.9 million to $490.2 million in 2017 from $465.3 million in 2016. The increase in EBITDA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was due to increased production at all of OpCo’s facilities following the completion of expansion projects at the Lake Charles Petro 1 and Calvert City Olefins facilities, partially offset by the Shortfall of approximately $63.5 million recognized in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Operating activities provided cash of $436.2 million in 2018 compared to cash provided of $537.4 million in 2017. The $101.2 million decrease in cash flows from operating activities was mainly due to lower operating income and an increase in use of cash in working capital during 2018 as compared to 2017. Changes in components of working capital, which we define for the purposes of this cash flow discussion as accounts receivable—Westlake, accounts receivable, net—third parties, inventories, prepaid expenses and other current assets less accounts payable—Westlake, accounts payable—third parties and accrued liabilities, used cash of $4.3 million in 2018 as compared to $78.3 million of cash provided in 2017, resulting in an overall unfavorable change of $82.6 million. This change was primarily due to the unfavorable change in the Westlake accounts receivable balance in 2018 as compared to 2017. The unfavorable change was primarily due to the recovery of the Shortfall and a buyer deficiency fee in 2017 that were recognized in 2016 as accounts receivable from Westlake.</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Operating activities provided cash of $537.4 million in 2017 compared to cash provided of $287.7 million in 2016. The $249.8 million increase in cash flows from operating activities was mainly due to an increase in cash provided by working capital and lower turnaround related expenditures during 2017 as compared to 2016. Changes in components of working capital, which we define for the purposes of this cash flow discussion as accounts receivable— Westlake, accounts receivable, net—third parties, inventories, prepaid expenses and other current assets less accounts payable—Westlake, accounts payable— third parties and accrued liabilities, provided cash of $78.3 million in 2017 as compared to $89.8 million of cash used in 2016, resulting in an overall favorable change of $168.1 million. This change was primarily due to a favorable change in the Westlake accounts receivable balance due to the collection of the 2016 Shortfall amount and a buyer deficiency fee in 2017, partially offset by unfavorable changes in third party accounts receivable and accrued liabilities.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00" w:firstLine="405"/>
        <w:spacing w:after="0" w:line="276" w:lineRule="auto"/>
        <w:rPr>
          <w:sz w:val="20"/>
          <w:szCs w:val="20"/>
          <w:color w:val="auto"/>
        </w:rPr>
      </w:pPr>
      <w:r>
        <w:rPr>
          <w:rFonts w:ascii="Arial" w:cs="Arial" w:eastAsia="Arial" w:hAnsi="Arial"/>
          <w:sz w:val="17"/>
          <w:szCs w:val="17"/>
          <w:color w:val="auto"/>
        </w:rPr>
        <w:t>Net cash used for investing activities during 2018 was $51.8 million as compared to net cash used for investing activities of $203.2 million in 2017, mainly due to lower net cash invested with Westlake under the Investment Management Agreement and lower capital expenditures in 2018, as compared to 2017. During 2018, we invested $384.0 million with Westlake and maturities of such investments were $372.1 million. Capital expenditures were $39.9 million in 2018 compared to $68.9 million in 2017. Capital expenditures during 2018 were primarily related to planned and unplanned outages at our facilities while those in 2017 primarily reflected capital expenditures incurred for the Calvert City expansion project.</w:t>
      </w:r>
    </w:p>
    <w:p>
      <w:pPr>
        <w:spacing w:after="0" w:line="3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Net cash used for investing activities during 2017 was $203.2 million as compared to net cash used for investing activities of $299.5 million in 2016, mainly due to $136.2 million of net cash invested with Westlake under the Investment Management Agreement, partially offset by decreased capital expenditures during 2017 as compared to 2016. Capital expenditures were $68.9 million in 2017 compared to $299.6 million in 2016. Capital expenditures during 2017 were primarily incurred for the Calvert City expansion while 2016 primarily reflected capital expenditures for the Lake Charles Petro 1 facility upgrade and expansion project.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Net cash used for financing activities during 2018 was $391.6 million as compared to net cash used for financing activities of $396.0 million in 2017. The cash outflows during 2018 were related to the distribution of $341.9 million to Westlake and of $53.4 million to other unitholders by the Partnership. The distributions in 2018 were partially offset by borrowings under the OpCo Revolver of $3.6 million.</w:t>
      </w:r>
    </w:p>
    <w:p>
      <w:pPr>
        <w:spacing w:after="0" w:line="4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Net cash used for financing activities during 2017 was $396.0 million as compared to net cash used for financing activities of $68.9 million during 2016. The cash outflows during 2017 were related to the distribution of $343.9 million to Westlake and of $42.1 million to other unitholders by the Partnership and the partial repayment of $254.2 million of borrowings under the OpCo Revolver and the full repayment of the August 2013 Promissory Notes of $31.7 million as compared to the distribution of $244.6 million to Westlake and of $34.9 million to other unitholders during 2016. The cash inflows during 2017 were related to borrowings under the OpCo Revolver of $47.1 million to fund capital expenditures, the borrowings of $118.2 million under the MLP Revolver and net proceeds from the common units offering of $110.7 million, as compared to borrowings under the OpCo Revolver of $212.2 million in 2016 primarily to fund capital expenditures and our working capital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Pursuant to the terms of the ATM Agreement, the Partnership may offer and sell the Partnership's common units from time to time to or through the Managers, as the Partnership's sales agents or as principals, having an aggregate offering amount of up to $50.0 million. The Partnership intends to use the net proceeds of sales of the common units, if any, for general partnership purposes, including the funding of potential drop-downs and other acquisitions.</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19"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127"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color w:val="auto"/>
        </w:rPr>
        <w:t>On September 29, 2017, we completed our secondary offering of 5,175,000 common units at a price of $22.00 per unit. Net proceeds to the Partnership from the sale of the units were $110.7 million, net of underwriting discounts, structuring fees and estimated offering expenses of approximately $3.1 million.</w:t>
      </w:r>
    </w:p>
    <w:p>
      <w:pPr>
        <w:spacing w:after="0" w:line="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August 1, 2017, the Partnership entered into an Investment Management Agreement with OpCo and Westlake that authorizes Westlake to invest the Partnership's and OpCo’s excess cash with Westlake for a term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On January 25, 2019, the board of directors of Westlake Chemical Partners GP LLC, our general partner, approved a quarterly distribution of $0.4328 per unit payable on February 20, 2019 to unitholders of record on February 5, 2019, which equates to approximately $14.0 million per quarter, or approximately $55.8 million per year in aggregate, based on the number of common units outstanding on December 31, 2018. We do not have a legal or contractual obligation to pay distributions on a quarterly basis or any other basis at our minimum quarterly distribution rate or any other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OpCo completed its expansion project to increase the ethylene capacity at its Calvert City facility in 2017 and Lake Charles Petro 1 facility upgrade and ethylene capacity expansion project in 2016.Westlake has historically funded expansion capital expenditures related to Lake Charles Olefins and Calvert City Olefins.</w:t>
      </w:r>
    </w:p>
    <w:p>
      <w:pPr>
        <w:spacing w:after="0" w:line="46"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During the years ended December 31, 2018 and 2017, Westlake loaned OpCo $3.6 million and $165.3 million, respectively. The $3.6 million was used to fund working capital needs in 2018, while $47.1 million of the $165.3 million amount was used to fund expansion capital expenditures in 2017. We expect that Westlake will loan additional cash to OpCo to fund its expansion capital expenditures in the future, but Westlake is under no obligation to do so.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As of December 31, 2018, our cash and cash equivalents totaled $19.7 million. In addition, we have cash invested under the Investment Management Agreement (as described below) and a revolving credit facility with Westlake available to supplement cash if needed, as described under "Indebtedness" below.</w:t>
      </w:r>
    </w:p>
    <w:p>
      <w:pPr>
        <w:spacing w:after="0" w:line="46"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On August 1,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$149.0 million of cash invested under the Investment Management Agreement at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ind w:firstLine="392"/>
        <w:spacing w:after="0" w:line="279" w:lineRule="auto"/>
        <w:rPr>
          <w:sz w:val="20"/>
          <w:szCs w:val="20"/>
          <w:color w:val="auto"/>
        </w:rPr>
      </w:pPr>
      <w:r>
        <w:rPr>
          <w:rFonts w:ascii="Arial" w:cs="Arial" w:eastAsia="Arial" w:hAnsi="Arial"/>
          <w:sz w:val="17"/>
          <w:szCs w:val="17"/>
          <w:color w:val="auto"/>
        </w:rPr>
        <w:t>In connection with the IPO, OpCo entered into a $600.0 million revolving credit facility with Westlake ("OpCo Revolver") that may be used to fund growth projects and working capital needs. As of December 31, 2018, outstanding borrowings under the OpCo Revolver totaled $224.1 million and bore interest at the LIBOR rate plus 2.0%, which is accrued in arrears quarterly. On September 25, 2018, the OpCo Revolver was amended to extend the scheduled maturity date from August 4, 2019 to September 25, 2023 and to revise the applicable margin from 3% to 2%.</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2015, we entered into a senior, unsecured revolving credit agreement with Westlake Chemical Finance Corporation, an affiliate of Westlake ("MLP Revolver"). The MLP Revolver has a borrowing capacity of $600.0 million and is scheduled to mature in 2021.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2018, the outstanding borrowings under the MLP Revolver totaled $253.5 million. We intend to use the MLP Revolver to purchase additional limited partnership interests in OpCo in the future, in the event OpCo desires to sell such additional interests to us, for other acquisitions and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The August 2013 Promissory Notes had a ten-year term and bore interest at the prime rate plus a 1.5% margin, which was accrued in arrears quarterly. OpCo had the right at any time to prepay the August 2013 Promissory Notes, in whole or in part, without any premium or penalty. The August 2013 Promissory Notes were scheduled to mature in August 2023. On September 29, 2017, OpCo repaid the balance of the August 2013 Promissory Note in full.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0"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 addition to long-term debt, we are required to make payments relating to various types of obligations. The following table summarizes our contractual obligations as of December 31, 2018 relating to long-term debt, interest payments, operating leases and purchase obligations for the next five years and thereafter. The amounts do not include deferred charges and other items classified in other liabilities in the consolidated balance sheet due to the uncertainty of the future payment schedule.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Payment Due by Period</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35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2020-2021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Thereafter</w:t>
            </w:r>
          </w:p>
        </w:tc>
      </w:tr>
      <w:tr>
        <w:trPr>
          <w:trHeight w:val="385"/>
        </w:trPr>
        <w:tc>
          <w:tcPr>
            <w:tcW w:w="3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Principal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477.6</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(2)</w:t>
            </w:r>
          </w:p>
        </w:tc>
        <w:tc>
          <w:tcPr>
            <w:tcW w:w="9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9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70"/>
        </w:trPr>
        <w:tc>
          <w:tcPr>
            <w:tcW w:w="3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(4)</w:t>
            </w:r>
          </w:p>
        </w:tc>
        <w:tc>
          <w:tcPr>
            <w:tcW w:w="9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559.0</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26"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 Long-term debt consists of the revolving credit facilities.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w:t>
      </w:r>
      <w:r>
        <w:rPr>
          <w:rFonts w:ascii="Arial" w:cs="Arial" w:eastAsia="Arial" w:hAnsi="Arial"/>
          <w:sz w:val="18"/>
          <w:szCs w:val="18"/>
          <w:color w:val="auto"/>
        </w:rPr>
        <w:t>Interest payments are based on interest rates in effect at December 31, 2018.</w:t>
      </w:r>
    </w:p>
    <w:p>
      <w:pPr>
        <w:spacing w:after="0" w:line="90" w:lineRule="exact"/>
        <w:rPr>
          <w:rFonts w:ascii="Arial" w:cs="Arial" w:eastAsia="Arial" w:hAnsi="Arial"/>
          <w:sz w:val="18"/>
          <w:szCs w:val="18"/>
          <w:color w:val="auto"/>
        </w:rPr>
      </w:pPr>
    </w:p>
    <w:p>
      <w:pPr>
        <w:ind w:left="420" w:right="40" w:hanging="412"/>
        <w:spacing w:after="0" w:line="30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Represent noncancelable operating leases with respect to rail cars that are subleased to OpCo and two site lease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periods. Pursuant to the site lease agreements, OpCo leases the real property underlying Lake Charles Olefins and Calvert City Olefins. OpCo is also granted rights to access and use certain other portions of Westlake's production facilities that are necessary to operate OpCo's ethylene production facilities. OpCo owes Westlake one dollar per site per year. Each of the site lease agreements has a term of 50 years.</w:t>
      </w:r>
    </w:p>
    <w:p>
      <w:pPr>
        <w:spacing w:after="0" w:line="19" w:lineRule="exact"/>
        <w:rPr>
          <w:rFonts w:ascii="Arial" w:cs="Arial" w:eastAsia="Arial" w:hAnsi="Arial"/>
          <w:sz w:val="16"/>
          <w:szCs w:val="16"/>
          <w:color w:val="auto"/>
        </w:rPr>
      </w:pPr>
    </w:p>
    <w:p>
      <w:pPr>
        <w:jc w:val="both"/>
        <w:ind w:left="420" w:right="20" w:hanging="412"/>
        <w:spacing w:after="0" w:line="312" w:lineRule="auto"/>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Purchase Obligations. </w:t>
      </w:r>
      <w:r>
        <w:rPr>
          <w:rFonts w:ascii="Arial" w:cs="Arial" w:eastAsia="Arial" w:hAnsi="Arial"/>
          <w:sz w:val="16"/>
          <w:szCs w:val="16"/>
          <w:color w:val="auto"/>
        </w:rPr>
        <w:t>Purchase obligations include agreements to purchase goods and services that are enforceable and legally binding and that specify</w:t>
      </w:r>
      <w:r>
        <w:rPr>
          <w:rFonts w:ascii="Arial" w:cs="Arial" w:eastAsia="Arial" w:hAnsi="Arial"/>
          <w:sz w:val="16"/>
          <w:szCs w:val="16"/>
          <w:i w:val="1"/>
          <w:iCs w:val="1"/>
          <w:color w:val="auto"/>
        </w:rPr>
        <w:t xml:space="preserve"> </w:t>
      </w:r>
      <w:r>
        <w:rPr>
          <w:rFonts w:ascii="Arial" w:cs="Arial" w:eastAsia="Arial" w:hAnsi="Arial"/>
          <w:sz w:val="16"/>
          <w:szCs w:val="16"/>
          <w:color w:val="auto"/>
        </w:rPr>
        <w:t>all significant terms, including a minimum quantity and price. We are party to various obligations to purchase goods and services, including the Services and Secondment Agreement, in the ordinary course of our business, as well as various purchase commitments for our capital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w:t>
      </w:r>
    </w:p>
    <w:p>
      <w:pPr>
        <w:spacing w:after="0" w:line="13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apply those accounting policies that we believe best reflect the underlying business and economic events, consistent with GAAP. Our more critical accounting policies include those related to long-lived assets, fair value estimates, goodwill impairment and environmental and legal obligations. Inherent in such policies are certain key assumptions and estimates. We periodically update the estimates used in the preparation of the financial statements based on our latest assessment of the current and projected business and general economic environment. Our significant accounting policies are summarized in Note 1 to the consolidated financial statements. We believe the following to be our most critical accounting policies applied in the preparation of our financial statements.</w:t>
      </w:r>
    </w:p>
    <w:p>
      <w:pPr>
        <w:spacing w:after="0" w:line="139"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Key estimates related to long-lived assets include useful lives, recoverability of carrying values and existence of any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1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2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$108.8 million, $114.0 million and $98.2 million in 2018, 2017 and 2016, respectively. If the useful lives of the assets were found to be shorter than originally estimated, depreciation or amortization charges would be accelerated.</w:t>
      </w:r>
    </w:p>
    <w:p>
      <w:pPr>
        <w:spacing w:after="0" w:line="13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$0.1 million, $9.6 million and $77.1 million in 2018, 2017 and 2016, respectively. Amortization in 2018, 2017 and 2016 of previously deferred turnaround costs was $20.1 million, $22.8 million and $20.8 million, respectively. As of December 31, 2018, deferred turnaround costs, net of accumulated amortization, totaled $56.5 million. Expensing turnaround costs as incurred would likely result in greater variability of our quarterly operating results and would adversely affect our financial position and results of operations.</w:t>
      </w:r>
    </w:p>
    <w:p>
      <w:pPr>
        <w:spacing w:after="0" w:line="104"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7 to the audited consolidated financial statements included within this report.</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Fair Value Estimates. </w:t>
      </w:r>
      <w:r>
        <w:rPr>
          <w:rFonts w:ascii="Arial" w:cs="Arial" w:eastAsia="Arial" w:hAnsi="Arial"/>
          <w:sz w:val="18"/>
          <w:szCs w:val="18"/>
          <w:color w:val="auto"/>
        </w:rPr>
        <w:t>We develop estimates of fair value to allocate the purchase price paid to acquire a business to the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an acquisition, to assess impairment of long-lived assets, goodwill and intangible assets and to record derivative instruments. We use all available information to make these fair value determinations, including the engagement of third-party consultants. At December 31, 2018, recorded goodwill was $5.8 million, all of which was associated with the acquisition of the Longview Pipeline as part of the acquisition of Westlake's Longview production facilities. In addition,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2" w:right="2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Goodwill is evaluated for impairment at least annually, or when events or changes in circumstances indicate the fair value of a</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goodwill has been reduced below its carrying value. We perform our annual impairment assessment in October.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2018, and such assessment did not indicate impairment of the goodwill. Under the discounted cash flow methodology, even if the fair value of OpCo decreased by 10%, the carrying value of OpCo would not exceed its fair value.</w:t>
      </w:r>
    </w:p>
    <w:p>
      <w:pPr>
        <w:spacing w:after="0" w:line="129"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Arial" w:cs="Arial" w:eastAsia="Arial" w:hAnsi="Arial"/>
          <w:sz w:val="16"/>
          <w:szCs w:val="16"/>
          <w:i w:val="1"/>
          <w:iCs w:val="1"/>
          <w:color w:val="auto"/>
        </w:rPr>
        <w:t>—</w:t>
      </w:r>
      <w:r>
        <w:rPr>
          <w:rFonts w:ascii="Arial" w:cs="Arial" w:eastAsia="Arial" w:hAnsi="Arial"/>
          <w:sz w:val="16"/>
          <w:szCs w:val="16"/>
          <w:color w:val="auto"/>
        </w:rPr>
        <w:t>Environmental and in Note 16 to the consolidated financial statements included within this report.</w:t>
      </w:r>
    </w:p>
    <w:p>
      <w:pPr>
        <w:spacing w:after="0" w:line="10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See Note 1 to the consolidated financial statements included within this report for a full description of recent accounting pronouncements, including expected dates of adoption and estimated effects on results of operations and financial condition, which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short-term derivative instruments to reduce price volatility risk on feedstocks and ethylene associated with the production and sales to third parties. We entered into some of these agreements in December 2018. Based on our open derivative positions as of December 31, 2018, a hypothetical $0.10 increase in the price of a gallon of ethane would have increased our income before taxes by $2.1 million and a hypothetical $0.10 decrease in the price of a pound of ethylene would have increased our income before taxes by $5.0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December 31, 2018, we had variable rate debt of $477.6 million outstanding, all of which was owed to wholly-owned subsidiaries of Westlake, and accrues interest at a variable rate of LIBOR plus 200 basis points. The interest rate contract with Westlake to fix the LIBOR component of the interest rate for a portion of the MLP Revolver, which was entered into in August 2015, expired in August 2018. The weighted average variable interest rate of our debt as of December 31, 2018 was 4.4%.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$4.8 million, based on the December 31, 2018 debt balance.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240" w:type="dxa"/>
            <w:vAlign w:val="bottom"/>
          </w:tcPr>
          <w:p>
            <w:pPr>
              <w:spacing w:after="0"/>
              <w:rPr>
                <w:sz w:val="16"/>
                <w:szCs w:val="16"/>
                <w:color w:val="auto"/>
              </w:rPr>
            </w:pPr>
          </w:p>
        </w:tc>
        <w:tc>
          <w:tcPr>
            <w:tcW w:w="1140" w:type="dxa"/>
            <w:vAlign w:val="bottom"/>
          </w:tcPr>
          <w:p>
            <w:pPr>
              <w:jc w:val="right"/>
              <w:ind w:right="332"/>
              <w:spacing w:after="0"/>
              <w:rPr>
                <w:sz w:val="20"/>
                <w:szCs w:val="20"/>
                <w:color w:val="auto"/>
              </w:rPr>
            </w:pPr>
            <w:r>
              <w:rPr>
                <w:rFonts w:ascii="Arial" w:cs="Arial" w:eastAsia="Arial" w:hAnsi="Arial"/>
                <w:sz w:val="14"/>
                <w:szCs w:val="14"/>
                <w:b w:val="1"/>
                <w:bCs w:val="1"/>
                <w:color w:val="auto"/>
              </w:rPr>
              <w:t>Page</w:t>
            </w:r>
          </w:p>
        </w:tc>
      </w:tr>
      <w:tr>
        <w:trPr>
          <w:trHeight w:val="80"/>
        </w:trPr>
        <w:tc>
          <w:tcPr>
            <w:tcW w:w="1024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372"/>
        </w:trPr>
        <w:tc>
          <w:tcPr>
            <w:tcW w:w="1024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4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43</w:t>
              </w:r>
            </w:hyperlink>
          </w:p>
        </w:tc>
      </w:tr>
      <w:tr>
        <w:trPr>
          <w:trHeight w:val="270"/>
        </w:trPr>
        <w:tc>
          <w:tcPr>
            <w:tcW w:w="10240" w:type="dxa"/>
            <w:vAlign w:val="bottom"/>
          </w:tcPr>
          <w:p>
            <w:pPr>
              <w:spacing w:after="0"/>
              <w:rPr>
                <w:rFonts w:ascii="Arial" w:cs="Arial" w:eastAsia="Arial" w:hAnsi="Arial"/>
                <w:sz w:val="18"/>
                <w:szCs w:val="18"/>
                <w:color w:val="auto"/>
              </w:rPr>
            </w:pPr>
            <w:hyperlink w:anchor="page49">
              <w:r>
                <w:rPr>
                  <w:rFonts w:ascii="Arial" w:cs="Arial" w:eastAsia="Arial" w:hAnsi="Arial"/>
                  <w:sz w:val="18"/>
                  <w:szCs w:val="18"/>
                  <w:color w:val="auto"/>
                </w:rPr>
                <w:t>Report of Independent Registered Public Accounting Firm</w:t>
              </w:r>
            </w:hyperlink>
          </w:p>
        </w:tc>
        <w:tc>
          <w:tcPr>
            <w:tcW w:w="114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44</w:t>
              </w:r>
            </w:hyperlink>
          </w:p>
        </w:tc>
      </w:tr>
      <w:tr>
        <w:trPr>
          <w:trHeight w:val="270"/>
        </w:trPr>
        <w:tc>
          <w:tcPr>
            <w:tcW w:w="10240" w:type="dxa"/>
            <w:vAlign w:val="bottom"/>
          </w:tcPr>
          <w:p>
            <w:pPr>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1">
              <w:r>
                <w:rPr>
                  <w:rFonts w:ascii="Arial" w:cs="Arial" w:eastAsia="Arial" w:hAnsi="Arial"/>
                  <w:sz w:val="18"/>
                  <w:szCs w:val="18"/>
                  <w:color w:val="auto"/>
                </w:rPr>
                <w:t>Financial Statements:</w:t>
              </w:r>
            </w:hyperlink>
          </w:p>
        </w:tc>
        <w:tc>
          <w:tcPr>
            <w:tcW w:w="1140" w:type="dxa"/>
            <w:vAlign w:val="bottom"/>
          </w:tcPr>
          <w:p>
            <w:pPr>
              <w:spacing w:after="0"/>
              <w:rPr>
                <w:sz w:val="23"/>
                <w:szCs w:val="23"/>
                <w:color w:val="auto"/>
              </w:rPr>
            </w:pP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31, 2018 and 2017</w:t>
            </w:r>
          </w:p>
        </w:tc>
        <w:tc>
          <w:tcPr>
            <w:tcW w:w="114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46</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tc>
        <w:tc>
          <w:tcPr>
            <w:tcW w:w="114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47</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Changes in Equity for the Years Ended December 31, 2018, 2017 and 2016</w:t>
            </w:r>
          </w:p>
        </w:tc>
        <w:tc>
          <w:tcPr>
            <w:tcW w:w="114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48</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14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49</w:t>
              </w:r>
            </w:hyperlink>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50</w:t>
              </w:r>
            </w:hyperlink>
          </w:p>
        </w:tc>
      </w:tr>
    </w:tbl>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The management of the Partnership assessed the effectiveness of the Partnership's internal control over financial reporting as of December 31, 2018.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Based on its assessment, Partnership's management has concluded that the Partnership's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December 31, 2018 based on those criteria.</w:t>
      </w:r>
    </w:p>
    <w:p>
      <w:pPr>
        <w:spacing w:after="0" w:line="13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2018 as stated in their report that appears on the following page.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Westlake Chemical Partners GP LLC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Westlake Chemical Partners LP and its subsidiaries (the "Partnership") as of December 31, 2018 and 2017, and the related consolidated statements of operations, of changes in equity and of cash flows for each of the three years in the period ended December 31, 2018, including the related notes (collectively referred to as the "consolidated financial statements"). We also have audited the Partnership's internal control over financial reporting as of December 31, 2018,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1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Partnership as of December 31, 2018 and 2017, and the results of its operations and its cash flows for each of the three years in the period ended December 31, 2018 in conformity with accounting principles generally accepted in the United States of America. Also in our opinion, the Partnership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0"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2" w:right="29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served as the Partnership’s auditor since 2014.</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4"/>
        </w:trPr>
        <w:tc>
          <w:tcPr>
            <w:tcW w:w="200" w:type="dxa"/>
            <w:vAlign w:val="bottom"/>
          </w:tcPr>
          <w:p>
            <w:pPr>
              <w:spacing w:after="0"/>
              <w:rPr>
                <w:sz w:val="23"/>
                <w:szCs w:val="23"/>
                <w:color w:val="auto"/>
              </w:rPr>
            </w:pPr>
          </w:p>
        </w:tc>
        <w:tc>
          <w:tcPr>
            <w:tcW w:w="8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4"/>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Corporation ("Westlake")</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148,956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136,510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net—Westlake Chemical Corporation ("Westlake")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43,884</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Accounts receivable, net—third parties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231,389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1,148,265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1,196,245</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charges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60,904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81,828</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1,462,125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380" w:type="dxa"/>
            <w:vAlign w:val="bottom"/>
            <w:vMerge w:val="restart"/>
          </w:tcPr>
          <w:p>
            <w:pPr>
              <w:jc w:val="center"/>
              <w:ind w:right="21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Accounts payable—Westlake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27,477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payable—third parties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83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Long-term debt payable to Westlake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477,608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473,960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516,527</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bottom w:val="single" w:sz="8" w:color="CCEEFF"/>
            </w:tcBorders>
            <w:shd w:val="clear" w:color="auto" w:fill="CCEEFF"/>
          </w:tcPr>
          <w:p>
            <w:pPr>
              <w:spacing w:after="0"/>
              <w:rPr>
                <w:sz w:val="21"/>
                <w:szCs w:val="21"/>
                <w:color w:val="auto"/>
              </w:rPr>
            </w:pPr>
          </w:p>
        </w:tc>
        <w:tc>
          <w:tcPr>
            <w:tcW w:w="838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Common unitholders—public (18,125,141 and 18,112,500 units issued and outstanding at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December 31, 2018 and December 31, 2017,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409,608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411,228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Common unitholder—Westlake (14,122,230 and 14,122,230 units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December 31, 2018 and December 31, 2017,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General partner—Westlake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(241,958)</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Arial" w:cs="Arial" w:eastAsia="Arial" w:hAnsi="Arial"/>
                <w:sz w:val="18"/>
                <w:szCs w:val="18"/>
                <w:color w:val="auto"/>
              </w:rPr>
              <w:t>Total Westlake Chemical Partners LP partners' capital</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215,810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219,814</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778,935</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838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934,081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7"/>
        </w:trPr>
        <w:tc>
          <w:tcPr>
            <w:tcW w:w="20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1,462,125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1,515,276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4"/>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4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center"/>
              <w:ind w:left="592"/>
              <w:spacing w:after="0"/>
              <w:rPr>
                <w:sz w:val="20"/>
                <w:szCs w:val="20"/>
                <w:color w:val="auto"/>
              </w:rPr>
            </w:pPr>
            <w:r>
              <w:rPr>
                <w:rFonts w:ascii="Arial" w:cs="Arial" w:eastAsia="Arial" w:hAnsi="Arial"/>
                <w:sz w:val="14"/>
                <w:szCs w:val="14"/>
                <w:b w:val="1"/>
                <w:bCs w:val="1"/>
                <w:color w:val="auto"/>
                <w:w w:val="92"/>
              </w:rPr>
              <w:t>except unit amounts and per unit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1,074,957</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973,081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853,719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co-products, ethylene and other sales—third parties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199,900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133,017</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1,285,622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1,172,981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986,736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908,463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769,314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595,405</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377,159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403,667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391,331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27,590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349,569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374,407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366,444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330,593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354,438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330,571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353,058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281,224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304,388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312,463</w:t>
            </w:r>
          </w:p>
        </w:tc>
        <w:tc>
          <w:tcPr>
            <w:tcW w:w="0" w:type="dxa"/>
            <w:vAlign w:val="bottom"/>
          </w:tcPr>
          <w:p>
            <w:pPr>
              <w:spacing w:after="0"/>
              <w:rPr>
                <w:sz w:val="1"/>
                <w:szCs w:val="1"/>
                <w:color w:val="auto"/>
              </w:rPr>
            </w:pPr>
          </w:p>
        </w:tc>
      </w:tr>
      <w:tr>
        <w:trPr>
          <w:trHeight w:val="205"/>
        </w:trPr>
        <w:tc>
          <w:tcPr>
            <w:tcW w:w="710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 Partners LP and limited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49,347</w:t>
            </w:r>
          </w:p>
        </w:tc>
        <w:tc>
          <w:tcPr>
            <w:tcW w:w="20" w:type="dxa"/>
            <w:vAlign w:val="bottom"/>
            <w:tcBorders>
              <w:top w:val="single" w:sz="8" w:color="auto"/>
            </w:tcBorders>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48,670</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40,940</w:t>
            </w: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interest in net income</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attributable to Westlake Chemical Partners LP per limited partner</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18,118,628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14,270,240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12,937,500</w:t>
            </w:r>
          </w:p>
        </w:tc>
        <w:tc>
          <w:tcPr>
            <w:tcW w:w="0" w:type="dxa"/>
            <w:vAlign w:val="bottom"/>
          </w:tcPr>
          <w:p>
            <w:pPr>
              <w:spacing w:after="0"/>
              <w:rPr>
                <w:sz w:val="1"/>
                <w:szCs w:val="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14,122,230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7,831,307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6,290,923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12,686,115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75" w:lineRule="exact"/>
        <w:rPr>
          <w:sz w:val="20"/>
          <w:szCs w:val="20"/>
          <w:color w:val="auto"/>
        </w:rPr>
      </w:pPr>
    </w:p>
    <w:p>
      <w:pPr>
        <w:ind w:left="5980"/>
        <w:spacing w:after="0"/>
        <w:rPr>
          <w:sz w:val="20"/>
          <w:szCs w:val="20"/>
          <w:color w:val="auto"/>
        </w:rPr>
      </w:pPr>
      <w:r>
        <w:rPr>
          <w:rFonts w:ascii="Arial" w:cs="Arial" w:eastAsia="Arial" w:hAnsi="Arial"/>
          <w:sz w:val="16"/>
          <w:szCs w:val="16"/>
          <w:b w:val="1"/>
          <w:bCs w:val="1"/>
          <w:i w:val="1"/>
          <w:iCs w:val="1"/>
          <w:color w:val="auto"/>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34925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Unitholders -</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Unitholder -</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Unitholder -</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Partner -</w:t>
            </w: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Public</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in OpCo</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0"/>
              </w:rPr>
              <w:t>(in thousands of dollars)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294,565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750,606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19,440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312,463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353,403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(34,937)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(244,590)</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297,367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4,813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(242,430)</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818,479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353,058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secondary public offering,</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of finance and other offering costs</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110,698</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Subordinated unit conversion</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(343,932)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(343,932)</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998,749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27,320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21,294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330,571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effect of cash flow hedge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Units issued for vested phantom units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0" w:type="dxa"/>
            <w:vAlign w:val="bottom"/>
          </w:tcPr>
          <w:p>
            <w:pPr>
              <w:spacing w:after="0"/>
              <w:rPr>
                <w:sz w:val="1"/>
                <w:szCs w:val="1"/>
                <w:color w:val="auto"/>
              </w:rPr>
            </w:pPr>
          </w:p>
        </w:tc>
      </w:tr>
      <w:tr>
        <w:trPr>
          <w:trHeight w:val="229"/>
        </w:trPr>
        <w:tc>
          <w:tcPr>
            <w:tcW w:w="3560" w:type="dxa"/>
            <w:vAlign w:val="bottom"/>
          </w:tcPr>
          <w:p>
            <w:pPr>
              <w:ind w:left="40"/>
              <w:spacing w:after="0"/>
              <w:rPr>
                <w:sz w:val="20"/>
                <w:szCs w:val="20"/>
                <w:color w:val="auto"/>
              </w:rPr>
            </w:pPr>
            <w:r>
              <w:rPr>
                <w:rFonts w:ascii="Arial" w:cs="Arial" w:eastAsia="Arial" w:hAnsi="Arial"/>
                <w:sz w:val="18"/>
                <w:szCs w:val="18"/>
                <w:color w:val="auto"/>
              </w:rPr>
              <w:t>Quarterly distribution to noncontrolling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0"/>
              <w:spacing w:after="0"/>
              <w:rPr>
                <w:sz w:val="20"/>
                <w:szCs w:val="20"/>
                <w:color w:val="auto"/>
              </w:rPr>
            </w:pPr>
            <w:r>
              <w:rPr>
                <w:rFonts w:ascii="Arial" w:cs="Arial" w:eastAsia="Arial" w:hAnsi="Arial"/>
                <w:sz w:val="18"/>
                <w:szCs w:val="18"/>
                <w:color w:val="auto"/>
              </w:rPr>
              <w:t>interest retained in OpCo by Westlake</w:t>
            </w: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(341,888)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409,608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718,271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934,081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385"/>
        </w:trPr>
        <w:tc>
          <w:tcPr>
            <w:tcW w:w="7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 of dollars)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330,571</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353,058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353,403</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108,842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113,985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98,210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3,791</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(77,911)</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436,151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537,357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(299,638)</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Maturities of investments with Westlake under the Investment Management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372,050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62,828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(203,229)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(299,481)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common equity offering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165,257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212,175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29"/>
        </w:trPr>
        <w:tc>
          <w:tcPr>
            <w:tcW w:w="710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100" w:type="dxa"/>
            <w:vAlign w:val="bottom"/>
          </w:tcPr>
          <w:p>
            <w:pPr>
              <w:ind w:left="160"/>
              <w:spacing w:after="0"/>
              <w:rPr>
                <w:sz w:val="20"/>
                <w:szCs w:val="20"/>
                <w:color w:val="auto"/>
              </w:rPr>
            </w:pPr>
            <w:r>
              <w:rPr>
                <w:rFonts w:ascii="Arial" w:cs="Arial" w:eastAsia="Arial" w:hAnsi="Arial"/>
                <w:sz w:val="18"/>
                <w:szCs w:val="18"/>
                <w:color w:val="auto"/>
              </w:rPr>
              <w:t>Westlake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(341,888)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(343,932)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(244,590)</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(42,117)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(34,937)</w:t>
            </w:r>
          </w:p>
        </w:tc>
      </w:tr>
      <w:tr>
        <w:trPr>
          <w:trHeight w:val="237"/>
        </w:trPr>
        <w:tc>
          <w:tcPr>
            <w:tcW w:w="710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(391,603)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(396,020)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(68,904)</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(80,659)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27,008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88,900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169,559</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19,744</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27,008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680" w:firstLine="8"/>
        <w:spacing w:after="0" w:line="346"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its secondary offering of 5,175,000 common units at a price of $22.00 per unit.</w:t>
      </w:r>
    </w:p>
    <w:p>
      <w:pPr>
        <w:spacing w:after="0" w:line="52"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connection with the IPO, the Partnership acquired a 10.6% interest in Westlake Chemical OpCo LP ("OpCo") and a 100% interest in Westlake Chemical OpCo GP LLC ("OpCo GP"), which is the general partner of OpCo. OpCo owns three ethylene production facilities and a common carrier ethylene pipeline (collectively, the "Contributed Assets").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 References to "Westlake" refer collectively to Westlake Chemical Corporation and its subsidiaries, other than the Partnership, OpCo and OpCo GP.</w:t>
      </w:r>
    </w:p>
    <w:p>
      <w:pPr>
        <w:spacing w:after="0" w:line="113" w:lineRule="exact"/>
        <w:rPr>
          <w:sz w:val="20"/>
          <w:szCs w:val="20"/>
          <w:color w:val="auto"/>
        </w:rPr>
      </w:pPr>
    </w:p>
    <w:p>
      <w:pPr>
        <w:ind w:right="820" w:firstLine="405"/>
        <w:spacing w:after="0" w:line="277" w:lineRule="auto"/>
        <w:rPr>
          <w:sz w:val="20"/>
          <w:szCs w:val="20"/>
          <w:color w:val="auto"/>
        </w:rPr>
      </w:pPr>
      <w:r>
        <w:rPr>
          <w:rFonts w:ascii="Arial" w:cs="Arial" w:eastAsia="Arial" w:hAnsi="Arial"/>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16"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the accounting principles generally accepted in the United States.</w:t>
      </w:r>
    </w:p>
    <w:p>
      <w:pPr>
        <w:spacing w:after="0" w:line="11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Partnership holds a 18.3% limited partner interest and the entire non-economic general partner interest in OpCo. The remaining 81.7%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determination of the allowance for doubtful accounts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and specific collectability analysis. The allowance for doubtful accounts is reviewed quarterly. Past due balances over 90 days and high risk accounts, as determined by the analysis of financial strength of customers, are reviewed individually for collectability.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1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$175, $435 and $5,961 for the years ended December 31, 2018, 2017 and 2016. Repair and maintenance costs are charged to operations as incurred. Gains and losses on the disposal or retirement of property, plant and equipment are reflected in the statement of operations when the assets are sold or retired.</w:t>
      </w:r>
    </w:p>
    <w:p>
      <w:pPr>
        <w:spacing w:after="0" w:line="1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Classification</w:t>
            </w:r>
          </w:p>
        </w:tc>
        <w:tc>
          <w:tcPr>
            <w:tcW w:w="90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r>
      <w:tr>
        <w:trPr>
          <w:trHeight w:val="371"/>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1380" w:type="dxa"/>
            <w:vAlign w:val="bottom"/>
          </w:tcPr>
          <w:p>
            <w:pPr>
              <w:spacing w:after="0"/>
              <w:rPr>
                <w:sz w:val="2"/>
                <w:szCs w:val="2"/>
                <w:color w:val="auto"/>
              </w:rPr>
            </w:pPr>
          </w:p>
        </w:tc>
        <w:tc>
          <w:tcPr>
            <w:tcW w:w="9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Ethylene pipeline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103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Intangible Assets</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October 2018 and did not indicate impairment of the goodwill. Other intangible assets with finite lives are amortized over their estimated useful life and reviewed for impairment in accordance with the provisions of the accounting guidance. As of December 31, 2018, the Partnership's recorded goodwill was $5,814. See Note 6 for more information on the Partnership's annual goodwill impairment test.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ranges from three to six years. Deferred turnaround costs are presented as a component of other assets, net. The cash outflows related to these costs are included in operating activities in the consolidated statement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2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34"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(1) have an original expected duration of one year or less or (2) have only variable consideration which is allocated to wholly unsatisfied performance obligations that is calculated based on market prices at a specified date and is allocated to wholly unsatisfied performance obligations.</w:t>
      </w:r>
    </w:p>
    <w:p>
      <w:pPr>
        <w:spacing w:after="0" w:line="46"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Partnership generates a substantial majority of its revenue from sales to Westlake under the Ethylene Sales Agreement. The Ethylene Sales Agreement is intended to generate a long-term, fixed cash margin per pound. Partnership’s direct commodity price risk is limited to the sales to third parties. See the Partnership’s consolidated statement of operations for the disaggregation of net sales to Westlake and net sales to third parties.</w:t>
      </w:r>
    </w:p>
    <w:p>
      <w:pPr>
        <w:spacing w:after="0" w:line="111" w:lineRule="exact"/>
        <w:rPr>
          <w:sz w:val="20"/>
          <w:szCs w:val="20"/>
          <w:color w:val="auto"/>
        </w:rPr>
      </w:pPr>
    </w:p>
    <w:p>
      <w:pPr>
        <w:ind w:right="300" w:firstLine="432"/>
        <w:spacing w:after="0" w:line="312" w:lineRule="auto"/>
        <w:rPr>
          <w:sz w:val="20"/>
          <w:szCs w:val="20"/>
          <w:color w:val="auto"/>
        </w:rPr>
      </w:pPr>
      <w:r>
        <w:rPr>
          <w:rFonts w:ascii="Arial" w:cs="Arial" w:eastAsia="Arial" w:hAnsi="Arial"/>
          <w:sz w:val="16"/>
          <w:szCs w:val="16"/>
          <w:color w:val="auto"/>
        </w:rPr>
        <w:t>Prior to the adoption of ASU No. 2014-09, Revenue from Contracts with Customers ("ASC 606"), on January 1, 2018, the revenue was recognized when persuasive evidence of an arrangement existed, products were delivered to the customer, the sales price was fixed or determinable, and collectability was reasonably assured. Title and risk of loss had passed to the customer upon delivery under executed customer purchase orders or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Amounts billed to customers for freight and handling costs on outbound shipments are included in net sales in the consolidated statements of operations. Transportation and freight costs incurred by the Partnership on outbound shipments are included in cost of sales in the consolidated statements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Partnership only operates one segment (ethylene production) and all of its operations are located in the United States.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Partnership has not reported consolidated statements of comprehensive income for the years ended December 31, 2018, 2017 and 2016 due to immateriality of the components of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standard requires adoption using a modified retrospective approach and allows for the election of certain transition practical expedients. The accounting standards update allows for certain transition expedients for leases that commenced prior to the adoption of the new standard. Under the optional transition expedients an entity is not required to reassess</w:t>
      </w:r>
    </w:p>
    <w:p>
      <w:pPr>
        <w:spacing w:after="0" w:line="5" w:lineRule="exact"/>
        <w:rPr>
          <w:sz w:val="20"/>
          <w:szCs w:val="20"/>
          <w:color w:val="auto"/>
        </w:rPr>
      </w:pPr>
    </w:p>
    <w:p>
      <w:pPr>
        <w:ind w:right="440" w:firstLine="8"/>
        <w:spacing w:after="0" w:line="302"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whether any expired or existing lease contracts are or contain leases, (2) the classification of leases as operating or capital leases and (3) whether any initial direct costs qualify for capitalization under the new accounting standard. These expedients are required to be elected as a group. The accounting standards update also allows the use of hindsight to determine the lease term when considering lease renewal or termination options.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2018, the FASB issued additional authoritative guidance that provides an optional transition method which allows entities to continue applying the existing lease guidance in the comparative periods and recognize a cumulative-effect adjustment to the opening balance of retained earnings in the period of adoption. The FASB also issued an accounting standards update that allows entities to apply their existing policy for accounting for land easements that exist as of, or expired before, the effective date of the new lease standard.</w:t>
      </w:r>
    </w:p>
    <w:p>
      <w:pPr>
        <w:spacing w:after="0" w:line="5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accounting standard is effective for reporting periods beginning after December 15, 2018 and is not expected to have a material impact on the Partnership's consolidated financial position, results of operations and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expected to have a material impact on the Partnership's consolidated financial position, results of operations and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(ASU No. 2018-13)</w:t>
      </w:r>
    </w:p>
    <w:p>
      <w:pPr>
        <w:spacing w:after="0" w:line="17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August 2018, the FASB issued an accounting standards update to modify the disclosure requirements on fair value measurements. The amendments are effective beginning after December 15, 2019. An entity is permitted to early adopt any removed or modified disclosures and delay adoption of the additional disclosures until the effective date. Most amendments should be applied retrospectively but certain amendments should be applied prospectively. The Partnership is in the process of evaluating the impact that the new accounting guidance will have on the Partnership's consolidated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May 2014, the Financial Accounting Standards Board ("FASB") issued an accounting standards update on a comprehensive new revenue recognition standard that supersedes virtually all previously issued revenue recognition guidance. The new accounting guidance creates a framework by which an entity will allocate the transaction price to separate performance obligations and recognize revenue when each performance obligation is satisfied. Under the new standard, entities are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"modified retrospective" adoption, meaning the standard is applied only to the most current period presented in the financial statements with a cumulative catch-up as of the current period.</w:t>
      </w:r>
    </w:p>
    <w:p>
      <w:pPr>
        <w:spacing w:after="0" w:line="11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The Partnership adopted ASU No. 2014-09, Revenue from Contracts with Customers, effective January 1, 2018. The Partnership applied the modified retrospective transition method to all contracts that were not completed as of the adoption date. Periods prior to January 1, 2018 were not adjusted and are reported under the accounting standards that were in place during those periods. There was no cumulative effect to the Partnership’s consolidated January 1, 2018 balance sheet for the adoption of this accounting standard. There was no impact of ASC 606 adoption on the financial statements for the year ended December 31, 2018 as compared with the guidance that was in effect prior to January 1, 2018.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22" w:right="31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In January 2017, the FASB issued an accounting standard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ASC 606.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became effective for reporting periods beginning after December 15, 2017. The Partnership adopted this accounting standard effective January 1, 2018, and the adoption did not have any impact on the Partnership's consolidated financial position, results of operations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(ASU No. 2018-15)</w:t>
      </w:r>
    </w:p>
    <w:p>
      <w:pPr>
        <w:spacing w:after="0" w:line="90"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In August 2018, the FASB issued an accounting standards update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are effective for fiscal years beginning after December 15, 2019 and early adoption is permitted. The amendments should be applied either retrospectively or prospectively to all implementation costs incurred after the date of adoption. The Partnership adopted this accounting standard effective October 1, 2018, and the adoption did not have a material impact on the Partnership's consolidated financial position, results of operations and cash flow.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Agreements with Westlake and Related Parties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0" w:lineRule="exact"/>
        <w:rPr>
          <w:sz w:val="20"/>
          <w:szCs w:val="20"/>
          <w:color w:val="auto"/>
        </w:rPr>
      </w:pPr>
    </w:p>
    <w:p>
      <w:pPr>
        <w:ind w:left="660" w:right="440" w:hanging="328"/>
        <w:spacing w:after="0" w:line="33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1"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ind w:left="660" w:right="52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7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1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result of the fee structure is that OpCo should recover the portion of its total operating costs and maintenance capital expenditures and other turnaround expenditures corresponding to the portion of OpCo's aggregate production that is purchased by Westlake. Any shortfall in recovery of such costs is recognized during the current year and is recoverable from Westlake in the subsequent year.</w:t>
      </w:r>
    </w:p>
    <w:p>
      <w:pPr>
        <w:spacing w:after="0" w:line="12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116"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in order to provide OpCo with the option to curtail up to approximately 5% of its ethylene production annually in the event OpCo reasonably determines that its sales of such ethylene to third parties during the relevant period would be uneconomic.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1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1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OpCo has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0"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77"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Partnership, OpCo and Westlake are parties to an Investment Management Agreement that authorizes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$149.0 million of invested cash under the Investment Management Agreement at December 31,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16,404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4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vMerge w:val="continue"/>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4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3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spacing w:after="0"/>
              <w:rPr>
                <w:sz w:val="22"/>
                <w:szCs w:val="22"/>
                <w:color w:val="auto"/>
              </w:rPr>
            </w:pPr>
          </w:p>
        </w:tc>
        <w:tc>
          <w:tcPr>
            <w:tcW w:w="40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57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17,174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Plant and equipment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1,804,684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1,773,070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83,167</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1,910,187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1,873,411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(795,167)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(716,299)</w:t>
            </w:r>
          </w:p>
        </w:tc>
      </w:tr>
      <w:tr>
        <w:trPr>
          <w:trHeight w:val="237"/>
        </w:trPr>
        <w:tc>
          <w:tcPr>
            <w:tcW w:w="8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1,115,020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1,157,112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39,133</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1,148,265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1,196,245</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Depreciation expense on property, plant and equipment of $88,197, $91,154 and $77,444 is included in cost of sales in the consolidated statements of operations for the years ended December 31,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9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Partnership's goodwill balance was $5,814 at December 31, 2018 and 2017. The impairment assessment for the recorded goodwill was performed in October 2018 and did not indicate impairment of the goodwill. The fair value of the goodwill was calculated using both a discounted cash flow methodology and a market value methodology. The discounted cash flow projections were based on a ten-year forecast, from 2019 to 2028, to reflect the cyclicality of the Partnership's business. The forecast was based on prices and spreads projected by IHS Markit, a chemical industry organization offering market and business advisory services for the chemical market, for the same period,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8.5%.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Charges and Other Assets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Turnaround costs,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56,533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rate contract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4,933</w:t>
            </w: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deferred charges and other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60,904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81,828</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Amortization expense on other assets of $20,645, $22,831 and $20,766 is included in the consolidated statements of operations for the years ended December 31, 2018, 2017 and 2016, respectively. Certain other assets are amortized over periods ranging from five to fifteen years using the straight-line method.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OpCo Revolver (variable interest rate of London Interbank Offered Rate ("LIBOR") plus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 scheduled maturity of September 25, 2023)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224,064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220,416</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MLP Revolver (variable interest rate of LIBOR plus 2.0%, scheduled maturity of</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April 29, 2021)</w:t>
            </w:r>
          </w:p>
        </w:tc>
        <w:tc>
          <w:tcPr>
            <w:tcW w:w="360" w:type="dxa"/>
            <w:vAlign w:val="bottom"/>
          </w:tcPr>
          <w:p>
            <w:pPr>
              <w:spacing w:after="0"/>
              <w:rPr>
                <w:sz w:val="20"/>
                <w:szCs w:val="20"/>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253,544</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477,608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473,960</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August 4, 2014, OpCo entered into a $600,000 senior unsecured revolving credit facility agreement with Westlake (the "OpCo Revolver"). On September 25, 2018, the OpCo Revolver was amended to extend the maturity date from August 4, 2019 to September 25, 2023 and to revise the applicable margin from 3% to 2%.The OpCo Revolver accrues interest quarterly at a rate of LIBOR plus 2.0%, which may be paid-in-kind as an addition to the principal at OpCo's option.</w:t>
      </w:r>
    </w:p>
    <w:p>
      <w:pPr>
        <w:spacing w:after="0" w:line="13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April 29, 2015, the Partnership entered into a $300,000 revolving credit facility agreement with Westlake (the "MLP Revolver") to fund the Partnership's purchase of an additional 2.7% newly-issued, limited partner interest in OpCo for $135,341. On August 1, 2017, the Partnership entered into an amendment to the MLP Revolver agreement, extending the maturity date from April 29, 2018 to April 29, 2021. On December 5, 2017, the Partnership entered into an amendment to the MLP Revolver credit agreement, increasing borrowing capacity from $300,000 to $600,000. Borrowings under the MLP Revolver bear interest at LIBOR plus a spread ranging from 2.0% to 3.0% (depending on the Partnership's consolidated leverage ratio), payable quarterly.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In August 2015, the Partnership entered into an interest rate contract with Westlake to fix the LIBOR component of the interest rate for a portion of the MLP Revolver balance. The interest rate contract terminated in August 2018.</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the Partnership was in compliance with all of the covenants under the OpCo Revolver and the MLP Revolver.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interest rate on all long-term debt was 4.40% and 3.76% at December 31, 2018 and 2017, respectively.</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December 31, 2018, the Partnership had no scheduled maturities of long-term debt until 2021. The OpCo Revolver is scheduled to mature on September 25, 2023 and the MLP Revolver is scheduled to mature on April 29,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175"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On January 25, 2019, the board of directors of Westlake Chemical Partners GP LLC ("Westlake GP"), the Partnership's general partner, declared a quarterly cash distribution for the period from October 1, 2018 to December 31, 2018 of $0.4328 per common unit. This distribution was paid on February 20, 2019 to unitholders of record on February 5, 2019.</w:t>
      </w:r>
    </w:p>
    <w:p>
      <w:pPr>
        <w:spacing w:after="0" w:line="127" w:lineRule="exact"/>
        <w:rPr>
          <w:sz w:val="20"/>
          <w:szCs w:val="20"/>
          <w:color w:val="auto"/>
        </w:rPr>
      </w:pPr>
    </w:p>
    <w:p>
      <w:pPr>
        <w:ind w:right="340" w:firstLine="392"/>
        <w:spacing w:after="0" w:line="276" w:lineRule="auto"/>
        <w:rPr>
          <w:sz w:val="20"/>
          <w:szCs w:val="20"/>
          <w:color w:val="auto"/>
        </w:rPr>
      </w:pPr>
      <w:r>
        <w:rPr>
          <w:rFonts w:ascii="Arial" w:cs="Arial" w:eastAsia="Arial" w:hAnsi="Arial"/>
          <w:sz w:val="17"/>
          <w:szCs w:val="17"/>
          <w:color w:val="auto"/>
        </w:rPr>
        <w:t>On July 27, 2018, the Partnership's agreement of limited partnership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$1.2938 up to $1.4063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40" w:firstLine="432"/>
        <w:spacing w:after="0" w:line="342" w:lineRule="auto"/>
        <w:rPr>
          <w:sz w:val="20"/>
          <w:szCs w:val="20"/>
          <w:color w:val="auto"/>
        </w:rPr>
      </w:pPr>
      <w:r>
        <w:rPr>
          <w:rFonts w:ascii="Arial" w:cs="Arial" w:eastAsia="Arial" w:hAnsi="Arial"/>
          <w:sz w:val="16"/>
          <w:szCs w:val="16"/>
          <w:color w:val="auto"/>
        </w:rPr>
        <w:t>The Partnership's distribution for the three months ended December 31, 2018 did not exceed the $1.2938 per unit threshold, and, as a result, no distribution was made with respect to the Partnership's incentive distribution rights to Westlake, as the holder of the Partnership's incentive distribution rights.</w:t>
      </w:r>
    </w:p>
    <w:p>
      <w:pPr>
        <w:spacing w:after="0" w:line="70"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Prior to the amendment, the Partnership Agreement provided that the Partnership's unitholders and Westlake, as the holder of the Partnership's incentive distribution rights, would receive distributions according to the following percentage allocations: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cash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49,347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40,940</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 units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53,516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19,016</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 subordinated units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16,784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declared with respect to the incentive distribution rights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9"/>
        </w:trPr>
        <w:tc>
          <w:tcPr>
            <w:tcW w:w="6760" w:type="dxa"/>
            <w:vAlign w:val="bottom"/>
          </w:tcPr>
          <w:p>
            <w:pPr>
              <w:ind w:left="40"/>
              <w:spacing w:after="0"/>
              <w:rPr>
                <w:sz w:val="20"/>
                <w:szCs w:val="20"/>
                <w:color w:val="auto"/>
              </w:rPr>
            </w:pPr>
            <w:r>
              <w:rPr>
                <w:rFonts w:ascii="Arial" w:cs="Arial" w:eastAsia="Arial" w:hAnsi="Arial"/>
                <w:sz w:val="18"/>
                <w:szCs w:val="18"/>
                <w:color w:val="auto"/>
              </w:rPr>
              <w:t>(Distribution in excess of net income) net income in excess of</w:t>
            </w:r>
          </w:p>
        </w:tc>
        <w:tc>
          <w:tcPr>
            <w:tcW w:w="900" w:type="dxa"/>
            <w:vAlign w:val="bottom"/>
            <w:tcBorders>
              <w:top w:val="single" w:sz="8" w:color="auto"/>
            </w:tcBorders>
            <w:vMerge w:val="restart"/>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(4,902)</w:t>
            </w:r>
          </w:p>
        </w:tc>
        <w:tc>
          <w:tcPr>
            <w:tcW w:w="100" w:type="dxa"/>
            <w:vAlign w:val="bottom"/>
            <w:vMerge w:val="restart"/>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42"/>
        </w:trPr>
        <w:tc>
          <w:tcPr>
            <w:tcW w:w="6760" w:type="dxa"/>
            <w:vAlign w:val="bottom"/>
          </w:tcPr>
          <w:p>
            <w:pPr>
              <w:ind w:left="180"/>
              <w:spacing w:after="0"/>
              <w:rPr>
                <w:sz w:val="20"/>
                <w:szCs w:val="20"/>
                <w:color w:val="auto"/>
              </w:rPr>
            </w:pPr>
            <w:r>
              <w:rPr>
                <w:rFonts w:ascii="Arial" w:cs="Arial" w:eastAsia="Arial" w:hAnsi="Arial"/>
                <w:sz w:val="18"/>
                <w:szCs w:val="18"/>
                <w:color w:val="auto"/>
              </w:rPr>
              <w:t>distribution</w:t>
            </w:r>
          </w:p>
        </w:tc>
        <w:tc>
          <w:tcPr>
            <w:tcW w:w="9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12"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As discussed further in Note 10, the 12,686,115 subordinated units, all of which were owned by Westlake, were converted into common units effective August 30, 2017. For purposes of calculating net income per unit, the subordinated units were treated as if they had been converted to common units on July 1, 2017. Therefore, the subordinated units did not share in the distribution of cash generated from July 1, 2017 to December 31, 2017, and the Partnership did not allocate any earnings to the subordinated unitholders from July 1, 2017 to December 31, 2017 for the determination of net income per unit.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53,516</w:t>
            </w:r>
          </w:p>
        </w:tc>
        <w:tc>
          <w:tcPr>
            <w:tcW w:w="20" w:type="dxa"/>
            <w:vAlign w:val="bottom"/>
          </w:tcPr>
          <w:p>
            <w:pPr>
              <w:spacing w:after="0"/>
              <w:rPr>
                <w:sz w:val="21"/>
                <w:szCs w:val="21"/>
                <w:color w:val="auto"/>
              </w:rPr>
            </w:pPr>
          </w:p>
        </w:tc>
        <w:tc>
          <w:tcPr>
            <w:tcW w:w="620" w:type="dxa"/>
            <w:vAlign w:val="bottom"/>
            <w:gridSpan w:val="3"/>
          </w:tcPr>
          <w:p>
            <w:pPr>
              <w:jc w:val="right"/>
              <w:ind w:right="32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49,347</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32,240,858</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32,240,858</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2017</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Incentive Distribution</w:t>
            </w:r>
          </w:p>
        </w:tc>
        <w:tc>
          <w:tcPr>
            <w:tcW w:w="3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Common Units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34,909</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9,133</w:t>
            </w:r>
          </w:p>
        </w:tc>
        <w:tc>
          <w:tcPr>
            <w:tcW w:w="20" w:type="dxa"/>
            <w:vAlign w:val="bottom"/>
          </w:tcPr>
          <w:p>
            <w:pPr>
              <w:spacing w:after="0"/>
              <w:rPr>
                <w:sz w:val="21"/>
                <w:szCs w:val="21"/>
                <w:color w:val="auto"/>
              </w:rPr>
            </w:pPr>
          </w:p>
        </w:tc>
        <w:tc>
          <w:tcPr>
            <w:tcW w:w="620" w:type="dxa"/>
            <w:vAlign w:val="bottom"/>
            <w:gridSpan w:val="3"/>
          </w:tcPr>
          <w:p>
            <w:pPr>
              <w:jc w:val="right"/>
              <w:ind w:right="32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45,708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in excess of net income) net income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 excess of distribution</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38,010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8,994</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gridSpan w:val="2"/>
          </w:tcPr>
          <w:p>
            <w:pPr>
              <w:jc w:val="right"/>
              <w:ind w:right="32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1,666</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48,670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22,101,547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6,290,923</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28,392,470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2016</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Common Units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19,016</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16,784</w:t>
            </w:r>
          </w:p>
        </w:tc>
        <w:tc>
          <w:tcPr>
            <w:tcW w:w="20" w:type="dxa"/>
            <w:vAlign w:val="bottom"/>
          </w:tcPr>
          <w:p>
            <w:pPr>
              <w:spacing w:after="0"/>
              <w:rPr>
                <w:sz w:val="21"/>
                <w:szCs w:val="21"/>
                <w:color w:val="auto"/>
              </w:rPr>
            </w:pPr>
          </w:p>
        </w:tc>
        <w:tc>
          <w:tcPr>
            <w:tcW w:w="620" w:type="dxa"/>
            <w:vAlign w:val="bottom"/>
            <w:gridSpan w:val="3"/>
          </w:tcPr>
          <w:p>
            <w:pPr>
              <w:jc w:val="right"/>
              <w:ind w:right="32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21,597</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19,062</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gridSpan w:val="2"/>
          </w:tcPr>
          <w:p>
            <w:pPr>
              <w:spacing w:after="0"/>
              <w:rPr>
                <w:sz w:val="24"/>
                <w:szCs w:val="24"/>
                <w:color w:val="auto"/>
              </w:rPr>
            </w:pPr>
          </w:p>
        </w:tc>
        <w:tc>
          <w:tcPr>
            <w:tcW w:w="5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40,940</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27,059,730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years ended December 31, 2018, 2017 and 2016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per common unit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1.6134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1.4405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Equity</w:t>
      </w:r>
    </w:p>
    <w:p>
      <w:pPr>
        <w:spacing w:after="0" w:line="94"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Following the Partnership’s cash distribution for the second quarter of 2017, the requirement under the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1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were $110,739, net of underwriting discounts, structuring fees and estimated offering expenses of approximately $3,111.</w:t>
      </w:r>
    </w:p>
    <w:p>
      <w:pPr>
        <w:spacing w:after="0" w:line="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No common units were issued under this program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1,074,957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973,081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853,719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Feedstock purchased from Westlake and included in cost of sales</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556,362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287,778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 sales</w:t>
            </w:r>
          </w:p>
        </w:tc>
        <w:tc>
          <w:tcPr>
            <w:tcW w:w="1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114,364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96,813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85,872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670,726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522,068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373,650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62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 general and</w:t>
            </w:r>
          </w:p>
        </w:tc>
        <w:tc>
          <w:tcPr>
            <w:tcW w:w="900" w:type="dxa"/>
            <w:vAlign w:val="bottom"/>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24,618</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27,262</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21,971</w:t>
            </w: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900" w:type="dxa"/>
            <w:vAlign w:val="bottom"/>
            <w:vMerge w:val="continue"/>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6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2,519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3,491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17,874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13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$496 and $340 was included in the receivable under the Investment Management Agreement balance at December 31, 2018 and 2017, respectively. The interest earned related to the Investment Management Agreement was $2,646 and $340 for the years ended December 31, 2018 and 2017, respectively.</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Receivable under the Investment Management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148,956</w:t>
        <w:tab/>
        <w:t>$</w:t>
      </w:r>
      <w:r>
        <w:rPr>
          <w:sz w:val="20"/>
          <w:szCs w:val="20"/>
          <w:color w:val="auto"/>
        </w:rPr>
        <w:tab/>
      </w:r>
      <w:r>
        <w:rPr>
          <w:rFonts w:ascii="Arial" w:cs="Arial" w:eastAsia="Arial" w:hAnsi="Arial"/>
          <w:sz w:val="16"/>
          <w:szCs w:val="16"/>
          <w:color w:val="auto"/>
        </w:rPr>
        <w:t>136,510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90"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Partnership's accounts receivable from Westlake result primarily from ethylene sales to Westlake, any shortfall recoverable from Westlake and any buyer deficiency fees, in each case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w:t>
      </w:r>
    </w:p>
    <w:p>
      <w:pPr>
        <w:spacing w:after="0" w:line="36"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Partnership's accounts payable to Westlake result primarily from feedstock purchases under the Feedstock Supply Agreement and services provided under the Services and Secondment Agreement and the Omnibus Agreement. The Partnership's accounts receivable from Westlake were as follows:</w:t>
      </w:r>
    </w:p>
    <w:p>
      <w:pPr>
        <w:spacing w:after="0" w:line="12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220" w:val="left"/>
          <w:tab w:leader="none" w:pos="9960" w:val="left"/>
          <w:tab w:leader="none" w:pos="10800" w:val="left"/>
        </w:tabs>
        <w:rPr>
          <w:sz w:val="20"/>
          <w:szCs w:val="20"/>
          <w:color w:val="auto"/>
        </w:rPr>
      </w:pPr>
      <w:r>
        <w:rPr>
          <w:rFonts w:ascii="Arial" w:cs="Arial" w:eastAsia="Arial" w:hAnsi="Arial"/>
          <w:sz w:val="18"/>
          <w:szCs w:val="18"/>
          <w:color w:val="auto"/>
        </w:rPr>
        <w:t>Accounts receivable—Westlake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57,280</w:t>
        <w:tab/>
        <w:t>$</w:t>
      </w:r>
      <w:r>
        <w:rPr>
          <w:sz w:val="20"/>
          <w:szCs w:val="20"/>
          <w:color w:val="auto"/>
        </w:rPr>
        <w:tab/>
      </w:r>
      <w:r>
        <w:rPr>
          <w:rFonts w:ascii="Arial" w:cs="Arial" w:eastAsia="Arial" w:hAnsi="Arial"/>
          <w:sz w:val="16"/>
          <w:szCs w:val="16"/>
          <w:color w:val="auto"/>
        </w:rPr>
        <w:t>43,884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payable to Westlake were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9"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220" w:val="left"/>
          <w:tab w:leader="none" w:pos="9960" w:val="left"/>
          <w:tab w:leader="none" w:pos="10800" w:val="left"/>
        </w:tabs>
        <w:rPr>
          <w:sz w:val="20"/>
          <w:szCs w:val="20"/>
          <w:color w:val="auto"/>
        </w:rPr>
      </w:pPr>
      <w:r>
        <w:rPr>
          <w:rFonts w:ascii="Arial" w:cs="Arial" w:eastAsia="Arial" w:hAnsi="Arial"/>
          <w:sz w:val="18"/>
          <w:szCs w:val="18"/>
          <w:color w:val="auto"/>
        </w:rPr>
        <w:t>Accounts payable—Westlake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27,477</w:t>
        <w:tab/>
        <w:t>$</w:t>
      </w:r>
      <w:r>
        <w:rPr>
          <w:sz w:val="20"/>
          <w:szCs w:val="20"/>
          <w:color w:val="auto"/>
        </w:rPr>
        <w:tab/>
      </w:r>
      <w:r>
        <w:rPr>
          <w:rFonts w:ascii="Arial" w:cs="Arial" w:eastAsia="Arial" w:hAnsi="Arial"/>
          <w:sz w:val="16"/>
          <w:szCs w:val="16"/>
          <w:color w:val="auto"/>
        </w:rPr>
        <w:t>14,027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Note 8 for a description of related party debt payable balances. Interest on related party debt payable balances, net of capitalized interest, for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years ended December 31, 2018, 2017 and 2016 was $21,433, $21,861 and $12,607, respectively, and is reflected as a component of other income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consolidated and statements of operations. Interest capitalized as a component of property, plant and equipment on related party debt was $175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$435 for the years ended December 31, 2018 and 2017, respectively. At December 31, 2018 and 2017, accrued interest on related party debt was $5,448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$4,590, respectively, and is reflected as a component of accrued liabilities in the consolidated balance sheets.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23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23495</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p>
      <w:pPr>
        <w:ind w:left="89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836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477,608</w:t>
        <w:tab/>
        <w:t>$</w:t>
      </w:r>
      <w:r>
        <w:rPr>
          <w:sz w:val="20"/>
          <w:szCs w:val="20"/>
          <w:color w:val="auto"/>
        </w:rPr>
        <w:tab/>
      </w:r>
      <w:r>
        <w:rPr>
          <w:rFonts w:ascii="Arial" w:cs="Arial" w:eastAsia="Arial" w:hAnsi="Arial"/>
          <w:sz w:val="16"/>
          <w:szCs w:val="16"/>
          <w:color w:val="auto"/>
        </w:rPr>
        <w:t>473,960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9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years ended December 31, 2018, 2017 and 2016, Westlake accounted for approximately 83.6%, 83.0% and 86.5%, respectively, of the Partnership's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In August 2015, the Partnership entered into an interest rate contract with Westlake to fix the LIBOR component of the interest rate for a portion of the MLP Revolver balance. The interest rate contract expired in August 2018.</w:t>
      </w:r>
    </w:p>
    <w:p>
      <w:pPr>
        <w:spacing w:after="0" w:line="11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During the years ended December 31, 2018, 2017 and 2016, the Partnership reimbursed $418, $415 and $245, respectively, to Westlake for certain state tax payments.</w:t>
      </w:r>
    </w:p>
    <w:p>
      <w:pPr>
        <w:spacing w:after="0" w:line="11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OpCo has entered into two site lease agreements with Westlake, and each has a term of 50 years. Pursuant to the site lease agreements, OpCo pays Westlake one dollar per site per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Unit-based Compensation</w:t>
      </w:r>
    </w:p>
    <w:p>
      <w:pPr>
        <w:spacing w:after="0" w:line="94"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2018, 2017 and 2016. These phantom units vest on either the first or third anniversary of the grant date. There were no forfeitures under the Plan during 2018, 2017 and 2016. During 2016, the vesting of 5,543 phantom units was accelerated in connection with the retirement of one of our non-employee directors. The total fair value of phantom units that vested during the year ended December 31, 2018 was $488.</w:t>
      </w:r>
    </w:p>
    <w:p>
      <w:pPr>
        <w:spacing w:after="0" w:line="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Non-vested phantom unit awards as of December 31, 2018 and 2017 and awards granted during the respective periods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Weighted</w:t>
            </w: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Average Fair Value</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2016</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23.75</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Non-vested balance at December 31, 2017</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23.09</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25.20</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balance at December 31, 2018</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23.78</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334"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The awards, which are classified as liability awards for financial accounting purposes, are re-measured at each reporting date until they vest. The total units available for grant at December 31, 2018 were 1,250,323. The total compensation cost recognized during the years ended December 31, 2018, 2017 and 2016 was $363, $289 and $194, respectively, and is included in selling, general and administrative expenses and classified as a liability in the consolidated financial statements of the Partnership. The unrecognized compensation cost associated with all grants under the Plan at December 31, 2018 was $200 and the weighted average remaining term of the units at December 31, 2018 was 0.66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2018 and December 31, 2017 are summarized in the table below.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1040" w:type="dxa"/>
            <w:vAlign w:val="bottom"/>
            <w:gridSpan w:val="2"/>
          </w:tcPr>
          <w:p>
            <w:pPr>
              <w:jc w:val="center"/>
              <w:ind w:right="6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920" w:type="dxa"/>
            <w:vAlign w:val="bottom"/>
          </w:tcPr>
          <w:p>
            <w:pPr>
              <w:jc w:val="right"/>
              <w:ind w:right="479"/>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224,064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221,002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220,416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228,180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8"/>
                <w:szCs w:val="18"/>
                <w:color w:val="auto"/>
              </w:rPr>
              <w:t>253,544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249,747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253,544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258,234</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tax of the Partnership are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r>
      <w:tr>
        <w:trPr>
          <w:trHeight w:val="237"/>
        </w:trPr>
        <w:tc>
          <w:tcPr>
            <w:tcW w:w="67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income tax expense at the U.S. statutory rate to the income tax expense is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income tax, at statutory rate</w:t>
            </w:r>
          </w:p>
        </w:tc>
        <w:tc>
          <w:tcPr>
            <w:tcW w:w="19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69,425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income tax effect</w:t>
            </w:r>
          </w:p>
        </w:tc>
        <w:tc>
          <w:tcPr>
            <w:tcW w:w="1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Partnership income not subject to entity-level federal income tax</w:t>
            </w:r>
          </w:p>
        </w:tc>
        <w:tc>
          <w:tcPr>
            <w:tcW w:w="16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(124,054)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provision</w:t>
            </w:r>
          </w:p>
        </w:tc>
        <w:tc>
          <w:tcPr>
            <w:tcW w:w="16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vMerge w:val="restart"/>
          </w:tcPr>
          <w:p>
            <w:pPr>
              <w:jc w:val="right"/>
              <w:ind w:right="870"/>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Turnaround costs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classifications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900" w:type="dxa"/>
            <w:vAlign w:val="bottom"/>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(1,664)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firstLine="432"/>
        <w:spacing w:after="0" w:line="312" w:lineRule="auto"/>
        <w:rPr>
          <w:sz w:val="20"/>
          <w:szCs w:val="20"/>
          <w:color w:val="auto"/>
        </w:rPr>
      </w:pPr>
      <w:r>
        <w:rPr>
          <w:rFonts w:ascii="Arial" w:cs="Arial" w:eastAsia="Arial" w:hAnsi="Arial"/>
          <w:sz w:val="16"/>
          <w:szCs w:val="16"/>
          <w:color w:val="auto"/>
        </w:rPr>
        <w:t>Accrued liabilities were $16,250 and $15,697 at December 31, 2018 and 2017, respectively. Accruals related to accrued interest, capital expenditures, and maintenance expenses, which are components of accrued liabilities were $5,448, $2,818 and $2,688 at December 31, 2018, respectively, and were $4,590, $3,197 and $3,698 at December 31, 2017, respectively. No other component of accrued liabilities was more than five percent of total current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change in capital expenditure accrual reducing additions to property, plant and equipment was $1,823 for the year ended December 31, 2018. The change in capital expenditure accrual increasing additions to property, plant and equipment was $867 and $18,113, for the years ended December 31, 2017 and 2016,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9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Interest paid by the Partnership, net of interest capitalized, was $20,551, $23,063 and $9,901 for the years ended December 31, 2018, 2017 and 2016, respectively. Income tax paid by the Partnership was $711, $716 and $633 for the years ended December 31, 2018, 2017 and 2016, respectively, of which $293, $301 and $388 was paid directly to the tax authorities for the years ended December 31, 2018, 2017 and 2016, and $418, $415 and $245 was paid to Westlake as reimbursements for the years ended December 31, 2018, 2017 and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WESTLAKE CHEMICAL PARTNERS LP</w:t>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Partnership is obligated under various long-term and short-term noncancelable operating leases, primarily related to rail car leases and land. Several of the leases provide for renewal terms. At December 31, 2018, future minimum lease commitments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Rental expense was approximately $2,261, $2,410 and $2,542 for the years ended December 31, 2018, 2017 and 2016, respectively.</w:t>
      </w:r>
    </w:p>
    <w:p>
      <w:pPr>
        <w:spacing w:after="0" w:line="17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363,650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335,725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92,505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97,118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93,907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93,629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80,714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84,476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83,799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81,582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Common units outstanding</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32,237,266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32,237,266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32,242,210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32,247,371</w:t>
            </w:r>
          </w:p>
        </w:tc>
      </w:tr>
      <w:tr>
        <w:trPr>
          <w:trHeight w:val="588"/>
        </w:trPr>
        <w:tc>
          <w:tcPr>
            <w:tcW w:w="5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52"/>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March 31,</w:t>
            </w:r>
          </w:p>
        </w:tc>
        <w:tc>
          <w:tcPr>
            <w:tcW w:w="260" w:type="dxa"/>
            <w:vAlign w:val="bottom"/>
          </w:tcPr>
          <w:p>
            <w:pPr>
              <w:spacing w:after="0"/>
              <w:rPr>
                <w:sz w:val="13"/>
                <w:szCs w:val="13"/>
                <w:color w:val="auto"/>
              </w:rPr>
            </w:pPr>
          </w:p>
        </w:tc>
        <w:tc>
          <w:tcPr>
            <w:tcW w:w="12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1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277,448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308,645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97,961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99,571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95,403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110,732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88,598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102,991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86,028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86,470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82,245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98,315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Westlake Chemical Partners LP</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 earnings per common unitholder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0.46</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 earnings per subordinated unitholder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units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14,373,615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32,234,730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Subordinated units outstanding</w:t>
            </w:r>
          </w:p>
        </w:tc>
        <w:tc>
          <w:tcPr>
            <w:tcW w:w="2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12,686,115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Senior Vice President and Chief Financial Officer concluded that our disclosure controls and procedures were effective as of December 31, 2018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Management's report on internal control over financial reporting appears on page 43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2018, as stated in their report that appears on page 44 of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2018,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2" w:right="27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including at least three directors meeting the independence standards established by the Exchange Act and the NYSE.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34"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0"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2018, we paid approximately $164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9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following table shows information for the executive officers and directors of our general partner as of December 31, 2018.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all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2" w:right="27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5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Albert Chao</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w:t>
            </w:r>
          </w:p>
        </w:tc>
        <w:tc>
          <w:tcPr>
            <w:tcW w:w="12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James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71</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 Steven Bender</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Vice President, Chief Financial Officer and 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 Benjamin Ederington</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Vice President, General Counsel, Secretary and 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George Mangieri</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68</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Lawrence Teel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Olefins</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Max L. Lukens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12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David Lumpkins</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1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Angela Minas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20" w:type="dxa"/>
            <w:vAlign w:val="bottom"/>
            <w:shd w:val="clear" w:color="auto" w:fill="CCEEFF"/>
          </w:tcPr>
          <w:p>
            <w:pPr>
              <w:spacing w:after="0"/>
              <w:rPr>
                <w:sz w:val="20"/>
                <w:szCs w:val="20"/>
                <w:color w:val="auto"/>
              </w:rPr>
            </w:pP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b w:val="1"/>
          <w:bCs w:val="1"/>
          <w:i w:val="1"/>
          <w:iCs w:val="1"/>
          <w:color w:val="auto"/>
        </w:rPr>
        <w:t>Albert Chao</w:t>
      </w:r>
      <w:r>
        <w:rPr>
          <w:rFonts w:ascii="Arial" w:cs="Arial" w:eastAsia="Arial" w:hAnsi="Arial"/>
          <w:sz w:val="17"/>
          <w:szCs w:val="17"/>
          <w:color w:val="auto"/>
        </w:rPr>
        <w:t>. Mr. Chao has been our general partner's President and Chief Executive Officer and a director since our general partner's formation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2014 and a director of OpCo's general partner since its formation.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of Rice University. Mr. Chao received a bachelor's degree from Brandeis University and an M.B.A. from Columbia University.</w:t>
      </w:r>
    </w:p>
    <w:p>
      <w:pPr>
        <w:spacing w:after="0" w:line="125"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b w:val="1"/>
          <w:bCs w:val="1"/>
          <w:i w:val="1"/>
          <w:iCs w:val="1"/>
          <w:color w:val="auto"/>
        </w:rPr>
        <w:t>James Chao</w:t>
      </w:r>
      <w:r>
        <w:rPr>
          <w:rFonts w:ascii="Arial" w:cs="Arial" w:eastAsia="Arial" w:hAnsi="Arial"/>
          <w:sz w:val="17"/>
          <w:szCs w:val="17"/>
          <w:color w:val="auto"/>
        </w:rPr>
        <w:t>. Mr. Chao has been a director since our general partner's formation in March 2014 and Chairman of the Board since July 2014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OpCo's general partner since January 2016. Mr. Chao 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is on the board of Baylor College of Medicine. Mr. Chao received his B.S. degree from the Massachusetts Institute of Technology and an M.B.A. from Columbia University.</w:t>
      </w:r>
    </w:p>
    <w:p>
      <w:pPr>
        <w:spacing w:after="0" w:line="125" w:lineRule="exact"/>
        <w:rPr>
          <w:sz w:val="20"/>
          <w:szCs w:val="20"/>
          <w:color w:val="auto"/>
        </w:rPr>
      </w:pPr>
    </w:p>
    <w:p>
      <w:pPr>
        <w:ind w:right="220" w:firstLine="405"/>
        <w:spacing w:after="0" w:line="288"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Senior Vice President, Chief Financial Officer and a director since our general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formation in March 2014 and served as our general partner's Treasurer from April 2015 to February 2019. Mr. Bender has also been Westlake's Senior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115"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b w:val="1"/>
          <w:bCs w:val="1"/>
          <w:i w:val="1"/>
          <w:iCs w:val="1"/>
          <w:color w:val="auto"/>
        </w:rPr>
        <w:t>L. Benjamin Ederington</w:t>
      </w:r>
      <w:r>
        <w:rPr>
          <w:rFonts w:ascii="Arial" w:cs="Arial" w:eastAsia="Arial" w:hAnsi="Arial"/>
          <w:sz w:val="17"/>
          <w:szCs w:val="17"/>
          <w:color w:val="auto"/>
        </w:rPr>
        <w:t>. Mr. Ederington has been our general partner's Vice President, General Counsel and Secretary and a director since our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formation in March 2014. Mr. Ederington has also been Westlake's Senior Vice President, General Counsel, Chief Administrative Officer and Corporate Secretary since July 2017. From December 2015 to July 2017, Mr. Ederington served 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from March 2010 to September 2013. He began his legal career more than 20 years ago at the law firm of Steptoe &amp; Johnson, LLP. Mr. Ederington holds a B.A. from Yale University and received his J.D. from Harvard University.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b w:val="1"/>
          <w:bCs w:val="1"/>
          <w:i w:val="1"/>
          <w:iCs w:val="1"/>
          <w:color w:val="auto"/>
        </w:rPr>
        <w:t>George J. Mangieri</w:t>
      </w:r>
      <w:r>
        <w:rPr>
          <w:rFonts w:ascii="Arial" w:cs="Arial" w:eastAsia="Arial" w:hAnsi="Arial"/>
          <w:sz w:val="16"/>
          <w:szCs w:val="16"/>
          <w:color w:val="auto"/>
        </w:rPr>
        <w:t>. Mr. Mangieri has been our general partner's Vice President and Chief Accounting Officer since our general partner's 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2014. Mr. Mangieri has also been Westlake's Senior Vice President and Chief Accounting Officer since July 2017. From February 2007 to July 2017, he served as Westlake's Vice President and Chief Accounting Officer and, from April 2000 to February 2007, he was its Vice President and Controller. Prior to joining Westlake, Mr. Mangieri served as Vice President and Controller of Zurn Industries, Inc. from 1998 to 2000. He previously was employed as Vice President and Controller for Imo Industries, Inc. in New Jersey, and spent over 10 years in public accounting with Ernst &amp; Young LLP, where he served as Senior Manager. He received his Bachelor of Science degree from Monmouth College and is a Certified Public Accountant.</w:t>
      </w:r>
    </w:p>
    <w:p>
      <w:pPr>
        <w:spacing w:after="0" w:line="11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b w:val="1"/>
          <w:bCs w:val="1"/>
          <w:i w:val="1"/>
          <w:iCs w:val="1"/>
          <w:color w:val="auto"/>
        </w:rPr>
        <w:t>Lawrence (Skip) Teel</w:t>
      </w:r>
      <w:r>
        <w:rPr>
          <w:rFonts w:ascii="Arial" w:cs="Arial" w:eastAsia="Arial" w:hAnsi="Arial"/>
          <w:sz w:val="18"/>
          <w:szCs w:val="18"/>
          <w:color w:val="auto"/>
        </w:rPr>
        <w:t>. Mr. Teel has been our general partner's Senior Vice President, Olefins since July 2014. Mr. Teel has also been Westlake's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Olefins since July 2017. From July 2014 to July 2017, he served as Westlake's Senior Vice President, Olefins and, from July 2012 to July 2014, he served as Westlake's Vice President, Olefins. Mr. Teel joined Westlake in September 2009 as Director, Olefins and Feedstock after a 23-year career with Lyondell Chemical Company where he served as the Vice President, Refining from August 2006 to May 2008. From 2001 to 2006, Mr. Teel held the position of Director, Corporate Planning and Business Development at Lyondell Chemical Company. During his career, he has held a variety of marketing, operations and general management assignments. Mr. Teel received a B.S. in Chemical Engineering from New Mexico State University and an M.S. in Finance from the University of Houston.</w:t>
      </w:r>
    </w:p>
    <w:p>
      <w:pPr>
        <w:spacing w:after="0" w:line="135"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b w:val="1"/>
          <w:bCs w:val="1"/>
          <w:i w:val="1"/>
          <w:iCs w:val="1"/>
          <w:color w:val="auto"/>
        </w:rPr>
        <w:t>Max L. Lukens</w:t>
      </w:r>
      <w:r>
        <w:rPr>
          <w:rFonts w:ascii="Arial" w:cs="Arial" w:eastAsia="Arial" w:hAnsi="Arial"/>
          <w:sz w:val="18"/>
          <w:szCs w:val="18"/>
          <w:color w:val="auto"/>
        </w:rPr>
        <w:t>. Mr. Lukens has been a director of our general partner since June 2014 and is the chairman of the audit committee. He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Westlake since August 2004. Since May 2006, Mr. Lukens has managed his personal investments. Mr. Lukens served as President and Chief Executive Officer of Stewart &amp; Stevenson Services, Inc. from March 2004 until May 2006 and prior to that served as its Chairman of the Board from December 2002 to March 2004, and Interim Chief Executive Officer and President from September 2003 to March 2004. He was also previously employed by Baker Hughes Incorporated from 1981 to January 2000, where he served as Baker Hughes' Chairman of the Board, President and Chief Executive Officer from 1997 to January 2000. Between 2003 and 2009, he served as a director of NCI Building Systems, Inc. He also served as a director of The Pep Boys-Manny, Moe &amp; Jack from August 2006 until October 2007 and again from June 2009 until September 2011. He was also Chairman of the Board of that company from June 2009 until he resigned in September 2011. He was a director of Blount International, Inc. from July 2015 until it was acquired in April 2016. Mr. Lukens was a Certified Public Accountant with Deloitte Haskins &amp; Sells for 10 years and received both his B.S. and M.B.A. degrees from Miami University.</w:t>
      </w:r>
    </w:p>
    <w:p>
      <w:pPr>
        <w:spacing w:after="0" w:line="14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b w:val="1"/>
          <w:bCs w:val="1"/>
          <w:i w:val="1"/>
          <w:iCs w:val="1"/>
          <w:color w:val="auto"/>
        </w:rPr>
        <w:t>David Lumpkins</w:t>
      </w:r>
      <w:r>
        <w:rPr>
          <w:rFonts w:ascii="Arial" w:cs="Arial" w:eastAsia="Arial" w:hAnsi="Arial"/>
          <w:sz w:val="18"/>
          <w:szCs w:val="18"/>
          <w:color w:val="auto"/>
        </w:rPr>
        <w:t>. Mr. Lumpkins has been a director of our general partner since January 2015, is the chairman of the conflicts committee, and serves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audit committee. He is the Chairman and co-founder of PetroLogistics II LLC, a petrochemical development company. He was the co-founder and Executive Chairman of PetroLogistics LP, a NYSE listed company, which was acquired by Flint Hills Resources, LLC in July 2014. Mr. Lumpkins was also previously the co-founder and Chairman of PL Midstream LLC, a pipeline transportation and storage company based in Louisiana, which was sold to Boardwalk Pipeline Partners, LP in August 2012. Prior to the formation of these companies, Mr. Lumpkins worked in the investment banking industry for 17 years, principally for Morgan Stanley and Credit Suisse. In 1995, Mr. Lumpkins opened Morgan Stanley's Houston office and served as head of the firm's southwest region. He is a graduate of the University of Texas where he also received his MBA. Mr. Lumpkins also serves as a director of the general partner of Crestwood Equity Partners LP.</w:t>
      </w:r>
    </w:p>
    <w:p>
      <w:pPr>
        <w:spacing w:after="0" w:line="138"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b w:val="1"/>
          <w:bCs w:val="1"/>
          <w:i w:val="1"/>
          <w:iCs w:val="1"/>
          <w:color w:val="auto"/>
        </w:rPr>
        <w:t xml:space="preserve">Angela A. Minas. </w:t>
      </w:r>
      <w:r>
        <w:rPr>
          <w:rFonts w:ascii="Arial" w:cs="Arial" w:eastAsia="Arial" w:hAnsi="Arial"/>
          <w:sz w:val="16"/>
          <w:szCs w:val="16"/>
          <w:color w:val="auto"/>
        </w:rPr>
        <w:t>Ms. Minas has been a director of our general partner since October 2016 and serves on the audit and conflicts committees. Ms. Minas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currently serves on the board of directors and as the chair of the audit committee of the general partner of CNX Midstream Partners LP and on the board of directors of Weatherford International plc. From December 2013 to March 2018, she served on the board of directors of the general partner of Ciner Resources LP. From March 2013 to August 2014, she was Vice President and Chief Financial Officer of Nemaha Oil and Gas, LLC.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Council of Overseers of the Rice University Graduate Business School and is an NACD (National Association of Corporate Directors) Leadership Fellow.</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Lukens and Lumpkins and Ms. Minas is independent as defined under the independence standards established by the NYSE and the Exchange Act.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The audit committee of our general partner's board of directors has been established in accordance with Section 3(a)(58)(A) of the Exchange Act, and consists of Messrs. Lukens and Lumpkins and Ms. Minas, all of whom are independent. Mr. Lukens is the current chairman of the audit committee. The board of directors of our general partner has determined that each of Messrs. Lukens and Lumpkins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7"/>
          <w:szCs w:val="17"/>
          <w:i w:val="1"/>
          <w:iCs w:val="1"/>
          <w:color w:val="auto"/>
        </w:rPr>
        <w:t>www.wlkpartners.com</w:t>
      </w:r>
      <w:r>
        <w:rPr>
          <w:rFonts w:ascii="Arial" w:cs="Arial" w:eastAsia="Arial" w:hAnsi="Arial"/>
          <w:sz w:val="17"/>
          <w:szCs w:val="17"/>
          <w:color w:val="auto"/>
        </w:rPr>
        <w:t>.</w:t>
      </w:r>
    </w:p>
    <w:p>
      <w:pPr>
        <w:spacing w:after="0" w:line="11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90"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Mr. Lumpkins and Ms. Minas serve on the conflicts committee. Mr. Lumpkins is the current chairman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94"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During the last fiscal year, our general partner's board of directors held eleven meetings, our general partner's audit committee held seven meetings and our general partner's conflicts committee held one meeting. None of the directors attended fewer than 75% of the aggregate number of meetings of the board of directors and committees of the board on which the director served.</w:t>
      </w:r>
    </w:p>
    <w:p>
      <w:pPr>
        <w:spacing w:after="0" w:line="12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94"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7"/>
          <w:szCs w:val="17"/>
          <w:i w:val="1"/>
          <w:iCs w:val="1"/>
          <w:color w:val="auto"/>
        </w:rPr>
        <w:t xml:space="preserve">www.wlkpartners.com </w:t>
      </w:r>
      <w:r>
        <w:rPr>
          <w:rFonts w:ascii="Arial" w:cs="Arial" w:eastAsia="Arial" w:hAnsi="Arial"/>
          <w:sz w:val="17"/>
          <w:szCs w:val="17"/>
          <w:color w:val="auto"/>
        </w:rPr>
        <w:t>in the "Corporate Governance" section of our Investor Relations tab. We provide copies, free of charge, of any of the foregoing upon</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94"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2018 without qualification. You can also find information about us at the offices of the NYSE, 20 Broad Street, New York, New York 10005 or at the NYSE's Internet site (</w:t>
      </w:r>
      <w:r>
        <w:rPr>
          <w:rFonts w:ascii="Arial" w:cs="Arial" w:eastAsia="Arial" w:hAnsi="Arial"/>
          <w:sz w:val="17"/>
          <w:szCs w:val="17"/>
          <w:i w:val="1"/>
          <w:iCs w:val="1"/>
          <w:color w:val="auto"/>
        </w:rPr>
        <w:t>www.nyse.com</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Section 16(a) of the Exchange Act requires the executive officers and directors of our general partner and persons who beneficially own more than 10% of our common units to file reports of securities ownership and changes in such ownership with the SEC. Officers, directors and greater than 10% beneficial owners also are required by rules promulgated by the SEC to furnish us with copies of all Section 16(a) forms they file. Based solely upon a review of all Forms 3, 4 and 5, including any amendments, filed with the SEC in 2018, all required report filings by the directors and executive officers and greater than 10% affiliated beneficial owners were timely made.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2018, Mr. Albert Chao devoted approximately 10% of his total business time to our general partner, our consolidated subsidiaries (including OpCo) and us and Mr. Steve Bender devoted approximately 12.5%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2018.</w:t>
      </w:r>
    </w:p>
    <w:p>
      <w:pPr>
        <w:spacing w:after="0" w:line="111"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0" w:lineRule="exact"/>
        <w:rPr>
          <w:sz w:val="20"/>
          <w:szCs w:val="20"/>
          <w:color w:val="auto"/>
        </w:rPr>
      </w:pPr>
    </w:p>
    <w:p>
      <w:pPr>
        <w:jc w:val="both"/>
        <w:ind w:right="120" w:firstLine="392"/>
        <w:spacing w:after="0" w:line="264" w:lineRule="auto"/>
        <w:rPr>
          <w:sz w:val="20"/>
          <w:szCs w:val="20"/>
          <w:color w:val="auto"/>
        </w:rPr>
      </w:pPr>
      <w:r>
        <w:rPr>
          <w:rFonts w:ascii="Arial" w:cs="Arial" w:eastAsia="Arial" w:hAnsi="Arial"/>
          <w:sz w:val="18"/>
          <w:szCs w:val="18"/>
          <w:color w:val="auto"/>
        </w:rPr>
        <w:t>For 2018, our named executive officers ("NEOs") consisted of our principal executive officer, Mr. Albert Chao, and our principal financial officer, Mr. Bender. The compensation allocated to us in 2018 for each of the other executive officers of our general partner did not exceed $100,000. Therefore, none of the other executive officers are considered NEOs for 2018.</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90"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0"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0" w:lineRule="exact"/>
        <w:rPr>
          <w:sz w:val="20"/>
          <w:szCs w:val="20"/>
          <w:color w:val="auto"/>
        </w:rPr>
      </w:pPr>
    </w:p>
    <w:p>
      <w:pPr>
        <w:ind w:right="60" w:firstLine="392"/>
        <w:spacing w:after="0" w:line="286" w:lineRule="auto"/>
        <w:rPr>
          <w:sz w:val="20"/>
          <w:szCs w:val="20"/>
          <w:color w:val="auto"/>
        </w:rPr>
      </w:pPr>
      <w:r>
        <w:rPr>
          <w:rFonts w:ascii="Arial" w:cs="Arial" w:eastAsia="Arial" w:hAnsi="Arial"/>
          <w:sz w:val="16"/>
          <w:szCs w:val="16"/>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2018,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2018, Westlake paid Willis Towers Watson approximately $137,000 for executive compensation advisory services and approximately $2.9 million for other services (primarily related to the administration of Westlake's legacy defined benefit retirement plans and due diligence in connection with Westlake's acquisition of NAKAN</w:t>
      </w:r>
      <w:r>
        <w:rPr>
          <w:rFonts w:ascii="Arial" w:cs="Arial" w:eastAsia="Arial" w:hAnsi="Arial"/>
          <w:sz w:val="16"/>
          <w:szCs w:val="16"/>
          <w:color w:val="auto"/>
          <w:vertAlign w:val="superscript"/>
        </w:rPr>
        <w:t>TM</w:t>
      </w:r>
      <w:r>
        <w:rPr>
          <w:rFonts w:ascii="Arial" w:cs="Arial" w:eastAsia="Arial" w:hAnsi="Arial"/>
          <w:sz w:val="16"/>
          <w:szCs w:val="16"/>
          <w:color w:val="auto"/>
        </w:rPr>
        <w:t>). The decision to engage Willis Towers Watson for the non-executive-compensation services was made by Westlake management and approved by the Westlake Compensation Committee. In February 2019, the Westlake Compensation Committee assessed whether the work of Willis Towers Watson for Westlake during 2018 raised any conflict of interest and concluded that no conflict of interest exists.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9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establishing target executive compensation, the Westlake Compensation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Westlake Compensation Committee in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 Products and Chemicals,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Huntsman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Axalta Coating Systems Ltd.</w:t>
            </w:r>
          </w:p>
        </w:tc>
        <w:tc>
          <w:tcPr>
            <w:tcW w:w="7280" w:type="dxa"/>
            <w:vAlign w:val="bottom"/>
          </w:tcPr>
          <w:p>
            <w:pPr>
              <w:ind w:left="1720"/>
              <w:spacing w:after="0"/>
              <w:rPr>
                <w:sz w:val="20"/>
                <w:szCs w:val="20"/>
                <w:color w:val="auto"/>
              </w:rPr>
            </w:pPr>
            <w:r>
              <w:rPr>
                <w:rFonts w:ascii="Arial" w:cs="Arial" w:eastAsia="Arial" w:hAnsi="Arial"/>
                <w:sz w:val="18"/>
                <w:szCs w:val="18"/>
                <w:color w:val="auto"/>
              </w:rPr>
              <w:t>The Mosaic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Celanese Corporation</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Olin Corporation</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CF Industries Holdings, Inc.</w:t>
            </w:r>
          </w:p>
        </w:tc>
        <w:tc>
          <w:tcPr>
            <w:tcW w:w="7280" w:type="dxa"/>
            <w:vAlign w:val="bottom"/>
          </w:tcPr>
          <w:p>
            <w:pPr>
              <w:ind w:left="1720"/>
              <w:spacing w:after="0"/>
              <w:rPr>
                <w:sz w:val="20"/>
                <w:szCs w:val="20"/>
                <w:color w:val="auto"/>
              </w:rPr>
            </w:pPr>
            <w:r>
              <w:rPr>
                <w:rFonts w:ascii="Arial" w:cs="Arial" w:eastAsia="Arial" w:hAnsi="Arial"/>
                <w:sz w:val="18"/>
                <w:szCs w:val="18"/>
                <w:color w:val="auto"/>
              </w:rPr>
              <w:t>PPG Industries, Inc.</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Chemours Company</w:t>
            </w:r>
          </w:p>
        </w:tc>
        <w:tc>
          <w:tcPr>
            <w:tcW w:w="72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RPM International Inc.</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Eastman Chemical Company</w:t>
            </w:r>
          </w:p>
        </w:tc>
        <w:tc>
          <w:tcPr>
            <w:tcW w:w="7280" w:type="dxa"/>
            <w:vAlign w:val="bottom"/>
          </w:tcPr>
          <w:p>
            <w:pPr>
              <w:ind w:left="1720"/>
              <w:spacing w:after="0"/>
              <w:rPr>
                <w:sz w:val="20"/>
                <w:szCs w:val="20"/>
                <w:color w:val="auto"/>
              </w:rPr>
            </w:pPr>
            <w:r>
              <w:rPr>
                <w:rFonts w:ascii="Arial" w:cs="Arial" w:eastAsia="Arial" w:hAnsi="Arial"/>
                <w:sz w:val="18"/>
                <w:szCs w:val="18"/>
                <w:color w:val="auto"/>
              </w:rPr>
              <w:t>The Sherwin-Williams Company</w:t>
            </w:r>
          </w:p>
        </w:tc>
      </w:tr>
      <w:tr>
        <w:trPr>
          <w:trHeight w:val="27"/>
        </w:trPr>
        <w:tc>
          <w:tcPr>
            <w:tcW w:w="414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Ecolab Inc.</w:t>
            </w:r>
          </w:p>
        </w:tc>
        <w:tc>
          <w:tcPr>
            <w:tcW w:w="72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Trinseo S.A.</w:t>
            </w:r>
          </w:p>
        </w:tc>
      </w:tr>
      <w:tr>
        <w:trPr>
          <w:trHeight w:val="27"/>
        </w:trPr>
        <w:tc>
          <w:tcPr>
            <w:tcW w:w="4140" w:type="dxa"/>
            <w:vAlign w:val="bottom"/>
            <w:shd w:val="clear" w:color="auto" w:fill="CCEEFF"/>
          </w:tcPr>
          <w:p>
            <w:pPr>
              <w:spacing w:after="0"/>
              <w:rPr>
                <w:sz w:val="2"/>
                <w:szCs w:val="2"/>
                <w:color w:val="auto"/>
              </w:rPr>
            </w:pPr>
          </w:p>
        </w:tc>
        <w:tc>
          <w:tcPr>
            <w:tcW w:w="7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0" w:firstLine="405"/>
        <w:spacing w:after="0" w:line="302" w:lineRule="auto"/>
        <w:rPr>
          <w:sz w:val="20"/>
          <w:szCs w:val="20"/>
          <w:color w:val="auto"/>
        </w:rPr>
      </w:pPr>
      <w:r>
        <w:rPr>
          <w:rFonts w:ascii="Arial" w:cs="Arial" w:eastAsia="Arial" w:hAnsi="Arial"/>
          <w:sz w:val="16"/>
          <w:szCs w:val="16"/>
          <w:color w:val="auto"/>
        </w:rPr>
        <w:t>As a result of changes in the Peer Group and in order to take into account the size and complexity of Westlake's organization, the Peer Group was adjusted in November 2018 by adding PPG Industries, Inc. (which has annual revenue within the Westlake Compensation Committee's target range); removing Ashland Global Holdings Inc., FMC Corporation, Platform Specialty Products Corporation and PolyOne Corporation (as each such company's annual revenue fell below the Westlake Compensation Committee's target range); and removing Praxair Inc. (due to its merger with Linde plc in 2018).</w:t>
      </w:r>
    </w:p>
    <w:p>
      <w:pPr>
        <w:spacing w:after="0" w:line="10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Westlake Compensation Committee may add or replace companies in the Peer Group as warranted to reflect changes in the size, business profile and publicly-listed status of the companies in the Peer Group to help ensure that companies more comparable in size and business profile to Westlake are included.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firstLine="392"/>
        <w:spacing w:after="0" w:line="288"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general industry and chemical industry databases, including, but not limited to, the Willis Towers Watson CDB Executive Survey as well as the Korn Ferry Hay Group Chemicals Industry survey and other relevant market information, that compare the compensation of executives at numerous companies in similar positions as the Westlake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 and equity awards,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1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Westlake Compensation Committee meets annually in February to address the compensation of the Westlake NEOs and other Westlake Executives. During this meeting, the Westlake Compensation Committee reviews the achievement of Westlake's goals and objectives, including Westlake's performance relative to its competitors within the commodity chemical industry, including those direct competitors within the Peer Group, and the Westlake Compensation Committee reviews the Reference Points as well as other relevant factors established by the Westlake Compensation Committee for the Westlake PEO and the factors established by the Westlake PEO in setting and approving the other Westlake NEOs' compensation.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the Westlake stockholders;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balancing short-term objectives with long-term strategic initiatives and thinking through the design of both short-term and long-term pay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0" w:lineRule="exact"/>
        <w:rPr>
          <w:sz w:val="20"/>
          <w:szCs w:val="20"/>
          <w:color w:val="auto"/>
        </w:rPr>
      </w:pPr>
    </w:p>
    <w:p>
      <w:pPr>
        <w:ind w:right="20" w:firstLine="392"/>
        <w:spacing w:after="0" w:line="290"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2018,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 ensure that the Westlake Executive's current base pay is within the acceptable target level as determined by the Westlake Compensation Committee to:</w:t>
      </w:r>
    </w:p>
    <w:p>
      <w:pPr>
        <w:spacing w:after="0" w:line="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71"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For further information regarding compensation decisions made by the Westlake Compensation Committee during 2018, see the proxy statement that is expected to be filed by Westlake in connection with its 2019 annual meeting of stockholders. In February 2019, the Westlake Compensation Committee set the base salaries for the Westlake NEOs as follows: $1,144,000 for Mr. Albert Chao and $628,000 for Mr. Bender. The salaries of Mr. Albert Chao and Mr. Bender were increased from $1,100,000 and $600,000, respectively, after consideration of the Reference Points.</w:t>
      </w:r>
    </w:p>
    <w:p>
      <w:pPr>
        <w:spacing w:after="0" w:line="194"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7" w:lineRule="exact"/>
        <w:rPr>
          <w:sz w:val="20"/>
          <w:szCs w:val="20"/>
          <w:color w:val="auto"/>
        </w:rPr>
      </w:pPr>
    </w:p>
    <w:p>
      <w:pPr>
        <w:ind w:firstLine="405"/>
        <w:spacing w:after="0" w:line="289" w:lineRule="auto"/>
        <w:rPr>
          <w:sz w:val="20"/>
          <w:szCs w:val="20"/>
          <w:color w:val="auto"/>
        </w:rPr>
      </w:pPr>
      <w:r>
        <w:rPr>
          <w:rFonts w:ascii="Arial" w:cs="Arial" w:eastAsia="Arial" w:hAnsi="Arial"/>
          <w:sz w:val="17"/>
          <w:szCs w:val="17"/>
          <w:b w:val="1"/>
          <w:bCs w:val="1"/>
          <w:color w:val="auto"/>
        </w:rPr>
        <w:t>Deferred Compensation Programs</w:t>
      </w:r>
      <w:r>
        <w:rPr>
          <w:rFonts w:ascii="Arial" w:cs="Arial" w:eastAsia="Arial" w:hAnsi="Arial"/>
          <w:sz w:val="17"/>
          <w:szCs w:val="17"/>
          <w:color w:val="auto"/>
        </w:rPr>
        <w:t>—Westlake has no deferred compensation programs for which its executives are eligible to participate except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9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THE BOARD OF DIRECTORS OF</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WESTLAKE CHEMICAL PARTNERS GP LLC</w:t>
      </w:r>
    </w:p>
    <w:p>
      <w:pPr>
        <w:spacing w:after="0" w:line="292"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Albert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James Chao</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Max L. Lukens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David Lumpkins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Angela Minas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M. Steven Bender</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L. Benjamin Ederington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regarding the compensation awarded to or earned during 2018 and prior years, as applicable by the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 xml:space="preserve">Portion Allocation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8"/>
                <w:szCs w:val="8"/>
                <w:b w:val="1"/>
                <w:bCs w:val="1"/>
                <w:color w:val="auto"/>
              </w:rPr>
              <w:t>(3)</w:t>
            </w:r>
          </w:p>
        </w:tc>
      </w:tr>
      <w:tr>
        <w:trPr>
          <w:trHeight w:val="228"/>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110,000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1,034,000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103,400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98,500</w:t>
            </w:r>
          </w:p>
        </w:tc>
      </w:tr>
      <w:tr>
        <w:trPr>
          <w:trHeight w:val="229"/>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Treasurer</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75,000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68,750</w:t>
            </w:r>
          </w:p>
        </w:tc>
      </w:tr>
      <w:tr>
        <w:trPr>
          <w:trHeight w:val="243"/>
        </w:trPr>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65,625</w:t>
            </w:r>
          </w:p>
        </w:tc>
      </w:tr>
      <w:tr>
        <w:trPr>
          <w:trHeight w:val="181"/>
        </w:trPr>
        <w:tc>
          <w:tcPr>
            <w:tcW w:w="502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14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9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2018 through December 31, 2018, from January 1, 2017 through December 31, 2017 and from January 1, 2016 through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Officers or employees of Westlake or its affiliates who also serve as directors do not receive additional compensation for such service. The directors who are not also officers or employees of Westlake or its affiliates (i.e., Ms. Minas and Messrs. Lukens and Lumpkins) receive compensation from our general partner for their service. In 2018, each of the non-employee directors received an annual retainer valued at approximately $155,000, of which $70,000 was paid in the form of a cash retainer and the remaining $85,000 was paid in the form of a grant of phantom unit awards under the LTIP. The phantom unit awards vest on the first anniversary of their grant date. The audit committee chairman received an additional cash retainer of $15,000 and each member of the conflicts committee received an additional cash retainer of $15,000 in recognition of the activities undertaken by the conflicts committee.</w:t>
      </w:r>
    </w:p>
    <w:p>
      <w:pPr>
        <w:spacing w:after="0" w:line="111"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 summary of the compensation paid to non-employee directors in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 Paid in</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Phantom Unit Awards</w:t>
            </w:r>
          </w:p>
        </w:tc>
        <w:tc>
          <w:tcPr>
            <w:tcW w:w="180" w:type="dxa"/>
            <w:vAlign w:val="bottom"/>
          </w:tcPr>
          <w:p>
            <w:pPr>
              <w:spacing w:after="0"/>
              <w:rPr>
                <w:sz w:val="16"/>
                <w:szCs w:val="16"/>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6"/>
                <w:szCs w:val="16"/>
                <w:color w:val="auto"/>
              </w:rPr>
            </w:pPr>
          </w:p>
        </w:tc>
        <w:tc>
          <w:tcPr>
            <w:tcW w:w="11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0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Cash</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5"/>
              </w:rPr>
              <w:t xml:space="preserve">Compensation </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184,604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David Lumpkins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85,000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184,604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180,948</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22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2018, Messrs. Lukens and Lumpkins and Ms. Minas held 6,491, 6,491 and 6,695 phantom units, respectively.</w:t>
      </w:r>
    </w:p>
    <w:p>
      <w:pPr>
        <w:spacing w:after="0" w:line="51"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Analysis</w:t>
      </w:r>
    </w:p>
    <w:p>
      <w:pPr>
        <w:spacing w:after="0" w:line="17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table below sets forth comparative information regarding: (1) the annual total compensation of our Chief Executive Officer, Mr. Albert Chao, for the year ended December 31, 2018,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2018, determined on the basis described below; and (3) a ratio comparison of those two amounts. These amounts were determined in accordance with rules prescribed by the SEC.</w:t>
      </w:r>
    </w:p>
    <w:p>
      <w:pPr>
        <w:spacing w:after="0" w:line="134" w:lineRule="exact"/>
        <w:rPr>
          <w:sz w:val="20"/>
          <w:szCs w:val="20"/>
          <w:color w:val="auto"/>
        </w:rPr>
      </w:pPr>
    </w:p>
    <w:p>
      <w:pPr>
        <w:ind w:right="20" w:firstLine="392"/>
        <w:spacing w:after="0" w:line="287" w:lineRule="auto"/>
        <w:rPr>
          <w:sz w:val="20"/>
          <w:szCs w:val="20"/>
          <w:color w:val="auto"/>
        </w:rPr>
      </w:pPr>
      <w:r>
        <w:rPr>
          <w:rFonts w:ascii="Arial" w:cs="Arial" w:eastAsia="Arial" w:hAnsi="Arial"/>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2018,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2017 through December 31, 2017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 of living adjustments for purposes of this determination. After identifying the median employee, based on the process described above, we calculated annual total compensation for that employee using the same methodology we used for determining total compensation for 2018 for our named executive officers as set forth in the Summary Compensation Table.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annual total compensation (A)</w:t>
            </w:r>
          </w:p>
        </w:tc>
        <w:tc>
          <w:tcPr>
            <w:tcW w:w="2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Median annual total compensation of all employees (excluding Chief Executive Officer) (B)</w:t>
            </w:r>
          </w:p>
        </w:tc>
        <w:tc>
          <w:tcPr>
            <w:tcW w:w="20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141,414</w:t>
            </w:r>
          </w:p>
        </w:tc>
      </w:tr>
      <w:tr>
        <w:trPr>
          <w:trHeight w:val="27"/>
        </w:trPr>
        <w:tc>
          <w:tcPr>
            <w:tcW w:w="8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(A) to (B)</w:t>
            </w:r>
          </w:p>
        </w:tc>
        <w:tc>
          <w:tcPr>
            <w:tcW w:w="20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r>
      <w:tr>
        <w:trPr>
          <w:trHeight w:val="459"/>
        </w:trPr>
        <w:tc>
          <w:tcPr>
            <w:tcW w:w="8320" w:type="dxa"/>
            <w:vAlign w:val="bottom"/>
          </w:tcPr>
          <w:p>
            <w:pPr>
              <w:jc w:val="right"/>
              <w:ind w:right="2430"/>
              <w:spacing w:after="0"/>
              <w:rPr>
                <w:sz w:val="20"/>
                <w:szCs w:val="20"/>
                <w:color w:val="auto"/>
              </w:rPr>
            </w:pPr>
            <w:r>
              <w:rPr>
                <w:rFonts w:ascii="Arial" w:cs="Arial" w:eastAsia="Arial" w:hAnsi="Arial"/>
                <w:sz w:val="18"/>
                <w:szCs w:val="18"/>
                <w:color w:val="auto"/>
              </w:rPr>
              <w:t>79</w:t>
            </w:r>
          </w:p>
        </w:tc>
        <w:tc>
          <w:tcPr>
            <w:tcW w:w="20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as of February 1, 2019, the beneficial ownership of our outstanding common units and subordinated units held by:</w:t>
      </w:r>
    </w:p>
    <w:p>
      <w:pPr>
        <w:spacing w:after="0" w:line="10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Westlake;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71"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1, 2019,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Common Units</w:t>
            </w:r>
          </w:p>
        </w:tc>
        <w:tc>
          <w:tcPr>
            <w:tcW w:w="8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7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Beneficially Owned</w:t>
            </w:r>
          </w:p>
        </w:tc>
        <w:tc>
          <w:tcPr>
            <w:tcW w:w="8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Westlake Chemical Corporation</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14,122,230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Westlake Chemical Partners GP LLC</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123,710</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3"/>
                <w:szCs w:val="13"/>
                <w:color w:val="auto"/>
              </w:rPr>
              <w:t>(1)</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James Chao</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55,000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12,000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L. Benjamin Ederington</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10,000</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125,000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David Lumpkins</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22,259</w:t>
            </w:r>
          </w:p>
        </w:tc>
        <w:tc>
          <w:tcPr>
            <w:tcW w:w="88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13,382</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w:t>
            </w:r>
          </w:p>
        </w:tc>
        <w:tc>
          <w:tcPr>
            <w:tcW w:w="1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80"/>
              <w:spacing w:after="0"/>
              <w:rPr>
                <w:sz w:val="20"/>
                <w:szCs w:val="20"/>
                <w:color w:val="auto"/>
              </w:rPr>
            </w:pPr>
            <w:r>
              <w:rPr>
                <w:rFonts w:ascii="Arial" w:cs="Arial" w:eastAsia="Arial" w:hAnsi="Arial"/>
                <w:sz w:val="18"/>
                <w:szCs w:val="18"/>
                <w:color w:val="auto"/>
              </w:rPr>
              <w:t>as a group (9 persons)</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374,151</w:t>
            </w:r>
          </w:p>
        </w:tc>
        <w:tc>
          <w:tcPr>
            <w:tcW w:w="8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90" w:lineRule="exact"/>
        <w:rPr>
          <w:sz w:val="20"/>
          <w:szCs w:val="20"/>
          <w:color w:val="auto"/>
        </w:rPr>
      </w:pPr>
    </w:p>
    <w:p>
      <w:pPr>
        <w:ind w:left="340" w:right="280" w:hanging="332"/>
        <w:spacing w:after="0" w:line="277" w:lineRule="auto"/>
        <w:tabs>
          <w:tab w:leader="none" w:pos="2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includes 27,275 common units held in three family trusts for the benefit of Mr. Albert Chao and his family members with respect to which Mr. Albert Chao serves as trustee.</w:t>
      </w:r>
    </w:p>
    <w:p>
      <w:pPr>
        <w:spacing w:after="0" w:line="116"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following table sets forth, as of February 1, 2019, the number of shares of common stock of Westlake Chemical Corporation beneficially owned by each director and named executive officer of our general partner and by all directors and executive officers of our general partner as a group:</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tcPr>
          <w:p>
            <w:pPr>
              <w:jc w:val="right"/>
              <w:ind w:right="417"/>
              <w:spacing w:after="0"/>
              <w:rPr>
                <w:sz w:val="20"/>
                <w:szCs w:val="20"/>
                <w:color w:val="auto"/>
              </w:rPr>
            </w:pPr>
            <w:r>
              <w:rPr>
                <w:rFonts w:ascii="Arial" w:cs="Arial" w:eastAsia="Arial" w:hAnsi="Arial"/>
                <w:sz w:val="14"/>
                <w:szCs w:val="14"/>
                <w:b w:val="1"/>
                <w:bCs w:val="1"/>
                <w:color w:val="auto"/>
              </w:rPr>
              <w:t>Amount and Nature of</w:t>
            </w:r>
          </w:p>
        </w:tc>
        <w:tc>
          <w:tcPr>
            <w:tcW w:w="156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0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 xml:space="preserve">Beneficial Ownership of Common Stock of Westlake Chemical </w:t>
            </w:r>
            <w:r>
              <w:rPr>
                <w:rFonts w:ascii="Arial" w:cs="Arial" w:eastAsia="Arial" w:hAnsi="Arial"/>
                <w:sz w:val="8"/>
                <w:szCs w:val="8"/>
                <w:b w:val="1"/>
                <w:bCs w:val="1"/>
                <w:color w:val="auto"/>
              </w:rPr>
              <w:t>(1)</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Directors and Named Executive Officers of Our General Partner</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Direct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8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Percent of Class</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Albert Chao</w:t>
            </w:r>
          </w:p>
        </w:tc>
        <w:tc>
          <w:tcPr>
            <w:tcW w:w="24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860,208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3"/>
                <w:szCs w:val="13"/>
                <w:color w:val="auto"/>
              </w:rPr>
              <w:t>(2)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James Chao</w:t>
            </w:r>
          </w:p>
        </w:tc>
        <w:tc>
          <w:tcPr>
            <w:tcW w:w="2480" w:type="dxa"/>
            <w:vAlign w:val="bottom"/>
            <w:gridSpan w:val="3"/>
          </w:tcPr>
          <w:p>
            <w:pPr>
              <w:jc w:val="right"/>
              <w:ind w:right="48"/>
              <w:spacing w:after="0"/>
              <w:rPr>
                <w:sz w:val="20"/>
                <w:szCs w:val="20"/>
                <w:color w:val="auto"/>
              </w:rPr>
            </w:pPr>
            <w:r>
              <w:rPr>
                <w:rFonts w:ascii="Arial" w:cs="Arial" w:eastAsia="Arial" w:hAnsi="Arial"/>
                <w:sz w:val="18"/>
                <w:szCs w:val="18"/>
                <w:color w:val="auto"/>
              </w:rPr>
              <w:t>215,396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jc w:val="right"/>
              <w:ind w:right="537"/>
              <w:spacing w:after="0"/>
              <w:rPr>
                <w:sz w:val="20"/>
                <w:szCs w:val="20"/>
                <w:color w:val="auto"/>
              </w:rPr>
            </w:pPr>
            <w:r>
              <w:rPr>
                <w:rFonts w:ascii="Arial" w:cs="Arial" w:eastAsia="Arial" w:hAnsi="Arial"/>
                <w:sz w:val="13"/>
                <w:szCs w:val="13"/>
                <w:color w:val="auto"/>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 Steven Bender</w:t>
            </w:r>
          </w:p>
        </w:tc>
        <w:tc>
          <w:tcPr>
            <w:tcW w:w="24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85,754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 Benjamin Ederington</w:t>
            </w:r>
          </w:p>
        </w:tc>
        <w:tc>
          <w:tcPr>
            <w:tcW w:w="2480" w:type="dxa"/>
            <w:vAlign w:val="bottom"/>
            <w:gridSpan w:val="3"/>
          </w:tcPr>
          <w:p>
            <w:pPr>
              <w:jc w:val="right"/>
              <w:ind w:right="48"/>
              <w:spacing w:after="0"/>
              <w:rPr>
                <w:sz w:val="20"/>
                <w:szCs w:val="20"/>
                <w:color w:val="auto"/>
              </w:rPr>
            </w:pPr>
            <w:r>
              <w:rPr>
                <w:rFonts w:ascii="Arial" w:cs="Arial" w:eastAsia="Arial" w:hAnsi="Arial"/>
                <w:sz w:val="18"/>
                <w:szCs w:val="18"/>
                <w:color w:val="auto"/>
              </w:rPr>
              <w:t>40,018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 L. Lukens</w:t>
            </w:r>
          </w:p>
        </w:tc>
        <w:tc>
          <w:tcPr>
            <w:tcW w:w="24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David Lumpkins</w:t>
            </w:r>
          </w:p>
        </w:tc>
        <w:tc>
          <w:tcPr>
            <w:tcW w:w="2480" w:type="dxa"/>
            <w:vAlign w:val="bottom"/>
            <w:gridSpan w:val="3"/>
          </w:tcPr>
          <w:p>
            <w:pPr>
              <w:jc w:val="right"/>
              <w:ind w:right="48"/>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Arial" w:cs="Arial" w:eastAsia="Arial" w:hAnsi="Arial"/>
                <w:sz w:val="18"/>
                <w:szCs w:val="18"/>
                <w:color w:val="auto"/>
              </w:rPr>
              <w:t>0</w:t>
            </w:r>
          </w:p>
        </w:tc>
      </w:tr>
      <w:tr>
        <w:trPr>
          <w:trHeight w:val="27"/>
        </w:trPr>
        <w:tc>
          <w:tcPr>
            <w:tcW w:w="4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Angela Minas</w:t>
            </w:r>
          </w:p>
        </w:tc>
        <w:tc>
          <w:tcPr>
            <w:tcW w:w="24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All directors and executive officers as a group (9 persons)</w:t>
            </w:r>
          </w:p>
        </w:tc>
        <w:tc>
          <w:tcPr>
            <w:tcW w:w="2480" w:type="dxa"/>
            <w:vAlign w:val="bottom"/>
            <w:gridSpan w:val="3"/>
          </w:tcPr>
          <w:p>
            <w:pPr>
              <w:jc w:val="right"/>
              <w:ind w:right="48"/>
              <w:spacing w:after="0"/>
              <w:rPr>
                <w:sz w:val="20"/>
                <w:szCs w:val="20"/>
                <w:color w:val="auto"/>
              </w:rPr>
            </w:pPr>
            <w:r>
              <w:rPr>
                <w:rFonts w:ascii="Arial" w:cs="Arial" w:eastAsia="Arial" w:hAnsi="Arial"/>
                <w:sz w:val="18"/>
                <w:szCs w:val="18"/>
                <w:color w:val="auto"/>
              </w:rPr>
              <w:t>1,231,343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92,010,554</w:t>
            </w:r>
          </w:p>
        </w:tc>
        <w:tc>
          <w:tcPr>
            <w:tcW w:w="8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608"/>
        </w:trPr>
        <w:tc>
          <w:tcPr>
            <w:tcW w:w="49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7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9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0" w:lineRule="exact"/>
        <w:rPr>
          <w:rFonts w:ascii="Arial" w:cs="Arial" w:eastAsia="Arial" w:hAnsi="Arial"/>
          <w:sz w:val="18"/>
          <w:szCs w:val="18"/>
          <w:color w:val="auto"/>
        </w:rPr>
      </w:pPr>
    </w:p>
    <w:p>
      <w:pPr>
        <w:ind w:left="340" w:right="20" w:hanging="332"/>
        <w:spacing w:after="0" w:line="29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Two trusts for the benefit of members of the Chao family, including James Chao and Albert Chao, are the managers of TTWFGP LLC, a Delaware limited liability company, which is the general partner of TTWF LP.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James Chao and Albert Chao. James Chao, Albert Chao, TTWF LP and TTWFGP LLC share voting and dispositive power with respect to the shares of Westlake's common stock beneficially owned by TTWF LP. James Chao and Albert Chao disclaim beneficial ownership of the 92,010,554 shares held by TTWF LP except to the extent of their respective pecuniary interest therein.</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Common Units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8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Beneficially</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Beneficially Owned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8"/>
        </w:trPr>
        <w:tc>
          <w:tcPr>
            <w:tcW w:w="8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Oppenheimer Funds, Inc.</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225 Liberty Street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New York, NY 10281</w:t>
            </w:r>
          </w:p>
        </w:tc>
        <w:tc>
          <w:tcPr>
            <w:tcW w:w="1480" w:type="dxa"/>
            <w:vAlign w:val="bottom"/>
            <w:shd w:val="clear" w:color="auto" w:fill="CCEEFF"/>
          </w:tcPr>
          <w:p>
            <w:pPr>
              <w:jc w:val="right"/>
              <w:spacing w:after="0" w:line="257" w:lineRule="exact"/>
              <w:rPr>
                <w:sz w:val="20"/>
                <w:szCs w:val="20"/>
                <w:color w:val="auto"/>
              </w:rPr>
            </w:pPr>
            <w:r>
              <w:rPr>
                <w:rFonts w:ascii="Arial" w:cs="Arial" w:eastAsia="Arial" w:hAnsi="Arial"/>
                <w:sz w:val="18"/>
                <w:szCs w:val="18"/>
                <w:color w:val="auto"/>
              </w:rPr>
              <w:t xml:space="preserve">6,047,866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29"/>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Janus Henderson Group plc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201 Bishopsgate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280" w:type="dxa"/>
            <w:vAlign w:val="bottom"/>
            <w:gridSpan w:val="2"/>
          </w:tcPr>
          <w:p>
            <w:pPr>
              <w:ind w:left="180"/>
              <w:spacing w:after="0"/>
              <w:rPr>
                <w:sz w:val="20"/>
                <w:szCs w:val="20"/>
                <w:color w:val="auto"/>
              </w:rPr>
            </w:pPr>
            <w:r>
              <w:rPr>
                <w:rFonts w:ascii="Arial" w:cs="Arial" w:eastAsia="Arial" w:hAnsi="Arial"/>
                <w:sz w:val="18"/>
                <w:szCs w:val="18"/>
                <w:color w:val="auto"/>
              </w:rPr>
              <w:t>EC2M 3AE United Kingdom</w:t>
            </w:r>
          </w:p>
        </w:tc>
        <w:tc>
          <w:tcPr>
            <w:tcW w:w="1480" w:type="dxa"/>
            <w:vAlign w:val="bottom"/>
          </w:tcPr>
          <w:p>
            <w:pPr>
              <w:jc w:val="right"/>
              <w:spacing w:after="0" w:line="275" w:lineRule="exact"/>
              <w:rPr>
                <w:sz w:val="20"/>
                <w:szCs w:val="20"/>
                <w:color w:val="auto"/>
              </w:rPr>
            </w:pPr>
            <w:r>
              <w:rPr>
                <w:rFonts w:ascii="Arial" w:cs="Arial" w:eastAsia="Arial" w:hAnsi="Arial"/>
                <w:sz w:val="18"/>
                <w:szCs w:val="18"/>
                <w:color w:val="auto"/>
              </w:rPr>
              <w:t xml:space="preserve">1,757,713 </w:t>
            </w:r>
            <w:r>
              <w:rPr>
                <w:rFonts w:ascii="Arial" w:cs="Arial" w:eastAsia="Arial" w:hAnsi="Arial"/>
                <w:sz w:val="25"/>
                <w:szCs w:val="25"/>
                <w:color w:val="auto"/>
                <w:vertAlign w:val="superscript"/>
              </w:rPr>
              <w:t>(2)</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36"/>
        </w:trPr>
        <w:tc>
          <w:tcPr>
            <w:tcW w:w="8180" w:type="dxa"/>
            <w:vAlign w:val="bottom"/>
          </w:tcPr>
          <w:p>
            <w:pPr>
              <w:spacing w:after="0"/>
              <w:rPr>
                <w:sz w:val="20"/>
                <w:szCs w:val="20"/>
                <w:color w:val="auto"/>
              </w:rPr>
            </w:pPr>
            <w:r>
              <w:rPr>
                <w:rFonts w:ascii="Arial" w:cs="Arial" w:eastAsia="Arial" w:hAnsi="Arial"/>
                <w:sz w:val="11"/>
                <w:szCs w:val="11"/>
                <w:color w:val="auto"/>
              </w:rPr>
              <w:t>____________________________</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right="3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an Amendment No. 5 to a Schedule 13G filed on January 10, 2019. According to the filing, Oppenheimer Funds, Inc. had shared voting and shared dispositive power over 6,047,866 common units.</w:t>
      </w:r>
    </w:p>
    <w:p>
      <w:pPr>
        <w:spacing w:after="0" w:line="35" w:lineRule="exact"/>
        <w:rPr>
          <w:rFonts w:ascii="Arial" w:cs="Arial" w:eastAsia="Arial" w:hAnsi="Arial"/>
          <w:sz w:val="18"/>
          <w:szCs w:val="18"/>
          <w:color w:val="auto"/>
        </w:rPr>
      </w:pPr>
    </w:p>
    <w:p>
      <w:pPr>
        <w:ind w:left="340" w:right="100" w:hanging="332"/>
        <w:spacing w:after="0" w:line="293"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on February 12, 2019. According to the filing, Janus Henderson Group plc. had shared voting and shared dispositive power over 1,757,713 common units and one of its managed portfolios, Janus Henderson Small Cap Value Fund (“Janus Small Cap”), had shared voting and shared dispositive power over 1,701,778 of those common units. According to the filing, another affiliate, Perkins Investment Management LLC (“Perkins”), may be deemed to be the beneficial owner of 1,757,713 common units as a result of its role as investment advisor to the managed portfolios of Janus Henderson Group plc. However, according to the filing, Perkins does not have the right to receive any dividends from, or the proceeds from the sale of, any common units held by such managed portfolios and disclaims any ownership associated with the same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Number of units</w:t>
            </w:r>
          </w:p>
        </w:tc>
        <w:tc>
          <w:tcPr>
            <w:tcW w:w="2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 under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options, warrants and rights</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5"/>
                <w:szCs w:val="25"/>
                <w:color w:val="auto"/>
                <w:vertAlign w:val="superscript"/>
              </w:rPr>
              <w:t>(1)</w:t>
            </w:r>
          </w:p>
        </w:tc>
        <w:tc>
          <w:tcPr>
            <w:tcW w:w="19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19,677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1,250,323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960" w:type="dxa"/>
            <w:vAlign w:val="bottom"/>
            <w:gridSpan w:val="2"/>
          </w:tcPr>
          <w:p>
            <w:pPr>
              <w:jc w:val="right"/>
              <w:ind w:right="68"/>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1160"/>
              <w:spacing w:after="0"/>
              <w:rPr>
                <w:sz w:val="20"/>
                <w:szCs w:val="20"/>
                <w:color w:val="auto"/>
              </w:rPr>
            </w:pPr>
            <w:r>
              <w:rPr>
                <w:rFonts w:ascii="Arial" w:cs="Arial" w:eastAsia="Arial" w:hAnsi="Arial"/>
                <w:sz w:val="18"/>
                <w:szCs w:val="18"/>
                <w:color w:val="auto"/>
              </w:rPr>
              <w:t>N/A</w:t>
            </w:r>
          </w:p>
        </w:tc>
        <w:tc>
          <w:tcPr>
            <w:tcW w:w="1800" w:type="dxa"/>
            <w:vAlign w:val="bottom"/>
          </w:tcPr>
          <w:p>
            <w:pPr>
              <w:jc w:val="right"/>
              <w:ind w:right="2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19,677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1,250,323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5620" w:type="dxa"/>
            <w:vAlign w:val="bottom"/>
          </w:tcPr>
          <w:p>
            <w:pPr>
              <w:spacing w:after="0"/>
              <w:rPr>
                <w:sz w:val="24"/>
                <w:szCs w:val="24"/>
                <w:color w:val="auto"/>
              </w:rPr>
            </w:pPr>
          </w:p>
        </w:tc>
        <w:tc>
          <w:tcPr>
            <w:tcW w:w="1960" w:type="dxa"/>
            <w:vAlign w:val="bottom"/>
            <w:gridSpan w:val="2"/>
          </w:tcPr>
          <w:p>
            <w:pPr>
              <w:jc w:val="right"/>
              <w:ind w:right="1708"/>
              <w:spacing w:after="0"/>
              <w:rPr>
                <w:sz w:val="20"/>
                <w:szCs w:val="20"/>
                <w:color w:val="auto"/>
              </w:rPr>
            </w:pPr>
            <w:r>
              <w:rPr>
                <w:rFonts w:ascii="Arial" w:cs="Arial" w:eastAsia="Arial" w:hAnsi="Arial"/>
                <w:sz w:val="18"/>
                <w:szCs w:val="18"/>
                <w:color w:val="auto"/>
                <w:w w:val="79"/>
              </w:rPr>
              <w:t>81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more information about the plan, please see Note 12 to our consolidated financial statements included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Westlake owns (1) 14,122,230 common units, representing an aggregate approximate 43.8% limited partner interest in us; (2) a 100% interest in our general partner; and (3) our incentive distribution rights. On July 27, 2018, the minimum quarterly distribution thresholds for our incentive distribution rights were revised. For more information about the revision, please see Note 9 to our consolidated financial statements included in this report. Transactions with Westlake and its affiliated entities are considered to be related party transactions because Westlake and its affiliates own more than 5% of our equity interests; in addition, certain of Westlake's directors and executive officers serve as directors and executive officers of both Westlake and our general partner.</w:t>
      </w:r>
    </w:p>
    <w:p>
      <w:pPr>
        <w:spacing w:after="0" w:line="10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approved by the holders of a majority of our outstanding common units, excluding any such units owned by our general partner or any of its affiliates.</w:t>
      </w:r>
    </w:p>
    <w:p>
      <w:pPr>
        <w:spacing w:after="0" w:line="1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94"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9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12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Assuming we have sufficient available cash to pay the full minimum quarterly distribution on all of our outstanding units for four quarters, Westlake would receive an annual distribution of approximately $15.5 million on its common units. During 2018, we made a $1.613 per unit distribution to all of our unitholders and a distribution of $1.3 million to the IDR Holders, resulting in Westlake receiving approximately $24.1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2018, we paid approximately $164 million for such expenses.</w:t>
      </w:r>
    </w:p>
    <w:p>
      <w:pPr>
        <w:spacing w:after="0" w:line="1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94"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Except as otherwise indicated, the agreements described below became effective on August 4, 2014, concurrent with the closing of the IPO. For amounts paid by us or Westlake, as applicable, under the agreements described below, see Note 2 to our consolidated financial statements.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Item 407(a) of Regulation S-K is included in "Item 10. Directors, Executive Officers and Corporate Governance."</w:t>
      </w:r>
    </w:p>
    <w:p>
      <w:pPr>
        <w:spacing w:after="0" w:line="183" w:lineRule="exact"/>
        <w:rPr>
          <w:sz w:val="20"/>
          <w:szCs w:val="20"/>
          <w:color w:val="auto"/>
        </w:rPr>
      </w:pPr>
    </w:p>
    <w:p>
      <w:pPr>
        <w:ind w:right="380" w:firstLine="405"/>
        <w:spacing w:after="0" w:line="302" w:lineRule="auto"/>
        <w:rPr>
          <w:sz w:val="20"/>
          <w:szCs w:val="20"/>
          <w:color w:val="auto"/>
        </w:rPr>
      </w:pPr>
      <w:r>
        <w:rPr>
          <w:rFonts w:ascii="Arial" w:cs="Arial" w:eastAsia="Arial" w:hAnsi="Arial"/>
          <w:sz w:val="16"/>
          <w:szCs w:val="16"/>
          <w:color w:val="auto"/>
        </w:rPr>
        <w:t>In addition to the agreements described below, we also entered into the MLP Revolver in 2015, which was amended in August 2017 and December 2017, and OpCo entered into the OpCo Revolver and assumed various promissory notes at the closing of the IPO. The OpCo Revolver was amended in September 2018 to extend the maturity date from August 4, 2019 to September 25, 2023, and revise the applicable margin from 3% to 2%. See "Item 7. Management's Discussion &amp; Analysis of Financial Condition and Results of Operations—Liquidity and Capital Resources—Indebtedness."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cost underrecoveries may be carried forward for recovery in subsequent years. Variable costs not incurred by OpCo due to a deficiency in takes are rebated to Westlake.</w:t>
      </w:r>
    </w:p>
    <w:p>
      <w:pPr>
        <w:spacing w:after="0" w:line="113"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46"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90"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agrees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2" w:right="25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0"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0" w:lineRule="exact"/>
        <w:rPr>
          <w:sz w:val="20"/>
          <w:szCs w:val="20"/>
          <w:color w:val="auto"/>
        </w:rPr>
      </w:pPr>
    </w:p>
    <w:p>
      <w:pPr>
        <w:ind w:right="260" w:firstLine="392"/>
        <w:spacing w:after="0" w:line="286" w:lineRule="auto"/>
        <w:rPr>
          <w:sz w:val="20"/>
          <w:szCs w:val="20"/>
          <w:color w:val="auto"/>
        </w:rPr>
      </w:pPr>
      <w:r>
        <w:rPr>
          <w:rFonts w:ascii="Arial" w:cs="Arial" w:eastAsia="Arial" w:hAnsi="Arial"/>
          <w:sz w:val="17"/>
          <w:szCs w:val="17"/>
          <w:color w:val="auto"/>
        </w:rPr>
        <w:t>We, OpCo and Westlake are parties to an Investment Management Agreement that authorizes Westlake to invest our and OpCo’s excess cash with Westlake for a term of up to a maximum of nine months. Per the terms of the Investment Management Agreement, we earn a market return plus five basis points and Westlake provides daily availability of the invested cash to meet any liquidity needs of us or OpCo.</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121" w:right="29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7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The following table presents fees for professional services rendered by PricewaterhouseCoopers LLP in connection with the 2018 and 2017 audits and fees billed by PricewaterhouseCoopers LLP for other services rendered in the years ended December 31, 2018 and December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910,000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825,000</w:t>
            </w:r>
          </w:p>
        </w:tc>
      </w:tr>
      <w:tr>
        <w:trPr>
          <w:trHeight w:val="270"/>
        </w:trPr>
        <w:tc>
          <w:tcPr>
            <w:tcW w:w="8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235,495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245,590</w:t>
            </w: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1,145,495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1,070,590</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right="20" w:hanging="412"/>
        <w:spacing w:after="0" w:line="317"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Audit fees represent fees billed for professional services rendered for the audits of our annual consolidated financial statements, audit of internal controls, quarterly review of our consolidated financial statements, reviews of documents filed with the SEC, registration statements and comfort letters.</w:t>
      </w:r>
    </w:p>
    <w:p>
      <w:pPr>
        <w:ind w:left="420" w:right="220" w:hanging="412"/>
        <w:spacing w:after="0" w:line="277"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2017 K-1 statements in 2018, and the preparation of the Partnership’s 2016 K-1 statements in 2017 and compliance services in 2018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0"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 xml:space="preserve">The charter of the audit committee of our general partner's board of directors, which is available on our website at </w:t>
      </w:r>
      <w:r>
        <w:rPr>
          <w:rFonts w:ascii="Arial" w:cs="Arial" w:eastAsia="Arial" w:hAnsi="Arial"/>
          <w:sz w:val="17"/>
          <w:szCs w:val="17"/>
          <w:i w:val="1"/>
          <w:iCs w:val="1"/>
          <w:color w:val="auto"/>
        </w:rPr>
        <w:t>www.wlkpartners.com</w:t>
      </w:r>
      <w:r>
        <w:rPr>
          <w:rFonts w:ascii="Arial" w:cs="Arial" w:eastAsia="Arial" w:hAnsi="Arial"/>
          <w:sz w:val="17"/>
          <w:szCs w:val="17"/>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2018.</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240" w:top="121" w:right="5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40" w:type="dxa"/>
            <w:vAlign w:val="bottom"/>
            <w:gridSpan w:val="27"/>
          </w:tcPr>
          <w:p>
            <w:pPr>
              <w:ind w:left="64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480" w:type="dxa"/>
            <w:vAlign w:val="bottom"/>
          </w:tcPr>
          <w:p>
            <w:pPr>
              <w:jc w:val="right"/>
              <w:ind w:right="331"/>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31"/>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371"/>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2.1</w:t>
            </w:r>
          </w:p>
        </w:tc>
        <w:tc>
          <w:tcPr>
            <w:tcW w:w="9600" w:type="dxa"/>
            <w:vAlign w:val="bottom"/>
            <w:tcBorders>
              <w:bottom w:val="single" w:sz="8" w:color="0000FF"/>
            </w:tcBorders>
            <w:gridSpan w:val="20"/>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Equity Purchase Agreement by and among Westlake Chemical Partners LP, Westlake Chemical OpCo LP and WPT LLC, dated as of</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4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April 29, 2015 (incorporated by reference to Exhibit 2.1 to Westlake Chemical Partners LP's Current Report on Form 8-K, filed on April</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2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30, 2015, File No 001-36567).</w:t>
              </w:r>
            </w:hyperlink>
          </w:p>
        </w:tc>
        <w:tc>
          <w:tcPr>
            <w:tcW w:w="7660" w:type="dxa"/>
            <w:vAlign w:val="bottom"/>
            <w:gridSpan w:val="28"/>
          </w:tcPr>
          <w:p>
            <w:pPr>
              <w:spacing w:after="0"/>
              <w:rPr>
                <w:sz w:val="17"/>
                <w:szCs w:val="17"/>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2.2</w:t>
            </w:r>
          </w:p>
        </w:tc>
        <w:tc>
          <w:tcPr>
            <w:tcW w:w="9600" w:type="dxa"/>
            <w:vAlign w:val="bottom"/>
            <w:tcBorders>
              <w:bottom w:val="single" w:sz="8" w:color="0000FF"/>
            </w:tcBorders>
            <w:gridSpan w:val="20"/>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Equity Purchase Agreement by and among Westlake Chemical Partners LP, Westlake Chemical OpCo LP and WPT LLC, dated as of</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September 26, 2017 (incorporated by reference to Exhibit 2.1 to Westlake Chemical Partners LP's Current Report on Form 8-K, filed on</w:t>
              </w:r>
            </w:hyperlink>
          </w:p>
        </w:tc>
        <w:tc>
          <w:tcPr>
            <w:tcW w:w="40" w:type="dxa"/>
            <w:vAlign w:val="bottom"/>
            <w:gridSpan w:val="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September 26, 2017, File No. 001-36567)</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3.1</w:t>
            </w:r>
          </w:p>
        </w:tc>
        <w:tc>
          <w:tcPr>
            <w:tcW w:w="9560" w:type="dxa"/>
            <w:vAlign w:val="bottom"/>
            <w:tcBorders>
              <w:bottom w:val="single" w:sz="8" w:color="0000FF"/>
            </w:tcBorders>
            <w:gridSpan w:val="18"/>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Certificate of Limited Partnership of Westlake Chemical Partners LP (incorporated by reference to Exhibit 3.1 to Westlake Chemical</w:t>
              </w:r>
            </w:hyperlink>
          </w:p>
        </w:tc>
        <w:tc>
          <w:tcPr>
            <w:tcW w:w="30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12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Partners LP's Registration Statement on Form S-1 (File No. 333-195551), filed on April 29, 2014).</w:t>
              </w:r>
            </w:hyperlink>
          </w:p>
        </w:tc>
        <w:tc>
          <w:tcPr>
            <w:tcW w:w="2740" w:type="dxa"/>
            <w:vAlign w:val="bottom"/>
            <w:gridSpan w:val="22"/>
          </w:tcPr>
          <w:p>
            <w:pPr>
              <w:spacing w:after="0"/>
              <w:rPr>
                <w:sz w:val="17"/>
                <w:szCs w:val="17"/>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3.2</w:t>
            </w:r>
          </w:p>
        </w:tc>
        <w:tc>
          <w:tcPr>
            <w:tcW w:w="9800" w:type="dxa"/>
            <w:vAlign w:val="bottom"/>
            <w:tcBorders>
              <w:bottom w:val="single" w:sz="8" w:color="0000FF"/>
            </w:tcBorders>
            <w:gridSpan w:val="28"/>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First Amended and Restated Agreement of Limited Partnership of Westlake Chemical Partners LP (incorporated by reference to Exhibit</w:t>
              </w:r>
            </w:hyperlink>
          </w:p>
        </w:tc>
        <w:tc>
          <w:tcPr>
            <w:tcW w:w="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Westlake Chemical Partners 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3.3</w:t>
            </w:r>
          </w:p>
        </w:tc>
        <w:tc>
          <w:tcPr>
            <w:tcW w:w="9740" w:type="dxa"/>
            <w:vAlign w:val="bottom"/>
            <w:tcBorders>
              <w:bottom w:val="single" w:sz="8" w:color="0000FF"/>
            </w:tcBorders>
            <w:gridSpan w:val="25"/>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Amendment No. 1 to the First Amended and Restated Agreement of Limited Partnership of Westlake Chemical Partners LP dated as of</w:t>
              </w:r>
            </w:hyperlink>
          </w:p>
        </w:tc>
        <w:tc>
          <w:tcPr>
            <w:tcW w:w="12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November 16, 2017 (incorporated by Reference to Exhibit 3.1 to Westlake Chemical Partners LP's Current Report on Form 8-K, filed on</w:t>
              </w:r>
            </w:hyperlink>
          </w:p>
        </w:tc>
      </w:tr>
      <w:tr>
        <w:trPr>
          <w:trHeight w:val="196"/>
        </w:trPr>
        <w:tc>
          <w:tcPr>
            <w:tcW w:w="1480" w:type="dxa"/>
            <w:vAlign w:val="bottom"/>
          </w:tcPr>
          <w:p>
            <w:pPr>
              <w:spacing w:after="0"/>
              <w:rPr>
                <w:sz w:val="17"/>
                <w:szCs w:val="17"/>
                <w:color w:val="auto"/>
              </w:rPr>
            </w:pPr>
          </w:p>
        </w:tc>
        <w:tc>
          <w:tcPr>
            <w:tcW w:w="30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November 16, 2017, File No. 01-36567).</w:t>
              </w:r>
            </w:hyperlink>
          </w:p>
        </w:tc>
        <w:tc>
          <w:tcPr>
            <w:tcW w:w="6840" w:type="dxa"/>
            <w:vAlign w:val="bottom"/>
            <w:gridSpan w:val="27"/>
          </w:tcPr>
          <w:p>
            <w:pPr>
              <w:spacing w:after="0"/>
              <w:rPr>
                <w:sz w:val="17"/>
                <w:szCs w:val="17"/>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3.4</w:t>
            </w:r>
          </w:p>
        </w:tc>
        <w:tc>
          <w:tcPr>
            <w:tcW w:w="9580" w:type="dxa"/>
            <w:vAlign w:val="bottom"/>
            <w:tcBorders>
              <w:bottom w:val="single" w:sz="8" w:color="0000FF"/>
            </w:tcBorders>
            <w:gridSpan w:val="19"/>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Amendment No. 1 to the First Amended and Restated Agreement of Limited Partnership of Westlake Chemical OpCo LP dated as of</w:t>
              </w:r>
            </w:hyperlink>
          </w:p>
        </w:tc>
        <w:tc>
          <w:tcPr>
            <w:tcW w:w="28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December 1, 2017 (File No. 01-36567) (incorporated by reference to Exhibit 3.4 to Westlake Chemical Partners LP’s Annual Report on</w:t>
              </w:r>
            </w:hyperlink>
          </w:p>
        </w:tc>
      </w:tr>
      <w:tr>
        <w:trPr>
          <w:trHeight w:val="196"/>
        </w:trPr>
        <w:tc>
          <w:tcPr>
            <w:tcW w:w="1480" w:type="dxa"/>
            <w:vAlign w:val="bottom"/>
          </w:tcPr>
          <w:p>
            <w:pPr>
              <w:spacing w:after="0"/>
              <w:rPr>
                <w:sz w:val="17"/>
                <w:szCs w:val="17"/>
                <w:color w:val="auto"/>
              </w:rPr>
            </w:pPr>
          </w:p>
        </w:tc>
        <w:tc>
          <w:tcPr>
            <w:tcW w:w="97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Form 10-K for the year ended December 31, 2017 (File No. 01-36567) filed on March 1, 2018).</w:t>
              </w:r>
            </w:hyperlink>
          </w:p>
        </w:tc>
        <w:tc>
          <w:tcPr>
            <w:tcW w:w="100" w:type="dxa"/>
            <w:vAlign w:val="bottom"/>
            <w:gridSpan w:val="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3.5</w:t>
            </w:r>
          </w:p>
        </w:tc>
        <w:tc>
          <w:tcPr>
            <w:tcW w:w="8920" w:type="dxa"/>
            <w:vAlign w:val="bottom"/>
            <w:tcBorders>
              <w:bottom w:val="single" w:sz="8" w:color="0000FF"/>
            </w:tcBorders>
            <w:gridSpan w:val="13"/>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Amendment No. 2 to the First Amended and Restated Agreement of Limited Partnership of Westlake Chemical Partners LP</w:t>
              </w:r>
            </w:hyperlink>
          </w:p>
        </w:tc>
        <w:tc>
          <w:tcPr>
            <w:tcW w:w="940" w:type="dxa"/>
            <w:vAlign w:val="bottom"/>
            <w:gridSpan w:val="1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(incorporated by reference to Exhibit 3.1 to Westlake Chemical Partners LP's Current Report on Form 8-K filed on July 30, 2018 (File</w:t>
              </w:r>
            </w:hyperlink>
          </w:p>
        </w:tc>
        <w:tc>
          <w:tcPr>
            <w:tcW w:w="18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No. 01-36567)).</w:t>
              </w:r>
            </w:hyperlink>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4.1</w:t>
            </w:r>
          </w:p>
        </w:tc>
        <w:tc>
          <w:tcPr>
            <w:tcW w:w="9680" w:type="dxa"/>
            <w:vAlign w:val="bottom"/>
            <w:tcBorders>
              <w:bottom w:val="single" w:sz="8" w:color="0000FF"/>
            </w:tcBorders>
            <w:gridSpan w:val="23"/>
          </w:tcPr>
          <w:p>
            <w:pPr>
              <w:spacing w:after="0"/>
              <w:rPr>
                <w:rFonts w:ascii="Arial" w:cs="Arial" w:eastAsia="Arial" w:hAnsi="Arial"/>
                <w:sz w:val="18"/>
                <w:szCs w:val="18"/>
                <w:color w:val="0000FF"/>
                <w:w w:val="89"/>
              </w:rPr>
            </w:pPr>
            <w:hyperlink r:id="rId33">
              <w:r>
                <w:rPr>
                  <w:rFonts w:ascii="Arial" w:cs="Arial" w:eastAsia="Arial" w:hAnsi="Arial"/>
                  <w:sz w:val="18"/>
                  <w:szCs w:val="18"/>
                  <w:color w:val="0000FF"/>
                  <w:w w:val="89"/>
                </w:rPr>
                <w:t>Indenture dated as of January 1, 2006 by and among Westlake Chemical Corporation, the potential subsidiary guarantors listed therein</w:t>
              </w:r>
            </w:hyperlink>
          </w:p>
        </w:tc>
        <w:tc>
          <w:tcPr>
            <w:tcW w:w="18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and JPMorgan Chase Bank, National Association, as trustee (incorporated by reference to Exhibit 4.1 to Westlake Chemical</w:t>
              </w:r>
            </w:hyperlink>
          </w:p>
        </w:tc>
      </w:tr>
      <w:tr>
        <w:trPr>
          <w:trHeight w:val="196"/>
        </w:trPr>
        <w:tc>
          <w:tcPr>
            <w:tcW w:w="1480" w:type="dxa"/>
            <w:vAlign w:val="bottom"/>
          </w:tcPr>
          <w:p>
            <w:pPr>
              <w:spacing w:after="0"/>
              <w:rPr>
                <w:sz w:val="17"/>
                <w:szCs w:val="17"/>
                <w:color w:val="auto"/>
              </w:rPr>
            </w:pPr>
          </w:p>
        </w:tc>
        <w:tc>
          <w:tcPr>
            <w:tcW w:w="892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Corporation's Current Report on Form 8-K, filed on January 13, 2006, File No. 1-32260).</w:t>
              </w:r>
            </w:hyperlink>
          </w:p>
        </w:tc>
        <w:tc>
          <w:tcPr>
            <w:tcW w:w="940" w:type="dxa"/>
            <w:vAlign w:val="bottom"/>
            <w:gridSpan w:val="18"/>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42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4.2</w:t>
            </w:r>
          </w:p>
        </w:tc>
        <w:tc>
          <w:tcPr>
            <w:tcW w:w="9860" w:type="dxa"/>
            <w:vAlign w:val="bottom"/>
            <w:gridSpan w:val="31"/>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Third Supplemental Indenture, dated as of July 2, 2010, among Westlake Chemical Corporation, the Subsidiary Guarantors (as defined</w:t>
              </w:r>
            </w:hyperlink>
          </w:p>
        </w:tc>
      </w:tr>
      <w:tr>
        <w:trPr>
          <w:trHeight w:val="196"/>
        </w:trPr>
        <w:tc>
          <w:tcPr>
            <w:tcW w:w="1480" w:type="dxa"/>
            <w:vAlign w:val="bottom"/>
          </w:tcPr>
          <w:p>
            <w:pPr>
              <w:spacing w:after="0"/>
              <w:rPr>
                <w:sz w:val="17"/>
                <w:szCs w:val="17"/>
                <w:color w:val="auto"/>
              </w:rPr>
            </w:pPr>
          </w:p>
        </w:tc>
        <w:tc>
          <w:tcPr>
            <w:tcW w:w="9700" w:type="dxa"/>
            <w:vAlign w:val="bottom"/>
            <w:tcBorders>
              <w:top w:val="single" w:sz="8" w:color="0000FF"/>
            </w:tcBorders>
            <w:gridSpan w:val="24"/>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therein) and The Bank of New York Mellon Trust Company, N.A., as trustee (incorporated by reference to Exhibit 4.2 to Westlake</w:t>
              </w:r>
            </w:hyperlink>
          </w:p>
        </w:tc>
        <w:tc>
          <w:tcPr>
            <w:tcW w:w="16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38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Chemical Corporation's Current Report on Form 8-K, filed on July 8, 2010, File No. 1-32260).</w:t>
              </w:r>
            </w:hyperlink>
          </w:p>
        </w:tc>
        <w:tc>
          <w:tcPr>
            <w:tcW w:w="480" w:type="dxa"/>
            <w:vAlign w:val="bottom"/>
            <w:gridSpan w:val="15"/>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4.3</w:t>
            </w:r>
          </w:p>
        </w:tc>
        <w:tc>
          <w:tcPr>
            <w:tcW w:w="9660" w:type="dxa"/>
            <w:vAlign w:val="bottom"/>
            <w:tcBorders>
              <w:bottom w:val="single" w:sz="8" w:color="0000FF"/>
            </w:tcBorders>
            <w:gridSpan w:val="22"/>
          </w:tcPr>
          <w:p>
            <w:pPr>
              <w:spacing w:after="0"/>
              <w:rPr>
                <w:rFonts w:ascii="Arial" w:cs="Arial" w:eastAsia="Arial" w:hAnsi="Arial"/>
                <w:sz w:val="18"/>
                <w:szCs w:val="18"/>
                <w:color w:val="0000FF"/>
                <w:w w:val="89"/>
              </w:rPr>
            </w:pPr>
            <w:hyperlink r:id="rId35">
              <w:r>
                <w:rPr>
                  <w:rFonts w:ascii="Arial" w:cs="Arial" w:eastAsia="Arial" w:hAnsi="Arial"/>
                  <w:sz w:val="18"/>
                  <w:szCs w:val="18"/>
                  <w:color w:val="0000FF"/>
                  <w:w w:val="89"/>
                </w:rPr>
                <w:t>Fourth Supplemental Indenture, dated as of December 2, 2010, among Westlake Chemical Corporation, the Subsidiary Guarantors (as</w:t>
              </w:r>
            </w:hyperlink>
          </w:p>
        </w:tc>
        <w:tc>
          <w:tcPr>
            <w:tcW w:w="20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7"/>
              </w:rPr>
            </w:pPr>
            <w:hyperlink r:id="rId35">
              <w:r>
                <w:rPr>
                  <w:rFonts w:ascii="Arial" w:cs="Arial" w:eastAsia="Arial" w:hAnsi="Arial"/>
                  <w:sz w:val="18"/>
                  <w:szCs w:val="18"/>
                  <w:color w:val="0000FF"/>
                  <w:w w:val="97"/>
                </w:rPr>
                <w:t>defined therein) and The Bank of New York Mellon Trust Company, N.A., as trustee (incorporated by reference to Exhibit 4.2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900" w:type="dxa"/>
            <w:vAlign w:val="bottom"/>
            <w:gridSpan w:val="7"/>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4.4</w:t>
            </w:r>
          </w:p>
        </w:tc>
        <w:tc>
          <w:tcPr>
            <w:tcW w:w="9520" w:type="dxa"/>
            <w:vAlign w:val="bottom"/>
            <w:tcBorders>
              <w:bottom w:val="single" w:sz="8" w:color="0000FF"/>
            </w:tcBorders>
            <w:gridSpan w:val="17"/>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Fifth Supplemental Indenture, dated as of December 2, 2010, among Westlake Chemical Corporation, the Subsidiary Guarantors (as</w:t>
              </w:r>
            </w:hyperlink>
          </w:p>
        </w:tc>
        <w:tc>
          <w:tcPr>
            <w:tcW w:w="34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defined therein) and The Bank of New York Mellon Trust Company, N.A., as trustee (incorporated by reference to Exhibit 4.3 to</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Westlake Chemical Corporation's Current Report on Form 8-K, filed on December 8, 2010, File No. 1-32260).</w:t>
              </w:r>
            </w:hyperlink>
          </w:p>
        </w:tc>
        <w:tc>
          <w:tcPr>
            <w:tcW w:w="600" w:type="dxa"/>
            <w:vAlign w:val="bottom"/>
            <w:gridSpan w:val="17"/>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900" w:type="dxa"/>
            <w:vAlign w:val="bottom"/>
            <w:gridSpan w:val="7"/>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4.5</w:t>
            </w:r>
          </w:p>
        </w:tc>
        <w:tc>
          <w:tcPr>
            <w:tcW w:w="9740" w:type="dxa"/>
            <w:vAlign w:val="bottom"/>
            <w:tcBorders>
              <w:bottom w:val="single" w:sz="8" w:color="0000FF"/>
            </w:tcBorders>
            <w:gridSpan w:val="25"/>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Supplemental Indenture, dated as of December 31, 2007, among Westlake Chemical Corporation, WPT LLC, Westlake Polymers LLC,</w:t>
              </w:r>
            </w:hyperlink>
          </w:p>
        </w:tc>
        <w:tc>
          <w:tcPr>
            <w:tcW w:w="12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Westlake Petrochemicals LLC, Westlake Styrene LLC, the other subsidiary guarantors party thereto and The Bank of New York Trust</w:t>
              </w:r>
            </w:hyperlink>
          </w:p>
        </w:tc>
        <w:tc>
          <w:tcPr>
            <w:tcW w:w="22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Company, N.A. related to the 6 ¾% senior notes (incorporated by reference to Exhibit 4.7 to Westlake Chemical Corporation's Annual</w:t>
              </w:r>
            </w:hyperlink>
          </w:p>
        </w:tc>
      </w:tr>
      <w:tr>
        <w:trPr>
          <w:trHeight w:val="196"/>
        </w:trPr>
        <w:tc>
          <w:tcPr>
            <w:tcW w:w="148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Report on Form 10-K for the year ended December 31, 2007, filed on February 20, 2008, File No. 1-32260).</w:t>
              </w:r>
            </w:hyperlink>
          </w:p>
        </w:tc>
        <w:tc>
          <w:tcPr>
            <w:tcW w:w="1860" w:type="dxa"/>
            <w:vAlign w:val="bottom"/>
            <w:tcBorders>
              <w:top w:val="single" w:sz="8" w:color="0000FF"/>
            </w:tcBorders>
            <w:gridSpan w:val="13"/>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4.6</w:t>
            </w:r>
          </w:p>
        </w:tc>
        <w:tc>
          <w:tcPr>
            <w:tcW w:w="9780" w:type="dxa"/>
            <w:vAlign w:val="bottom"/>
            <w:tcBorders>
              <w:bottom w:val="single" w:sz="8" w:color="0000FF"/>
            </w:tcBorders>
            <w:gridSpan w:val="27"/>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Sixth Supplemental Indenture, dated as of July 17, 2012, among Westlake Chemical Corporation, the Subsidiary Guarantors (as defined</w:t>
              </w:r>
            </w:hyperlink>
          </w:p>
        </w:tc>
        <w:tc>
          <w:tcPr>
            <w:tcW w:w="8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5"/>
              </w:rPr>
            </w:pPr>
            <w:hyperlink r:id="rId38">
              <w:r>
                <w:rPr>
                  <w:rFonts w:ascii="Arial" w:cs="Arial" w:eastAsia="Arial" w:hAnsi="Arial"/>
                  <w:sz w:val="18"/>
                  <w:szCs w:val="18"/>
                  <w:color w:val="0000FF"/>
                  <w:w w:val="95"/>
                </w:rPr>
                <w:t>therein) and The Bank of New York Mellon Trust Company, N.A., as trustee (incorporated by reference to Exhibit 4.2 to Westlake</w:t>
              </w:r>
            </w:hyperlink>
          </w:p>
        </w:tc>
      </w:tr>
      <w:tr>
        <w:trPr>
          <w:trHeight w:val="196"/>
        </w:trPr>
        <w:tc>
          <w:tcPr>
            <w:tcW w:w="1480" w:type="dxa"/>
            <w:vAlign w:val="bottom"/>
          </w:tcPr>
          <w:p>
            <w:pPr>
              <w:spacing w:after="0"/>
              <w:rPr>
                <w:sz w:val="17"/>
                <w:szCs w:val="17"/>
                <w:color w:val="auto"/>
              </w:rPr>
            </w:pPr>
          </w:p>
        </w:tc>
        <w:tc>
          <w:tcPr>
            <w:tcW w:w="6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Chemical Corporation's Current Report on Form 8-K, filed on July 16, 2012, File No. 1-32260).</w:t>
              </w:r>
            </w:hyperlink>
          </w:p>
        </w:tc>
        <w:tc>
          <w:tcPr>
            <w:tcW w:w="2460" w:type="dxa"/>
            <w:vAlign w:val="bottom"/>
            <w:tcBorders>
              <w:top w:val="single" w:sz="8" w:color="0000FF"/>
            </w:tcBorders>
            <w:gridSpan w:val="8"/>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372"/>
        </w:trPr>
        <w:tc>
          <w:tcPr>
            <w:tcW w:w="1480" w:type="dxa"/>
            <w:vAlign w:val="bottom"/>
          </w:tcPr>
          <w:p>
            <w:pPr>
              <w:jc w:val="right"/>
              <w:ind w:right="1171"/>
              <w:spacing w:after="0"/>
              <w:rPr>
                <w:sz w:val="20"/>
                <w:szCs w:val="20"/>
                <w:color w:val="auto"/>
              </w:rPr>
            </w:pPr>
            <w:r>
              <w:rPr>
                <w:rFonts w:ascii="Arial" w:cs="Arial" w:eastAsia="Arial" w:hAnsi="Arial"/>
                <w:sz w:val="18"/>
                <w:szCs w:val="18"/>
                <w:color w:val="auto"/>
                <w:w w:val="79"/>
              </w:rPr>
              <w:t>4.7</w:t>
            </w:r>
          </w:p>
        </w:tc>
        <w:tc>
          <w:tcPr>
            <w:tcW w:w="9860" w:type="dxa"/>
            <w:vAlign w:val="bottom"/>
            <w:gridSpan w:val="31"/>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Seventh Supplemental Indenture, dated as of February 12, 2013, among Westlake Chemical Corporation, the Subsidiary Guarantors (as</w:t>
              </w:r>
            </w:hyperlink>
          </w:p>
        </w:tc>
      </w:tr>
      <w:tr>
        <w:trPr>
          <w:trHeight w:val="196"/>
        </w:trPr>
        <w:tc>
          <w:tcPr>
            <w:tcW w:w="148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defined therein) and The Bank of New York Mellon Trust Company, N.A., as trustee (incorporated by reference to Exhibit 4.16 to</w:t>
              </w:r>
            </w:hyperlink>
          </w:p>
        </w:tc>
        <w:tc>
          <w:tcPr>
            <w:tcW w:w="380" w:type="dxa"/>
            <w:vAlign w:val="bottom"/>
            <w:tcBorders>
              <w:top w:val="single" w:sz="8" w:color="0000FF"/>
            </w:tcBorders>
            <w:gridSpan w:val="10"/>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Westlake Chemical Corporation's Annual Report on Form 10-K for the year ended December 31, 2012, filed on February 22, 2013, File</w:t>
              </w:r>
            </w:hyperlink>
          </w:p>
        </w:tc>
      </w:tr>
      <w:tr>
        <w:trPr>
          <w:trHeight w:val="196"/>
        </w:trPr>
        <w:tc>
          <w:tcPr>
            <w:tcW w:w="1480" w:type="dxa"/>
            <w:vAlign w:val="bottom"/>
          </w:tcPr>
          <w:p>
            <w:pPr>
              <w:spacing w:after="0"/>
              <w:rPr>
                <w:sz w:val="17"/>
                <w:szCs w:val="17"/>
                <w:color w:val="auto"/>
              </w:rPr>
            </w:pPr>
          </w:p>
        </w:tc>
        <w:tc>
          <w:tcPr>
            <w:tcW w:w="10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No. 1-32260).</w:t>
              </w:r>
            </w:hyperlink>
          </w:p>
        </w:tc>
        <w:tc>
          <w:tcPr>
            <w:tcW w:w="8760" w:type="dxa"/>
            <w:vAlign w:val="bottom"/>
            <w:tcBorders>
              <w:top w:val="single" w:sz="8" w:color="0000FF"/>
            </w:tcBorders>
            <w:gridSpan w:val="26"/>
          </w:tcPr>
          <w:p>
            <w:pPr>
              <w:spacing w:after="0"/>
              <w:rPr>
                <w:sz w:val="17"/>
                <w:szCs w:val="17"/>
                <w:color w:val="auto"/>
              </w:rPr>
            </w:pPr>
          </w:p>
        </w:tc>
        <w:tc>
          <w:tcPr>
            <w:tcW w:w="8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380"/>
          </w:cols>
          <w:pgMar w:left="240" w:top="122" w:right="27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860" w:type="dxa"/>
            <w:vAlign w:val="bottom"/>
            <w:gridSpan w:val="31"/>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4.8</w:t>
            </w:r>
          </w:p>
        </w:tc>
        <w:tc>
          <w:tcPr>
            <w:tcW w:w="9780" w:type="dxa"/>
            <w:vAlign w:val="bottom"/>
            <w:tcBorders>
              <w:bottom w:val="single" w:sz="8" w:color="0000FF"/>
            </w:tcBorders>
            <w:gridSpan w:val="29"/>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Eighth Supplemental Indenture (including the form of the Notes), dated as of August 10, 2016, among Westlake Chemical Corporation,</w:t>
              </w:r>
            </w:hyperlink>
          </w:p>
        </w:tc>
        <w:tc>
          <w:tcPr>
            <w:tcW w:w="80" w:type="dxa"/>
            <w:vAlign w:val="bottom"/>
            <w:gridSpan w:val="2"/>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the Guarantors (as defined therein) and The Bank of New York Mellon Trust Company, N.A., as trustee (incorporated by reference to</w:t>
              </w:r>
            </w:hyperlink>
          </w:p>
        </w:tc>
      </w:tr>
      <w:tr>
        <w:trPr>
          <w:trHeight w:val="196"/>
        </w:trPr>
        <w:tc>
          <w:tcPr>
            <w:tcW w:w="1480" w:type="dxa"/>
            <w:vAlign w:val="bottom"/>
          </w:tcPr>
          <w:p>
            <w:pPr>
              <w:spacing w:after="0"/>
              <w:rPr>
                <w:sz w:val="17"/>
                <w:szCs w:val="17"/>
                <w:color w:val="auto"/>
              </w:rPr>
            </w:pPr>
          </w:p>
        </w:tc>
        <w:tc>
          <w:tcPr>
            <w:tcW w:w="9600" w:type="dxa"/>
            <w:vAlign w:val="bottom"/>
            <w:tcBorders>
              <w:top w:val="single" w:sz="8" w:color="0000FF"/>
            </w:tcBorders>
            <w:gridSpan w:val="22"/>
          </w:tcPr>
          <w:p>
            <w:pPr>
              <w:spacing w:after="0" w:line="196"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Exhibit 4.2 to Westlake Chemical Corporation's Current Report on Form 8-K, filed on August 10, 2016, File No. 001-32260).</w:t>
              </w:r>
            </w:hyperlink>
          </w:p>
        </w:tc>
        <w:tc>
          <w:tcPr>
            <w:tcW w:w="260" w:type="dxa"/>
            <w:vAlign w:val="bottom"/>
            <w:gridSpan w:val="9"/>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4.9</w:t>
            </w:r>
          </w:p>
        </w:tc>
        <w:tc>
          <w:tcPr>
            <w:tcW w:w="9860" w:type="dxa"/>
            <w:vAlign w:val="bottom"/>
            <w:tcBorders>
              <w:bottom w:val="single" w:sz="8" w:color="0000FF"/>
            </w:tcBorders>
            <w:gridSpan w:val="31"/>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Ninth Supplemental Indenture (including the form of the Notes), dated as of September 7, 2016, among Westlake Chemical Corporation,</w:t>
              </w:r>
            </w:hyperlink>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the Guarantors (as defined therein) and The Bank of New York Mellon Trust Company, N.A., as trustee (incorporated by reference to</w:t>
              </w:r>
            </w:hyperlink>
          </w:p>
        </w:tc>
      </w:tr>
      <w:tr>
        <w:trPr>
          <w:trHeight w:val="196"/>
        </w:trPr>
        <w:tc>
          <w:tcPr>
            <w:tcW w:w="148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4.2 to Westlake Chemical Corporation's Current Report on Form 8-K, filed on September 7, 2016, File No. 001-32260).</w:t>
              </w:r>
            </w:hyperlink>
          </w:p>
        </w:tc>
        <w:tc>
          <w:tcPr>
            <w:tcW w:w="380" w:type="dxa"/>
            <w:vAlign w:val="bottom"/>
            <w:tcBorders>
              <w:top w:val="single" w:sz="8" w:color="0000FF"/>
            </w:tcBorders>
            <w:gridSpan w:val="10"/>
          </w:tcPr>
          <w:p>
            <w:pPr>
              <w:spacing w:after="0"/>
              <w:rPr>
                <w:sz w:val="17"/>
                <w:szCs w:val="17"/>
                <w:color w:val="auto"/>
              </w:rPr>
            </w:pPr>
          </w:p>
        </w:tc>
        <w:tc>
          <w:tcPr>
            <w:tcW w:w="260" w:type="dxa"/>
            <w:vAlign w:val="bottom"/>
            <w:gridSpan w:val="9"/>
          </w:tcPr>
          <w:p>
            <w:pPr>
              <w:spacing w:after="0"/>
              <w:rPr>
                <w:sz w:val="17"/>
                <w:szCs w:val="17"/>
                <w:color w:val="auto"/>
              </w:rPr>
            </w:pPr>
          </w:p>
        </w:tc>
      </w:tr>
      <w:tr>
        <w:trPr>
          <w:trHeight w:val="399"/>
        </w:trPr>
        <w:tc>
          <w:tcPr>
            <w:tcW w:w="1480" w:type="dxa"/>
            <w:vAlign w:val="bottom"/>
          </w:tcPr>
          <w:p>
            <w:pPr>
              <w:spacing w:after="0"/>
              <w:rPr>
                <w:sz w:val="20"/>
                <w:szCs w:val="20"/>
                <w:color w:val="auto"/>
              </w:rPr>
            </w:pPr>
            <w:r>
              <w:rPr>
                <w:rFonts w:ascii="Arial" w:cs="Arial" w:eastAsia="Arial" w:hAnsi="Arial"/>
                <w:sz w:val="18"/>
                <w:szCs w:val="18"/>
                <w:color w:val="auto"/>
              </w:rPr>
              <w:t>4.10</w:t>
            </w:r>
          </w:p>
        </w:tc>
        <w:tc>
          <w:tcPr>
            <w:tcW w:w="9040" w:type="dxa"/>
            <w:vAlign w:val="bottom"/>
            <w:tcBorders>
              <w:bottom w:val="single" w:sz="8" w:color="0000FF"/>
            </w:tcBorders>
            <w:gridSpan w:val="10"/>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Tenth Supplemental Indenture (including the form of the Notes), dated as of November 29, 2017, among Westlake Chemical</w:t>
              </w:r>
            </w:hyperlink>
          </w:p>
        </w:tc>
        <w:tc>
          <w:tcPr>
            <w:tcW w:w="820" w:type="dxa"/>
            <w:vAlign w:val="bottom"/>
            <w:gridSpan w:val="2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Corporation, the Subsidiary Guarantors (as defined therein) and The Bank of New York Mellon Trust Company, N.A., as trustee</w:t>
              </w:r>
            </w:hyperlink>
          </w:p>
        </w:tc>
        <w:tc>
          <w:tcPr>
            <w:tcW w:w="620" w:type="dxa"/>
            <w:vAlign w:val="bottom"/>
            <w:gridSpan w:val="1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(incorporated by reference to Exhibit 4.2 to Westlake Chemical Corporation's Current Report on Form 8-K, filed on November 28, 2017,</w:t>
              </w:r>
            </w:hyperlink>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File No. 001-32260).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4.11</w:t>
            </w:r>
          </w:p>
        </w:tc>
        <w:tc>
          <w:tcPr>
            <w:tcW w:w="9220" w:type="dxa"/>
            <w:vAlign w:val="bottom"/>
            <w:tcBorders>
              <w:bottom w:val="single" w:sz="8" w:color="0000FF"/>
            </w:tcBorders>
            <w:gridSpan w:val="12"/>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Eleventh Supplemental Indenture (including the form of the Notes), dated as of November 28, 2017, among Westlake Chemical</w:t>
              </w:r>
            </w:hyperlink>
          </w:p>
        </w:tc>
        <w:tc>
          <w:tcPr>
            <w:tcW w:w="640" w:type="dxa"/>
            <w:vAlign w:val="bottom"/>
            <w:gridSpan w:val="1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2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Corporation, the Subsidiary Guarantors (as defined therein) and The Bank of New York Mellon Trust Company, N.A., as trustee</w:t>
              </w:r>
            </w:hyperlink>
          </w:p>
        </w:tc>
        <w:tc>
          <w:tcPr>
            <w:tcW w:w="620" w:type="dxa"/>
            <w:vAlign w:val="bottom"/>
            <w:gridSpan w:val="1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(incorporated by reference to Exhibit 4.3 to Westlake Chemical Corporation's Current Report on Form 8-K, filed on November 28, 2017,</w:t>
              </w:r>
            </w:hyperlink>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File No. 001-32260).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4.12</w:t>
            </w:r>
          </w:p>
        </w:tc>
        <w:tc>
          <w:tcPr>
            <w:tcW w:w="9860" w:type="dxa"/>
            <w:vAlign w:val="bottom"/>
            <w:gridSpan w:val="31"/>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Supplemental Indenture (including the form of the Notes), dated as of February 1, 2018, among Westlake Chemical Corporation, the</w:t>
              </w:r>
            </w:hyperlink>
          </w:p>
        </w:tc>
      </w:tr>
      <w:tr>
        <w:trPr>
          <w:trHeight w:val="196"/>
        </w:trPr>
        <w:tc>
          <w:tcPr>
            <w:tcW w:w="148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Subsidiary Guarantors (as defined therein) and The Bank of New York Mellon Trust Company, N.A., as trustee (incorporated by</w:t>
              </w:r>
            </w:hyperlink>
          </w:p>
        </w:tc>
        <w:tc>
          <w:tcPr>
            <w:tcW w:w="280" w:type="dxa"/>
            <w:vAlign w:val="bottom"/>
            <w:tcBorders>
              <w:top w:val="single" w:sz="8" w:color="0000FF"/>
            </w:tcBorders>
            <w:gridSpan w:val="5"/>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reference to Exhibit 4.19 to Westlake Chemical Corporation's Annual Report on Form 10-K for the year ended December 31, 2017, filed</w:t>
              </w:r>
            </w:hyperlink>
          </w:p>
        </w:tc>
      </w:tr>
      <w:tr>
        <w:trPr>
          <w:trHeight w:val="196"/>
        </w:trPr>
        <w:tc>
          <w:tcPr>
            <w:tcW w:w="1480" w:type="dxa"/>
            <w:vAlign w:val="bottom"/>
          </w:tcPr>
          <w:p>
            <w:pPr>
              <w:spacing w:after="0"/>
              <w:rPr>
                <w:sz w:val="17"/>
                <w:szCs w:val="17"/>
                <w:color w:val="auto"/>
              </w:rPr>
            </w:pPr>
          </w:p>
        </w:tc>
        <w:tc>
          <w:tcPr>
            <w:tcW w:w="98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on February 21, 2018, File No. 001-32260).</w:t>
              </w:r>
            </w:hyperlink>
          </w:p>
        </w:tc>
        <w:tc>
          <w:tcPr>
            <w:tcW w:w="20" w:type="dxa"/>
            <w:vAlign w:val="bottom"/>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w:t>
            </w:r>
          </w:p>
        </w:tc>
        <w:tc>
          <w:tcPr>
            <w:tcW w:w="9760" w:type="dxa"/>
            <w:vAlign w:val="bottom"/>
            <w:tcBorders>
              <w:bottom w:val="single" w:sz="8" w:color="0000FF"/>
            </w:tcBorders>
            <w:gridSpan w:val="28"/>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Omnibus Agreement among Westlake Management Services, Inc., Westlake Vinyls Corporation, Westlake Chemical Partners GP LLC,</w:t>
              </w:r>
            </w:hyperlink>
          </w:p>
        </w:tc>
        <w:tc>
          <w:tcPr>
            <w:tcW w:w="10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Westlake Chemical Partners LP, WPT LLC, Westlake Petrochemicals LLC, Westlake Vinyls, Inc., Westlake Longview Corporation,</w:t>
              </w:r>
            </w:hyperlink>
          </w:p>
        </w:tc>
        <w:tc>
          <w:tcPr>
            <w:tcW w:w="360" w:type="dxa"/>
            <w:vAlign w:val="bottom"/>
            <w:gridSpan w:val="1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Westlake Chemical OpCo GP LLC, Westlake Chemical OpCo LP, Westlake PVC Corporation, Westlake Styrene LLC and Westlake</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Polymers LLC (incorporated by reference to Exhibit 10.1 to Westlake Chemical Partners LP's Current Report on Form 8-K (File No.</w:t>
              </w:r>
            </w:hyperlink>
          </w:p>
        </w:tc>
      </w:tr>
      <w:tr>
        <w:trPr>
          <w:trHeight w:val="196"/>
        </w:trPr>
        <w:tc>
          <w:tcPr>
            <w:tcW w:w="148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001-36567) filed on August 8, 2014).</w:t>
              </w:r>
            </w:hyperlink>
          </w:p>
        </w:tc>
        <w:tc>
          <w:tcPr>
            <w:tcW w:w="6860" w:type="dxa"/>
            <w:vAlign w:val="bottom"/>
            <w:tcBorders>
              <w:top w:val="single" w:sz="8" w:color="0000FF"/>
            </w:tcBorders>
            <w:gridSpan w:val="16"/>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w:t>
            </w:r>
          </w:p>
        </w:tc>
        <w:tc>
          <w:tcPr>
            <w:tcW w:w="9400" w:type="dxa"/>
            <w:vAlign w:val="bottom"/>
            <w:tcBorders>
              <w:bottom w:val="single" w:sz="8" w:color="0000FF"/>
            </w:tcBorders>
            <w:gridSpan w:val="16"/>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Services and Secondment Agreement by and among Westlake Chemical OpCo LP, Westlake Management Services, Inc., Westlake</w:t>
              </w:r>
            </w:hyperlink>
          </w:p>
        </w:tc>
        <w:tc>
          <w:tcPr>
            <w:tcW w:w="46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5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Vinyls, Inc., WPT LLC and Westlake Petrochemicals LLC (incorporated by reference to Exhibit 10.2 to Westlake Chemical Partners</w:t>
              </w:r>
            </w:hyperlink>
          </w:p>
        </w:tc>
        <w:tc>
          <w:tcPr>
            <w:tcW w:w="30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10.3</w:t>
            </w:r>
          </w:p>
        </w:tc>
        <w:tc>
          <w:tcPr>
            <w:tcW w:w="9640" w:type="dxa"/>
            <w:vAlign w:val="bottom"/>
            <w:tcBorders>
              <w:bottom w:val="single" w:sz="8" w:color="0000FF"/>
            </w:tcBorders>
            <w:gridSpan w:val="24"/>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Feedstock Supply Agreement between Westlake Petrochemicals LLC and Westlake Chemical OpCo LP (incorporated by reference to</w:t>
              </w:r>
            </w:hyperlink>
          </w:p>
        </w:tc>
        <w:tc>
          <w:tcPr>
            <w:tcW w:w="22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Exhibit 10.3 to Westlake Chemical Partners LP's Current Report on Form 8-K (File No. 001-36567) filed on August 8, 2014).</w:t>
              </w:r>
            </w:hyperlink>
          </w:p>
        </w:tc>
        <w:tc>
          <w:tcPr>
            <w:tcW w:w="800" w:type="dxa"/>
            <w:vAlign w:val="bottom"/>
            <w:gridSpan w:val="2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tcBorders>
              <w:bottom w:val="single" w:sz="8" w:color="0000FF"/>
            </w:tcBorders>
            <w:gridSpan w:val="27"/>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Ethylene Sales Agreement between Westlake Chemical OpCo LP, WPT LLC, Westlake Vinyls, Inc. and Westlake Petrochemicals LLC</w:t>
              </w:r>
            </w:hyperlink>
          </w:p>
        </w:tc>
        <w:tc>
          <w:tcPr>
            <w:tcW w:w="12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(incorporated by reference to Exhibit 10.4 to Westlake Chemical Partners LP's Current Report on Form 8-K (File No. 001-36567) filed</w:t>
              </w:r>
            </w:hyperlink>
          </w:p>
        </w:tc>
        <w:tc>
          <w:tcPr>
            <w:tcW w:w="140" w:type="dxa"/>
            <w:vAlign w:val="bottom"/>
            <w:gridSpan w:val="5"/>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on August 8, 2014).</w:t>
              </w:r>
            </w:hyperlink>
          </w:p>
        </w:tc>
        <w:tc>
          <w:tcPr>
            <w:tcW w:w="8420" w:type="dxa"/>
            <w:vAlign w:val="bottom"/>
            <w:gridSpan w:val="28"/>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10.5</w:t>
            </w:r>
          </w:p>
        </w:tc>
        <w:tc>
          <w:tcPr>
            <w:tcW w:w="9500" w:type="dxa"/>
            <w:vAlign w:val="bottom"/>
            <w:tcBorders>
              <w:bottom w:val="single" w:sz="8" w:color="0000FF"/>
            </w:tcBorders>
            <w:gridSpan w:val="18"/>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Site Lease Agreement (Calvert City) between Westlake Vinyls, Inc. and Westlake Chemical OpCo LP (incorporated by reference to</w:t>
              </w:r>
            </w:hyperlink>
          </w:p>
        </w:tc>
        <w:tc>
          <w:tcPr>
            <w:tcW w:w="36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0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Exhibit 10.5 to Westlake Chemical Partners LP's Current Report on Form 8-K (File No. 001-36567) filed on August 8, 2014).</w:t>
              </w:r>
            </w:hyperlink>
          </w:p>
        </w:tc>
        <w:tc>
          <w:tcPr>
            <w:tcW w:w="800" w:type="dxa"/>
            <w:vAlign w:val="bottom"/>
            <w:gridSpan w:val="20"/>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gridSpan w:val="31"/>
          </w:tcPr>
          <w:p>
            <w:pPr>
              <w:spacing w:after="0"/>
              <w:rPr>
                <w:rFonts w:ascii="Arial" w:cs="Arial" w:eastAsia="Arial" w:hAnsi="Arial"/>
                <w:sz w:val="18"/>
                <w:szCs w:val="18"/>
                <w:color w:val="0000FF"/>
                <w:w w:val="96"/>
              </w:rPr>
            </w:pPr>
            <w:hyperlink r:id="rId50">
              <w:r>
                <w:rPr>
                  <w:rFonts w:ascii="Arial" w:cs="Arial" w:eastAsia="Arial" w:hAnsi="Arial"/>
                  <w:sz w:val="18"/>
                  <w:szCs w:val="18"/>
                  <w:color w:val="0000FF"/>
                  <w:w w:val="96"/>
                </w:rPr>
                <w:t>Site Lease Agreement (Lake Charles) between Westlake Petrochemical LLC and Westlake Chemical OpCo LP (incorporated by</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reference to Exhibit 10.6 to Westlake Chemical Partners LP's Current Report on Form 8-K (File No. 001-36567) filed on August 8,</w:t>
              </w:r>
            </w:hyperlink>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2014).</w:t>
              </w:r>
            </w:hyperlink>
          </w:p>
        </w:tc>
        <w:tc>
          <w:tcPr>
            <w:tcW w:w="6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10.7</w:t>
            </w:r>
          </w:p>
        </w:tc>
        <w:tc>
          <w:tcPr>
            <w:tcW w:w="9620" w:type="dxa"/>
            <w:vAlign w:val="bottom"/>
            <w:tcBorders>
              <w:bottom w:val="single" w:sz="8" w:color="0000FF"/>
            </w:tcBorders>
            <w:gridSpan w:val="23"/>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Amended and Restated Limited Partnership Agreement of Westlake Chemical OpCo LP (incorporated by reference to Exhibit 10.7 to</w:t>
              </w:r>
            </w:hyperlink>
          </w:p>
        </w:tc>
        <w:tc>
          <w:tcPr>
            <w:tcW w:w="24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9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Westlake Chemical Partners LP's Current Report on Form 8-K (File No. 001-36567) filed on August 8, 2014).</w:t>
              </w:r>
            </w:hyperlink>
          </w:p>
        </w:tc>
        <w:tc>
          <w:tcPr>
            <w:tcW w:w="1920" w:type="dxa"/>
            <w:vAlign w:val="bottom"/>
            <w:gridSpan w:val="22"/>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10.8†</w:t>
            </w:r>
          </w:p>
        </w:tc>
        <w:tc>
          <w:tcPr>
            <w:tcW w:w="9560" w:type="dxa"/>
            <w:vAlign w:val="bottom"/>
            <w:tcBorders>
              <w:bottom w:val="single" w:sz="8" w:color="0000FF"/>
            </w:tcBorders>
            <w:gridSpan w:val="20"/>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Westlake Chemical Partners LP Long-Term Incentive Plan (incorporated by reference to Exhibit 10.8 to Westlake Chemical Partners</w:t>
              </w:r>
            </w:hyperlink>
          </w:p>
        </w:tc>
        <w:tc>
          <w:tcPr>
            <w:tcW w:w="30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LP's Current Report on Form 8-K (File No. 001-36567) filed on August 8, 2014).</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gridSpan w:val="31"/>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Form of Phantom Unit Agreement under the Westlake Chemical Partners LP Long-Term Incentive Plan (incorporated by reference to</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45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320" w:type="dxa"/>
            <w:vAlign w:val="bottom"/>
            <w:gridSpan w:val="7"/>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7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Exhibit 10.14 to Amendment 4 to Westlake Chemical Partner LP's Registration Statement on Form S-1 (File No. 333-195551) filed on</w:t>
              </w:r>
            </w:hyperlink>
          </w:p>
        </w:tc>
        <w:tc>
          <w:tcPr>
            <w:tcW w:w="16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July 15, 2014).</w:t>
              </w:r>
            </w:hyperlink>
          </w:p>
        </w:tc>
      </w:tr>
      <w:tr>
        <w:trPr>
          <w:trHeight w:val="20"/>
        </w:trPr>
        <w:tc>
          <w:tcPr>
            <w:tcW w:w="14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10.10†</w:t>
            </w:r>
          </w:p>
        </w:tc>
        <w:tc>
          <w:tcPr>
            <w:tcW w:w="9220" w:type="dxa"/>
            <w:vAlign w:val="bottom"/>
            <w:tcBorders>
              <w:bottom w:val="single" w:sz="8" w:color="0000FF"/>
            </w:tcBorders>
            <w:gridSpan w:val="1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Form of Global Amendment to Phantom Unit Agreements under the Westlake Chemical Partners LP Long-Term Incentive Plan</w:t>
              </w:r>
            </w:hyperlink>
          </w:p>
        </w:tc>
        <w:tc>
          <w:tcPr>
            <w:tcW w:w="640" w:type="dxa"/>
            <w:vAlign w:val="bottom"/>
            <w:gridSpan w:val="1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60" w:type="dxa"/>
            <w:vAlign w:val="bottom"/>
            <w:gridSpan w:val="31"/>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(incorporated by reference to Exhibit 10.10 to Westlake Chemical Partners LP’s Annual Report on Form 10-K for the year ended</w:t>
              </w:r>
            </w:hyperlink>
          </w:p>
        </w:tc>
      </w:tr>
      <w:tr>
        <w:trPr>
          <w:trHeight w:val="196"/>
        </w:trPr>
        <w:tc>
          <w:tcPr>
            <w:tcW w:w="1480" w:type="dxa"/>
            <w:vAlign w:val="bottom"/>
          </w:tcPr>
          <w:p>
            <w:pPr>
              <w:spacing w:after="0"/>
              <w:rPr>
                <w:sz w:val="17"/>
                <w:szCs w:val="17"/>
                <w:color w:val="auto"/>
              </w:rPr>
            </w:pPr>
          </w:p>
        </w:tc>
        <w:tc>
          <w:tcPr>
            <w:tcW w:w="92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December 31, 2016 (File No. 01-36567) filed on March 7, 2017).</w:t>
              </w:r>
            </w:hyperlink>
          </w:p>
        </w:tc>
        <w:tc>
          <w:tcPr>
            <w:tcW w:w="580" w:type="dxa"/>
            <w:vAlign w:val="bottom"/>
            <w:gridSpan w:val="1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380"/>
          </w:cols>
          <w:pgMar w:left="240" w:top="121" w:right="27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9820" w:type="dxa"/>
            <w:vAlign w:val="bottom"/>
            <w:gridSpan w:val="32"/>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10.11†</w:t>
            </w:r>
          </w:p>
        </w:tc>
        <w:tc>
          <w:tcPr>
            <w:tcW w:w="9600" w:type="dxa"/>
            <w:vAlign w:val="bottom"/>
            <w:tcBorders>
              <w:bottom w:val="single" w:sz="8" w:color="0000FF"/>
            </w:tcBorders>
            <w:gridSpan w:val="23"/>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Phantom Unit Agreement (incorporated by reference to Exhibit 10.11 to Westlake Chemical Partners LP's Annual Report on</w:t>
              </w:r>
            </w:hyperlink>
          </w:p>
        </w:tc>
        <w:tc>
          <w:tcPr>
            <w:tcW w:w="220" w:type="dxa"/>
            <w:vAlign w:val="bottom"/>
            <w:gridSpan w:val="9"/>
          </w:tcPr>
          <w:p>
            <w:pPr>
              <w:spacing w:after="0"/>
              <w:rPr>
                <w:sz w:val="21"/>
                <w:szCs w:val="21"/>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Form 10-K for the year ended December 31, 2016 (File No. 01-36567) filed on March 7, 2017).</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620" w:type="dxa"/>
            <w:vAlign w:val="bottom"/>
            <w:tcBorders>
              <w:bottom w:val="single" w:sz="8" w:color="0000FF"/>
            </w:tcBorders>
            <w:gridSpan w:val="2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Phantom Unit Agreement (incorporated by reference to Exhibit 10.12 to Westlake Chemical Partners LP’s Annual Report on</w:t>
              </w:r>
            </w:hyperlink>
          </w:p>
        </w:tc>
        <w:tc>
          <w:tcPr>
            <w:tcW w:w="20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Form 10-K for the year ended December 31, 2017 (File No. 01-36567) filed on March 1, 2018).</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8900" w:type="dxa"/>
            <w:vAlign w:val="bottom"/>
            <w:tcBorders>
              <w:bottom w:val="single" w:sz="8" w:color="0000FF"/>
            </w:tcBorders>
            <w:gridSpan w:val="15"/>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Intercompany Revolving Credit Agreement between Westlake Chemical OpCo LP and Westlake Development Corporation</w:t>
              </w:r>
            </w:hyperlink>
          </w:p>
        </w:tc>
        <w:tc>
          <w:tcPr>
            <w:tcW w:w="920" w:type="dxa"/>
            <w:vAlign w:val="bottom"/>
            <w:gridSpan w:val="1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2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(incorporated by reference to Exhibit 10.9 to Westlake Chemical Partners LP's Current Report on Form 8-K (File No. 001-36567) filed</w:t>
              </w:r>
            </w:hyperlink>
          </w:p>
        </w:tc>
        <w:tc>
          <w:tcPr>
            <w:tcW w:w="100" w:type="dxa"/>
            <w:vAlign w:val="bottom"/>
            <w:gridSpan w:val="4"/>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14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on August 8, 2014).</w:t>
              </w:r>
            </w:hyperlink>
          </w:p>
        </w:tc>
        <w:tc>
          <w:tcPr>
            <w:tcW w:w="8380" w:type="dxa"/>
            <w:vAlign w:val="bottom"/>
            <w:gridSpan w:val="29"/>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780" w:type="dxa"/>
            <w:vAlign w:val="bottom"/>
            <w:tcBorders>
              <w:bottom w:val="single" w:sz="8" w:color="0000FF"/>
            </w:tcBorders>
            <w:gridSpan w:val="31"/>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Unsecured Promissory Note between WPT LLC and Westlake Development Corporation (incorporated by reference to Exhibit 10.10 to</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5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Westlake Chemical Partners LP's Registration Statement on Form S-1 (File No. 333-195551), filed on June 30, 2014).</w:t>
              </w:r>
            </w:hyperlink>
          </w:p>
        </w:tc>
        <w:tc>
          <w:tcPr>
            <w:tcW w:w="1320" w:type="dxa"/>
            <w:vAlign w:val="bottom"/>
            <w:gridSpan w:val="19"/>
          </w:tcPr>
          <w:p>
            <w:pPr>
              <w:spacing w:after="0"/>
              <w:rPr>
                <w:sz w:val="17"/>
                <w:szCs w:val="17"/>
                <w:color w:val="auto"/>
              </w:rPr>
            </w:pPr>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10.15***</w:t>
            </w:r>
          </w:p>
        </w:tc>
        <w:tc>
          <w:tcPr>
            <w:tcW w:w="9820" w:type="dxa"/>
            <w:vAlign w:val="bottom"/>
            <w:gridSpan w:val="32"/>
          </w:tcPr>
          <w:p>
            <w:pPr>
              <w:spacing w:after="0"/>
              <w:rPr>
                <w:sz w:val="20"/>
                <w:szCs w:val="20"/>
                <w:color w:val="auto"/>
              </w:rPr>
            </w:pPr>
            <w:r>
              <w:rPr>
                <w:rFonts w:ascii="Arial" w:cs="Arial" w:eastAsia="Arial" w:hAnsi="Arial"/>
                <w:sz w:val="18"/>
                <w:szCs w:val="18"/>
                <w:color w:val="auto"/>
              </w:rPr>
              <w:t>Unsecured Promissory Note between Westlake Vinyls, Inc. and Westlake Development Corporation.</w:t>
            </w:r>
          </w:p>
        </w:tc>
      </w:tr>
      <w:tr>
        <w:trPr>
          <w:trHeight w:val="351"/>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9820" w:type="dxa"/>
            <w:vAlign w:val="bottom"/>
            <w:gridSpan w:val="32"/>
          </w:tcPr>
          <w:p>
            <w:pPr>
              <w:spacing w:after="0"/>
              <w:rPr>
                <w:rFonts w:ascii="Arial" w:cs="Arial" w:eastAsia="Arial" w:hAnsi="Arial"/>
                <w:sz w:val="18"/>
                <w:szCs w:val="18"/>
                <w:color w:val="0000FF"/>
                <w:w w:val="96"/>
              </w:rPr>
            </w:pPr>
            <w:hyperlink r:id="rId59">
              <w:r>
                <w:rPr>
                  <w:rFonts w:ascii="Arial" w:cs="Arial" w:eastAsia="Arial" w:hAnsi="Arial"/>
                  <w:sz w:val="18"/>
                  <w:szCs w:val="18"/>
                  <w:color w:val="0000FF"/>
                  <w:w w:val="96"/>
                </w:rPr>
                <w:t>Senior Unsecured Revolving Credit Agreement by and among Westlake Chemical Partners LP and Westlake Chemical Finance</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6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Corporation, dated as of April 29, 2015 (incorporated by reference to Exhibit 10.1 to Westlake Chemical Partners LP's Current Report</w:t>
              </w:r>
            </w:hyperlink>
          </w:p>
        </w:tc>
        <w:tc>
          <w:tcPr>
            <w:tcW w:w="14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30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on Form 8-K, filed on April 30, 2015, File No. 001-36567).</w:t>
              </w:r>
            </w:hyperlink>
          </w:p>
        </w:tc>
        <w:tc>
          <w:tcPr>
            <w:tcW w:w="5520" w:type="dxa"/>
            <w:vAlign w:val="bottom"/>
            <w:gridSpan w:val="24"/>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10.17</w:t>
            </w:r>
          </w:p>
        </w:tc>
        <w:tc>
          <w:tcPr>
            <w:tcW w:w="9560" w:type="dxa"/>
            <w:vAlign w:val="bottom"/>
            <w:tcBorders>
              <w:bottom w:val="single" w:sz="8" w:color="0000FF"/>
            </w:tcBorders>
            <w:gridSpan w:val="21"/>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Credit Agreement, dated as of August 10, 2016, by and between Bank of America, N.A. and Westlake International Holdings II C.V.</w:t>
              </w:r>
            </w:hyperlink>
          </w:p>
        </w:tc>
        <w:tc>
          <w:tcPr>
            <w:tcW w:w="26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(incorporated by reference to Exhibit 10.3 to Westlake Chemical Corporation's Quarterly Report on Form 10-Q for the quarter ended</w:t>
              </w:r>
            </w:hyperlink>
          </w:p>
        </w:tc>
      </w:tr>
      <w:tr>
        <w:trPr>
          <w:trHeight w:val="196"/>
        </w:trPr>
        <w:tc>
          <w:tcPr>
            <w:tcW w:w="148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September 30, 2016, and filed on November 9, 2016, File No. 001-32260).</w:t>
              </w:r>
            </w:hyperlink>
          </w:p>
        </w:tc>
        <w:tc>
          <w:tcPr>
            <w:tcW w:w="4160" w:type="dxa"/>
            <w:vAlign w:val="bottom"/>
            <w:tcBorders>
              <w:top w:val="single" w:sz="8" w:color="0000FF"/>
            </w:tcBorders>
            <w:gridSpan w:val="12"/>
          </w:tcPr>
          <w:p>
            <w:pPr>
              <w:spacing w:after="0"/>
              <w:rPr>
                <w:sz w:val="17"/>
                <w:szCs w:val="17"/>
                <w:color w:val="auto"/>
              </w:rPr>
            </w:pPr>
          </w:p>
        </w:tc>
        <w:tc>
          <w:tcPr>
            <w:tcW w:w="260" w:type="dxa"/>
            <w:vAlign w:val="bottom"/>
            <w:gridSpan w:val="11"/>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10.18</w:t>
            </w:r>
          </w:p>
        </w:tc>
        <w:tc>
          <w:tcPr>
            <w:tcW w:w="9600" w:type="dxa"/>
            <w:vAlign w:val="bottom"/>
            <w:tcBorders>
              <w:bottom w:val="single" w:sz="8" w:color="0000FF"/>
            </w:tcBorders>
            <w:gridSpan w:val="23"/>
          </w:tcPr>
          <w:p>
            <w:pPr>
              <w:spacing w:after="0"/>
              <w:rPr>
                <w:rFonts w:ascii="Arial" w:cs="Arial" w:eastAsia="Arial" w:hAnsi="Arial"/>
                <w:sz w:val="18"/>
                <w:szCs w:val="18"/>
                <w:color w:val="0000FF"/>
                <w:w w:val="90"/>
              </w:rPr>
            </w:pPr>
            <w:hyperlink r:id="rId61">
              <w:r>
                <w:rPr>
                  <w:rFonts w:ascii="Arial" w:cs="Arial" w:eastAsia="Arial" w:hAnsi="Arial"/>
                  <w:sz w:val="18"/>
                  <w:szCs w:val="18"/>
                  <w:color w:val="0000FF"/>
                  <w:w w:val="90"/>
                </w:rPr>
                <w:t>First Amendment to Ethylene Sales Agreement (incorporated herein by reference to Exhibit 10.1 to Westlake Chemical Partners LP's</w:t>
              </w:r>
            </w:hyperlink>
          </w:p>
        </w:tc>
        <w:tc>
          <w:tcPr>
            <w:tcW w:w="22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Quarterly Report on Form 10-Q for the quarter ended June 30, 2016, filed on August 9, 2016, File No. 1-32260).</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10.19</w:t>
            </w:r>
          </w:p>
        </w:tc>
        <w:tc>
          <w:tcPr>
            <w:tcW w:w="9820" w:type="dxa"/>
            <w:vAlign w:val="bottom"/>
            <w:gridSpan w:val="32"/>
          </w:tcPr>
          <w:p>
            <w:pPr>
              <w:spacing w:after="0"/>
              <w:rPr>
                <w:rFonts w:ascii="Arial" w:cs="Arial" w:eastAsia="Arial" w:hAnsi="Arial"/>
                <w:sz w:val="18"/>
                <w:szCs w:val="18"/>
                <w:color w:val="0000FF"/>
                <w:w w:val="93"/>
              </w:rPr>
            </w:pPr>
            <w:hyperlink r:id="rId62">
              <w:r>
                <w:rPr>
                  <w:rFonts w:ascii="Arial" w:cs="Arial" w:eastAsia="Arial" w:hAnsi="Arial"/>
                  <w:sz w:val="18"/>
                  <w:szCs w:val="18"/>
                  <w:color w:val="0000FF"/>
                  <w:w w:val="93"/>
                </w:rPr>
                <w:t>Exchange Agreement, effective as of August 1, 2014, by and between WPT LLC and Westlake Chemical OpCo LP (incorporated by</w:t>
              </w:r>
            </w:hyperlink>
          </w:p>
        </w:tc>
      </w:tr>
      <w:tr>
        <w:trPr>
          <w:trHeight w:val="196"/>
        </w:trPr>
        <w:tc>
          <w:tcPr>
            <w:tcW w:w="1480" w:type="dxa"/>
            <w:vAlign w:val="bottom"/>
          </w:tcPr>
          <w:p>
            <w:pPr>
              <w:spacing w:after="0"/>
              <w:rPr>
                <w:sz w:val="17"/>
                <w:szCs w:val="17"/>
                <w:color w:val="auto"/>
              </w:rPr>
            </w:pPr>
          </w:p>
        </w:tc>
        <w:tc>
          <w:tcPr>
            <w:tcW w:w="9540" w:type="dxa"/>
            <w:vAlign w:val="bottom"/>
            <w:tcBorders>
              <w:top w:val="single" w:sz="8" w:color="0000FF"/>
            </w:tcBorders>
            <w:gridSpan w:val="20"/>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reference to Exhibit 10.20 to Westlake Chemical Partners LP’s Annual Report on Form 10-K for the year ended December 30, 2016</w:t>
              </w:r>
            </w:hyperlink>
          </w:p>
        </w:tc>
        <w:tc>
          <w:tcPr>
            <w:tcW w:w="28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(File No. 01-36567) filed on March 7, 2017).</w:t>
              </w:r>
            </w:hyperlink>
          </w:p>
        </w:tc>
        <w:tc>
          <w:tcPr>
            <w:tcW w:w="6240" w:type="dxa"/>
            <w:vAlign w:val="bottom"/>
            <w:tcBorders>
              <w:top w:val="single" w:sz="8" w:color="0000FF"/>
            </w:tcBorders>
            <w:gridSpan w:val="13"/>
          </w:tcPr>
          <w:p>
            <w:pPr>
              <w:spacing w:after="0"/>
              <w:rPr>
                <w:sz w:val="17"/>
                <w:szCs w:val="17"/>
                <w:color w:val="auto"/>
              </w:rPr>
            </w:pPr>
          </w:p>
        </w:tc>
        <w:tc>
          <w:tcPr>
            <w:tcW w:w="320" w:type="dxa"/>
            <w:vAlign w:val="bottom"/>
            <w:gridSpan w:val="13"/>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10.20</w:t>
            </w:r>
          </w:p>
        </w:tc>
        <w:tc>
          <w:tcPr>
            <w:tcW w:w="9820" w:type="dxa"/>
            <w:vAlign w:val="bottom"/>
            <w:gridSpan w:val="32"/>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Investment Management Agreement among Westlake Chemical Corporation, Westlake Chemical OpCo LP, and Westlake Chemical</w:t>
              </w:r>
            </w:hyperlink>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Partners LP, dated as of August 1, 2017 (incorporated by reference to Exhibit 10.1 to Westlake Chemical Partners LP’s Quarterly Report</w:t>
              </w:r>
            </w:hyperlink>
          </w:p>
        </w:tc>
      </w:tr>
      <w:tr>
        <w:trPr>
          <w:trHeight w:val="196"/>
        </w:trPr>
        <w:tc>
          <w:tcPr>
            <w:tcW w:w="1480" w:type="dxa"/>
            <w:vAlign w:val="bottom"/>
          </w:tcPr>
          <w:p>
            <w:pPr>
              <w:spacing w:after="0"/>
              <w:rPr>
                <w:sz w:val="17"/>
                <w:szCs w:val="17"/>
                <w:color w:val="auto"/>
              </w:rPr>
            </w:pPr>
          </w:p>
        </w:tc>
        <w:tc>
          <w:tcPr>
            <w:tcW w:w="77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on Form 10-Q for the quarter ended September 30, 2017, (File No. 01-36567) filed on November 7, 2017).</w:t>
              </w:r>
            </w:hyperlink>
          </w:p>
        </w:tc>
        <w:tc>
          <w:tcPr>
            <w:tcW w:w="2120" w:type="dxa"/>
            <w:vAlign w:val="bottom"/>
            <w:gridSpan w:val="21"/>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10.21</w:t>
            </w:r>
          </w:p>
        </w:tc>
        <w:tc>
          <w:tcPr>
            <w:tcW w:w="9820" w:type="dxa"/>
            <w:vAlign w:val="bottom"/>
            <w:gridSpan w:val="32"/>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First Amendment to Senior Unsecured Revolving Credit Agreement by and between Westlake Chemical Partners LP, as borrower, and</w:t>
              </w:r>
            </w:hyperlink>
          </w:p>
        </w:tc>
      </w:tr>
      <w:tr>
        <w:trPr>
          <w:trHeight w:val="196"/>
        </w:trPr>
        <w:tc>
          <w:tcPr>
            <w:tcW w:w="1480" w:type="dxa"/>
            <w:vAlign w:val="bottom"/>
          </w:tcPr>
          <w:p>
            <w:pPr>
              <w:spacing w:after="0"/>
              <w:rPr>
                <w:sz w:val="17"/>
                <w:szCs w:val="17"/>
                <w:color w:val="auto"/>
              </w:rPr>
            </w:pPr>
          </w:p>
        </w:tc>
        <w:tc>
          <w:tcPr>
            <w:tcW w:w="9680" w:type="dxa"/>
            <w:vAlign w:val="bottom"/>
            <w:tcBorders>
              <w:top w:val="single" w:sz="8" w:color="0000FF"/>
            </w:tcBorders>
            <w:gridSpan w:val="26"/>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Westlake Chemical Finance Corporation, as lender, dated as of August 1, 2017 (incorporated by reference to Exhibit 10.1 to Westlake</w:t>
              </w:r>
            </w:hyperlink>
          </w:p>
        </w:tc>
        <w:tc>
          <w:tcPr>
            <w:tcW w:w="14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620" w:type="dxa"/>
            <w:vAlign w:val="bottom"/>
            <w:tcBorders>
              <w:top w:val="single" w:sz="8" w:color="0000FF"/>
            </w:tcBorders>
            <w:gridSpan w:val="24"/>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Chemical Partners LP’s Quarterly Report on Form 10-Q for the quarter ended June 30, 2017 (File No. 01-36567) filed on August 3,</w:t>
              </w:r>
            </w:hyperlink>
          </w:p>
        </w:tc>
        <w:tc>
          <w:tcPr>
            <w:tcW w:w="20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64">
              <w:r>
                <w:rPr>
                  <w:rFonts w:ascii="Arial" w:cs="Arial" w:eastAsia="Arial" w:hAnsi="Arial"/>
                  <w:sz w:val="18"/>
                  <w:szCs w:val="18"/>
                  <w:color w:val="0000FF"/>
                  <w:w w:val="86"/>
                </w:rPr>
                <w:t>2017).</w:t>
              </w:r>
            </w:hyperlink>
          </w:p>
        </w:tc>
        <w:tc>
          <w:tcPr>
            <w:tcW w:w="7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10.22*</w:t>
            </w:r>
          </w:p>
        </w:tc>
        <w:tc>
          <w:tcPr>
            <w:tcW w:w="9580" w:type="dxa"/>
            <w:vAlign w:val="bottom"/>
            <w:tcBorders>
              <w:bottom w:val="single" w:sz="8" w:color="0000FF"/>
            </w:tcBorders>
            <w:gridSpan w:val="22"/>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Second Amendment to Senior Unsecured Revolving Credit Agreement by and between Westlake Chemical Partners LP, as borrower,</w:t>
              </w:r>
            </w:hyperlink>
          </w:p>
        </w:tc>
        <w:tc>
          <w:tcPr>
            <w:tcW w:w="24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66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and Westlake Chemical Finance Corporation, as lender, dated as of November 28, 2017 (incorporated by reference to Exhibit 10.24 to</w:t>
              </w:r>
            </w:hyperlink>
          </w:p>
        </w:tc>
        <w:tc>
          <w:tcPr>
            <w:tcW w:w="16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Westlake Chemical Partners LP's Annual Report on Form 10-K for the year ended December 31, 2017 (File No. 01-36567) filed on</w:t>
              </w:r>
            </w:hyperlink>
          </w:p>
        </w:tc>
      </w:tr>
      <w:tr>
        <w:trPr>
          <w:trHeight w:val="196"/>
        </w:trPr>
        <w:tc>
          <w:tcPr>
            <w:tcW w:w="1480" w:type="dxa"/>
            <w:vAlign w:val="bottom"/>
          </w:tcPr>
          <w:p>
            <w:pPr>
              <w:spacing w:after="0"/>
              <w:rPr>
                <w:sz w:val="17"/>
                <w:szCs w:val="17"/>
                <w:color w:val="auto"/>
              </w:rPr>
            </w:pPr>
          </w:p>
        </w:tc>
        <w:tc>
          <w:tcPr>
            <w:tcW w:w="94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March 1, 2018).</w:t>
              </w:r>
            </w:hyperlink>
          </w:p>
        </w:tc>
        <w:tc>
          <w:tcPr>
            <w:tcW w:w="340" w:type="dxa"/>
            <w:vAlign w:val="bottom"/>
            <w:gridSpan w:val="14"/>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10.23</w:t>
            </w:r>
          </w:p>
        </w:tc>
        <w:tc>
          <w:tcPr>
            <w:tcW w:w="9600" w:type="dxa"/>
            <w:vAlign w:val="bottom"/>
            <w:tcBorders>
              <w:bottom w:val="single" w:sz="8" w:color="0000FF"/>
            </w:tcBorders>
            <w:gridSpan w:val="23"/>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Phantom Unit Agreement (incorporated by reference to Exhibit 10.12 to Westlake Chemical Partners LP's Annual Report on</w:t>
              </w:r>
            </w:hyperlink>
          </w:p>
        </w:tc>
        <w:tc>
          <w:tcPr>
            <w:tcW w:w="22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Form 10-K for the year ended December 31, 2017 (File No. 01-36567) filed on March 1, 2018)</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10.24</w:t>
            </w:r>
          </w:p>
        </w:tc>
        <w:tc>
          <w:tcPr>
            <w:tcW w:w="9760" w:type="dxa"/>
            <w:vAlign w:val="bottom"/>
            <w:tcBorders>
              <w:bottom w:val="single" w:sz="8" w:color="0000FF"/>
            </w:tcBorders>
            <w:gridSpan w:val="30"/>
          </w:tcPr>
          <w:p>
            <w:pPr>
              <w:spacing w:after="0"/>
              <w:rPr>
                <w:rFonts w:ascii="Arial" w:cs="Arial" w:eastAsia="Arial" w:hAnsi="Arial"/>
                <w:sz w:val="18"/>
                <w:szCs w:val="18"/>
                <w:color w:val="0000FF"/>
                <w:w w:val="90"/>
              </w:rPr>
            </w:pPr>
            <w:hyperlink r:id="rId66">
              <w:r>
                <w:rPr>
                  <w:rFonts w:ascii="Arial" w:cs="Arial" w:eastAsia="Arial" w:hAnsi="Arial"/>
                  <w:sz w:val="18"/>
                  <w:szCs w:val="18"/>
                  <w:color w:val="0000FF"/>
                  <w:w w:val="90"/>
                </w:rPr>
                <w:t>Equity Distribution Agreement, dated October 4, 2018, by and among Westlake Chemical Partners LP, Westlake Chemical Partners GP</w:t>
              </w:r>
            </w:hyperlink>
          </w:p>
        </w:tc>
        <w:tc>
          <w:tcPr>
            <w:tcW w:w="6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LLC, UBS Securities LLC, Barclays Capital Inc., Citigroup Global Markets Inc., Deutsche Bank Securities Inc., Merrill Lynch, Pierce,</w:t>
              </w:r>
            </w:hyperlink>
          </w:p>
        </w:tc>
        <w:tc>
          <w:tcPr>
            <w:tcW w:w="8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Fenner &amp; Smith Incorporated, RBC Capital Markets, LLC and Wells Fargo Securities, LLC (incorporated by reference to Exhibit 1.1 to</w:t>
              </w:r>
            </w:hyperlink>
          </w:p>
        </w:tc>
        <w:tc>
          <w:tcPr>
            <w:tcW w:w="4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Westlake Partners’ Current Report on Form 8-K filed on October 5, 2018, File No. 001-36567)</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10.25</w:t>
            </w:r>
          </w:p>
        </w:tc>
        <w:tc>
          <w:tcPr>
            <w:tcW w:w="9820" w:type="dxa"/>
            <w:vAlign w:val="bottom"/>
            <w:gridSpan w:val="32"/>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First Amendment to Amended and Restated Senior Unsecured Revolving Credit Agreement (incorporated by reference to Exhibit 10.1</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gridSpan w:val="10"/>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to Westlake Chemical Partners LP's Quarterly Report on Form 10-Q for the quarter ended September 30, 2018 (File No. 01-36567) filed</w:t>
              </w:r>
            </w:hyperlink>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on November 6, 2018)</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10.26</w:t>
            </w:r>
          </w:p>
        </w:tc>
        <w:tc>
          <w:tcPr>
            <w:tcW w:w="9300" w:type="dxa"/>
            <w:vAlign w:val="bottom"/>
            <w:tcBorders>
              <w:bottom w:val="single" w:sz="8" w:color="0000FF"/>
            </w:tcBorders>
            <w:gridSpan w:val="17"/>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Second Amendment to Ethylene Sales Agreement (incorporated by reference to Exhibit 10.2 to Westlake Chemical Partners LP's</w:t>
              </w:r>
            </w:hyperlink>
          </w:p>
        </w:tc>
        <w:tc>
          <w:tcPr>
            <w:tcW w:w="52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820" w:type="dxa"/>
            <w:vAlign w:val="bottom"/>
            <w:gridSpan w:val="32"/>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Quarterly Report on Form 10-Q for the quarter ended September 30, 2018 (File No. 01-36567) filed on November 6, 2018)</w:t>
              </w:r>
              <w:r>
                <w:rPr>
                  <w:rFonts w:ascii="Arial" w:cs="Arial" w:eastAsia="Arial" w:hAnsi="Arial"/>
                  <w:sz w:val="18"/>
                  <w:szCs w:val="18"/>
                  <w:color w:val="000000"/>
                </w:rPr>
                <w:t>.</w:t>
              </w:r>
            </w:hyperlink>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8880" w:type="dxa"/>
            <w:vAlign w:val="bottom"/>
            <w:tcBorders>
              <w:top w:val="single" w:sz="8" w:color="0000FF"/>
            </w:tcBorders>
            <w:gridSpan w:val="14"/>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List of Subsidiaries of Westlake Chemical Partners LP.</w:t>
              </w:r>
            </w:hyperlink>
          </w:p>
        </w:tc>
        <w:tc>
          <w:tcPr>
            <w:tcW w:w="940" w:type="dxa"/>
            <w:vAlign w:val="bottom"/>
            <w:gridSpan w:val="18"/>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30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Consent of PricewaterhouseCoopers LLP.</w:t>
              </w:r>
            </w:hyperlink>
          </w:p>
        </w:tc>
        <w:tc>
          <w:tcPr>
            <w:tcW w:w="920" w:type="dxa"/>
            <w:vAlign w:val="bottom"/>
            <w:tcBorders>
              <w:top w:val="single" w:sz="8" w:color="0000FF"/>
            </w:tcBorders>
            <w:gridSpan w:val="2"/>
          </w:tcPr>
          <w:p>
            <w:pPr>
              <w:spacing w:after="0"/>
              <w:rPr>
                <w:sz w:val="24"/>
                <w:szCs w:val="24"/>
                <w:color w:val="auto"/>
              </w:rPr>
            </w:pPr>
          </w:p>
        </w:tc>
        <w:tc>
          <w:tcPr>
            <w:tcW w:w="5880" w:type="dxa"/>
            <w:vAlign w:val="bottom"/>
            <w:gridSpan w:val="25"/>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40"/>
          </w:cols>
          <w:pgMar w:left="240" w:top="121" w:right="319" w:bottom="1440" w:gutter="0" w:footer="0" w:header="0"/>
        </w:sect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340"/>
          </w:cols>
          <w:pgMar w:left="240" w:top="121" w:right="31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Exhibit No.</w:t>
            </w:r>
          </w:p>
        </w:tc>
        <w:tc>
          <w:tcPr>
            <w:tcW w:w="6360" w:type="dxa"/>
            <w:vAlign w:val="bottom"/>
            <w:gridSpan w:val="3"/>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9"/>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526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99">
              <w:r>
                <w:rPr>
                  <w:rFonts w:ascii="Arial" w:cs="Arial" w:eastAsia="Arial" w:hAnsi="Arial"/>
                  <w:sz w:val="18"/>
                  <w:szCs w:val="18"/>
                  <w:color w:val="0000FF"/>
                  <w:w w:val="92"/>
                </w:rPr>
                <w:t>Rule 13a - 14(a) / 15d - 14(a) Certification (Principal Executive Officer).</w:t>
              </w:r>
            </w:hyperlink>
          </w:p>
        </w:tc>
        <w:tc>
          <w:tcPr>
            <w:tcW w:w="1100" w:type="dxa"/>
            <w:vAlign w:val="bottom"/>
          </w:tcPr>
          <w:p>
            <w:pPr>
              <w:spacing w:after="0"/>
              <w:rPr>
                <w:sz w:val="21"/>
                <w:szCs w:val="2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6360" w:type="dxa"/>
            <w:vAlign w:val="bottom"/>
            <w:gridSpan w:val="3"/>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Rule 13a - 14(a) / 15d - 14(a) Certification (Principal Financial Officer).</w:t>
              </w:r>
            </w:hyperlink>
          </w:p>
        </w:tc>
      </w:tr>
      <w:tr>
        <w:trPr>
          <w:trHeight w:val="20"/>
        </w:trPr>
        <w:tc>
          <w:tcPr>
            <w:tcW w:w="1480" w:type="dxa"/>
            <w:vAlign w:val="bottom"/>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636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Section 1350 Certification (Principal Executive Officer and Principal Financial Officer).</w:t>
              </w:r>
            </w:hyperlink>
          </w:p>
        </w:tc>
      </w:tr>
      <w:tr>
        <w:trPr>
          <w:trHeight w:val="412"/>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63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8"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63" w:lineRule="exact"/>
        <w:rPr>
          <w:rFonts w:ascii="Arial" w:cs="Arial" w:eastAsia="Arial" w:hAnsi="Arial"/>
          <w:sz w:val="16"/>
          <w:szCs w:val="16"/>
          <w:color w:val="auto"/>
        </w:rPr>
      </w:pPr>
    </w:p>
    <w:p>
      <w:pPr>
        <w:ind w:left="420" w:right="40" w:hanging="412"/>
        <w:spacing w:after="0" w:line="277"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Unsecured Promissory Notes between Westlake Development Corporation and each of Westlake Vinyls, Inc. and Westlake Petrochemicals LLC are not filed because they are identical to Exhibit 10.14 except for the identity of the borrower.</w:t>
      </w:r>
    </w:p>
    <w:p>
      <w:pPr>
        <w:spacing w:after="0" w:line="8"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420" w:hanging="412"/>
        <w:spacing w:after="0" w:line="277"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2" w:right="25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WESTLAKE CHEMICAL PARTNERS LP</w:t>
      </w:r>
    </w:p>
    <w:p>
      <w:pPr>
        <w:spacing w:after="0" w:line="36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9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560" w:type="dxa"/>
            <w:vAlign w:val="bottom"/>
            <w:gridSpan w:val="3"/>
          </w:tcPr>
          <w:p>
            <w:pPr>
              <w:ind w:left="2380"/>
              <w:spacing w:after="0"/>
              <w:rPr>
                <w:sz w:val="20"/>
                <w:szCs w:val="20"/>
                <w:color w:val="auto"/>
              </w:rPr>
            </w:pPr>
            <w:r>
              <w:rPr>
                <w:rFonts w:ascii="Arial" w:cs="Arial" w:eastAsia="Arial" w:hAnsi="Arial"/>
                <w:sz w:val="14"/>
                <w:szCs w:val="14"/>
                <w:b w:val="1"/>
                <w:bCs w:val="1"/>
                <w:color w:val="auto"/>
              </w:rPr>
              <w:t>Title</w:t>
            </w:r>
          </w:p>
        </w:tc>
        <w:tc>
          <w:tcPr>
            <w:tcW w:w="1900" w:type="dxa"/>
            <w:vAlign w:val="bottom"/>
            <w:gridSpan w:val="3"/>
          </w:tcPr>
          <w:p>
            <w:pPr>
              <w:jc w:val="center"/>
              <w:ind w:left="75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tcBorders>
              <w:bottom w:val="single" w:sz="8" w:color="auto"/>
            </w:tcBorders>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tc>
        <w:tc>
          <w:tcPr>
            <w:tcW w:w="456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5"/>
              </w:rPr>
              <w:t>Albert Chao</w:t>
            </w:r>
          </w:p>
        </w:tc>
        <w:tc>
          <w:tcPr>
            <w:tcW w:w="4560" w:type="dxa"/>
            <w:vAlign w:val="bottom"/>
            <w:gridSpan w:val="3"/>
            <w:vMerge w:val="restart"/>
          </w:tcPr>
          <w:p>
            <w:pPr>
              <w:ind w:left="400"/>
              <w:spacing w:after="0"/>
              <w:rPr>
                <w:sz w:val="20"/>
                <w:szCs w:val="20"/>
                <w:color w:val="auto"/>
              </w:rPr>
            </w:pPr>
            <w:r>
              <w:rPr>
                <w:rFonts w:ascii="Arial" w:cs="Arial" w:eastAsia="Arial" w:hAnsi="Arial"/>
                <w:sz w:val="18"/>
                <w:szCs w:val="18"/>
                <w:color w:val="auto"/>
              </w:rPr>
              <w:t>(Principal Executive Officer)</w:t>
            </w: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456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40" w:type="dxa"/>
            <w:vAlign w:val="bottom"/>
            <w:tcBorders>
              <w:bottom w:val="single" w:sz="8" w:color="auto"/>
            </w:tcBorders>
            <w:gridSpan w:val="4"/>
          </w:tcPr>
          <w:p>
            <w:pPr>
              <w:jc w:val="center"/>
              <w:ind w:right="1160"/>
              <w:spacing w:after="0"/>
              <w:rPr>
                <w:sz w:val="20"/>
                <w:szCs w:val="20"/>
                <w:color w:val="auto"/>
              </w:rPr>
            </w:pPr>
            <w:r>
              <w:rPr>
                <w:rFonts w:ascii="Arial" w:cs="Arial" w:eastAsia="Arial" w:hAnsi="Arial"/>
                <w:sz w:val="18"/>
                <w:szCs w:val="18"/>
                <w:color w:val="auto"/>
                <w:w w:val="97"/>
              </w:rPr>
              <w:t>M. S</w:t>
            </w:r>
            <w:r>
              <w:rPr>
                <w:rFonts w:ascii="Arial" w:cs="Arial" w:eastAsia="Arial" w:hAnsi="Arial"/>
                <w:sz w:val="14"/>
                <w:szCs w:val="14"/>
                <w:color w:val="auto"/>
                <w:w w:val="97"/>
              </w:rPr>
              <w:t>TEVEN</w:t>
            </w:r>
            <w:r>
              <w:rPr>
                <w:rFonts w:ascii="Arial" w:cs="Arial" w:eastAsia="Arial" w:hAnsi="Arial"/>
                <w:sz w:val="18"/>
                <w:szCs w:val="18"/>
                <w:color w:val="auto"/>
                <w:w w:val="97"/>
              </w:rPr>
              <w:t xml:space="preserve"> B</w:t>
            </w:r>
            <w:r>
              <w:rPr>
                <w:rFonts w:ascii="Arial" w:cs="Arial" w:eastAsia="Arial" w:hAnsi="Arial"/>
                <w:sz w:val="14"/>
                <w:szCs w:val="14"/>
                <w:color w:val="auto"/>
                <w:w w:val="97"/>
              </w:rPr>
              <w:t>ENDER</w:t>
            </w:r>
          </w:p>
        </w:tc>
        <w:tc>
          <w:tcPr>
            <w:tcW w:w="4560" w:type="dxa"/>
            <w:vAlign w:val="bottom"/>
            <w:gridSpan w:val="3"/>
          </w:tcPr>
          <w:p>
            <w:pPr>
              <w:ind w:left="260"/>
              <w:spacing w:after="0"/>
              <w:rPr>
                <w:sz w:val="20"/>
                <w:szCs w:val="20"/>
                <w:color w:val="auto"/>
              </w:rPr>
            </w:pPr>
            <w:r>
              <w:rPr>
                <w:rFonts w:ascii="Arial" w:cs="Arial" w:eastAsia="Arial" w:hAnsi="Arial"/>
                <w:sz w:val="18"/>
                <w:szCs w:val="18"/>
                <w:color w:val="auto"/>
              </w:rPr>
              <w:t>Senior Vice President, Chief Financial Officer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20"/>
              <w:spacing w:after="0"/>
              <w:rPr>
                <w:sz w:val="20"/>
                <w:szCs w:val="20"/>
                <w:color w:val="auto"/>
              </w:rPr>
            </w:pPr>
            <w:r>
              <w:rPr>
                <w:rFonts w:ascii="Arial" w:cs="Arial" w:eastAsia="Arial" w:hAnsi="Arial"/>
                <w:sz w:val="14"/>
                <w:szCs w:val="14"/>
                <w:b w:val="1"/>
                <w:bCs w:val="1"/>
                <w:color w:val="auto"/>
                <w:w w:val="93"/>
              </w:rPr>
              <w:t>M. Steven Bender</w:t>
            </w:r>
          </w:p>
        </w:tc>
        <w:tc>
          <w:tcPr>
            <w:tcW w:w="4560" w:type="dxa"/>
            <w:vAlign w:val="bottom"/>
            <w:gridSpan w:val="3"/>
            <w:vMerge w:val="restart"/>
          </w:tcPr>
          <w:p>
            <w:pPr>
              <w:ind w:left="400"/>
              <w:spacing w:after="0"/>
              <w:rPr>
                <w:sz w:val="20"/>
                <w:szCs w:val="20"/>
                <w:color w:val="auto"/>
              </w:rPr>
            </w:pPr>
            <w:r>
              <w:rPr>
                <w:rFonts w:ascii="Arial" w:cs="Arial" w:eastAsia="Arial" w:hAnsi="Arial"/>
                <w:sz w:val="18"/>
                <w:szCs w:val="18"/>
                <w:color w:val="auto"/>
              </w:rPr>
              <w:t>and Director (Principal Financial Officer)</w:t>
            </w: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56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4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EORGE</w:t>
            </w:r>
            <w:r>
              <w:rPr>
                <w:rFonts w:ascii="Arial" w:cs="Arial" w:eastAsia="Arial" w:hAnsi="Arial"/>
                <w:sz w:val="18"/>
                <w:szCs w:val="18"/>
                <w:color w:val="auto"/>
                <w:w w:val="96"/>
              </w:rPr>
              <w:t xml:space="preserve"> J. M</w:t>
            </w:r>
            <w:r>
              <w:rPr>
                <w:rFonts w:ascii="Arial" w:cs="Arial" w:eastAsia="Arial" w:hAnsi="Arial"/>
                <w:sz w:val="14"/>
                <w:szCs w:val="14"/>
                <w:color w:val="auto"/>
                <w:w w:val="96"/>
              </w:rPr>
              <w:t>ANGIERI</w:t>
            </w:r>
          </w:p>
        </w:tc>
        <w:tc>
          <w:tcPr>
            <w:tcW w:w="4560" w:type="dxa"/>
            <w:vAlign w:val="bottom"/>
            <w:gridSpan w:val="3"/>
          </w:tcPr>
          <w:p>
            <w:pPr>
              <w:ind w:left="260"/>
              <w:spacing w:after="0"/>
              <w:rPr>
                <w:sz w:val="20"/>
                <w:szCs w:val="20"/>
                <w:color w:val="auto"/>
              </w:rPr>
            </w:pPr>
            <w:r>
              <w:rPr>
                <w:rFonts w:ascii="Arial" w:cs="Arial" w:eastAsia="Arial" w:hAnsi="Arial"/>
                <w:sz w:val="18"/>
                <w:szCs w:val="18"/>
                <w:color w:val="auto"/>
              </w:rPr>
              <w:t>Vice President and Chief Accounting Officer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00"/>
              <w:spacing w:after="0"/>
              <w:rPr>
                <w:sz w:val="20"/>
                <w:szCs w:val="20"/>
                <w:color w:val="auto"/>
              </w:rPr>
            </w:pPr>
            <w:r>
              <w:rPr>
                <w:rFonts w:ascii="Arial" w:cs="Arial" w:eastAsia="Arial" w:hAnsi="Arial"/>
                <w:sz w:val="14"/>
                <w:szCs w:val="14"/>
                <w:b w:val="1"/>
                <w:bCs w:val="1"/>
                <w:color w:val="auto"/>
                <w:w w:val="95"/>
              </w:rPr>
              <w:t>George J. Mangieri</w:t>
            </w:r>
          </w:p>
        </w:tc>
        <w:tc>
          <w:tcPr>
            <w:tcW w:w="4560" w:type="dxa"/>
            <w:vAlign w:val="bottom"/>
            <w:gridSpan w:val="3"/>
            <w:vMerge w:val="restart"/>
          </w:tcPr>
          <w:p>
            <w:pPr>
              <w:ind w:left="400"/>
              <w:spacing w:after="0"/>
              <w:rPr>
                <w:sz w:val="20"/>
                <w:szCs w:val="20"/>
                <w:color w:val="auto"/>
              </w:rPr>
            </w:pPr>
            <w:r>
              <w:rPr>
                <w:rFonts w:ascii="Arial" w:cs="Arial" w:eastAsia="Arial" w:hAnsi="Arial"/>
                <w:sz w:val="18"/>
                <w:szCs w:val="18"/>
                <w:color w:val="auto"/>
              </w:rPr>
              <w:t>(Principal Accounting Officer)</w:t>
            </w: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456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L. B</w:t>
            </w:r>
            <w:r>
              <w:rPr>
                <w:rFonts w:ascii="Arial" w:cs="Arial" w:eastAsia="Arial" w:hAnsi="Arial"/>
                <w:sz w:val="14"/>
                <w:szCs w:val="14"/>
                <w:color w:val="auto"/>
                <w:w w:val="98"/>
              </w:rPr>
              <w:t>ENJAMIN</w:t>
            </w:r>
            <w:r>
              <w:rPr>
                <w:rFonts w:ascii="Arial" w:cs="Arial" w:eastAsia="Arial" w:hAnsi="Arial"/>
                <w:sz w:val="18"/>
                <w:szCs w:val="18"/>
                <w:color w:val="auto"/>
                <w:w w:val="98"/>
              </w:rPr>
              <w:t xml:space="preserve"> E</w:t>
            </w:r>
            <w:r>
              <w:rPr>
                <w:rFonts w:ascii="Arial" w:cs="Arial" w:eastAsia="Arial" w:hAnsi="Arial"/>
                <w:sz w:val="14"/>
                <w:szCs w:val="14"/>
                <w:color w:val="auto"/>
                <w:w w:val="98"/>
              </w:rPr>
              <w:t>DERINGTON</w:t>
            </w:r>
          </w:p>
        </w:tc>
        <w:tc>
          <w:tcPr>
            <w:tcW w:w="4560" w:type="dxa"/>
            <w:vAlign w:val="bottom"/>
            <w:gridSpan w:val="3"/>
          </w:tcPr>
          <w:p>
            <w:pPr>
              <w:ind w:left="260"/>
              <w:spacing w:after="0"/>
              <w:rPr>
                <w:sz w:val="20"/>
                <w:szCs w:val="20"/>
                <w:color w:val="auto"/>
              </w:rPr>
            </w:pPr>
            <w:r>
              <w:rPr>
                <w:rFonts w:ascii="Arial" w:cs="Arial" w:eastAsia="Arial" w:hAnsi="Arial"/>
                <w:sz w:val="18"/>
                <w:szCs w:val="18"/>
                <w:color w:val="auto"/>
              </w:rPr>
              <w:t>Vice President, General Counsel, Secretary</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88"/>
        </w:trPr>
        <w:tc>
          <w:tcPr>
            <w:tcW w:w="44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5"/>
              </w:rPr>
              <w:t>L. Benjamin Ederington</w:t>
            </w:r>
          </w:p>
        </w:tc>
        <w:tc>
          <w:tcPr>
            <w:tcW w:w="4560" w:type="dxa"/>
            <w:vAlign w:val="bottom"/>
            <w:gridSpan w:val="3"/>
            <w:vMerge w:val="restart"/>
          </w:tcPr>
          <w:p>
            <w:pPr>
              <w:ind w:left="400"/>
              <w:spacing w:after="0"/>
              <w:rPr>
                <w:sz w:val="20"/>
                <w:szCs w:val="20"/>
                <w:color w:val="auto"/>
              </w:rPr>
            </w:pPr>
            <w:r>
              <w:rPr>
                <w:rFonts w:ascii="Arial" w:cs="Arial" w:eastAsia="Arial" w:hAnsi="Arial"/>
                <w:sz w:val="18"/>
                <w:szCs w:val="18"/>
                <w:color w:val="auto"/>
              </w:rPr>
              <w:t>and Director</w:t>
            </w: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460" w:type="dxa"/>
            <w:vAlign w:val="bottom"/>
            <w:gridSpan w:val="5"/>
            <w:vMerge w:val="continue"/>
          </w:tcPr>
          <w:p>
            <w:pPr>
              <w:spacing w:after="0"/>
              <w:rPr>
                <w:sz w:val="10"/>
                <w:szCs w:val="10"/>
                <w:color w:val="auto"/>
              </w:rPr>
            </w:pPr>
          </w:p>
        </w:tc>
        <w:tc>
          <w:tcPr>
            <w:tcW w:w="456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52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C</w:t>
            </w:r>
            <w:r>
              <w:rPr>
                <w:rFonts w:ascii="Arial" w:cs="Arial" w:eastAsia="Arial" w:hAnsi="Arial"/>
                <w:sz w:val="14"/>
                <w:szCs w:val="14"/>
                <w:color w:val="auto"/>
                <w:w w:val="96"/>
              </w:rPr>
              <w:t>HAO</w:t>
            </w:r>
          </w:p>
        </w:tc>
        <w:tc>
          <w:tcPr>
            <w:tcW w:w="4560" w:type="dxa"/>
            <w:vAlign w:val="bottom"/>
            <w:gridSpan w:val="3"/>
            <w:vMerge w:val="restart"/>
          </w:tcPr>
          <w:p>
            <w:pPr>
              <w:ind w:left="260"/>
              <w:spacing w:after="0"/>
              <w:rPr>
                <w:sz w:val="20"/>
                <w:szCs w:val="20"/>
                <w:color w:val="auto"/>
              </w:rPr>
            </w:pPr>
            <w:r>
              <w:rPr>
                <w:rFonts w:ascii="Arial" w:cs="Arial" w:eastAsia="Arial" w:hAnsi="Arial"/>
                <w:sz w:val="18"/>
                <w:szCs w:val="18"/>
                <w:color w:val="auto"/>
              </w:rPr>
              <w:t>Chairman of the Board of Directors</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40"/>
              <w:spacing w:after="0"/>
              <w:rPr>
                <w:sz w:val="20"/>
                <w:szCs w:val="20"/>
                <w:color w:val="auto"/>
              </w:rPr>
            </w:pPr>
            <w:r>
              <w:rPr>
                <w:rFonts w:ascii="Arial" w:cs="Arial" w:eastAsia="Arial" w:hAnsi="Arial"/>
                <w:sz w:val="14"/>
                <w:szCs w:val="14"/>
                <w:b w:val="1"/>
                <w:bCs w:val="1"/>
                <w:color w:val="auto"/>
                <w:w w:val="92"/>
              </w:rPr>
              <w:t>James Chao</w:t>
            </w:r>
          </w:p>
        </w:tc>
        <w:tc>
          <w:tcPr>
            <w:tcW w:w="4560" w:type="dxa"/>
            <w:vAlign w:val="bottom"/>
            <w:gridSpan w:val="3"/>
            <w:vMerge w:val="continue"/>
          </w:tcPr>
          <w:p>
            <w:pPr>
              <w:spacing w:after="0"/>
              <w:rPr>
                <w:sz w:val="7"/>
                <w:szCs w:val="7"/>
                <w:color w:val="auto"/>
              </w:rPr>
            </w:pP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AX</w:t>
            </w:r>
            <w:r>
              <w:rPr>
                <w:rFonts w:ascii="Arial" w:cs="Arial" w:eastAsia="Arial" w:hAnsi="Arial"/>
                <w:sz w:val="18"/>
                <w:szCs w:val="18"/>
                <w:color w:val="auto"/>
              </w:rPr>
              <w:t xml:space="preserve"> L. L</w:t>
            </w:r>
            <w:r>
              <w:rPr>
                <w:rFonts w:ascii="Arial" w:cs="Arial" w:eastAsia="Arial" w:hAnsi="Arial"/>
                <w:sz w:val="14"/>
                <w:szCs w:val="14"/>
                <w:color w:val="auto"/>
              </w:rPr>
              <w:t>UKENS</w:t>
            </w:r>
          </w:p>
        </w:tc>
        <w:tc>
          <w:tcPr>
            <w:tcW w:w="456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700" w:type="dxa"/>
            <w:vAlign w:val="bottom"/>
            <w:gridSpan w:val="3"/>
            <w:vMerge w:val="restart"/>
          </w:tcPr>
          <w:p>
            <w:pPr>
              <w:jc w:val="center"/>
              <w:ind w:right="1760"/>
              <w:spacing w:after="0"/>
              <w:rPr>
                <w:sz w:val="20"/>
                <w:szCs w:val="20"/>
                <w:color w:val="auto"/>
              </w:rPr>
            </w:pPr>
            <w:r>
              <w:rPr>
                <w:rFonts w:ascii="Arial" w:cs="Arial" w:eastAsia="Arial" w:hAnsi="Arial"/>
                <w:sz w:val="14"/>
                <w:szCs w:val="14"/>
                <w:b w:val="1"/>
                <w:bCs w:val="1"/>
                <w:color w:val="auto"/>
                <w:w w:val="97"/>
              </w:rPr>
              <w:t>Max L. Lukens</w:t>
            </w:r>
          </w:p>
        </w:tc>
        <w:tc>
          <w:tcPr>
            <w:tcW w:w="4560" w:type="dxa"/>
            <w:vAlign w:val="bottom"/>
            <w:gridSpan w:val="3"/>
            <w:vMerge w:val="continue"/>
          </w:tcPr>
          <w:p>
            <w:pPr>
              <w:spacing w:after="0"/>
              <w:rPr>
                <w:sz w:val="7"/>
                <w:szCs w:val="7"/>
                <w:color w:val="auto"/>
              </w:rPr>
            </w:pP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0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w:t>
            </w:r>
            <w:r>
              <w:rPr>
                <w:rFonts w:ascii="Arial" w:cs="Arial" w:eastAsia="Arial" w:hAnsi="Arial"/>
                <w:sz w:val="14"/>
                <w:szCs w:val="14"/>
                <w:color w:val="auto"/>
              </w:rPr>
              <w:t>UMPKINS</w:t>
            </w:r>
          </w:p>
        </w:tc>
        <w:tc>
          <w:tcPr>
            <w:tcW w:w="456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1520" w:type="dxa"/>
            <w:vAlign w:val="bottom"/>
          </w:tcPr>
          <w:p>
            <w:pPr>
              <w:spacing w:after="0"/>
              <w:rPr>
                <w:sz w:val="7"/>
                <w:szCs w:val="7"/>
                <w:color w:val="auto"/>
              </w:rPr>
            </w:pPr>
          </w:p>
        </w:tc>
        <w:tc>
          <w:tcPr>
            <w:tcW w:w="2940" w:type="dxa"/>
            <w:vAlign w:val="bottom"/>
            <w:gridSpan w:val="4"/>
            <w:vMerge w:val="restart"/>
          </w:tcPr>
          <w:p>
            <w:pPr>
              <w:jc w:val="center"/>
              <w:ind w:right="1500"/>
              <w:spacing w:after="0"/>
              <w:rPr>
                <w:sz w:val="20"/>
                <w:szCs w:val="20"/>
                <w:color w:val="auto"/>
              </w:rPr>
            </w:pPr>
            <w:r>
              <w:rPr>
                <w:rFonts w:ascii="Arial" w:cs="Arial" w:eastAsia="Arial" w:hAnsi="Arial"/>
                <w:sz w:val="14"/>
                <w:szCs w:val="14"/>
                <w:b w:val="1"/>
                <w:bCs w:val="1"/>
                <w:color w:val="auto"/>
                <w:w w:val="96"/>
              </w:rPr>
              <w:t>David Lumpkins</w:t>
            </w:r>
          </w:p>
        </w:tc>
        <w:tc>
          <w:tcPr>
            <w:tcW w:w="4560" w:type="dxa"/>
            <w:vAlign w:val="bottom"/>
            <w:gridSpan w:val="3"/>
            <w:vMerge w:val="continue"/>
          </w:tcPr>
          <w:p>
            <w:pPr>
              <w:spacing w:after="0"/>
              <w:rPr>
                <w:sz w:val="7"/>
                <w:szCs w:val="7"/>
                <w:color w:val="auto"/>
              </w:rPr>
            </w:pPr>
          </w:p>
        </w:tc>
        <w:tc>
          <w:tcPr>
            <w:tcW w:w="1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52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1760" w:type="dxa"/>
            <w:vAlign w:val="bottom"/>
            <w:gridSpan w:val="2"/>
          </w:tcPr>
          <w:p>
            <w:pPr>
              <w:ind w:left="148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NGELA</w:t>
            </w:r>
            <w:r>
              <w:rPr>
                <w:rFonts w:ascii="Arial" w:cs="Arial" w:eastAsia="Arial" w:hAnsi="Arial"/>
                <w:sz w:val="18"/>
                <w:szCs w:val="18"/>
                <w:color w:val="auto"/>
              </w:rPr>
              <w:t xml:space="preserve"> M</w:t>
            </w:r>
            <w:r>
              <w:rPr>
                <w:rFonts w:ascii="Arial" w:cs="Arial" w:eastAsia="Arial" w:hAnsi="Arial"/>
                <w:sz w:val="14"/>
                <w:szCs w:val="14"/>
                <w:color w:val="auto"/>
              </w:rPr>
              <w:t>INAS</w:t>
            </w:r>
          </w:p>
        </w:tc>
        <w:tc>
          <w:tcPr>
            <w:tcW w:w="456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jc w:val="center"/>
              <w:ind w:left="752"/>
              <w:spacing w:after="0"/>
              <w:rPr>
                <w:sz w:val="20"/>
                <w:szCs w:val="20"/>
                <w:color w:val="auto"/>
              </w:rPr>
            </w:pPr>
            <w:r>
              <w:rPr>
                <w:rFonts w:ascii="Arial" w:cs="Arial" w:eastAsia="Arial" w:hAnsi="Arial"/>
                <w:sz w:val="18"/>
                <w:szCs w:val="18"/>
                <w:color w:val="auto"/>
                <w:w w:val="92"/>
              </w:rPr>
              <w:t>March 1, 2019</w:t>
            </w:r>
          </w:p>
        </w:tc>
        <w:tc>
          <w:tcPr>
            <w:tcW w:w="0" w:type="dxa"/>
            <w:vAlign w:val="bottom"/>
          </w:tcPr>
          <w:p>
            <w:pPr>
              <w:spacing w:after="0"/>
              <w:rPr>
                <w:sz w:val="1"/>
                <w:szCs w:val="1"/>
                <w:color w:val="auto"/>
              </w:rPr>
            </w:pPr>
          </w:p>
        </w:tc>
      </w:tr>
      <w:tr>
        <w:trPr>
          <w:trHeight w:val="27"/>
        </w:trPr>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560" w:type="dxa"/>
            <w:vAlign w:val="bottom"/>
            <w:gridSpan w:val="3"/>
            <w:vMerge w:val="continue"/>
          </w:tcPr>
          <w:p>
            <w:pPr>
              <w:spacing w:after="0"/>
              <w:rPr>
                <w:sz w:val="2"/>
                <w:szCs w:val="2"/>
                <w:color w:val="auto"/>
              </w:rPr>
            </w:pPr>
          </w:p>
        </w:tc>
        <w:tc>
          <w:tcPr>
            <w:tcW w:w="19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560" w:type="dxa"/>
            <w:vAlign w:val="bottom"/>
            <w:gridSpan w:val="3"/>
            <w:vMerge w:val="continue"/>
          </w:tcPr>
          <w:p>
            <w:pPr>
              <w:spacing w:after="0"/>
              <w:rPr>
                <w:sz w:val="3"/>
                <w:szCs w:val="3"/>
                <w:color w:val="auto"/>
              </w:rPr>
            </w:pPr>
          </w:p>
        </w:tc>
        <w:tc>
          <w:tcPr>
            <w:tcW w:w="19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ind w:left="1820"/>
        <w:spacing w:after="0"/>
        <w:rPr>
          <w:sz w:val="20"/>
          <w:szCs w:val="20"/>
          <w:color w:val="auto"/>
        </w:rPr>
      </w:pPr>
      <w:r>
        <w:rPr>
          <w:rFonts w:ascii="Arial" w:cs="Arial" w:eastAsia="Arial" w:hAnsi="Arial"/>
          <w:sz w:val="14"/>
          <w:szCs w:val="14"/>
          <w:b w:val="1"/>
          <w:bCs w:val="1"/>
          <w:color w:val="auto"/>
        </w:rPr>
        <w:t>Angela Minas</w:t>
      </w: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121" w:right="35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21.1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810"/>
        </w:trPr>
        <w:tc>
          <w:tcPr>
            <w:tcW w:w="2900" w:type="dxa"/>
            <w:vAlign w:val="bottom"/>
          </w:tcPr>
          <w:p>
            <w:pPr>
              <w:ind w:left="180"/>
              <w:spacing w:after="0"/>
              <w:rPr>
                <w:sz w:val="20"/>
                <w:szCs w:val="20"/>
                <w:color w:val="auto"/>
              </w:rPr>
            </w:pPr>
            <w:r>
              <w:rPr>
                <w:rFonts w:ascii="Arial" w:cs="Arial" w:eastAsia="Arial" w:hAnsi="Arial"/>
                <w:sz w:val="18"/>
                <w:szCs w:val="18"/>
                <w:b w:val="1"/>
                <w:bCs w:val="1"/>
                <w:color w:val="auto"/>
              </w:rPr>
              <w:t>Name of Subsidiary</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290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358"/>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GP LLC</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92"/>
        </w:trPr>
        <w:tc>
          <w:tcPr>
            <w:tcW w:w="2900" w:type="dxa"/>
            <w:vAlign w:val="bottom"/>
          </w:tcPr>
          <w:p>
            <w:pPr>
              <w:ind w:left="40"/>
              <w:spacing w:after="0"/>
              <w:rPr>
                <w:sz w:val="20"/>
                <w:szCs w:val="20"/>
                <w:color w:val="auto"/>
              </w:rPr>
            </w:pPr>
            <w:r>
              <w:rPr>
                <w:rFonts w:ascii="Arial" w:cs="Arial" w:eastAsia="Arial" w:hAnsi="Arial"/>
                <w:sz w:val="18"/>
                <w:szCs w:val="18"/>
                <w:color w:val="auto"/>
              </w:rPr>
              <w:t>Westlake Chemical OpCo LP</w:t>
            </w:r>
          </w:p>
        </w:tc>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333-216617) and Form S-8 (No. 333-198233) of Westlake Chemical Partners LP of our report dated March 1, 2019 relating to the consolidated financial statements and the effectiveness of internal control over financial reporting, which appears in this Form 10-K.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20" w:hanging="652"/>
        <w:spacing w:after="0" w:line="256"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1300" w:right="120" w:hanging="644"/>
        <w:spacing w:after="0" w:line="25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220" w:hanging="644"/>
        <w:spacing w:after="0" w:line="250"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right="380" w:hanging="644"/>
        <w:spacing w:after="0" w:line="28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00" w:hanging="644"/>
        <w:spacing w:after="0" w:line="255"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60" w:hanging="652"/>
        <w:spacing w:after="0" w:line="274"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644"/>
        <w:spacing w:after="0" w:line="281"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40" w:hanging="644"/>
        <w:spacing w:after="0" w:line="261"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52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Senior Vice President, Chief Financial Officer, and Director of the general partner of the Partnership, each certify, pursuant to 18 U.S.C. Section 1350, as adopted pursuant to Section 906 of the Sarbanes-Oxley Act of 2002, that, to his knowledge:</w:t>
      </w:r>
    </w:p>
    <w:p>
      <w:pPr>
        <w:spacing w:after="0" w:line="17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5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Albert Chao</w:t>
      </w:r>
    </w:p>
    <w:p>
      <w:pPr>
        <w:jc w:val="center"/>
        <w:ind w:left="6520"/>
        <w:spacing w:after="0" w:line="226"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520"/>
        <w:spacing w:after="0" w:line="222" w:lineRule="auto"/>
        <w:rPr>
          <w:sz w:val="20"/>
          <w:szCs w:val="20"/>
          <w:color w:val="auto"/>
        </w:rPr>
      </w:pPr>
      <w:r>
        <w:rPr>
          <w:rFonts w:ascii="Arial" w:cs="Arial" w:eastAsia="Arial" w:hAnsi="Arial"/>
          <w:sz w:val="14"/>
          <w:szCs w:val="14"/>
          <w:b w:val="1"/>
          <w:bCs w:val="1"/>
          <w:color w:val="auto"/>
        </w:rPr>
        <w:t>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700" w:val="left"/>
          <w:tab w:leader="none" w:pos="8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2019</w:t>
      </w:r>
      <w:r>
        <w:rPr>
          <w:sz w:val="20"/>
          <w:szCs w:val="20"/>
          <w:color w:val="auto"/>
        </w:rPr>
        <w:tab/>
      </w:r>
      <w:r>
        <w:rPr>
          <w:rFonts w:ascii="Arial" w:cs="Arial" w:eastAsia="Arial" w:hAnsi="Arial"/>
          <w:sz w:val="17"/>
          <w:szCs w:val="17"/>
          <w:color w:val="auto"/>
        </w:rPr>
        <w:t>/s/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Senior Vice President, Chief Financial Officer and</w:t>
      </w:r>
    </w:p>
    <w:p>
      <w:pPr>
        <w:jc w:val="center"/>
        <w:ind w:left="6520"/>
        <w:spacing w:after="0" w:line="22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5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lvl w:ilvl="1">
      <w:lvlJc w:val="left"/>
      <w:lvlText w:val="(%2)"/>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lvl w:ilvl="1">
      <w:lvlJc w:val="left"/>
      <w:lvlText w:val="(%2)"/>
      <w:numFmt w:val="decimal"/>
      <w:start w:val="1"/>
    </w:lvl>
  </w:abstractNum>
  <w:abstractNum w:abstractNumId="21">
    <w:nsid w:val="3804823E"/>
    <w:multiLevelType w:val="hybridMultilevel"/>
    <w:lvl w:ilvl="0">
      <w:lvlJc w:val="left"/>
      <w:lvlText w:val="(%1)"/>
      <w:numFmt w:val="decimal"/>
      <w:start w:val="6"/>
    </w:lvl>
    <w:lvl w:ilvl="1">
      <w:lvlJc w:val="left"/>
      <w:lvlText w:val="%2"/>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5"/>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69" Type="http://schemas.openxmlformats.org/officeDocument/2006/relationships/image" Target="media/image19.png"/><Relationship Id="rId70" Type="http://schemas.openxmlformats.org/officeDocument/2006/relationships/image" Target="media/image20.png"/><Relationship Id="rId71" Type="http://schemas.openxmlformats.org/officeDocument/2006/relationships/image" Target="media/image21.png"/><Relationship Id="rId72" Type="http://schemas.openxmlformats.org/officeDocument/2006/relationships/image" Target="media/image22.png"/><Relationship Id="rId73" Type="http://schemas.openxmlformats.org/officeDocument/2006/relationships/image" Target="media/image23.png"/><Relationship Id="rId26" Type="http://schemas.openxmlformats.org/officeDocument/2006/relationships/hyperlink" Target="http://www.sec.gov/Archives/edgar/data/1604665/000119312515162335/d919736dex21.htm" TargetMode="External"/><Relationship Id="rId27" Type="http://schemas.openxmlformats.org/officeDocument/2006/relationships/hyperlink" Target="http://www.sec.gov/Archives/edgar/data/1604665/000119312517294448/d420558dex21.htm" TargetMode="External"/><Relationship Id="rId28" Type="http://schemas.openxmlformats.org/officeDocument/2006/relationships/hyperlink" Target="http://www.sec.gov/Archives/edgar/data/1604665/000119312514164760/d715499dex31.htm" TargetMode="External"/><Relationship Id="rId29" Type="http://schemas.openxmlformats.org/officeDocument/2006/relationships/hyperlink" Target="http://www.sec.gov/Archives/edgar/data/1604665/000119312514303305/d756630dex31.htm" TargetMode="External"/><Relationship Id="rId30" Type="http://schemas.openxmlformats.org/officeDocument/2006/relationships/hyperlink" Target="http://www.sec.gov/Archives/edgar/data/1604665/000119312517345554/d493400dex31.htm" TargetMode="External"/><Relationship Id="rId31" Type="http://schemas.openxmlformats.org/officeDocument/2006/relationships/hyperlink" Target="http://www.sec.gov/Archives/edgar/data/1604665/000160466518000007/ex3412311710k.htm" TargetMode="External"/><Relationship Id="rId32" Type="http://schemas.openxmlformats.org/officeDocument/2006/relationships/hyperlink" Target="http://www.sec.gov/Archives/edgar/data/1604665/000119312518231463/d583758dex31.htm" TargetMode="External"/><Relationship Id="rId33" Type="http://schemas.openxmlformats.org/officeDocument/2006/relationships/hyperlink" Target="http://www.sec.gov/Archives/edgar/data/1262823/000119312506005830/dex41.htm" TargetMode="External"/><Relationship Id="rId34" Type="http://schemas.openxmlformats.org/officeDocument/2006/relationships/hyperlink" Target="http://www.sec.gov/Archives/edgar/data/1262823/000119312510155766/dex42.htm" TargetMode="External"/><Relationship Id="rId35" Type="http://schemas.openxmlformats.org/officeDocument/2006/relationships/hyperlink" Target="http://www.sec.gov/Archives/edgar/data/1262823/000119312510276447/dex42.htm" TargetMode="External"/><Relationship Id="rId36" Type="http://schemas.openxmlformats.org/officeDocument/2006/relationships/hyperlink" Target="http://www.sec.gov/Archives/edgar/data/1262823/000119312510276447/dex43.htm" TargetMode="External"/><Relationship Id="rId37" Type="http://schemas.openxmlformats.org/officeDocument/2006/relationships/hyperlink" Target="http://www.sec.gov/Archives/edgar/data/1262823/000119312508034397/dex47.htm" TargetMode="External"/><Relationship Id="rId38" Type="http://schemas.openxmlformats.org/officeDocument/2006/relationships/hyperlink" Target="http://www.sec.gov/Archives/edgar/data/1262823/000119312512303588/d381139dex42.htm" TargetMode="External"/><Relationship Id="rId39" Type="http://schemas.openxmlformats.org/officeDocument/2006/relationships/hyperlink" Target="http://www.sec.gov/Archives/edgar/data/1262823/000126282313000007/exhibit41612311210k.htm" TargetMode="External"/><Relationship Id="rId40" Type="http://schemas.openxmlformats.org/officeDocument/2006/relationships/hyperlink" Target="http://www.sec.gov/Archives/edgar/data/1262823/000119312516678207/d235680dex42.htm" TargetMode="External"/><Relationship Id="rId41" Type="http://schemas.openxmlformats.org/officeDocument/2006/relationships/hyperlink" Target="http://www.sec.gov/Archives/edgar/data/1262823/000119312516703435/d271644dex42.htm" TargetMode="External"/><Relationship Id="rId42" Type="http://schemas.openxmlformats.org/officeDocument/2006/relationships/hyperlink" Target="http://www.sec.gov/Archives/edgar/data/1262823/000119312517353189/d499857dex42.htm" TargetMode="External"/><Relationship Id="rId43" Type="http://schemas.openxmlformats.org/officeDocument/2006/relationships/hyperlink" Target="http://www.sec.gov/Archives/edgar/data/1262823/000119312517353189/d499857dex43.htm" TargetMode="External"/><Relationship Id="rId44" Type="http://schemas.openxmlformats.org/officeDocument/2006/relationships/hyperlink" Target="http://www.sec.gov/Archives/edgar/data/1262823/000126282318000008/exhibit41912311710-k.htm" TargetMode="External"/><Relationship Id="rId45" Type="http://schemas.openxmlformats.org/officeDocument/2006/relationships/hyperlink" Target="http://www.sec.gov/Archives/edgar/data/1604665/000119312514303305/d756630dex101.htm" TargetMode="External"/><Relationship Id="rId46" Type="http://schemas.openxmlformats.org/officeDocument/2006/relationships/hyperlink" Target="http://www.sec.gov/Archives/edgar/data/1604665/000119312514303305/d756630dex102.htm" TargetMode="External"/><Relationship Id="rId47" Type="http://schemas.openxmlformats.org/officeDocument/2006/relationships/hyperlink" Target="http://www.sec.gov/Archives/edgar/data/1604665/000119312514303305/d756630dex103.htm" TargetMode="External"/><Relationship Id="rId48" Type="http://schemas.openxmlformats.org/officeDocument/2006/relationships/hyperlink" Target="http://www.sec.gov/Archives/edgar/data/1604665/000119312514303305/d756630dex104.htm" TargetMode="External"/><Relationship Id="rId49" Type="http://schemas.openxmlformats.org/officeDocument/2006/relationships/hyperlink" Target="http://www.sec.gov/Archives/edgar/data/1604665/000119312514303305/d756630dex105.htm" TargetMode="External"/><Relationship Id="rId50" Type="http://schemas.openxmlformats.org/officeDocument/2006/relationships/hyperlink" Target="http://www.sec.gov/Archives/edgar/data/1604665/000119312514303305/d756630dex106.htm" TargetMode="External"/><Relationship Id="rId51" Type="http://schemas.openxmlformats.org/officeDocument/2006/relationships/hyperlink" Target="http://www.sec.gov/Archives/edgar/data/1604665/000119312514303305/d756630dex107.htm" TargetMode="External"/><Relationship Id="rId52" Type="http://schemas.openxmlformats.org/officeDocument/2006/relationships/hyperlink" Target="http://www.sec.gov/Archives/edgar/data/1604665/000119312514303305/d756630dex108.htm" TargetMode="External"/><Relationship Id="rId53" Type="http://schemas.openxmlformats.org/officeDocument/2006/relationships/hyperlink" Target="http://www.sec.gov/Archives/edgar/data/1604665/000119312514268047/d715499dex1014.htm" TargetMode="External"/><Relationship Id="rId54" Type="http://schemas.openxmlformats.org/officeDocument/2006/relationships/hyperlink" Target="http://www.sec.gov/Archives/edgar/data/1604665/000160466517000008/ex101012311610k.htm" TargetMode="External"/><Relationship Id="rId55" Type="http://schemas.openxmlformats.org/officeDocument/2006/relationships/hyperlink" Target="http://www.sec.gov/Archives/edgar/data/1604665/000160466517000008/ex101112311610k.htm" TargetMode="External"/><Relationship Id="rId56" Type="http://schemas.openxmlformats.org/officeDocument/2006/relationships/hyperlink" Target="http://www.sec.gov/Archives/edgar/data/1604665/000160466518000007/ex101212311710k.htm" TargetMode="External"/><Relationship Id="rId57" Type="http://schemas.openxmlformats.org/officeDocument/2006/relationships/hyperlink" Target="http://www.sec.gov/Archives/edgar/data/1604665/000119312514303305/d756630dex109.htm" TargetMode="External"/><Relationship Id="rId58" Type="http://schemas.openxmlformats.org/officeDocument/2006/relationships/hyperlink" Target="http://www.sec.gov/Archives/edgar/data/1604665/000119312514256099/d715499dex1010.htm" TargetMode="External"/><Relationship Id="rId59" Type="http://schemas.openxmlformats.org/officeDocument/2006/relationships/hyperlink" Target="http://www.sec.gov/Archives/edgar/data/1604665/000119312515162335/d919736dex101.htm" TargetMode="External"/><Relationship Id="rId60" Type="http://schemas.openxmlformats.org/officeDocument/2006/relationships/hyperlink" Target="http://www.sec.gov/Archives/edgar/data/1262823/000126282316000049/exhibit103_20160930.htm" TargetMode="External"/><Relationship Id="rId61" Type="http://schemas.openxmlformats.org/officeDocument/2006/relationships/hyperlink" Target="http://www.sec.gov/Archives/edgar/data/1604665/000160466516000044/exhibit101_20160630.htm" TargetMode="External"/><Relationship Id="rId62" Type="http://schemas.openxmlformats.org/officeDocument/2006/relationships/hyperlink" Target="http://www.sec.gov/Archives/edgar/data/1604665/000160466517000008/ex102012311610k.htm" TargetMode="External"/><Relationship Id="rId63" Type="http://schemas.openxmlformats.org/officeDocument/2006/relationships/hyperlink" Target="http://www.sec.gov/Archives/edgar/data/1604665/000160466517000033/exhibit101_20170930.htm" TargetMode="External"/><Relationship Id="rId64" Type="http://schemas.openxmlformats.org/officeDocument/2006/relationships/hyperlink" Target="http://www.sec.gov/Archives/edgar/data/1604665/000160466517000025/exhibit101_20170630.htm" TargetMode="External"/><Relationship Id="rId65" Type="http://schemas.openxmlformats.org/officeDocument/2006/relationships/hyperlink" Target="http://www.sec.gov/Archives/edgar/data/1604665/000160466518000007/ex102412311710k.htm" TargetMode="External"/><Relationship Id="rId66" Type="http://schemas.openxmlformats.org/officeDocument/2006/relationships/hyperlink" Target="http://www.sec.gov/Archives/edgar/data/1604665/000119312518294123/d633576dex11.htm" TargetMode="External"/><Relationship Id="rId67" Type="http://schemas.openxmlformats.org/officeDocument/2006/relationships/hyperlink" Target="http://www.sec.gov/Archives/edgar/data/1604665/000160466518000027/exhibit101_20180930.htm" TargetMode="External"/><Relationship Id="rId68" Type="http://schemas.openxmlformats.org/officeDocument/2006/relationships/hyperlink" Target="http://www.sec.gov/Archives/edgar/data/1604665/000160466518000027/exhibit102_2018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2020-01-09T14:28:57Z</dcterms:created>
  <dcterms:modified xsi:type="dcterms:W3CDTF">2020-01-09T14:28:57Z</dcterms:modified>
</cp:coreProperties>
</file>