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September 30, 2026</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5444 Westheimer, Suite 101</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r>
      <w:tr>
        <w:trPr>
          <w:trHeight w:val="366"/>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Blvd, Suite 600</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(Former address of principal executive offices)</w:t>
            </w:r>
          </w:p>
        </w:tc>
        <w:tc>
          <w:tcPr>
            <w:tcW w:w="4000" w:type="dxa"/>
            <w:vAlign w:val="bottom"/>
          </w:tcPr>
          <w:p>
            <w:pPr>
              <w:spacing w:after="0"/>
              <w:rPr>
                <w:sz w:val="16"/>
                <w:szCs w:val="16"/>
                <w:color w:val="auto"/>
              </w:rPr>
            </w:pPr>
          </w:p>
        </w:tc>
      </w:tr>
      <w:tr>
        <w:trPr>
          <w:trHeight w:val="631"/>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4"/>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83"/>
              </w:rPr>
              <w:t>x</w:t>
            </w:r>
          </w:p>
        </w:tc>
      </w:tr>
      <w:tr>
        <w:trPr>
          <w:trHeight w:val="3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Wingdings" w:cs="Wingdings" w:eastAsia="Wingdings" w:hAnsi="Wingdings"/>
          <w:sz w:val="18"/>
          <w:szCs w:val="18"/>
          <w:b w:val="1"/>
          <w:bCs w:val="1"/>
          <w:color w:val="auto"/>
        </w:rPr>
        <w:t>x</w:t>
      </w:r>
    </w:p>
    <w:p>
      <w:pPr>
        <w:sectPr>
          <w:pgSz w:w="11900" w:h="16838" w:orient="portrait"/>
          <w:cols w:equalWidth="0" w:num="1">
            <w:col w:w="11240"/>
          </w:cols>
          <w:pgMar w:left="320" w:top="1037"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registrant had 35,253,387 common units outstanding as of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40" w:type="dxa"/>
            <w:vAlign w:val="bottom"/>
            <w:vMerge w:val="restart"/>
          </w:tcPr>
          <w:p>
            <w:pPr>
              <w:spacing w:after="0"/>
              <w:rPr>
                <w:sz w:val="2"/>
                <w:szCs w:val="2"/>
                <w:color w:val="auto"/>
              </w:rPr>
            </w:pPr>
          </w:p>
        </w:tc>
        <w:tc>
          <w:tcPr>
            <w:tcW w:w="980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9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1A)</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8240" w:type="dxa"/>
            <w:vAlign w:val="bottom"/>
          </w:tcPr>
          <w:p>
            <w:pPr>
              <w:spacing w:after="0"/>
              <w:rPr>
                <w:sz w:val="19"/>
                <w:szCs w:val="19"/>
                <w:color w:val="auto"/>
              </w:rPr>
            </w:pPr>
          </w:p>
        </w:tc>
        <w:tc>
          <w:tcPr>
            <w:tcW w:w="2980" w:type="dxa"/>
            <w:vAlign w:val="bottom"/>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63,571</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886,012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221,201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1,256,533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454,181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(21,131,157 and 21,123,649 units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at September 30, 2026 and December 31, 2025, respectively)</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460,848</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at September 30, 2026 and December 31, 2025, respectively)</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543,816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802,352</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1,225,204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1,256,533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gridSpan w:val="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 and per unit data)</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276,539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763,056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736,396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107,250</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843,646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624,774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592,610</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251,036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229,818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255,387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254,874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210,248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180,159</w:t>
            </w:r>
          </w:p>
        </w:tc>
        <w:tc>
          <w:tcPr>
            <w:tcW w:w="0" w:type="dxa"/>
            <w:vAlign w:val="bottom"/>
          </w:tcPr>
          <w:p>
            <w:pPr>
              <w:spacing w:after="0"/>
              <w:rPr>
                <w:sz w:val="1"/>
                <w:szCs w:val="1"/>
                <w:color w:val="auto"/>
              </w:rPr>
            </w:pPr>
          </w:p>
        </w:tc>
      </w:tr>
      <w:tr>
        <w:trPr>
          <w:trHeight w:val="155"/>
        </w:trPr>
        <w:tc>
          <w:tcPr>
            <w:tcW w:w="51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16,219</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14,653</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44,626</w:t>
            </w:r>
          </w:p>
        </w:tc>
        <w:tc>
          <w:tcPr>
            <w:tcW w:w="120" w:type="dxa"/>
            <w:vAlign w:val="bottom"/>
          </w:tcPr>
          <w:p>
            <w:pPr>
              <w:spacing w:after="0"/>
              <w:rPr>
                <w:sz w:val="13"/>
                <w:szCs w:val="13"/>
                <w:color w:val="auto"/>
              </w:rPr>
            </w:pP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34,159</w:t>
            </w:r>
          </w:p>
        </w:tc>
        <w:tc>
          <w:tcPr>
            <w:tcW w:w="0" w:type="dxa"/>
            <w:vAlign w:val="bottom"/>
          </w:tcPr>
          <w:p>
            <w:pPr>
              <w:spacing w:after="0"/>
              <w:rPr>
                <w:sz w:val="1"/>
                <w:szCs w:val="1"/>
                <w:color w:val="auto"/>
              </w:rPr>
            </w:pPr>
          </w:p>
        </w:tc>
      </w:tr>
      <w:tr>
        <w:trPr>
          <w:trHeight w:val="221"/>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limited partners' interest in net income</w:t>
            </w: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limited partner unit attributable to Westlake Chemical</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 LP (basic and diluted)</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limited partner units outstanding (basic and</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21,128,219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21,120,704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21,125,189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21,117,801</w:t>
            </w:r>
          </w:p>
        </w:tc>
        <w:tc>
          <w:tcPr>
            <w:tcW w:w="0" w:type="dxa"/>
            <w:vAlign w:val="bottom"/>
          </w:tcPr>
          <w:p>
            <w:pPr>
              <w:spacing w:after="0"/>
              <w:rPr>
                <w:sz w:val="1"/>
                <w:szCs w:val="1"/>
                <w:color w:val="auto"/>
              </w:rPr>
            </w:pPr>
          </w:p>
        </w:tc>
      </w:tr>
      <w:tr>
        <w:trPr>
          <w:trHeight w:val="254"/>
        </w:trPr>
        <w:tc>
          <w:tcPr>
            <w:tcW w:w="5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1"/>
                <w:szCs w:val="11"/>
                <w:color w:val="auto"/>
              </w:rPr>
            </w:pPr>
          </w:p>
        </w:tc>
        <w:tc>
          <w:tcPr>
            <w:tcW w:w="8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802,352</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(75,006)</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459,382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536,296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792,386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82,362</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(88,720)</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457,957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769,413</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(73,527)</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457,877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770,285</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20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1"/>
                <w:szCs w:val="11"/>
                <w:color w:val="auto"/>
              </w:rPr>
            </w:pPr>
          </w:p>
        </w:tc>
        <w:tc>
          <w:tcPr>
            <w:tcW w:w="8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464,339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538,640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803,106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(41,125)</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463,109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568,752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831,165</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(87,614)</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462,093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552,699</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813,311</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8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charges and other assets and others,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(123,817)</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160,090</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50,012</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(180,645)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(49,837)</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(230,482)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Partnership owns a 22.8% limited partner interest in Westlake Chemical OpCo LP ("OpCo") and a 100% interest in Westlake Chemical OpCo GP LLC ("OpCo GP"), which is the general partner of OpCo. OpCo owns three ethylene production facilities and one common carrier ethylene pipeline. The remaining 77.2% limited partner interest in OpCo is owned by Westlake Corporation. References to "Westlake" refer collectively to Westlake Corporation and its subsidiaries, other than the Partnership, OpCo and OpCo GP.</w:t>
      </w:r>
    </w:p>
    <w:p>
      <w:pPr>
        <w:spacing w:after="0" w:line="126"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OpCo and Westlake entered into an ethylene sales agreement (the "Ethylene Sales Agreement") pursuant to which the Partnership generates a substantial majority of its revenue. For more information, see Note 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2025 (the "2025 Form 10-K"), filed with the SEC on March 4, 2026. These financial statements have been prepared in conformity with the accounting principles and practices as disclosed in the notes to the consolidated financial statements of the Partnership for the fiscal year ended December 31, 2025.</w:t>
      </w:r>
    </w:p>
    <w:p>
      <w:pPr>
        <w:spacing w:after="0" w:line="13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77.2% is recorded as noncontrolling interest in the Partnership's consolidated financial statements.</w:t>
      </w:r>
    </w:p>
    <w:p>
      <w:pPr>
        <w:spacing w:after="0" w:line="13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September 30, 2026, its results of operations for the three and nine months ended September 30, 2026 and 2025 and the changes in its cash position for the nine months ended September 30, 2026 and 2025.</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2026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of Related Party Disclosure</w:t>
      </w:r>
    </w:p>
    <w:p>
      <w:pPr>
        <w:spacing w:after="0" w:line="9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During the third quarter of 2026, the Partnership identified errors with respect to certain charges from Westlake that had been omitted from its previously reported related party cost of sales disclosures. The omission had no impact on the Partnership's previously reported consolidated balance sheets, statements of operations, statements of changes in equity or statements of cash flows. The Partnership concluded that the omission was not material to any previously issued financial statements. Refer to Note 8 for the amounts by period and the periods revised.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No. 2024-03)</w:t>
      </w:r>
    </w:p>
    <w:p>
      <w:pPr>
        <w:spacing w:after="0" w:line="9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Early adoption is permitted. The Partnership is currently evaluating the impact of the update on the disclosures in the Partnership's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 (ASU No. 2025-05)</w:t>
      </w:r>
    </w:p>
    <w:p>
      <w:pPr>
        <w:spacing w:after="0" w:line="9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July 2025, the FASB issued an accounting standards update to add a practical expedient in developing reasonable and supportable forecasts as part of estimating expected credit losses. All entities may elect a practical expedient that assumes the current conditions as of the balance sheet date do not change for the remaining life of the asset. The amendments in this update are effective for annual reporting periods beginning after December 15, 2025 and interim reporting periods within those annual reporting periods, with early adoption permitted. Entities should apply the new guidance prospectively. The Partnership adopted the standard electing a practical expedient effective January 1, 2026, and the adoption of this accounting standard did not have a material impact on its consolidated statements of financial position, results of operations, or cash flows, or on related financial statement disclosures.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380" w:type="dxa"/>
            <w:vAlign w:val="bottom"/>
            <w:tcBorders>
              <w:bottom w:val="single" w:sz="8" w:color="CCEEFF"/>
            </w:tcBorders>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38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3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380" w:type="dxa"/>
            <w:vAlign w:val="bottom"/>
            <w:vMerge w:val="continue"/>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380" w:type="dxa"/>
            <w:vAlign w:val="bottom"/>
            <w:tcBorders>
              <w:bottom w:val="single" w:sz="8" w:color="CCEEFF"/>
            </w:tcBorders>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8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3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94" w:lineRule="exact"/>
        <w:rPr>
          <w:sz w:val="20"/>
          <w:szCs w:val="20"/>
          <w:color w:val="auto"/>
        </w:rPr>
      </w:pPr>
    </w:p>
    <w:p>
      <w:pPr>
        <w:ind w:right="160" w:firstLine="405"/>
        <w:spacing w:after="0" w:line="289" w:lineRule="auto"/>
        <w:rPr>
          <w:sz w:val="20"/>
          <w:szCs w:val="20"/>
          <w:color w:val="auto"/>
        </w:rPr>
      </w:pPr>
      <w:r>
        <w:rPr>
          <w:rFonts w:ascii="Times New Roman" w:cs="Times New Roman" w:eastAsia="Times New Roman" w:hAnsi="Times New Roman"/>
          <w:sz w:val="17"/>
          <w:szCs w:val="17"/>
          <w:color w:val="auto"/>
        </w:rPr>
        <w:t>Depreciation expense on property, plant and equipment of $20,396 and $21,966 is included in cost of sales in the consolidated statements of operations for the three months ended September 30, 2026 and 2025, respectively. Depreciation expense on property, plant and equipment of $65,648 and $64,389 is included in cost of sales in the consolidated statements of operations for the nine months ended September 30, 2026 and 2025,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108" w:lineRule="exact"/>
        <w:rPr>
          <w:sz w:val="20"/>
          <w:szCs w:val="20"/>
          <w:color w:val="auto"/>
        </w:rPr>
      </w:pPr>
    </w:p>
    <w:p>
      <w:pPr>
        <w:ind w:right="100" w:firstLine="405"/>
        <w:spacing w:after="0" w:line="289" w:lineRule="auto"/>
        <w:rPr>
          <w:sz w:val="20"/>
          <w:szCs w:val="20"/>
          <w:color w:val="auto"/>
        </w:rPr>
      </w:pPr>
      <w:r>
        <w:rPr>
          <w:rFonts w:ascii="Times New Roman" w:cs="Times New Roman" w:eastAsia="Times New Roman" w:hAnsi="Times New Roman"/>
          <w:sz w:val="17"/>
          <w:szCs w:val="17"/>
          <w:color w:val="auto"/>
        </w:rPr>
        <w:t>Amortization expense on deferred charges and other assets of $11,808 and $11,906 is included in cost of sales in the consolidated statements of operations for the three months ended September 30, 2026 and 2025, respectively. Amortization expense on deferred charges and other assets of $35,883 and $29,035 is included in cost of sales in the consolidated statements of operations for the nine months ended September 30, 2026 and 2025,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108"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On November 2, 2026, the board of directors of Westlake Chemical Partners GP LLC ("Westlake GP"), the Partnership's general partner, declared a quarterly cash distribution for the three months ended September 30, 2026 of $0.4714 per common unit. This distribution is payable on December 1, 2026 to unitholders of record as of November 13, 2026.</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14,653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44,626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34,159</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16,615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49,848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49,838</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8"/>
              </w:rPr>
              <w:t>(1,962)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w w:val="97"/>
              </w:rPr>
              <w:t>(15,679)</w:t>
            </w: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in the event distributions related to the incentive distribution rights are made, net income equal to the amount of those distributions would first be allocated to the general partner before the remaining net income would be allocated to the unitholders based on their respective ownership percentages. Basic and diluted net income per unit is the same because the Partnership does not have any potentially dilutive units outstanding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6"/>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35,250,449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35,250,449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36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6"/>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35,242,934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35,242,934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6"/>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49,848</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35,247,419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35,247,419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6"/>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49,838</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35,240,031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35,240,031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6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an appropriate portion of the Partnership's total operating surplus. Incentive distribution rights represent the right to receive increasing percentages (15.0 %, 25.0 % and 50.0 %) of quarterly distributions from operating surplus after the target distribution levels have been achieved.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r>
      <w:tr>
        <w:trPr>
          <w:trHeight w:val="23"/>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IDR Holders</w:t>
            </w: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2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If cash distributions to the Partnership's unitholders do not exceed $1.2938 per common unit in a quarter, then no distribution is made with respect to the Partnership's incentive distribution rights for such quarter. The Partnership's distribution for the three months ended September 30, 2026 was $0.4714 per common unit, which did not exceed the $1.2938 per unit threshold, and, as a result, no distribution was made with respect to the Partnership's incentive distribution rights to Westlake, as the holder of the Partnership's incentive distribution rights.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Per Common Unit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and nine months ended September 30, 2026 and 2025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94"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To date, no common units have been issued under this program.</w:t>
      </w:r>
    </w:p>
    <w:p>
      <w:pPr>
        <w:spacing w:after="0" w:line="11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Related party transactions between the Partnership, OpCo and Westlake are primarily based on agreements such as the Ethylene Sales Agreement, the Feedstock Supply Agreement, the Services and Secondment Agreement, the Site Lease Agreements, the Omnibus Agreement, the Investment Management Agreement, the Exchange Agreement, the OpCo Partnership Agreement, the OpCo Revolver and the MLP Revolver. These agreements, discussed in detail in the Partnership's 2025 consolidated financial statements included in the 2025 Form 10-K filed on March 4, 2026, reflect the pervasive effect of the relationship with Westlake on the Partnership's operations and its consolidated financial statements. Pursuant to these agreements, the Partnership and OpCo regularly enter into transactions with Westlake. See below for descriptions and details of these related party transactions.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94"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they charge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sells a significant portion of its ethylene production to Westlake. Sales to related parties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763,056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736,396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2026, OpCo's production resulted in expected "excess quantities" of ethylene produced based on annual estimated production. Pursuant to the terms of the Ethylene Sales Agreement, the excess quantities produced by the Partnership were sold to Westlake at prices that excluded certain fixed costs of production. The fixed cost of production associated with the estimated excess quantities for the nine months ended September 30, 2026 was approximately $4,900.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108"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A significant portion of the Partnership's inputs included in cost of sales are supplied by Westlake. Charges from related parties included in cost of sales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72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3"/>
        </w:trPr>
        <w:tc>
          <w:tcPr>
            <w:tcW w:w="5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5"/>
              <w:spacing w:after="0" w:line="253" w:lineRule="exact"/>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5"/>
              <w:spacing w:after="0" w:line="253" w:lineRule="exact"/>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3"/>
                <w:szCs w:val="23"/>
                <w:b w:val="1"/>
                <w:bCs w:val="1"/>
                <w:color w:val="auto"/>
                <w:vertAlign w:val="superscript"/>
              </w:rPr>
              <w:t>(1)</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298,146</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132,407</w:t>
            </w: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430,553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-624840</wp:posOffset>
            </wp:positionV>
            <wp:extent cx="3823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85" w:lineRule="exact"/>
        <w:rPr>
          <w:sz w:val="20"/>
          <w:szCs w:val="20"/>
          <w:color w:val="auto"/>
        </w:rPr>
      </w:pPr>
    </w:p>
    <w:p>
      <w:pPr>
        <w:ind w:left="420" w:right="280" w:hanging="412"/>
        <w:spacing w:after="0" w:line="266" w:lineRule="auto"/>
        <w:tabs>
          <w:tab w:leader="none" w:pos="4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As previously disclosed, feedstock purchased from Westlake and included in cost of sales was $95,110 and $271,176, and other charges from Westlake and included in cost of sales were $33,952 and $99,158, for the three and nine months ended September 30, 2025, respectively. See Revision of Previously Reported Amounts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of Previously Reported Amounts</w:t>
      </w:r>
    </w:p>
    <w:p>
      <w:pPr>
        <w:spacing w:after="0" w:line="94"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the Partnership identified that certain charges from Westlake had been omitted from its previously reported related party cost of sales disclosures. The amounts for the three and nine months ended September 30, 2025 in the table above have been revised.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amounts by which the previously disclosed amounts for other periods were understated: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4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15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15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43,275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80,861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1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24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8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3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2"/>
        </w:trPr>
        <w:tc>
          <w:tcPr>
            <w:tcW w:w="3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Feedstock purchased from Westlake and</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43"/>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cost of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17,327</w:t>
            </w: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charges from Westlake and included</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 cost of sales</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23,228</w:t>
            </w:r>
          </w:p>
        </w:tc>
      </w:tr>
      <w:tr>
        <w:trPr>
          <w:trHeight w:val="248"/>
        </w:trPr>
        <w:tc>
          <w:tcPr>
            <w:tcW w:w="3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There was no impact to the Partnership's consolidated balance sheets, statements of operations, statements of changes in equity or statements of cash flows. The impact to all previously reported interim and annual periods was not material. The amounts for the nine months ended September 30, 2026 include the corrected amounts for the first and second quarters of 2026. The amounts for the years ended December 31, 2024 and 2025, the three months ended March 31, 2026 and the three and six months ended June 30, 2026 will be revised when those periods are presented in future filings.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0"/>
        </w:trPr>
        <w:tc>
          <w:tcPr>
            <w:tcW w:w="52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Services received from Westlake and included in selling, general and</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20,898</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0" w:type="dxa"/>
            <w:vAlign w:val="bottom"/>
          </w:tcPr>
          <w:p>
            <w:pPr>
              <w:spacing w:after="0"/>
              <w:rPr>
                <w:sz w:val="1"/>
                <w:szCs w:val="1"/>
                <w:color w:val="auto"/>
              </w:rPr>
            </w:pPr>
          </w:p>
        </w:tc>
      </w:tr>
      <w:tr>
        <w:trPr>
          <w:trHeight w:val="227"/>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9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Goods and services purchased from Westlake and capitalized as</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0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$544 and $206 was included in the receivable under the Investment Management Agreement balance at September 30, 2026 and December 31, 2025, respectively. Total interest earned related to the Investment Management Agreement was $544 and $224 for the three months ended September 30, 2026 and 2025, respectively, and $1,218 and $2,333 for the nine months ended September 30, 2026 and 2025, respectively.</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65,715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23,378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94"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any Buyer Deficiency Fee and Shortfall recognized under the Ethylene Sales Agreement.</w:t>
      </w:r>
    </w:p>
    <w:p>
      <w:pPr>
        <w:spacing w:after="0" w:line="10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2025, OpCo had an annual production deficiency under the Ethylene Sales Agreement for the full year 2025 primarily due to the Petro 1 turnaround extending into April 2025, which was later than the planned completion in March 2025. The Buyer Deficiency Fee is measured periodically based upon the lower of the actual production deficiency at period end or the estimated annual production deficiency based upon OpCo's annual anticipated production. These periodic estimates are updated at the end of the year based on actual annual production. The Buyer Deficiency Fee is classified as a component of net sales—Westlake. The total Buyer Deficiency Fee recognized by the Partnership during the twelve months ended December 31, 2025 was $5,835. The Buyer Deficiency Fee recognized in 2025 was received by the Partnership in January 2026.</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19,533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19,132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cars and 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rentals paid to Westlake for such leases were $556 and $468 for the three months ended September 30, 2026 and 2025, respectively, and</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$1,474 and $1,246 for the nine months ended September 30, 2026 and 2025, respectively, and are reflected in other charges from Westlake that are included in cost of sales.</w:t>
      </w:r>
    </w:p>
    <w:p>
      <w:pPr>
        <w:spacing w:after="0" w:line="127"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three months ended September 30, 2026 and 2025 was $5,110 and $5,947, respectively. Interest on related party debt payable balances, net of capitalized interest, for the nine months ended September 30, 2026 and 2025 was $15,314 and $17,391, respectively. Interest on related party debt payable is presented as interest expense—Westlake in the consolidated statements of operations. At September 30, 2026 and December 31, 2025, accrued interest on related party debt was $5,110 and $5,508, respectively, and is reflected as a component of accrued and other liabilities in the consolidated balance sheets.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and 2025, Westlake accounted for approximately 83.3% and 89.5%, respectively, of the Partnership's net sales. During the nine months ended September 30, 2026 and 2025, Westlake accounted for approximately 83.2% and 87.3%, respectively, of the Partnership's net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160" w:firstLine="405"/>
        <w:spacing w:after="0" w:line="227" w:lineRule="exact"/>
        <w:rPr>
          <w:sz w:val="20"/>
          <w:szCs w:val="20"/>
          <w:color w:val="auto"/>
        </w:rPr>
      </w:pPr>
      <w:r>
        <w:rPr>
          <w:rFonts w:ascii="Times New Roman" w:cs="Times New Roman" w:eastAsia="Times New Roman" w:hAnsi="Times New Roman"/>
          <w:sz w:val="17"/>
          <w:szCs w:val="17"/>
          <w:color w:val="auto"/>
        </w:rPr>
        <w:t>On July 8, 2026, OpCo entered into the Third Amendment to the OpCo Revolver and the Partnership entered into the Fifth Amendment to the MLP Revolver. These amendments extended the maturity dates of the OpCo Revolver and the MLP Revolver from July 12, 2027 to July 11, 2031 and removed the 0.10% credit spread adjustments that had previously applied to the SOFR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interest rates under the OpCo Revolver and the MLP Revolver.</w:t>
      </w:r>
    </w:p>
    <w:p>
      <w:pPr>
        <w:spacing w:after="0" w:line="185"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As of September 30, 2026, outstanding borrowings under the OpCo Revolver and the MLP Revolver bore interest at the Secured Overnight Financing Rate, as administered by the Federal Reserve Bank of New York ("SOFR") plus the Applicable Margin. The Applicable Margin under the OpCo Revolver is 1.75%. The Applicable Margin under the MLP Revolver varies between 1.75% and 2.75%, depending on the Partnership's Consolidated Leverage Ratio. As of September 30, 2026, the OpCo Revolver and the MLP Revolver were scheduled to mature on July 11, 2031.</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5.5% and 5.8% at September 30, 2026 and December 31, 2025,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2026,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Partnership's long-term debt at September 30, 2026 and December 31, 2025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128"/>
        </w:trPr>
        <w:tc>
          <w:tcPr>
            <w:tcW w:w="5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8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1"/>
                <w:szCs w:val="11"/>
                <w:color w:val="auto"/>
              </w:rPr>
            </w:pPr>
          </w:p>
        </w:tc>
      </w:tr>
      <w:tr>
        <w:trPr>
          <w:trHeight w:val="196"/>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Pr>
          <w:p>
            <w:pPr>
              <w:spacing w:after="0"/>
              <w:rPr>
                <w:sz w:val="17"/>
                <w:szCs w:val="17"/>
                <w:color w:val="auto"/>
              </w:rPr>
            </w:pPr>
          </w:p>
        </w:tc>
        <w:tc>
          <w:tcPr>
            <w:tcW w:w="9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5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418,948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408,780</w:t>
            </w:r>
          </w:p>
        </w:tc>
        <w:tc>
          <w:tcPr>
            <w:tcW w:w="20" w:type="dxa"/>
            <w:vAlign w:val="bottom"/>
          </w:tcPr>
          <w:p>
            <w:pPr>
              <w:spacing w:after="0"/>
              <w:rPr>
                <w:sz w:val="21"/>
                <w:szCs w:val="2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5"/>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900" w:firstLine="8"/>
        <w:spacing w:after="0" w:line="354" w:lineRule="auto"/>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$21,420 and $22,199 at September 30, 2026 and December 31, 2025, respectively. Accrued taxes, accrued interest on related party debt and accrued capital expenditures, which are components of accrued and other liabilities, were $6,227, $5,110 and $3,205, respectively, at September 30, 2026 and $2,104, $5,508 and $994, respectively, at December 31, 2025. No other component of accrued and other liabilities was more than five percent of total 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8"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$8,835 and $5,768 at September 30, 2026 and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9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obligations were $460 and $920 for the nine months ended September 30, 2026 and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08"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certain environmental and other liabilities that occurred or existed prior to August 4, 2014. Pursuant to the Services and Secondment Agreement, certain subsidiaries of Westlake will indemnify the Partnership for certain liabilities incurred in connection with the performance of Westlake's services under such agreement.</w:t>
      </w:r>
    </w:p>
    <w:p>
      <w:pPr>
        <w:spacing w:after="0" w:line="140"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94"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 Partnership has one operating segment, which is the Partnership's reportable segment, OpCo. Consolidated net sales and provision for income taxes as disclosed in the consolidated statements of operations and depreciation and amortization and additions to property, plant and equipment as disclosed in the consolidated statements of cash flows are fully attributed to the OpCo segment, and as such, separate OpCo segment amounts are not repeated in the tables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 and other segment items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499,186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93,424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cost of sales</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592,610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18,653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expense—Westlake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233,296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total segment net income to consolidated net income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78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OpCo</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96,651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92,669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233,296</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net loss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(5,794)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90,857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86,214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214,318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5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34,410</w:t>
            </w:r>
          </w:p>
        </w:tc>
      </w:tr>
      <w:tr>
        <w:trPr>
          <w:trHeight w:val="223"/>
        </w:trPr>
        <w:tc>
          <w:tcPr>
            <w:tcW w:w="5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1,225,204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1,256,533</w:t>
            </w:r>
          </w:p>
        </w:tc>
      </w:tr>
      <w:tr>
        <w:trPr>
          <w:trHeight w:val="20"/>
        </w:trPr>
        <w:tc>
          <w:tcPr>
            <w:tcW w:w="5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85" w:lineRule="exact"/>
        <w:rPr>
          <w:sz w:val="20"/>
          <w:szCs w:val="20"/>
          <w:color w:val="auto"/>
        </w:rPr>
      </w:pPr>
    </w:p>
    <w:p>
      <w:pPr>
        <w:ind w:left="5540" w:right="3060" w:hanging="5532"/>
        <w:spacing w:after="0" w:line="970" w:lineRule="auto"/>
        <w:tabs>
          <w:tab w:leader="none" w:pos="4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interest expense—Westlake, other income, net and provision for income taxes.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2025 (the "2025 Form 10-K"), as filed with the SEC on March 4, 2026.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13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Neither we nor OpCo has any employees. OpCo and Westlake are parties to the Services and Secondment Agreement, pursuant to which Westlake provides OpCo with various utility services, comprehensive operating services for OpCo's units, services for the maintenance and operation of the common facilities and seconded employees to perform all services required under the agreement. The Services and Secondment Agreement, as amended, provides for an initial term through December 31, 2026 and, subject to the simultaneous renewal of the Ethylene Sales Agreement, automatic 12-month renewal periods until terminated at the end of the initial term or any renewal term on not less than 12 months' notice.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firstLine="405"/>
        <w:spacing w:after="0" w:line="269" w:lineRule="auto"/>
        <w:rPr>
          <w:sz w:val="20"/>
          <w:szCs w:val="20"/>
          <w:color w:val="auto"/>
        </w:rPr>
      </w:pPr>
      <w:r>
        <w:rPr>
          <w:rFonts w:ascii="Times New Roman" w:cs="Times New Roman" w:eastAsia="Times New Roman" w:hAnsi="Times New Roman"/>
          <w:sz w:val="17"/>
          <w:szCs w:val="17"/>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 is obligated to pay for the annual minimum quantity (95% of OpCo's budgeted ethylene production). In the event Westlake purchases less than its annual commitment, we recognize a buyer deficiency fee ("Buyer Deficiency Fee") representing fixed margin and all expenses and expenditures incurred per pound of volume committed but not taken by Westlake. The annual commitment is not reduced for a force majeure event affecting OpCo's plants that lasts fewer than 45 consecutive days; however, in the event of such a force majeure event, we recognize a Buyer Deficiency Fee representing fixed margin and unavoided operating and maintenance capital expenditures and maintenance expenses per pound of volume committed by Westlake during the force majeure period. Payment of the Buyer Deficiency Fee is scheduled to be received by the Partnership after the conclusion of the year in which the annual commitment was not purchased and taken by Westlake.</w:t>
      </w:r>
    </w:p>
    <w:p>
      <w:pPr>
        <w:spacing w:after="0" w:line="12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10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6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94"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Buyer Deficiency Fees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July 8, 2026, OpCo entered into the Third Amendment (the "OpCo Revolver Amendment") to the Amended and Restated Senior Unsecured Revolving Credit Agreement (as so amended, the "OpCo Revolver"). The OpCo Revolver Amendment extended the maturity date of the OpCo Revolver to July 11, 2031 and removed the 0.10% credit spread adjustment that had previously applied to the OpCo Revolver's Secured Overnight Financing Rate, as administered by the Federal Reserve Bank of New York ("SOFR") based interest rate. Borrowings under the OpCo Revolver now bear interest at a variable rate of either (a) SOFR plus the Applicable Margin or, if SOFR is no longer available, (b) the Alternate Base Rate plus the Applicable Margin minus 1.0%. The Applicable Margin under the OpCo Revolver is 1.75%.</w:t>
      </w:r>
    </w:p>
    <w:p>
      <w:pPr>
        <w:spacing w:after="0" w:line="13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July 8, 2026, the Partnership entered into the Fifth Amendment (the "MLP Revolver Amendment") to the Senior Unsecured Revolving Credit Agreement (as so amended, the "MLP Revolver"). The MLP Revolver Amendment extended the maturity date of the MLP Revolver to July 11, 2031 and removed the 0.10% credit spread adjustment that had previously applied to the MLP Revolver's SOFR-based interest rate. Borrowings under the MLP Revolver now bear interest at a variable rate of either (a) SOFR plus the Applicable Margin or, if SOFR is no longer available, (b) the Alternate Base Rate plus the Applicable Margin minus 1.0%. The Applicable Margin under the MLP Revolver varies between 1.75% and 2.75%, depending on the Partnership's Consolidated Leverage Ratio.</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276,539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736,396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843,646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592,610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251,036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229,818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34,159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128,329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126,075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372,232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325,487</w:t>
            </w:r>
          </w:p>
        </w:tc>
        <w:tc>
          <w:tcPr>
            <w:tcW w:w="0" w:type="dxa"/>
            <w:vAlign w:val="bottom"/>
          </w:tcPr>
          <w:p>
            <w:pPr>
              <w:spacing w:after="0"/>
              <w:rPr>
                <w:sz w:val="1"/>
                <w:szCs w:val="1"/>
                <w:color w:val="auto"/>
              </w:rPr>
            </w:pPr>
          </w:p>
        </w:tc>
      </w:tr>
      <w:tr>
        <w:trPr>
          <w:trHeight w:val="2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80" w:hanging="254"/>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18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20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640" w:type="dxa"/>
            <w:vAlign w:val="bottom"/>
            <w:gridSpan w:val="4"/>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0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160" w:type="dxa"/>
            <w:vAlign w:val="bottom"/>
            <w:gridSpan w:val="3"/>
            <w:vMerge w:val="continue"/>
          </w:tcPr>
          <w:p>
            <w:pPr>
              <w:spacing w:after="0"/>
              <w:rPr>
                <w:sz w:val="17"/>
                <w:szCs w:val="17"/>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Net sales percentage change from prior-year period due to</w:t>
            </w: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sales price and volume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4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14"/>
        </w:trPr>
        <w:tc>
          <w:tcPr>
            <w:tcW w:w="69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0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4820" w:type="dxa"/>
            <w:vAlign w:val="bottom"/>
          </w:tcPr>
          <w:p>
            <w:pPr>
              <w:spacing w:after="0"/>
              <w:rPr>
                <w:sz w:val="24"/>
                <w:szCs w:val="24"/>
                <w:color w:val="auto"/>
              </w:rPr>
            </w:pPr>
          </w:p>
        </w:tc>
        <w:tc>
          <w:tcPr>
            <w:tcW w:w="1540" w:type="dxa"/>
            <w:vAlign w:val="bottom"/>
          </w:tcPr>
          <w:p>
            <w:pPr>
              <w:jc w:val="right"/>
              <w:ind w:right="56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160,090</w:t>
            </w:r>
          </w:p>
        </w:tc>
      </w:tr>
      <w:tr>
        <w:trPr>
          <w:trHeight w:val="229"/>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56,507</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254,874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214,318</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6"/>
        </w:trPr>
        <w:tc>
          <w:tcPr>
            <w:tcW w:w="52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Depreciation, amortization and disposition of property, plant and</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w:t>
            </w: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(65,233)</w:t>
            </w:r>
          </w:p>
        </w:tc>
      </w:tr>
      <w:tr>
        <w:trPr>
          <w:trHeight w:val="175"/>
        </w:trPr>
        <w:tc>
          <w:tcPr>
            <w:tcW w:w="52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Distributable cash flow attributable to noncontrolling interest in</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OpCo</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(240,335)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(181,677)</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254,874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214,318</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229,818</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325,487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jc w:val="both"/>
        <w:ind w:right="120" w:firstLine="405"/>
        <w:spacing w:after="0" w:line="272" w:lineRule="auto"/>
        <w:rPr>
          <w:sz w:val="20"/>
          <w:szCs w:val="20"/>
          <w:color w:val="auto"/>
        </w:rPr>
      </w:pPr>
      <w:r>
        <w:rPr>
          <w:rFonts w:ascii="Times New Roman" w:cs="Times New Roman" w:eastAsia="Times New Roman" w:hAnsi="Times New Roman"/>
          <w:sz w:val="17"/>
          <w:szCs w:val="17"/>
          <w:color w:val="auto"/>
        </w:rPr>
        <w:t>For the quarter ended September 30, 2026, net income was $90.9 million on net sales of $314.5 million. This represents an increase in net income of $4.7 million as compared to net income of $86.2 million on net sales of $308.9 million for the quarter ended September 30, 2025. Net income attributable to the Partnership for the third quarter of 2026 was $16.2 million as compared to $14.7 million for the third quarter of 2025, an increase of $1.5 million.</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Income from operations was $95.6 million for the third quarter of 2026, as compared to $92.0 million for the third quarter of 2025, an increase of $3.6 million. Income from operations, net income and net income attributable to the Partnership for the third quarter of 2026, as compared to the third quarter of 2025, were higher primarily due to higher third-party ethylene and co-products sales prices and volumes. The increase in sales volumes in the third quarter of 2026, as compared to the third quarter of 2025, was due to increased production in the current period across all of the OpCo production facilities.</w:t>
      </w:r>
    </w:p>
    <w:p>
      <w:pPr>
        <w:spacing w:after="0" w:line="6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2026, net income was $254.9 million on net sales of $917.2 million. This represents an increase in net income of $40.6 million as compared to net income of $214.3 million on net sales of $843.6 million for the nine months ended September 30, 2025. Net income attributable to the Partnership for the nine months ended September 30, 2026 was $44.6 million as compared to $34.2 million for the nine months ended September 30, 2025, an increase of $10.4 million. Income from operations was $269.4 million for the nine months ended September 30, 2026 as compared to $229.8 million for the nine months ended September 30, 2025, an increase of $39.6 million. Income from operations, net income and net income attributable to the Partnership for the nine months ended September 30, 2026, as compared to the nine months ended September 30, 2025, were higher primarily due to the higher sales volumes and lower feedstock costs, partially offset by higher fuel costs. The increase in sales volumes in the nine months ended September 30, 2026, as compared to the nine months ended September 30, 2025, was due to increased production in the current period as the prior year comparative period production volume was negatively impacted by the Petro 1 turnaround.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2026 Compared with Third Quarter 2025</w:t>
      </w:r>
    </w:p>
    <w:p>
      <w:pPr>
        <w:spacing w:after="0" w:line="10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to $314.5 million in the third quarter of 2026, compared to $308.9 million in the third quarter of 2025.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in the third quarter of 2026 as compared to the third quarter of 2025 was primarily due to higher third-party ethylene and co-product sales prices and volumes, partially offset by the lower ethylene sales prices to Westlake. Higher average sales prices in the third quarter of 2026 contributed to a 1.2% increase in net sales compared to the third quarter of 2025. Higher sales volumes in the third quarter of 2026 contributed to a 0.6% increase in net sales compared to the third quarter of 2025.</w:t>
      </w:r>
    </w:p>
    <w:p>
      <w:pPr>
        <w:spacing w:after="0" w:line="129" w:lineRule="exact"/>
        <w:rPr>
          <w:sz w:val="20"/>
          <w:szCs w:val="20"/>
          <w:color w:val="auto"/>
        </w:rPr>
      </w:pPr>
    </w:p>
    <w:p>
      <w:pPr>
        <w:jc w:val="both"/>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$103.9 million in the third quarter of 2026 from $99.4 million in the third quarter of 2025. Gross profit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third quarter of 2026 was 33.0%, as compared to 32.2% in the third quarter of 2025. The increase in gross profit margin was primarily due to higher average sales prices in the third quarter of 2026 as compared to the third quarter of 2025.</w:t>
      </w:r>
    </w:p>
    <w:p>
      <w:pPr>
        <w:spacing w:after="0" w:line="119" w:lineRule="exact"/>
        <w:rPr>
          <w:sz w:val="20"/>
          <w:szCs w:val="20"/>
          <w:color w:val="auto"/>
        </w:rPr>
      </w:pPr>
    </w:p>
    <w:p>
      <w:pPr>
        <w:jc w:val="both"/>
        <w:ind w:right="1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$0.9 million, or 12.2%, to $8.3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2026 as compared to $7.4 million in the third quarter of 2025. The increase was mainly attributable to higher service costs in the third quarter of 2026 as compared to the third quarter of 2025.</w:t>
      </w:r>
    </w:p>
    <w:p>
      <w:pPr>
        <w:spacing w:after="0" w:line="119" w:lineRule="exact"/>
        <w:rPr>
          <w:sz w:val="20"/>
          <w:szCs w:val="20"/>
          <w:color w:val="auto"/>
        </w:rPr>
      </w:pPr>
    </w:p>
    <w:p>
      <w:pPr>
        <w:ind w:right="4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$5.1 million in the third quarter of 2026 decreased from $5.9 million in the third quarter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lower interest rates on the outstanding debt in the third quarter of 2026 as compared to the third quarter of 2025.</w:t>
      </w:r>
    </w:p>
    <w:p>
      <w:pPr>
        <w:spacing w:after="0" w:line="104" w:lineRule="exact"/>
        <w:rPr>
          <w:sz w:val="20"/>
          <w:szCs w:val="20"/>
          <w:color w:val="auto"/>
        </w:rPr>
      </w:pPr>
    </w:p>
    <w:p>
      <w:pPr>
        <w:jc w:val="both"/>
        <w:ind w:right="1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increased to $0.6 million in the third quarter of 2026 from $0.2 million in the third quarter of 2025,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an increase in interest earned on investments with Westlake under the Investment Management Agreement due to a higher average amount of cash invested in the third quarter of 2026 as compared to the third quarter of 2025.</w:t>
      </w:r>
    </w:p>
    <w:p>
      <w:pPr>
        <w:spacing w:after="0" w:line="119"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$3.1 million to $18.0 million in the third quarter of 2026 from $14.9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third quarter of 2025. The increase in the third quarter of 2026, as compared to the prior-year period, was primarily attributable to lower maintenance capital expenditures and higher sales volume.</w:t>
      </w:r>
    </w:p>
    <w:p>
      <w:pPr>
        <w:spacing w:after="0" w:line="119" w:lineRule="exact"/>
        <w:rPr>
          <w:sz w:val="20"/>
          <w:szCs w:val="20"/>
          <w:color w:val="auto"/>
        </w:rPr>
      </w:pPr>
    </w:p>
    <w:p>
      <w:pPr>
        <w:ind w:right="1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$2.2 million to $128.3 million in the third quarter of 2026 from $126.1 million in the third quarter of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higher third-party ethylene and co-product sales prices and sales volumes in the third quarter of 2026 compared to the third quarter of 2025.</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with Nine Months Ended September 30, 2025</w:t>
      </w:r>
    </w:p>
    <w:p>
      <w:pPr>
        <w:spacing w:after="0" w:line="92" w:lineRule="exact"/>
        <w:rPr>
          <w:sz w:val="20"/>
          <w:szCs w:val="20"/>
          <w:color w:val="auto"/>
        </w:rPr>
      </w:pPr>
    </w:p>
    <w:p>
      <w:pPr>
        <w:ind w:right="100" w:firstLine="405"/>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by $73.6 million, or 8.7%, to $917.2 million in the nine months ended September 30, 2026 from $843.6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2025. The increase in net sales in the nine months ended September 30, 2026, as compared to the nine months ended September 30, 2025, was primarily due to higher sales volumes to Westlake and third parties, as well as higher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sales volumes to third parties, partially offset by lower average sales prices to Westlake. Net sales in the nine months ended September 30, 2025 included a Buyer Deficiency Fee from Westlake of $13.6 million. Excluding the effect of the Buyer Deficiency Fee, the higher sales volumes in the nine months ended September 30, 2026 contributed to a 13.9% increase in net sales compared to the nine months ended September 30, 2025. Lower average sales prices in the nine months ended September 30, 2026 contributed to a 3.3% decrease in net sales compared to the nine months ended September 30, 2025.</w:t>
      </w:r>
    </w:p>
    <w:p>
      <w:pPr>
        <w:spacing w:after="0" w:line="14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$292.5 million in the nine months ended September 30, 2026 from $251.0 million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Gross profit margin in the nine months ended September 30, 2026 was 31.9%, as compared to 29.8% in the nine months ended September 30, 2025. The higher gross profit margin was primarily due to higher production and sales volumes and lower feedstock costs, partially offset by higher fuel costs in the nine months ended September 30, 2026, as compared to the nine months ended September 30, 2025.</w:t>
      </w:r>
    </w:p>
    <w:p>
      <w:pPr>
        <w:spacing w:after="0" w:line="126" w:lineRule="exact"/>
        <w:rPr>
          <w:sz w:val="20"/>
          <w:szCs w:val="20"/>
          <w:color w:val="auto"/>
        </w:rPr>
      </w:pPr>
    </w:p>
    <w:p>
      <w:pPr>
        <w:ind w:right="2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$1.8 million, or 8.5%, to $23.0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2026 as compared to $21.2 million in the nine months ended September 30, 2025. The increase was mainly attributable to higher service costs in the nine months ended September 30, 2026 as compared to the nine months ended September 30, 2025.</w:t>
      </w:r>
    </w:p>
    <w:p>
      <w:pPr>
        <w:spacing w:after="0" w:line="119" w:lineRule="exact"/>
        <w:rPr>
          <w:sz w:val="20"/>
          <w:szCs w:val="20"/>
          <w:color w:val="auto"/>
        </w:rPr>
      </w:pPr>
    </w:p>
    <w:p>
      <w:pPr>
        <w:jc w:val="both"/>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$15.3 million in the nine months ended September 30, 2026 decreased from $17.4 million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mainly due to lower interest rates on the outstanding debt in the nine months ended September 30, 2026 as compared to the nine months ended September 30, 2025.</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decreased to $1.3 million in the nine months ended September 30, 2026 from $2.2 million in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primarily due to a decrease in interest earned on investments with Westlake under the Investment Management Agreement due to a lower average amount of cash invested and lower interest rates in the nine months ended September 30, 2026 as compared to the nine months ended September 30, 2025.</w:t>
      </w:r>
    </w:p>
    <w:p>
      <w:pPr>
        <w:spacing w:after="0" w:line="126" w:lineRule="exact"/>
        <w:rPr>
          <w:sz w:val="20"/>
          <w:szCs w:val="20"/>
          <w:color w:val="auto"/>
        </w:rPr>
      </w:pPr>
    </w:p>
    <w:p>
      <w:pPr>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$18.9 million to $53.5 million in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from $34.6 million in the nine months ended September 30, 2025. The increase was primarily attributable to higher production and sales volumes and lower maintenance capital expenditures in the nine months ended September 30, 2026 as a result of the prior year's Petro 1 turnaround.</w:t>
      </w:r>
    </w:p>
    <w:p>
      <w:pPr>
        <w:spacing w:after="0" w:line="119" w:lineRule="exact"/>
        <w:rPr>
          <w:sz w:val="20"/>
          <w:szCs w:val="20"/>
          <w:color w:val="auto"/>
        </w:rPr>
      </w:pPr>
    </w:p>
    <w:p>
      <w:pPr>
        <w:ind w:right="2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$46.7 million to $372.2 million in the nine months ended September 30, 2026 from $325.5 million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The increase was primarily due to higher sales volumes, partially offset by the effect of lower average sales prices to Westlake in the nine months ended September 30, 2026 compared to the nine months ended September 30, 2025.</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NINE MONTHS ENDED SEPTEMBER 30, 2026 AND 2025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Operating activities provided cash of $362.2 million in the first nine months of 2026 compared to cash provided by operating activities of $160.1 million in the first nine months of 2025. The $202.1 million increase in cash flows from operating activities was mainly due to higher income from operations in the first nine months of 2026 as compared to the first nine months of 2025, a favorable impact in the first nine months of 2026 as compared to the first nine months of 2025 when significant cash was used in connection with the 2025 Petro 1 turnaround and an increase in cash provided by working capital changes. Changes in components of working capital resulted in cash inflow of $0.1 million in the first nine months of 2026 as compared to $26.2 million of cash used in the first nine months of 2025, resulting in an overall favorable change of $26.3 million. The favorable change in working capital was mainly attributable to a favorable change in net accounts receivable—Westlake, primarily due to the collection of the 2025 Buyer Deficiency Fee in 2026 and lower average sales prices. This favorable change was partially offset by unfavorable changes in accounts receivable—third parties and in accounts payable—third parties and accrued and other liabilities in the first nine months of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Net cash used for investing activities in the first nine months of 2026 was $71.7 million as compared to net cash provided by investing activities of $50.0 million in the first nine months of 2025, resulting in an overall unfavorable change of $121.7 million in investing cash flows. During the first nine months of 2026, there were investments of $42.0 million with Westlake and no maturities of investments with Westlake under the Investment Management Agreement, whereas during the first nine months of 2025, there were no investments with Westlake and there were maturities of $120.0 million. Capital expenditures decreased to $29.7 million in the first nine months of 2026 as compared to $70.0 million in the first nine months of 2025 due to the 2025 Petro 1 turnaround. Capital expenditures in the first nine months of 2026 and 2025 were primarily related to projects to increase production capacity or reduce costs, maintenance costs and safety and environmental projects at our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in the first nine months of 2026 was $287.1 million as compared to net cash used for financing activities of $230.5 million in the first nine months of 2025. The cash outflows in the first nine months of 2026 were related to distributions of $237.3 million to the noncontrolling interest retained in OpCo by Westlake and of $49.8 million to unitholders by the Partnership. The cash outflows in the first nine months of 2025 were related to distributions of $180.6 million to the noncontrolling interest retained in OpCo by Westlake and of $49.8 million to unitholders by the Partnership.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into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September 30, 2026.</w:t>
      </w:r>
    </w:p>
    <w:p>
      <w:pPr>
        <w:spacing w:after="0" w:line="12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to eight years. By reserving additional cash annually, we intend to reduce the variability in OpCo's cash flow. Westlake's purchase price for its minimum commitment of ethylene under the Ethylene Sales Agreement includes a component (adjusted annually) designed to cover, over the long term, substantially all of OpCo's turnaround expenditures.</w:t>
      </w:r>
    </w:p>
    <w:p>
      <w:pPr>
        <w:spacing w:after="0" w:line="1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under certain indentures governing Westlake's senior notes, and these restrictions limit OpCo's ability to, among other things, incur additional debt. Westlake's credit facility and various indentures do not prevent OpCo from making distributions to us.</w:t>
      </w:r>
    </w:p>
    <w:p>
      <w:pPr>
        <w:spacing w:after="0" w:line="12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November 2, 2026, the board of directors of Westlake Chemical Partners GP LLC, our general partner, approved a quarterly distribution of $0.4714 per common unit payable on December 1, 2026 to unitholders of record as of November 13, 2026, which equates to a total amount of approximately $16.6 million per quarter, or approximately $66.5 million per year in aggregate, based on the number of common units outstanding on September 30, 2026. We do not have a legal or contractual obligation to pay distributions on a quarterly basis or any other basis at our minimum quarterly distribution rate or any other rate.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the nine months ended September 30, 2026 and 2025. Total capital expenditures for the nine months ended September 30, 2026 and 2025 were $29.7 million and $70.0 million, respectively.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2026, our cash and cash equivalents totaled $47.6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160" w:firstLine="405"/>
        <w:spacing w:after="0" w:line="281" w:lineRule="auto"/>
        <w:rPr>
          <w:sz w:val="20"/>
          <w:szCs w:val="20"/>
          <w:color w:val="auto"/>
        </w:rPr>
      </w:pPr>
      <w:r>
        <w:rPr>
          <w:rFonts w:ascii="Times New Roman" w:cs="Times New Roman" w:eastAsia="Times New Roman" w:hAnsi="Times New Roman"/>
          <w:sz w:val="17"/>
          <w:szCs w:val="17"/>
          <w:color w:val="auto"/>
        </w:rPr>
        <w:t>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a $65.7 million receivable under the Investment Management Agreement at September 30,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July 2022 and July 2026 (the "OpCo Revolver") that may be used to fund growth projects and working capital needs. The OpCo Revolver is scheduled to mature on July 11, 2031. On July 8, 2026, OpCo entered into the Third Amendment (the "OpCo Revolver Amendment") to the OpCo Revolver. The OpCo Revolver Amendment extended the maturity date to July 11, 2031 and removed the 0.10% credit spread adjustment that had previously applied to the OpCo Revolver's SOFR-based interest rate. Borrowings under the OpCo Revolver now bear interest at a variable rate of either (a) SOFR plus the Applicable Margin or, if SOFR is no longer available, (b) the Alternate Base Rate plus the Applicable Margin minus 1.0%. The Applicable Margin under the OpCo Revolver is 1.75%. As of September 30, 2026, outstanding borrowings under the OpCo Revolver totaled $22.6 million and bore interest at SOFR plus the Applicable Margin, which is accrued in arrears quarterly.</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July 2022 and July 2026 (the "MLP Revolver"). The MLP Revolver has a borrowing capacity of $600.0 million and is scheduled to mature on July 11, 2031. On July 8, 2026, the Partnership entered into the Fifth Amendment (the "MLP Revolver Amendment") to the MLP Revolver. The MLP Revolver Amendment extended the maturity date to July 11, 2031 and removed the 0.10% credit spread adjustment that had previously applied to the MLP Revolver's SOFR-based interest rate. Borrowings under the MLP Revolver now bear interest at a variable rate of either (a) SOFR plus the Applicable Margin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September 30, 2026, outstanding borrowings under the MLP Revolver totaled $377.1 million and bore interest at SOFR plus the Applicable Margin,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See Note 1, "Description of Business and Basis of Presentation," to the unaudited consolidated financial statements included in Item 1 of this Form 10-Q for a full description of recent accounting pronouncements, including expected date of adoption and estimated effect on results of operations and financial condition.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timing, outcome and results of our strategies and plans;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caused by the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amounts,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10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2025 Form 10-K and the following:</w:t>
      </w:r>
    </w:p>
    <w:p>
      <w:pPr>
        <w:spacing w:after="0" w:line="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Westlake, including the renewal or renegotiation of, or determinations made pursuant to, our contractual arrangements with Westlake;</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conflict in the Middle East, between Russia and Ukraine and elsewhere;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delays in turnaround activities,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 shutdowns;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positions at September 30,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100" w:firstLine="405"/>
        <w:spacing w:after="0" w:line="220" w:lineRule="exact"/>
        <w:rPr>
          <w:sz w:val="20"/>
          <w:szCs w:val="20"/>
          <w:color w:val="auto"/>
        </w:rPr>
      </w:pPr>
      <w:r>
        <w:rPr>
          <w:rFonts w:ascii="Times New Roman" w:cs="Times New Roman" w:eastAsia="Times New Roman" w:hAnsi="Times New Roman"/>
          <w:sz w:val="17"/>
          <w:szCs w:val="17"/>
          <w:color w:val="auto"/>
        </w:rPr>
        <w:t>We are exposed to interest rate risk with respect to our outstanding debt, all of which is variable rate debt. At September 30, 2026, we had variable rate debt of $399.7 million outstanding, all of which was owed to wholly-owned subsidiaries of Westlake. On July 8, 2026, OpCo entered into the OpCo Revolver Amendment and the Partnership entered into the MLP Revolver Amendment. These amendments extended the maturity dates of the OpCo Revolver and the MLP Revolver from July 12, 2027 to July 11, 2031 and removed the 0.10% credit spread adjustments that had previously applied to the SOFR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interest rates under the OpCo Revolver and the MLP Revolver. Borrowings under the OpCo Revolver bear interest at a variable rate of either</w:t>
      </w:r>
    </w:p>
    <w:p>
      <w:pPr>
        <w:ind w:right="20" w:firstLine="8"/>
        <w:spacing w:after="0" w:line="251"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the Applicable Margin or, if SOFR is no longer available, (b) the Alternate Base Rate plus the Applicable Margin minus 1.0%. The Applicable Margin under the OpCo Revolver is 1.75%. Borrowings under the MLP Revolver now bear interest at a variable rate of either (a) SOFR plus the Applicable Margin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September 30, 2026 was 5.5%.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September 30, 2026 debt balance.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Senior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2025 Form 10-K, filed on March 4, 2026, contained a description of various legal proceedings in which we are involved, including environmental proceedings. See Note 12, "Commitments and Contingencies," to the unaudited consolidated financial statements within this Quarterly Report on Form 10-Q for an updated discussion of legal proceedings, which information is incorporated by reference herein.</w:t>
      </w:r>
    </w:p>
    <w:p>
      <w:pPr>
        <w:spacing w:after="0" w:line="12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Under the Omnibus Agreement, certain subsidiaries of Westlake Corporation ("Westlake") have agreed to indemnify the Partnership for certain environmental and other liabilities relating to OpCo's processing facilities and related assets that occurred or existed prior to August 4, 2014. Pursuant to the Services and Secondment Agreement, certain subsidiaries of Westlake have agreed to indemnify the Partnership for certain liabilities incurred in connection with the performance of Westlake's services under such agreement.</w:t>
      </w:r>
    </w:p>
    <w:p>
      <w:pPr>
        <w:spacing w:after="0" w:line="12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2025 Form 10-K. There have been no material changes from those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September 30, 2026, no director or officer of the Partnership's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820" w:type="dxa"/>
            <w:vAlign w:val="bottom"/>
            <w:gridSpan w:val="22"/>
          </w:tcPr>
          <w:p>
            <w:pPr>
              <w:ind w:left="16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860" w:type="dxa"/>
            <w:vAlign w:val="bottom"/>
            <w:gridSpan w:val="24"/>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860" w:type="dxa"/>
            <w:vAlign w:val="bottom"/>
            <w:gridSpan w:val="24"/>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860" w:type="dxa"/>
            <w:vAlign w:val="bottom"/>
            <w:gridSpan w:val="24"/>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Amendment No. 1 to the First Amended and Restated Agreement of Limited Partnership of Westlake Chemical Partners LP dated as of</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4"/>
          </w:tcPr>
          <w:p>
            <w:pPr>
              <w:spacing w:after="0" w:line="169"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November 16, 2017, File No. 001-36567).</w:t>
              </w:r>
            </w:hyperlink>
          </w:p>
        </w:tc>
        <w:tc>
          <w:tcPr>
            <w:tcW w:w="68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860" w:type="dxa"/>
            <w:vAlign w:val="bottom"/>
            <w:gridSpan w:val="24"/>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960" w:type="dxa"/>
            <w:vAlign w:val="bottom"/>
            <w:gridSpan w:val="12"/>
          </w:tcPr>
          <w:p>
            <w:pPr>
              <w:ind w:left="20"/>
              <w:spacing w:after="0" w:line="16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2018 (File</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No. 001-36567)).</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20" w:type="dxa"/>
            <w:vAlign w:val="bottom"/>
            <w:tcBorders>
              <w:left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860" w:type="dxa"/>
            <w:vAlign w:val="bottom"/>
            <w:gridSpan w:val="24"/>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Agreement of Limited Partnership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2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860" w:type="dxa"/>
            <w:vAlign w:val="bottom"/>
            <w:gridSpan w:val="24"/>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Amendment No. 1 to the Amended and Restated Agreement of Limited Partnership of Westlake Chemical OpCo LP dated as of</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December 1, 2017 (File No. 001-36567) (incorporated by reference to Exhibit 3.4 to Westlake Chemical Partners LP's Annual</w:t>
              </w:r>
            </w:hyperlink>
          </w:p>
        </w:tc>
        <w:tc>
          <w:tcPr>
            <w:tcW w:w="660" w:type="dxa"/>
            <w:vAlign w:val="bottom"/>
            <w:gridSpan w:val="11"/>
          </w:tcPr>
          <w:p>
            <w:pPr>
              <w:spacing w:after="0" w:line="169" w:lineRule="exact"/>
              <w:rPr>
                <w:rFonts w:ascii="Times New Roman" w:cs="Times New Roman" w:eastAsia="Times New Roman" w:hAnsi="Times New Roman"/>
                <w:sz w:val="18"/>
                <w:szCs w:val="18"/>
                <w:color w:val="0000FF"/>
                <w:w w:val="89"/>
              </w:rPr>
            </w:pPr>
            <w:hyperlink r:id="rId59">
              <w:r>
                <w:rPr>
                  <w:rFonts w:ascii="Times New Roman" w:cs="Times New Roman" w:eastAsia="Times New Roman" w:hAnsi="Times New Roman"/>
                  <w:sz w:val="18"/>
                  <w:szCs w:val="18"/>
                  <w:color w:val="0000FF"/>
                  <w:w w:val="89"/>
                </w:rPr>
                <w:t>Report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Form 10-K for the year ended December 31, 2017 (File No. 001-36567) filed on March 1, 2018).</w:t>
              </w:r>
            </w:hyperlink>
          </w:p>
        </w:tc>
        <w:tc>
          <w:tcPr>
            <w:tcW w:w="282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2"/>
                <w:szCs w:val="22"/>
                <w:color w:val="auto"/>
              </w:rPr>
            </w:pPr>
          </w:p>
        </w:tc>
        <w:tc>
          <w:tcPr>
            <w:tcW w:w="9860" w:type="dxa"/>
            <w:vAlign w:val="bottom"/>
            <w:gridSpan w:val="24"/>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Third Amendment to Amended and Restated Senior Unsecured Revolving Credit Agreement (incorporated by reference to Exhibit 10.1</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to Westlake Chemical Partners LP's Quarterly Report on Form 10-Q for the quarter ended June 30, 2026 (File No. 001-36567) filed on</w:t>
              </w:r>
            </w:hyperlink>
          </w:p>
        </w:tc>
        <w:tc>
          <w:tcPr>
            <w:tcW w:w="100" w:type="dxa"/>
            <w:vAlign w:val="bottom"/>
            <w:gridSpan w:val="5"/>
          </w:tcPr>
          <w:p>
            <w:pPr>
              <w:spacing w:after="0"/>
              <w:rPr>
                <w:sz w:val="14"/>
                <w:szCs w:val="14"/>
                <w:color w:val="auto"/>
              </w:rPr>
            </w:pPr>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August 5, 2026).</w:t>
              </w:r>
            </w:hyperlink>
          </w:p>
        </w:tc>
        <w:tc>
          <w:tcPr>
            <w:tcW w:w="140" w:type="dxa"/>
            <w:vAlign w:val="bottom"/>
            <w:gridSpan w:val="6"/>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22"/>
                <w:szCs w:val="22"/>
                <w:color w:val="auto"/>
              </w:rPr>
            </w:pPr>
          </w:p>
        </w:tc>
        <w:tc>
          <w:tcPr>
            <w:tcW w:w="9860" w:type="dxa"/>
            <w:vAlign w:val="bottom"/>
            <w:gridSpan w:val="24"/>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Fifth Amendment to Senior Unsecured Revolving Credit Agreement (incorporated by reference to Exhibit 10.2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2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Partners LP's Quarterly Report on Form 10-Q for the quarter ended June 30, 2026 (File No. 001-36567) filed on August 5, 2026).</w:t>
              </w:r>
            </w:hyperlink>
          </w:p>
        </w:tc>
        <w:tc>
          <w:tcPr>
            <w:tcW w:w="300" w:type="dxa"/>
            <w:vAlign w:val="bottom"/>
            <w:tcBorders>
              <w:top w:val="single" w:sz="8" w:color="0000FF"/>
            </w:tcBorders>
            <w:gridSpan w:val="2"/>
          </w:tcPr>
          <w:p>
            <w:pPr>
              <w:spacing w:after="0"/>
              <w:rPr>
                <w:sz w:val="14"/>
                <w:szCs w:val="14"/>
                <w:color w:val="auto"/>
              </w:rPr>
            </w:pPr>
          </w:p>
        </w:tc>
        <w:tc>
          <w:tcPr>
            <w:tcW w:w="240" w:type="dxa"/>
            <w:vAlign w:val="bottom"/>
            <w:gridSpan w:val="8"/>
          </w:tcPr>
          <w:p>
            <w:pPr>
              <w:spacing w:after="0"/>
              <w:rPr>
                <w:sz w:val="14"/>
                <w:szCs w:val="14"/>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8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8"/>
          </w:tcPr>
          <w:p>
            <w:pPr>
              <w:spacing w:after="0"/>
              <w:rPr>
                <w:sz w:val="22"/>
                <w:szCs w:val="22"/>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8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7"/>
            <w:shd w:val="clear" w:color="auto" w:fill="0000FF"/>
          </w:tcPr>
          <w:p>
            <w:pPr>
              <w:spacing w:after="0" w:line="20" w:lineRule="exact"/>
              <w:rPr>
                <w:sz w:val="1"/>
                <w:szCs w:val="1"/>
                <w:color w:val="auto"/>
              </w:rPr>
            </w:pPr>
          </w:p>
        </w:tc>
        <w:tc>
          <w:tcPr>
            <w:tcW w:w="3560" w:type="dxa"/>
            <w:vAlign w:val="bottom"/>
            <w:gridSpan w:val="17"/>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80" w:val="left"/>
          <w:tab w:leader="none" w:pos="844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ONATHAN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AKSHT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Jonathan Baksht</w:t>
      </w:r>
    </w:p>
    <w:p>
      <w:pPr>
        <w:spacing w:after="0" w:line="3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Senior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680"/>
          </w:cols>
          <w:pgMar w:left="320" w:top="118" w:right="8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Baksht, certify that:</w:t>
      </w:r>
    </w:p>
    <w:p>
      <w:pPr>
        <w:spacing w:after="0" w:line="144" w:lineRule="exact"/>
        <w:rPr>
          <w:sz w:val="20"/>
          <w:szCs w:val="20"/>
          <w:color w:val="auto"/>
        </w:rPr>
      </w:pPr>
    </w:p>
    <w:p>
      <w:pPr>
        <w:ind w:left="680" w:hanging="654"/>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4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ONATHAN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AKSHT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Jonathan Baksht</w:t>
      </w:r>
    </w:p>
    <w:p>
      <w:pPr>
        <w:spacing w:after="0" w:line="4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Senior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32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September 30, 2026 as filed with the Securities and Exchange Commission on the date hereof (the "Report"), I, Jean-Marc Gilson, President, Chief Executive Officer and Director of the general partner of the Partnership, and I, Jonathan Baksht, Senior Vice President, Chief Financial Officer and Director of the general partner of the Partnership, certify, to the best of our knowledge, pursuant to 18 U.S.C. §1350, as adopted pursuant to §906 of the Sarbanes-Oxley Act of 2002, that:</w:t>
      </w:r>
    </w:p>
    <w:p>
      <w:pPr>
        <w:spacing w:after="0" w:line="75" w:lineRule="exact"/>
        <w:rPr>
          <w:sz w:val="20"/>
          <w:szCs w:val="20"/>
          <w:color w:val="auto"/>
        </w:rPr>
      </w:pPr>
    </w:p>
    <w:p>
      <w:pPr>
        <w:ind w:left="560" w:hanging="30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40" w:val="left"/>
          <w:tab w:leader="none" w:pos="840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ONATHAN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AKSHT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Jonathan Baksht</w:t>
      </w:r>
    </w:p>
    <w:p>
      <w:pPr>
        <w:spacing w:after="0" w:line="4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Senior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54" Type="http://schemas.openxmlformats.org/officeDocument/2006/relationships/hyperlink" Target="https://www.sec.gov/Archives/edgar/data/1604665/000119312514164760/d715499dex31.htm" TargetMode="External"/><Relationship Id="rId55" Type="http://schemas.openxmlformats.org/officeDocument/2006/relationships/hyperlink" Target="https://www.sec.gov/Archives/edgar/data/1604665/000119312514303305/d756630dex31.htm" TargetMode="External"/><Relationship Id="rId56" Type="http://schemas.openxmlformats.org/officeDocument/2006/relationships/hyperlink" Target="https://www.sec.gov/Archives/edgar/data/1604665/000119312517345554/d493400dex31.htm" TargetMode="External"/><Relationship Id="rId57" Type="http://schemas.openxmlformats.org/officeDocument/2006/relationships/hyperlink" Target="https://www.sec.gov/Archives/edgar/data/1604665/000119312518231463/d583758dex31.htm" TargetMode="External"/><Relationship Id="rId58" Type="http://schemas.openxmlformats.org/officeDocument/2006/relationships/hyperlink" Target="https://www.sec.gov/Archives/edgar/data/1604665/000119312514303305/d756630dex107.htm" TargetMode="External"/><Relationship Id="rId59" Type="http://schemas.openxmlformats.org/officeDocument/2006/relationships/hyperlink" Target="https://www.sec.gov/Archives/edgar/data/1604665/000160466518000007/ex3412311710k.htm" TargetMode="External"/><Relationship Id="rId60" Type="http://schemas.openxmlformats.org/officeDocument/2006/relationships/hyperlink" Target="https://www.sec.gov/Archives/edgar/data/1604665/000160466526000027/exhibit101_20260630thirdam.htm" TargetMode="External"/><Relationship Id="rId61" Type="http://schemas.openxmlformats.org/officeDocument/2006/relationships/hyperlink" Target="https://www.sec.gov/Archives/edgar/data/1604665/000160466526000027/exhibit102_20260630fifth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2026-11-04T08:24:43Z</dcterms:created>
  <dcterms:modified xsi:type="dcterms:W3CDTF">2026-11-04T08:24:43Z</dcterms:modified>
</cp:coreProperties>
</file>