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040"/>
          </w:cols>
          <w:pgMar w:left="240" w:top="274" w:right="3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9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320"/>
          </w:cols>
          <w:pgMar w:left="240" w:top="274" w:right="37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280"/>
          </w:cols>
          <w:pgMar w:left="240" w:top="274" w:right="379" w:bottom="1440" w:gutter="0" w:footer="0" w:header="0"/>
          <w:type w:val="continuous"/>
        </w:sectPr>
      </w:pPr>
    </w:p>
    <w:p>
      <w:pPr>
        <w:spacing w:after="0" w:line="74"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4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6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32,247,371 common units outstanding as of October 30, 2018.</w:t>
      </w:r>
    </w:p>
    <w:p>
      <w:pPr>
        <w:sectPr>
          <w:pgSz w:w="11900" w:h="16838" w:orient="portrait"/>
          <w:cols w:equalWidth="0" w:num="1">
            <w:col w:w="11280"/>
          </w:cols>
          <w:pgMar w:left="240" w:top="274" w:right="3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8">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18">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sz w:val="20"/>
                <w:szCs w:val="20"/>
                <w:color w:val="auto"/>
              </w:rPr>
            </w:pPr>
            <w:r>
              <w:rPr>
                <w:rFonts w:ascii="Arial" w:cs="Arial" w:eastAsia="Arial" w:hAnsi="Arial"/>
                <w:sz w:val="18"/>
                <w:szCs w:val="18"/>
                <w:color w:val="auto"/>
                <w:w w:val="99"/>
              </w:rPr>
              <w:t>5)</w:t>
            </w:r>
          </w:p>
        </w:tc>
        <w:tc>
          <w:tcPr>
            <w:tcW w:w="100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c>
          <w:tcPr>
            <w:tcW w:w="0" w:type="dxa"/>
            <w:vAlign w:val="bottom"/>
          </w:tcPr>
          <w:p>
            <w:pPr>
              <w:spacing w:after="0"/>
              <w:rPr>
                <w:sz w:val="1"/>
                <w:szCs w:val="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Receivable under the Investment Management Agreement—Westlake Chemical</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Corporation ("Westlake")</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151,875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136,510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231,389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1,161,203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1,196,245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65,403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81,828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1,495,003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41,274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18,911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477,608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473,960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516,527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unitholders—public (18,125,141 and 18,112,500 units issued and outstanding at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September 30, 2018 and December 31, 2017, respectively)</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410,555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411,228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unitholder—Westlake (14,122,230 and 14,122,230 units issued and outstanding at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 and December 31, 2017,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(241,958)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217,493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731,636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778,935</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949,129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1,495,003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313,381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258,049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802,085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711,968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152,368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363,650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949,897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864,336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269,743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666,367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571,401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93,907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283,530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87,998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88,598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263,113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271,416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83,027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248,803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255,668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248,989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254,743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211,525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221,619</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12,412</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13,385</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37,464</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33,124</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 Chemical Partners LP (basic</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18,119,980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18,116,433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12,975,412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14,122,230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5,711,289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8,410,941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9"/>
              </w:rPr>
              <w:t>Partnership</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2"/>
                <w:szCs w:val="12"/>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ind w:left="700"/>
              <w:spacing w:after="0"/>
              <w:rPr>
                <w:sz w:val="20"/>
                <w:szCs w:val="20"/>
                <w:color w:val="auto"/>
              </w:rPr>
            </w:pPr>
            <w:r>
              <w:rPr>
                <w:rFonts w:ascii="Arial" w:cs="Arial" w:eastAsia="Arial" w:hAnsi="Arial"/>
                <w:sz w:val="14"/>
                <w:szCs w:val="14"/>
                <w:b w:val="1"/>
                <w:bCs w:val="1"/>
                <w:color w:val="auto"/>
                <w:w w:val="99"/>
              </w:rPr>
              <w:t>(in thousands of dollars)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15,355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221,619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254,743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w w:val="97"/>
              </w:rPr>
              <w:t>Proceeds from secondary public offering, net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of finance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and other offering costs</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110,739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110,739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Subordinated unit conversion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(263,480)</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409,684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49,025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776,618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993,479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20,641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248,989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Units issued for vested phantom units</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(258,824)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(258,824)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410,555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731,636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949,129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796"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385"/>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248,989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254,743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86,502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gains,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68,556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(10,590)</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401,916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270,050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equity offering</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110,739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155,257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(272,765)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(263,480)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(299,761)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88,900</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17,249</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2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On September 29, 2017, the Partnership completed its secondary offering of 5,175,000 common units at a price of $22.00 per unit.</w:t>
      </w:r>
    </w:p>
    <w:p>
      <w:pPr>
        <w:spacing w:after="0" w:line="13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The remaining 81.7% limited partner interest in OpCo is owned by Westlake Chemical Corporation.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owns three ethylene production facilities and a common carrier ethylene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2017 consolidated financial statements and notes thereto of the Partnership included in the annual report on Form 10-K for the fiscal year ended December 31, 2017 (the "2017 Form 10-K"), filed with the SEC on March 1, 2018. These financial statements have been prepared in conformity with the accounting principles and practices as disclosed in the notes to the consolidated financial statements of the Partnership for the fiscal year ended December 31, 2017 with the exceptions of those accounting standards adopted in 2018 as discussed in Note 1.</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40" w:firstLine="392"/>
        <w:spacing w:after="0" w:line="271" w:lineRule="auto"/>
        <w:rPr>
          <w:sz w:val="20"/>
          <w:szCs w:val="20"/>
          <w:color w:val="auto"/>
        </w:rPr>
      </w:pPr>
      <w:r>
        <w:rPr>
          <w:rFonts w:ascii="Arial" w:cs="Arial" w:eastAsia="Arial" w:hAnsi="Arial"/>
          <w:sz w:val="17"/>
          <w:szCs w:val="17"/>
          <w:color w:val="auto"/>
        </w:rPr>
        <w:t>The Partnership holds an 18.3% limited partner interest and the entire non-economic general partner interest in OpCo. The remaining 81.7%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81.7% is recorded as noncontrolling interest in the Partnership's consolidated financial statements.</w:t>
      </w:r>
    </w:p>
    <w:p>
      <w:pPr>
        <w:spacing w:after="0" w:line="1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2018, its results of operations for the three and nine months ended September 30, 2018 and 2017 and the changes in its cash position for the nine months ended September 30, 2018 and 2017.</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2018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In February 2016, the Financial Accounting Standards Board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standard requires adoption using a modified retrospective approach and allows for the election of certain transition practical expedients. The accounting standards update allows for certain transition expedients for leases that commenced prior to the adoption of the new standard. Under the optional transition expedients an entity is not required to reassess</w:t>
      </w:r>
    </w:p>
    <w:p>
      <w:pPr>
        <w:spacing w:after="0" w:line="3" w:lineRule="exact"/>
        <w:rPr>
          <w:sz w:val="20"/>
          <w:szCs w:val="20"/>
          <w:color w:val="auto"/>
        </w:rPr>
      </w:pPr>
    </w:p>
    <w:p>
      <w:pPr>
        <w:ind w:right="440" w:firstLine="8"/>
        <w:spacing w:after="0" w:line="30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any expired or existing lease contracts are or contain leases, (2) the classification of leases as operating or capital leases and (3) whether any initial direct costs qualify for capitalization under the new accounting standard. These expedients are required to be elected as a group. The accounting standards update also allows the use of hindsight to determine lease term when considering lease renewal or termination options.</w:t>
      </w:r>
    </w:p>
    <w:p>
      <w:pPr>
        <w:spacing w:after="0" w:line="2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During 2018, the FASB issued additional authoritative guidance that provides an optional transition method which allows entities to continue applying the existing lease guidance in the comparative periods and recognize a cumulative-effect adjustment to the opening balance of retained earnings in the period of adoption. The FASB also issued an accounting standards update that allows entities to apply their existing policy for accounting for land easements that exist as of, or expired before, the effective date of the new lease standard. The Partnership is in the process of evaluating the transition method and other expedients it may elect.</w:t>
      </w:r>
    </w:p>
    <w:p>
      <w:pPr>
        <w:spacing w:after="0" w:line="5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accounting standard will be effective for reporting periods beginning after December 15, 2018. The Partnership is in the process of reviewing its existing lease agreements and evaluating the impact that the new accounting guidance will have on the Partnership's consolidated financial position, results of operations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August 2018, the FASB issued an accounting standards update to modify the disclosure requirements on fair value measurements. The amendments are effective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is in the process of evaluating the impact that the new accounting guidance will have on the Partnership's consolidated financial position,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(ASU No. 2018-15)</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August 2018, the FASB issued an accounting standards update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are effective for fiscal years beginning after December 15, 2019 and early adoption is permitted. The amendments should be applied either retrospectively or prospectively to all implementation costs incurred after the date of adoption. The Partnership adopted the standard on October 1, 2018, prospectively, and the adoption did not have a material impact on the Partnership's consolidated financial position,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May 2014, the Financial Accounting Standards Board ("FASB") issued an accounting standards update on a comprehensive new revenue recognition standard that supersedes virtually all previously issued revenue recognition guidance. The new accounting guidance creates a framework by which an entity will allocate the transaction price to separate performance obligations and recognize revenue when each performance obligation is satisfied. Under the new standard, entities are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"modified retrospective" adoption, meaning the standard is applied only to the most current period presented in the financial statements with a cumulative catch-up as of the current period.</w:t>
      </w:r>
    </w:p>
    <w:p>
      <w:pPr>
        <w:spacing w:after="0" w:line="113"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 xml:space="preserve">The Partnership adopted ASC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effective January 1, 2018. The Partnership applied the modified retrospective transition method to all contracts that were not completed as of the adoption date. Periods prior to January 1, 2018 were not adjusted and are reported under the accounting standards that were in place during those periods. There was no cumulative effect to the Partnership’s consolidated January 1, 2018 balance sheet for the adoption of this accounting standard. There was no impact of ASC 606 adoption on the financial statements for the nine months ended September 30, 2018 as compared with the guidance that was in effect prior to January 1, 2018.</w:t>
      </w:r>
    </w:p>
    <w:p>
      <w:pPr>
        <w:spacing w:after="0" w:line="11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3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(i) have an original expected duration of one year or less or (ii) have only variable consideration which is allocated to wholly unsatisfied performance obligations that is calculated based on market prices at a specified date and is allocated to wholly unsatisfied performance obligations.</w:t>
      </w:r>
    </w:p>
    <w:p>
      <w:pPr>
        <w:spacing w:after="0" w:line="12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Partnership generates a substantial majority of its revenue from sales to Westlake under the Ethylene Sales Agreement (discussed in Note 2 to the 2017 Form 10-K). The Ethylene Sales Agreement is intended to generate a long-term, fixed cash margin per pound. Partnership’s direct commodity price risk is limited to the sales to third parties. Refer to the Partnership’s Consolidated Statement of Operations for the disaggregation of net sales to Westlake and net sales to third parties.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transferred assets and activities is not a business. The guidance also requires a business to include at least one substantive process and narrows the definition of outputs by more closely aligning it with how outputs are described in the FASB ASC Topic 606, Revenue from contracts with customers.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Depreciation expense on property, plant and equipment of $21,960 and $23,525 is included in cost of sales in the consolidated statements of operations for the three months ended September 30, 2018 and 2017, respectively. Depreciation expense on property, plant and equipment of $66,161 and $69,189 is included in cost of sales in the consolidated statements of operations for the nine months ended September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Amortization expense on other assets of $4,932 and $5,528 is included in costs of sales in the consolidated statements of operations for the three months ended September 30, 2018 and 2017, respectively. Amortization expense on other assets of $16,015 and $17,313 is included in costs of sales in the consolidated statements of operations for the nine months ended September 30, 2018 and 2017,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300" w:firstLine="392"/>
        <w:spacing w:after="0" w:line="264" w:lineRule="auto"/>
        <w:rPr>
          <w:sz w:val="20"/>
          <w:szCs w:val="20"/>
          <w:color w:val="auto"/>
        </w:rPr>
      </w:pPr>
      <w:r>
        <w:rPr>
          <w:rFonts w:ascii="Arial" w:cs="Arial" w:eastAsia="Arial" w:hAnsi="Arial"/>
          <w:sz w:val="18"/>
          <w:szCs w:val="18"/>
          <w:color w:val="auto"/>
        </w:rPr>
        <w:t>On October 31, 2018, the board of directors of Westlake Chemical Partners GP LLC ("Westlake GP"), the Partnership's general partner, declared a quarterly cash distribution for the period from July 1, 2018 through September 30, 2018 of $0.4207 per unit. This distribution is payable on November 26, 2018 to the unitholders of record as of November 9, 2018.</w:t>
      </w:r>
    </w:p>
    <w:p>
      <w:pPr>
        <w:spacing w:after="0" w:line="127"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unit has received a distribution of $1.2938. If cash distributions to the Partnership's unitholders exceed $1.2938 per unit in any quarter, the Partnership's unitholders and Westlake, as the holder of the Partnership's incentive distribution rights, will receive distributions according to the following percentage allocations: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color w:val="auto"/>
        </w:rPr>
        <w:t>The Partnership's distribution for the three months ended September 30, 2018 did not exceed the $1.2938 per unit threshold, and, as a result, no distribution was made with respect to the Partnership's incentive distribution rights to Westlake, as the holder of the Partnership's incentive distribution rights.</w:t>
      </w:r>
    </w:p>
    <w:p>
      <w:pPr>
        <w:spacing w:after="0" w:line="70"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Prior to the amendment, the Partnership Agreement provided that the Partnership's unitholders and Westlake, as the holder of the Partnership's incentive distribution rights, would receive distributions according to the following percentage allocations: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distributions declared on common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22,454</w:t>
            </w:r>
          </w:p>
        </w:tc>
        <w:tc>
          <w:tcPr>
            <w:tcW w:w="0" w:type="dxa"/>
            <w:vAlign w:val="bottom"/>
          </w:tcPr>
          <w:p>
            <w:pPr>
              <w:spacing w:after="0"/>
              <w:rPr>
                <w:sz w:val="1"/>
                <w:szCs w:val="1"/>
                <w:color w:val="auto"/>
              </w:rPr>
            </w:pP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rPr>
              <w:t>Limited partners' distributions declared on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520"/>
              <w:spacing w:after="0"/>
              <w:rPr>
                <w:sz w:val="20"/>
                <w:szCs w:val="20"/>
                <w:color w:val="auto"/>
              </w:rPr>
            </w:pPr>
            <w:r>
              <w:rPr>
                <w:rFonts w:ascii="Arial" w:cs="Arial" w:eastAsia="Arial" w:hAnsi="Arial"/>
                <w:sz w:val="18"/>
                <w:szCs w:val="18"/>
                <w:color w:val="auto"/>
              </w:rPr>
              <w:t>subordinated units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declared with respect to the incentive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 rights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9"/>
        </w:trPr>
        <w:tc>
          <w:tcPr>
            <w:tcW w:w="5140" w:type="dxa"/>
            <w:vAlign w:val="bottom"/>
          </w:tcPr>
          <w:p>
            <w:pPr>
              <w:ind w:left="40"/>
              <w:spacing w:after="0"/>
              <w:rPr>
                <w:sz w:val="20"/>
                <w:szCs w:val="20"/>
                <w:color w:val="auto"/>
              </w:rPr>
            </w:pPr>
            <w:r>
              <w:rPr>
                <w:rFonts w:ascii="Arial" w:cs="Arial" w:eastAsia="Arial" w:hAnsi="Arial"/>
                <w:sz w:val="18"/>
                <w:szCs w:val="18"/>
                <w:color w:val="auto"/>
                <w:w w:val="98"/>
              </w:rPr>
              <w:t>Net income in excess of distribution (Distribution in excess of net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2"/>
        </w:trPr>
        <w:tc>
          <w:tcPr>
            <w:tcW w:w="5140" w:type="dxa"/>
            <w:vAlign w:val="bottom"/>
          </w:tcPr>
          <w:p>
            <w:pPr>
              <w:ind w:left="40"/>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12,686,115 subordinated units, all of which were owned by Westlake, were converted into common units during the third quarter of 2017 and were considered converted as of July 1, 2017 for purposes of calculating net income per unit. Therefore, the subordinated units did not share in the distribution of cash generated nor did the Partnership allocate any earnings to the subordinated unitholders for the determination of net income per unit subsequent to June 30,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958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13,566</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12,412</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32,242,210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32,242,210</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-1097280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-745490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-385445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-16510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3" w:lineRule="exact"/>
        <w:rPr>
          <w:sz w:val="20"/>
          <w:szCs w:val="20"/>
          <w:color w:val="auto"/>
        </w:rPr>
      </w:pPr>
    </w:p>
    <w:p>
      <w:pPr>
        <w:ind w:left="1080" w:hanging="105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951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48895</wp:posOffset>
            </wp:positionV>
            <wp:extent cx="951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7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958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Limited Partners'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14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-8255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6040" w:space="720"/>
            <w:col w:w="46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2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12,107</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97"/>
        </w:trPr>
        <w:tc>
          <w:tcPr>
            <w:tcW w:w="43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12,887</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13,385</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4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27,172,230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27,172,230</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0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60" w:type="dxa"/>
            <w:vAlign w:val="bottom"/>
            <w:vMerge w:val="restart"/>
          </w:tcPr>
          <w:p>
            <w:pPr>
              <w:jc w:val="right"/>
              <w:ind w:right="870"/>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6960" w:type="dxa"/>
        <w:tblCellMar>
          <w:top w:w="0" w:type="dxa"/>
          <w:left w:w="0" w:type="dxa"/>
          <w:bottom w:w="0" w:type="dxa"/>
          <w:right w:w="0" w:type="dxa"/>
        </w:tblCellMar>
      </w:tblPr>
      <w:tr>
        <w:trPr>
          <w:trHeight w:val="161"/>
        </w:trPr>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Limited Partners'</w:t>
            </w:r>
          </w:p>
        </w:tc>
        <w:tc>
          <w:tcPr>
            <w:tcW w:w="1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Incentive Distribution</w:t>
            </w:r>
          </w:p>
        </w:tc>
        <w:tc>
          <w:tcPr>
            <w:tcW w:w="6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Common Units</w:t>
            </w:r>
          </w:p>
        </w:tc>
        <w:tc>
          <w:tcPr>
            <w:tcW w:w="1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Rights</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the Partnership:</w:t>
      </w:r>
    </w:p>
    <w:p>
      <w:pPr>
        <w:sectPr>
          <w:pgSz w:w="11900" w:h="16838" w:orient="portrait"/>
          <w:cols w:equalWidth="0" w:num="1">
            <w:col w:w="11420"/>
          </w:cols>
          <w:pgMar w:left="240" w:top="125" w:right="239" w:bottom="1440" w:gutter="0" w:footer="0" w:header="0"/>
        </w:sectPr>
      </w:pP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160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39,559</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40,292</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(2,828)</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36,731</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37,464</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4"/>
        </w:trPr>
        <w:tc>
          <w:tcPr>
            <w:tcW w:w="3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32,238,663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32,238,663</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-745490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-385445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-16510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3" w:lineRule="exact"/>
        <w:rPr>
          <w:sz w:val="20"/>
          <w:szCs w:val="20"/>
          <w:color w:val="auto"/>
        </w:rPr>
      </w:pPr>
    </w:p>
    <w:p>
      <w:pPr>
        <w:ind w:left="2680" w:hanging="1052"/>
        <w:spacing w:after="0"/>
        <w:tabs>
          <w:tab w:leader="none" w:pos="2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31750</wp:posOffset>
            </wp:positionV>
            <wp:extent cx="951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48895</wp:posOffset>
            </wp:positionV>
            <wp:extent cx="951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Limited Partners'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Limited Partners'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14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-8255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22,454</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9,133</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32,639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 (distribution 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excess of net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23,078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33,124</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18,686,701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8,410,941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27,097,642</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Distributions per common unit for the three months ended September 30, 2018 and 2017 and for the nine months ended September 30, 2018 and 2017 were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0.4088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0.3650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1.1927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1.0649</w:t>
            </w:r>
          </w:p>
        </w:tc>
      </w:tr>
      <w:tr>
        <w:trPr>
          <w:trHeight w:val="27"/>
        </w:trPr>
        <w:tc>
          <w:tcPr>
            <w:tcW w:w="5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 As discussed in Note 6, the subordinated units were considered converted as of July 1, 2017 for purposes of calculating net income per unit and, therefore, the subordinated units did not share in the distribution of cash generated nor did the Partnership allocate any earnings to the subordinated unitholders for the determination of net income per unit subsequent to June 30, 2017.</w:t>
      </w:r>
    </w:p>
    <w:p>
      <w:pPr>
        <w:spacing w:after="0" w:line="13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On September 29, 2017, the Partnership completed its secondary offering of 5,175,000 common units at a price of $22.00 per unit. Net proceeds to the Partnership from the sale of the units were $110,739, net of underwriting discounts, structuring fees and estimated offering expenses of approximately $3,111.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313,381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258,049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802,085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711,968</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178,493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403,833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313,231</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28,693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23,954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83,636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74,896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207,186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134,195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487,469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388,127</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4,655</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6,633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17,947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20,311</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as assets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$703 and $340 was included in the receivable under the Investment Management Agreement balance at September 30, 2018 and December 31, 2017, respectively. Total interest earned related to the Investment Management Agreement was $703 and $9 for the three months ended September 30, 2018 and 2017, respectively. The interest earned related to the Investment Management Agreement was $1,861 and $9 for the nine months ended September 30, 2018 and 2017, respectively.</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151,875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136,510</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Partnership's accounts receivable from Westlake result primarily from ethylene sales to Westlake under the Ethylene Sales Agreement.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65,628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43,884</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9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41,274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14,027</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See Note 9 for a description of related party debt payable balances. Interest on related party debt payable balances for the three months ended September 30, 2018 and 2017 was $5,639 and $6,190, respectively, and for the nine months ended September 30, 2018 and 2017 was $16,052 and $17,592, respectively. Interest on related party debt payable is presented as interest expense—Westlake in the consolidated statements of operations. Interest capitalized as a component of property, plant and equipment on related party debt was $63 and $7 for the three months ended September 30, 2018 and 2017, respectively, and for the nine months ended September 30, 2018 and 2017 was $108 and $426, respectively. At September 30, 2018 and December 31, 2017, accrued interest on related party debt was $5,712 and $4,590, respectively, and is reflected as a component of accrued liabilities in the consolidated balance sheets.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September 30, 2018 and 2017, Westlake accounted for approximately 86.2% and 87.0%, respectively, of the Partnership's net sales. During the nine months ended September 30, 2018 and 2017, Westlake accounted for approximately 84.4% and 82.4%, respectively, of the Partnership's 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and nine months ended September 30, 2018, the Partnership reimbursed $418 of income tax payments to Westlake.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 The interest rate contract expired in August 2018.</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OpCo Revolver (variable interest rate of LIBOR plus 2.0%, original scheduled maturity of</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25,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224,064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220,416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20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253,544</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560" w:firstLine="392"/>
        <w:spacing w:after="0" w:line="277" w:lineRule="auto"/>
        <w:rPr>
          <w:sz w:val="20"/>
          <w:szCs w:val="20"/>
          <w:color w:val="auto"/>
        </w:rPr>
      </w:pPr>
      <w:r>
        <w:rPr>
          <w:rFonts w:ascii="Arial" w:cs="Arial" w:eastAsia="Arial" w:hAnsi="Arial"/>
          <w:sz w:val="18"/>
          <w:szCs w:val="18"/>
          <w:color w:val="auto"/>
        </w:rPr>
        <w:t>On September 25, 2018, the OpCo Revolver was amended to extend the maturity date from August 4, 2019 to September 25, 2023 and revise the applicable margin from 3% to 2%.</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interest rate on all long-term debt was 4.34% and 3.74% at September 30, 2018 and December 31, 2017,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2018 and December 31, 2017 are summarized in the table below. The Partnership's long-term debt includes the OpCo Revolver and the MLP Revolver at September 30, 2018.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2018</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020" w:type="dxa"/>
            <w:vAlign w:val="bottom"/>
            <w:gridSpan w:val="2"/>
          </w:tcPr>
          <w:p>
            <w:pPr>
              <w:jc w:val="center"/>
              <w:ind w:right="6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224,064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220,416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253,544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255,008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258,234</w:t>
            </w:r>
          </w:p>
        </w:tc>
      </w:tr>
    </w:tbl>
    <w:p>
      <w:pPr>
        <w:spacing w:after="0" w:line="252" w:lineRule="exact"/>
        <w:rPr>
          <w:sz w:val="20"/>
          <w:szCs w:val="20"/>
          <w:color w:val="auto"/>
        </w:rPr>
      </w:pPr>
    </w:p>
    <w:p>
      <w:pPr>
        <w:ind w:right="9100" w:firstLine="8"/>
        <w:spacing w:after="0" w:line="390" w:lineRule="auto"/>
        <w:tabs>
          <w:tab w:leader="none" w:pos="2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60" w:firstLine="405"/>
        <w:spacing w:after="0" w:line="312" w:lineRule="auto"/>
        <w:rPr>
          <w:sz w:val="20"/>
          <w:szCs w:val="20"/>
          <w:color w:val="auto"/>
        </w:rPr>
      </w:pPr>
      <w:r>
        <w:rPr>
          <w:rFonts w:ascii="Arial" w:cs="Arial" w:eastAsia="Arial" w:hAnsi="Arial"/>
          <w:sz w:val="16"/>
          <w:szCs w:val="16"/>
          <w:color w:val="auto"/>
        </w:rPr>
        <w:t>Accrued liabilities were $18,911 and $15,697 at September 30, 2018 and December 31, 2017, respectively. The accrued interest, accrued maintenance and accrued taxes, which are components of accrued liabilities, were $5,712, $5,323 and $4,156, respectively, at September 30, 2018, and $4,590, $3,698 and $1,422, respectively, at December 31, 2017. No other component of accrued liabilities was more than five percent of total current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The change in capital expenditure accrual resulted in a decrease in additions to property, plant and equipment by $1,380 for the nine months ended September 30, 2018. The change in capital expenditure accrual resulted in an increase in additions to property, plant and equipment by $894 for the nine months ended September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right="9580" w:firstLine="8"/>
        <w:spacing w:after="0" w:line="390"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At-The-Market Program</w:t>
      </w:r>
    </w:p>
    <w:p>
      <w:pPr>
        <w:ind w:firstLine="405"/>
        <w:spacing w:after="0" w:line="259" w:lineRule="auto"/>
        <w:rPr>
          <w:sz w:val="20"/>
          <w:szCs w:val="20"/>
          <w:color w:val="auto"/>
        </w:rPr>
      </w:pPr>
      <w:r>
        <w:rPr>
          <w:rFonts w:ascii="Arial" w:cs="Arial" w:eastAsia="Arial" w:hAnsi="Arial"/>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in order to provide OpCo with the option to curtail up to approximately 5% of its ethylene production annually in the event OpCo reasonably determines that its sales of such ethylene to third parties during the relevant period would be uneconomic.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2017 (the "2017 Form 10-K"), as filed with the SEC on March 1, 2018.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jc w:val="both"/>
        <w:ind w:right="40" w:firstLine="405"/>
        <w:spacing w:after="0" w:line="272"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On September 29, 2017, we completed a secondary public offering of 5,175,000 common units and purchased an additional 5.0% newly-issued limited partner interest in OpCo, resulting in an aggregate 18.3% limited partner interest in OpCo, effective as of July 1, 2017. The 12,686,115 subordinated units of the Partnership, all of which were previously owned by Westlake, were converted into common units of the Partnership on August 30, 2017.</w:t>
      </w:r>
    </w:p>
    <w:p>
      <w:pPr>
        <w:spacing w:after="0" w:line="1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Currently, our sole revenue generating asset is our 18.3% limited partner interest in OpCo, a limited partnership formed by Westlake and us in anticipation of the IPO to own and operate an ethylene production business. We control OpCo through our ownership of its general partner. Westlake retains the remaining 81.7% limited partner interest in OpCo as well as a significant interest in us through its ownership of our general partner, 43.8%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use each of MLP distributable cash flow and EBITDA to analyze our performance. We define distributable cash flow as net income plus depreciation, amortization and disposition of property, plant and equipment,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2" w:right="239" w:bottom="1440" w:gutter="0" w:footer="0" w:header="0"/>
        </w:sectPr>
      </w:pPr>
    </w:p>
    <w:bookmarkStart w:id="19" w:name="page20"/>
    <w:bookmarkEnd w:id="19"/>
    <w:p>
      <w:pPr>
        <w:ind w:right="380"/>
        <w:spacing w:after="0" w:line="342" w:lineRule="auto"/>
        <w:rPr>
          <w:sz w:val="20"/>
          <w:szCs w:val="20"/>
          <w:color w:val="auto"/>
        </w:rPr>
      </w:pPr>
      <w:r>
        <w:rPr>
          <w:rFonts w:ascii="Arial" w:cs="Arial" w:eastAsia="Arial" w:hAnsi="Arial"/>
          <w:sz w:val="16"/>
          <w:szCs w:val="16"/>
          <w:color w:val="auto"/>
        </w:rPr>
        <w:t>of the operations of our predecessor.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in order to provide OpCo with the option to curtail up to approximately 5% of its ethylene production annually in the event OpCo reasonably determines that its sales of such ethylene to third parties during the relevant period would be uneconomic.</w:t>
      </w:r>
    </w:p>
    <w:p>
      <w:pPr>
        <w:spacing w:after="0" w:line="20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October 4, 2018, the Partnership and Westlake Chemical Partners GP LLC, the general partner of the Partnership, entered into an Equity Distribution Agreement (the “ATM Agreement”) with UBS Securities LLC, Barclays Capital Inc., Citigroup Global Markets Inc., Deutsche Bank Securities Inc., RBC Capital Markets, LLC, Merrill Lynch, Pierce, Fenner &amp; Smith Incorporated and Wells Fargo Securities, LLC (collectively, the “Managers”). Pursuant to the terms of the ATM Agreement, the Partnership may offer and sell common units representing limited partner interests in the Partnership from time to time to or through the Managers, as the Partnership's sales agents or as principals, having an aggregate offering amount of up to $50.0 million. The Partnership intends to use the net proceeds of sales of the common units for general partnership purposes, including the funding of potential drop-downs and other acquisitions.</w:t>
      </w:r>
    </w:p>
    <w:p>
      <w:pPr>
        <w:spacing w:after="0" w:line="216" w:lineRule="exact"/>
        <w:rPr>
          <w:sz w:val="20"/>
          <w:szCs w:val="20"/>
          <w:color w:val="auto"/>
        </w:rPr>
      </w:pPr>
    </w:p>
    <w:p>
      <w:pPr>
        <w:ind w:right="560" w:firstLine="392"/>
        <w:spacing w:after="0" w:line="277" w:lineRule="auto"/>
        <w:rPr>
          <w:sz w:val="20"/>
          <w:szCs w:val="20"/>
          <w:color w:val="auto"/>
        </w:rPr>
      </w:pPr>
      <w:r>
        <w:rPr>
          <w:rFonts w:ascii="Arial" w:cs="Arial" w:eastAsia="Arial" w:hAnsi="Arial"/>
          <w:sz w:val="18"/>
          <w:szCs w:val="18"/>
          <w:color w:val="auto"/>
        </w:rPr>
        <w:t>On September 25, 2018, the OpCo Revolver was amended to extend the maturity date from August 4, 2019 to September 25, 2023 and revise the applicable margin from 3% to 2%.</w:t>
      </w:r>
    </w:p>
    <w:p>
      <w:pPr>
        <w:spacing w:after="0" w:line="116" w:lineRule="exact"/>
        <w:rPr>
          <w:sz w:val="20"/>
          <w:szCs w:val="20"/>
          <w:color w:val="auto"/>
        </w:rPr>
      </w:pPr>
    </w:p>
    <w:p>
      <w:pPr>
        <w:ind w:right="100" w:firstLine="392"/>
        <w:spacing w:after="0" w:line="255" w:lineRule="auto"/>
        <w:rPr>
          <w:sz w:val="20"/>
          <w:szCs w:val="20"/>
          <w:color w:val="auto"/>
        </w:rPr>
      </w:pPr>
      <w:r>
        <w:rPr>
          <w:rFonts w:ascii="Arial" w:cs="Arial" w:eastAsia="Arial" w:hAnsi="Arial"/>
          <w:sz w:val="18"/>
          <w:szCs w:val="18"/>
          <w:color w:val="auto"/>
        </w:rPr>
        <w:t>On July 27, 2018, the Partnership Agreement was amended to revise the minimum quarterly distribution thresholds for the Partnership's incentive distribution rights to Westlake. The amended Partnership Agreement provides that the Partnership will distribute cash each quarter to all the unitholders, pro-rata, until each unit has received a distribution of $1.2938. If cash distributions to the Partnership's unitholders exceed $1.2938 per unit in any quarter, the Partnership's unitholders and Westlake, as the holder of the Partnership's incentive distribution rights, will receive distributions according to the percentage allocations per the amendment. For more information on the Partnership's amended distribution allocation percentages, see Note 6 to the Partnership's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6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313,381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258,049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802,085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711,968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152,368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363,650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949,897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864,336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269,743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201,372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666,367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571,401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93,907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95,403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283,530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87,998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263,113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271,416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83,027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82,570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255,668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248,989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254,743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211,525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221,619</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12,412</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13,385</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37,464</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33,124</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15,024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45,500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37,892</w:t>
            </w:r>
          </w:p>
        </w:tc>
        <w:tc>
          <w:tcPr>
            <w:tcW w:w="0" w:type="dxa"/>
            <w:vAlign w:val="bottom"/>
          </w:tcPr>
          <w:p>
            <w:pPr>
              <w:spacing w:after="0"/>
              <w:rPr>
                <w:sz w:val="1"/>
                <w:szCs w:val="1"/>
                <w:color w:val="auto"/>
              </w:rPr>
            </w:pPr>
          </w:p>
        </w:tc>
      </w:tr>
      <w:tr>
        <w:trPr>
          <w:trHeight w:val="283"/>
        </w:trPr>
        <w:tc>
          <w:tcPr>
            <w:tcW w:w="5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115,558</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117,813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347,031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359,762</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hanging="245"/>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62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prior-year period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561"/>
        </w:trPr>
        <w:tc>
          <w:tcPr>
            <w:tcW w:w="4960" w:type="dxa"/>
            <w:vAlign w:val="bottom"/>
          </w:tcPr>
          <w:p>
            <w:pPr>
              <w:spacing w:after="0"/>
              <w:rPr>
                <w:sz w:val="24"/>
                <w:szCs w:val="24"/>
                <w:color w:val="auto"/>
              </w:rPr>
            </w:pPr>
          </w:p>
        </w:tc>
        <w:tc>
          <w:tcPr>
            <w:tcW w:w="3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 September 30,</w:t>
            </w:r>
          </w:p>
        </w:tc>
        <w:tc>
          <w:tcPr>
            <w:tcW w:w="31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40" w:type="dxa"/>
            <w:vAlign w:val="bottom"/>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520" w:type="dxa"/>
            <w:vAlign w:val="bottom"/>
          </w:tcPr>
          <w:p>
            <w:pPr>
              <w:jc w:val="right"/>
              <w:ind w:right="116"/>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540" w:type="dxa"/>
            <w:vAlign w:val="bottom"/>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6"/>
        </w:trPr>
        <w:tc>
          <w:tcPr>
            <w:tcW w:w="496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40" w:type="dxa"/>
            <w:vAlign w:val="bottom"/>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1520" w:type="dxa"/>
            <w:vAlign w:val="bottom"/>
          </w:tcPr>
          <w:p>
            <w:pPr>
              <w:jc w:val="right"/>
              <w:ind w:right="116"/>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_____________</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ectPr>
          <w:pgSz w:w="11900" w:h="16838" w:orient="portrait"/>
          <w:cols w:equalWidth="0" w:num="1">
            <w:col w:w="11420"/>
          </w:cols>
          <w:pgMar w:left="240" w:top="104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040"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109,433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401,916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(loss) from disposition of fixed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248,989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254,743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amortization and disposition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26,918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31,790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82,769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89,239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noncontrolling 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(254,316)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15,024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15,478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45,500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37,892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109,433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139,630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401,916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(loss) from disposition of fixed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248,989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254,743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26,892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82,176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86,502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115,558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117,813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347,031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359,762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For the quarter ended September 30, 2018, net income was $83.8 million on net sales of $363.7 million. This represents an increase in net income of $1.6 million as compared to the quarter ended September 30, 2017 net income of $82.2 million on net sales of $296.8 million. Net income for the third quarter of 2018 as compared to the third quarter of 2017 was higher primarily as a result of increased ethylene sales volumes to Westlake, higher pipeline services fee income and the state income tax benefit, partially offset by lower ethylene sales to third parties. Net income attributable to Westlake Chemical Partners LP for the quarter ended September 30, 2018 was $12.4 million as compared to $13.4 million for the quarter ended September 30, 2017, a decrease of $1.0 million, which was primarily due to lower margins on third party ethylene sales, partially offset by the state income tax benefit. Net sales for the third quarter of 2018 increased by $66.9 million as compared to net sales for the third quarter of 2017 mainly due to increased sales volumes and prices for ethylene to Westlake and for co-products to third-parties and higher pipeline services fee income, partially offset by lower ethylene sales to third parties. Income from operations was $88.0 million for the third quarter of 2018 as compared to $88.6 million for the third quarter of 2017. Income from operations for the third quarter of 2018 decreased mainly as a result of lower third party ethylene sales margins, mostly offset by an increase in ethylene sales volumes to Westlake and higher pipeline services fee income, as compared to the third quarter of 2017.</w:t>
      </w:r>
    </w:p>
    <w:p>
      <w:pPr>
        <w:spacing w:after="0" w:line="1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For the nine months ended September 30, 2018, net income was $249.0 million on net sales of $949.9 million. This represents a decrease in net income of $5.7 million as compared to the nine months ended September 30, 2017 net income of $254.7 million on net sales of $864.3 million. Net income was lower primarily as a result of lower margins on third party ethylene sales, partially offset by higher ethylene sales volumes to Westlake, higher pipeline services fee income, lower interest expense and the state income tax benefit. Net income attributable to Westlake Chemical Partners LP for the nine months ended September 30, 2018 was $37.5 million as compared to $33.1 million for the nine months ended September 30, 2017, an increase of $4.3 million, which was primarily due to a 5% increase in the Partnership's interest in OpCo, effective as of July 1, 2017 and increased production, partially offset by lower margins on third party ethylene sales. Net sales for the nine months ended September 30, 2018 increased by $85.6 million as compared to net sales for the nine months ended September 30, 2017 mainly due to increased ethylene sales volumes and sales prices to Westlake and increased sales volumes of co-product to third parties, partially offset by lower third party ethylene sales. Income from operations was $263.1 million for the nine months ended September 30, 2018 as compared to $271.4 million for the nine months ended September 30, 2017. Income from operations for the nine months ended September 30, 2018 decreased mainly as a result of lower third party ethylene sales margins, partially offset by higher ethylene sales to Westlake, as compared to the nine months ended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2018 Compared with Third Quarter 2017</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increased by $66.9 million, or 22.5%, to $363.7 million in the third quarter of 2018 from $296.8 million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overall increase in sales volumes resulted from higher ethylene sales volumes to Westlake and higher co-products sales volumes to third parties and increased pipeline services fees for the third quarter of 2018, contributing to a 4.9% increase in net sales, as compared to the third quarter of 2017. The overall average sales price in the third quarter of 2018 contributed to a 17.7% increase in net sales primarily due to increased sales prices for sales to Westlake per the terms of the Ethylene Sales Agreement and increased sales prices for co-products to third parties compared to the third quarter of 2017.</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to $93.9 million for the third quarter of 2018 from $95.4 million for the third quarter of 2017.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third quarter of 2018 was 25.8%, as compared to 32.1% for the third quarter of 2017. The third quarter of 2018 gross profit margin was lower mainly due to a decline in third party ethylene sales, partially offset by overall higher sales volumes to Westlake as a result of higher overall production at our facilities and higher pipeline services fee income, as compared to the third quarter of 2017.</w:t>
      </w:r>
    </w:p>
    <w:p>
      <w:pPr>
        <w:spacing w:after="0" w:line="13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by $0.9 million, or 13.2%, to $5.9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of 2018 as compared to $6.8 million in the third quarter of 2017. The decrease was mainly attributable to a decline in the allocation of general and administrative fees, partially offset by an increase in allowance for doubtful debt accounts in the third quarter of 2017.</w:t>
      </w:r>
    </w:p>
    <w:p>
      <w:pPr>
        <w:spacing w:after="0" w:line="11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$0.6 million to $5.6 million in the third quarter of 2018 from $6.2 million in the third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a lower average debt balance in the third quarter of 2018, mostly offset by a higher interest rate on debt due to an increase in the London Interbank Offered Rate ("LIBOR") in the 2018 period. The lower debt balance was due to the partial repayment of borrowings under the OpCo Revolver and full repayment of the August 2013 Promissory Notes during the third quarter of 2017, in both cases using the funds generated from the secondary equity offering.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43" w:right="239" w:bottom="1440" w:gutter="0" w:footer="0" w:header="0"/>
        </w:sectPr>
      </w:pPr>
    </w:p>
    <w:bookmarkStart w:id="23" w:name="page24"/>
    <w:bookmarkEnd w:id="23"/>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The increase in other income in the third quarter of 2018 as compared to the third quarter of 2017 was primarily due to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related to the investment management agreement executed on August 1, 2017 between the Partnership, OpCo and Westlake that authorized Westlake to invest the Partnership's and OpCo’s excess cash with Westlake ("Investment Management Agreement").</w:t>
      </w:r>
    </w:p>
    <w:p>
      <w:pPr>
        <w:spacing w:after="0" w:line="11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to a benefit of $0.8 million in the third quarter of 2018 as compared to a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in the third quarter of 2017. The decrease was mainly attributable to the revaluation of state deferred income tax liability as a result of a decrease in state tax apportionment.</w:t>
      </w:r>
    </w:p>
    <w:p>
      <w:pPr>
        <w:spacing w:after="0" w:line="12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 xml:space="preserve">MLP Distributable Cash Flow. </w:t>
      </w:r>
      <w:r>
        <w:rPr>
          <w:rFonts w:ascii="Arial" w:cs="Arial" w:eastAsia="Arial" w:hAnsi="Arial"/>
          <w:sz w:val="16"/>
          <w:szCs w:val="16"/>
          <w:color w:val="auto"/>
        </w:rPr>
        <w:t>MLP distributable cash flow decreased by $0.5 million to $15.0 million in the third quarter of 2018 from $15.5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third quarter of 2017. The decrease in MLP distributable cash flow in the third quarter of 2018, as compared to the prior-year period, was primarily a result of a lower margins on third party sales, partially offset by an increase in overall production at our facilities, lower maintenance capital expenditures and the elimination of the Partnership's distributions to Westlake that resulted from the July 2018 amendment to the Partnership's target distribution tiers.</w:t>
      </w:r>
    </w:p>
    <w:p>
      <w:pPr>
        <w:spacing w:after="0" w:line="10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$2.3 million to $115.6 million in the third quarter of 2018 from $117.8 million in the third quarter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EBITDA as compared to the prior-year period was primarily due to the decline in ethylene sales to third-parties, partially offset by higher sales volumes as a result of higher overall production at our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with Nine Months Ended September 30, 2017</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increased by $85.6 million, or 9.9%, to $949.9 million in the nine months ended September 30, 2018 from $864.3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2017. The overall increase in sales volumes for the nine months ended September 30, 2018 contributed to a 4.8% increase in net sales, as compared to the nine months ended September 30, 2017, which was mainly due to higher ethylene sales volumes to Westlake, higher co-products sales volumes to third parties and higher pipeline services fees income. The average sales price contributed to an increase in net sales by 5.1% in the nine months ended September 30, 2018 compared to the nine months ended September 30, 2017, primarily as a result of higher sales prices to Westlake per the terms of the Ethylene Sales Agreement.</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to $283.5 million for the nine months ended September 30, 2018 from $292.9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The gross profit margin in the nine months ended September 30, 2018 was 29.8%, as compared to 33.9% for the nine months ended September 30, 2017. The nine months ended September 30, 2018 gross profit margin was lower mainly due to lower third party ethylene sales, partially offset by higher sales volumes to Westlake as a result of higher overall production at our facilities and higher pipeline services fee income, as compared to the nine months ended September 30, 2017.</w:t>
      </w:r>
    </w:p>
    <w:p>
      <w:pPr>
        <w:spacing w:after="0" w:line="134"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$1.1 million, or 5.1%, to $20.4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as compared to $21.5 million in the nine months ended September 30, 2017. The decrease was mainly attributable to lower general and administrative expense allocations, partially offset by an increase in allowance for doubtful accounts in the nine months ended September 30, 2018, as compared to the prior-year period.</w:t>
      </w:r>
    </w:p>
    <w:p>
      <w:pPr>
        <w:spacing w:after="0" w:line="13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$1.5 million to $16.1 million in the nine months ended September 30, 2018 from $17.6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 due to a lower average debt balance in the nine months ended September 30, 2018, which was mostly offset by a higher interest rate on debt due to an increase in LIBOR in the 2018 period. The lower debt balance was due to the partial repayment of borrowings under the OpCo Revolver and full repayment of the August 2013 Promissory Notes during the third quarter of 2017, in both cases using the funds generated from the secondary equity offering.</w:t>
      </w:r>
    </w:p>
    <w:p>
      <w:pPr>
        <w:spacing w:after="0" w:line="134"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slight decrease in other income in the nine months ended September 30, 2018 as compared to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was primarily due to the recognition in the nine months ended September 30, 2017 of an insurance recovery received for the 2016 Calvert City Olefins facility unplanned shut-down, which was mostly offset by interest income earned under the Investment Management Agreement in the nine months ended September 30, 2018.</w:t>
      </w:r>
    </w:p>
    <w:p>
      <w:pPr>
        <w:spacing w:after="0" w:line="133"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to a benefit of $0.2 million in the nine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provision of $0.9 million in the nine months ended September 30, 2017. The decrease was mainly attributable to the revaluation of state deferred income tax liability as a result of a decrease in state tax apportionment.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62" w:right="259" w:bottom="1440" w:gutter="0" w:footer="0" w:header="0"/>
        </w:sectPr>
      </w:pPr>
    </w:p>
    <w:bookmarkStart w:id="24" w:name="page25"/>
    <w:bookmarkEnd w:id="24"/>
    <w:p>
      <w:pPr>
        <w:ind w:firstLine="432"/>
        <w:spacing w:after="0" w:line="297" w:lineRule="auto"/>
        <w:rPr>
          <w:sz w:val="20"/>
          <w:szCs w:val="20"/>
          <w:color w:val="auto"/>
        </w:rPr>
      </w:pPr>
      <w:r>
        <w:rPr>
          <w:rFonts w:ascii="Arial" w:cs="Arial" w:eastAsia="Arial" w:hAnsi="Arial"/>
          <w:sz w:val="16"/>
          <w:szCs w:val="16"/>
          <w:i w:val="1"/>
          <w:iCs w:val="1"/>
          <w:color w:val="auto"/>
        </w:rPr>
        <w:t xml:space="preserve">MLP Distributable Cash Flow. </w:t>
      </w:r>
      <w:r>
        <w:rPr>
          <w:rFonts w:ascii="Arial" w:cs="Arial" w:eastAsia="Arial" w:hAnsi="Arial"/>
          <w:sz w:val="16"/>
          <w:szCs w:val="16"/>
          <w:color w:val="auto"/>
        </w:rPr>
        <w:t>MLP distributable cash flow increased by $7.6 million to $45.5 million in the nine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from $37.9 million in the nine months ended September 30, 2017. The increase in MLP distributable cash flow in the nine months ended September 30, 2018 as compared to the prior-year period was primarily due to the 5% increase in the Partnership's interest in OpCo, effective as of July 1, 2017, an increase in overall production at our facilities, lower maintenance capital expenditures and the elimination of the Partnership's distributions to Westlake that resulted from the July 2018 amendment to the Partnership's target distribution tiers, partially offset by lower margins on third party sales.</w:t>
      </w:r>
    </w:p>
    <w:p>
      <w:pPr>
        <w:spacing w:after="0" w:line="10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$12.7 million to $347.0 million in the nine months ended September 30, 2018 from $359.8 million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The decrease in EBITDA as compared to the prior-year period was primarily due to lower third party sales, partially offset by higher sales volumes as a result of higher overall production at our facilities.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 FOR THE NINE MONTHS ENDED SEPTEMBER 30, 2018 AND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Operating activities provided cash of $330.0 million in the first nine months of 2018 compared to cash provided by operating activities of $401.9 million in the first nine months of 2017. The $71.9 million decrease in cash flows from operating activities was mainly due to lower operating income and an increase in use of cash in working capital during the nine months ended September 30, 2018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$1.5 million in the first nine months of 2018 as compared to $70.1 million of cash provided in the first nine months of 2017, resulting in an overall unfavorable change of $71.6 million. The unfavorable change in working capital was mainly attributable to the unfavorable changes in the accounts receivable—Westlake balance. The cash provided in the first nine months of 2017 primarily related to the recovery of the Shortfall that was recognized in 2016 as an accounts receivable from Westlake.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for investing activities during the first nine months of 2018 was $45.0 million as compared to net cash used for investing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$173.8 million in the first nine months of 2017, mainly due to lower capital expenditures at our facilities and lower net cash investments under the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Agreement in the first nine months of 2018 as compared to the prior-year period. Capital expenditures during the first nine months of 2018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related to planned and unplanned outages at our facilities while those during the same period in 2017 primarily reflected capital expenditures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incurred for the Calvert City expansion project.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Net cash used for financing activities during the first nine months of 2018 was $295.0 million as compared to net cash used for financing activities of $299.8 million in the first nine months of 2017. The cash outflows during the first nine months of 2018 were related to the distribution of $258.8 million to Westlake and of $39.8 million to other unitholders by the Partnership. The distributions in the first nine months of 2018 were partially offset by borrowings under the OpCo Revolver of $3.6 million. The cash outflows during the first nine months of 2017 were related to the distribution of $263.5 million to Westlake and of $29.5 million to other unitholders by the Partnership and the repayment of $272.8 million of borrowings under the OpCo Revolver. The distributions and repayment in the first nine months of 2017 were partially offset by borrowings under the OpCo Revolver of $37.1 million, borrowings under the MLP Revolver of $118.2 million and net proceeds from the common units offering of $110.7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w:t>
      </w:r>
    </w:p>
    <w:p>
      <w:pPr>
        <w:spacing w:after="0" w:line="17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62" w:right="239" w:bottom="1440" w:gutter="0" w:footer="0" w:header="0"/>
        </w:sectPr>
      </w:pPr>
    </w:p>
    <w:bookmarkStart w:id="25" w:name="page26"/>
    <w:bookmarkEnd w:id="25"/>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Our cash is generated from cash distributions from OpCo. OpCo was a restricted subsidiary and subsidiary guarantor under Westlake's credit facility and the indentures governing its senior notes until August 2016. The guarantees were released in August 2016. OpCo still remains a restricted subsidiary under supplemental indentures governing three series of Westlake's senior notes totaling $253.5 million in aggregate principal amount. These supplemental indentures prohibit Westlake from allowing OpCo to make distributions to us if any default or event of default (as defined in such supplemental indentures) exists. Westlake's credit facility does not prevent OpCo from making distributions to us.</w:t>
      </w:r>
    </w:p>
    <w:p>
      <w:pPr>
        <w:spacing w:after="0" w:line="11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October 31, 2018, the board of directors of Westlake Chemical Partners GP LLC, our general partner, approved a quarterly distribution of $0.4207 per unit payable on November 26, 2018 to unitholders of record as of November 9, 2018, which equates to a total amount of approximately $13.6 million per quarter, or approximately $54.2 million per year in aggregate, based on the number of common units outstanding on September 30, 2018. We do not have a legal or contractual obligation to pay distributions on a quarterly basis or any other basis at our minimum quarterly distribution rate or any other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Westlake has historically funded expansion capital expenditures related to Lake Charles Olefins and Calvert City Olefins. During the nine months ended September 30, 2018 and 2017, Westlake loaned OpCo $3.6 million and $155.3 million, respectively. The $3.6 million was used to fund working capital needs in the first nine months of 2018, while $56.6 million of the $155.3 million amount was used to fund the expansion capital expenditures in the first nine months of 2017. Total capital expenditures for the nine months ended September 30, 2018 were $30.0 million. We expect that Westlake will loan additional cash to OpCo to fund its expansion capital expenditures in the future, but Westlake is under no obligation to do so.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As of September 30, 2018, our cash and cash equivalents totaled $17.0 million. In addition, we have cash invested under the Investment Management Agreement (as described below) and a revolving credit facility with Westlake available to supplement cash if needed, as described under "Indebtedness" below.</w:t>
      </w:r>
    </w:p>
    <w:p>
      <w:pPr>
        <w:spacing w:after="0" w:line="12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$151.2 million of cash invested under the Investment Management Agreement at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(the "OpCo Revolver") that may be used to fund growth projects and working capital needs. As of September 30, 2018, outstanding borrowings under the OpCo Revolver totaled $224.1 million and bore interest at the LIBOR rate plus 2.0%, which is accrued in arrears quarterly. On September 25, 2018, the OpCo Revolver was amended to extend the scheduled maturity date from August 4, 2019 to September 25, 2023 and revise the applicable margin from 3% to 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6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2015, we entered into a senior, unsecured revolving credit agreement with Westlake Chemical Finance Corporation, an affiliate of Westlake (the "MLP Revolver"). The MLP Revolver has a borrowing capacity of $600 million and is scheduled to mature in 2021.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September 30, 2018, outstanding borrowings under the MLP Revolver totaled $253.5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044" w:right="259" w:bottom="1440" w:gutter="0" w:footer="0" w:header="0"/>
        </w:sectPr>
      </w:pPr>
    </w:p>
    <w:bookmarkStart w:id="27" w:name="page28"/>
    <w:bookmarkEnd w:id="27"/>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2017 Form 10-K and the following:</w:t>
      </w:r>
    </w:p>
    <w:p>
      <w:pPr>
        <w:spacing w:after="0" w:line="22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including trade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6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are exposed to interest rate risk with respect to our outstanding debt, all of which is variable rate debt. At September 30, 2018, we had variable rate debt of $477.6 million outstanding, all of which was owed to wholly-owned subsidiaries of Westlake, $224.1 million of which currently accrues interest at a variable rate of LIBOR plus 200 basis points and the remaining $253.5 million of which currently accrues interest at a variable rate of LIBOR plus 200 basis points. The interest rate contract with Westlake to fix the LIBOR component of the interest rate for a portion of the MLP revolver, which was entered into in August 2015, expired in August 2018. The weighted average variable interest rate of our debt as of September 30, 2018 was 4.3%.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$4.8 million, based on the September 30, 2018 debt balance.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2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2018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2017 Form 10-K, filed on March 1, 2018, contained a description of various legal proceedings in which we are involved, including environmental proceedings. See below and Note 12 to the unaudited consolidated financial statements within this Quarterly Report on Form 10-Q for a description of certain of those proceedings, which information is incorporated by reference herein. In addition, under the Omnibus Agreement, Westlake Chemical Corporation ("Westlake") has agreed to indemnify the Partnership for certain environmental and other liabilities relating to OpCo's processing facilities and related assets.</w:t>
      </w:r>
    </w:p>
    <w:p>
      <w:pPr>
        <w:spacing w:after="0" w:line="10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Environmental Protection Agency ("EPA") has been conducting an enforcement initiative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040" w:right="259" w:bottom="1440" w:gutter="0" w:footer="0" w:header="0"/>
        </w:sectPr>
      </w:pPr>
    </w:p>
    <w:bookmarkStart w:id="29" w:name="page30"/>
    <w:bookmarkEnd w:id="29"/>
    <w:p>
      <w:pPr>
        <w:ind w:right="60" w:firstLine="405"/>
        <w:spacing w:after="0" w:line="255" w:lineRule="auto"/>
        <w:rPr>
          <w:sz w:val="20"/>
          <w:szCs w:val="20"/>
          <w:color w:val="auto"/>
        </w:rPr>
      </w:pPr>
      <w:r>
        <w:rPr>
          <w:rFonts w:ascii="Arial" w:cs="Arial" w:eastAsia="Arial" w:hAnsi="Arial"/>
          <w:sz w:val="18"/>
          <w:szCs w:val="18"/>
          <w:i w:val="1"/>
          <w:iCs w:val="1"/>
          <w:color w:val="auto"/>
        </w:rPr>
        <w:t>Risk Management Program Investigation</w:t>
      </w:r>
      <w:r>
        <w:rPr>
          <w:rFonts w:ascii="Arial" w:cs="Arial" w:eastAsia="Arial" w:hAnsi="Arial"/>
          <w:sz w:val="18"/>
          <w:szCs w:val="18"/>
          <w:color w:val="auto"/>
        </w:rPr>
        <w:t>. The EPA has conducted inspections and information requests to assess compliance with 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requirements under the Clean Air Act at the Calvert City facility. The EPA has identified concerns with the facility’s compliance under the Risk Management Program and Release Prevention regulations in connection with certain emissions release events between 2011 and 2015. Westlake has engaged in communications with EPA Region 4 to resolve these concerns. Westlake has reached agreement in principle with the EPA to resolve all concerns for a penalty of $196,000, a portion of which may be offset by Westlake undertaking a Supplemental Environmental Project, which the EPA and Westlake are currently evaluating.</w:t>
      </w:r>
    </w:p>
    <w:p>
      <w:pPr>
        <w:spacing w:after="0" w:line="13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i w:val="1"/>
          <w:iCs w:val="1"/>
          <w:color w:val="auto"/>
        </w:rPr>
        <w:t>Kentucky Notices of Violation</w:t>
      </w:r>
      <w:r>
        <w:rPr>
          <w:rFonts w:ascii="Arial" w:cs="Arial" w:eastAsia="Arial" w:hAnsi="Arial"/>
          <w:sz w:val="16"/>
          <w:szCs w:val="16"/>
          <w:color w:val="auto"/>
        </w:rPr>
        <w:t>. The Kentucky Energy and Environment Cabinet ("KEEC") has indicated that it intends to proceed with enforcement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two Notices of Violation ("NOVs") received by the Calvert City facility in December 2016 and May 2017. The NOVs allege violations of state and federal air requirements in connection with the operation of the olefins unit at the facility. In August 2018, the parties agreed to resolve the matter by entering into an order under which we will be obligated to undertake certain corrective actions and pay a penalty of $175,000 to resolve all alleged violations.</w:t>
      </w:r>
    </w:p>
    <w:p>
      <w:pPr>
        <w:spacing w:after="0" w:line="10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2017 Form 10-K. There have been no material changes from those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a Material Definitive Agreement</w:t>
      </w:r>
    </w:p>
    <w:p>
      <w:pPr>
        <w:spacing w:after="0" w:line="9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November 1, 2018, OpCo and Westlake entered into an amendment to the Ethylene Sales Agreement in order to provide OpCo with the option to curtail up to approximately 5% of its ethylene production annually in the event OpCo reasonably determines that its sales of such ethylene to third parties during the relevant period would be uneconomic. A description of the relationship between OpCo and Westlake is included under “Management's Discussion and Analysis of Financial Condition and Results of Operations,” and such description is incorporated by reference herein.</w:t>
      </w:r>
    </w:p>
    <w:p>
      <w:pPr>
        <w:spacing w:after="0" w:line="3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This summary of the amendment is qualified by reference to the full text of the amendment, a copy of which is filed as Exhibit 10.2 to this report,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962"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20" w:type="dxa"/>
            <w:vAlign w:val="bottom"/>
            <w:gridSpan w:val="11"/>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Equity Distribution Agreement, dated October 4, 2018, by and among Westlake Chemical Partners LP, Westlake Chemical Partners GP</w:t>
              </w:r>
            </w:hyperlink>
          </w:p>
        </w:tc>
        <w:tc>
          <w:tcPr>
            <w:tcW w:w="18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LLC, UBS Securities LLC, Barclays Capital Inc., Citigroup Global Markets Inc., Deutsche Bank Securities Inc., Merrill Lynch, Pierce,</w:t>
              </w:r>
            </w:hyperlink>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Fenner &amp; Smith Incorporated, RBC Capital Markets, LLC and Wells Fargo Securities, LLC (incorporated by reference to Exhibit 1.1 to</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Westlake Partners’ Current Report on Form 8-K filed on October 5, 2018, File No. 001-36567)</w:t>
              </w:r>
            </w:hyperlink>
          </w:p>
        </w:tc>
        <w:tc>
          <w:tcPr>
            <w:tcW w:w="2920" w:type="dxa"/>
            <w:vAlign w:val="bottom"/>
            <w:tcBorders>
              <w:top w:val="single" w:sz="8" w:color="0000FF"/>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920" w:type="dxa"/>
            <w:vAlign w:val="bottom"/>
            <w:tcBorders>
              <w:bottom w:val="single" w:sz="8" w:color="0000FF"/>
            </w:tcBorders>
            <w:gridSpan w:val="12"/>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Amendment No. 2 to the first Amended and Restated Agreement of Limited Partnership of Westlake Chemical Partners, LP (incorporated</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by reference to Exhibit 3.1 to Westlake Chemical Partners LP's Current Report on Form 8-K filed on July 30, 2018 (file No. 01-36567))</w:t>
              </w:r>
            </w:hyperlink>
          </w:p>
        </w:tc>
        <w:tc>
          <w:tcPr>
            <w:tcW w:w="140" w:type="dxa"/>
            <w:vAlign w:val="bottom"/>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w:t>
            </w:r>
          </w:p>
        </w:tc>
        <w:tc>
          <w:tcPr>
            <w:tcW w:w="9920" w:type="dxa"/>
            <w:vAlign w:val="bottom"/>
            <w:gridSpan w:val="1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First Amendment to Amended and Restated Senior Unsecured Revolving Credit Agreement</w:t>
              </w:r>
            </w:hyperlink>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10.2†</w:t>
            </w:r>
          </w:p>
        </w:tc>
        <w:tc>
          <w:tcPr>
            <w:tcW w:w="3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Second Amendment to Ethylene Sales Agreement</w:t>
              </w:r>
            </w:hyperlink>
          </w:p>
        </w:tc>
        <w:tc>
          <w:tcPr>
            <w:tcW w:w="3020" w:type="dxa"/>
            <w:vAlign w:val="bottom"/>
            <w:tcBorders>
              <w:top w:val="single" w:sz="8" w:color="0000FF"/>
            </w:tcBorders>
            <w:gridSpan w:val="4"/>
          </w:tcPr>
          <w:p>
            <w:pPr>
              <w:spacing w:after="0"/>
              <w:rPr>
                <w:sz w:val="24"/>
                <w:szCs w:val="24"/>
                <w:color w:val="auto"/>
              </w:rPr>
            </w:pPr>
          </w:p>
        </w:tc>
        <w:tc>
          <w:tcPr>
            <w:tcW w:w="3300" w:type="dxa"/>
            <w:vAlign w:val="bottom"/>
            <w:gridSpan w:val="6"/>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920" w:type="dxa"/>
            <w:vAlign w:val="bottom"/>
            <w:gridSpan w:val="1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Rule 13a – 14(a) / 15d – 14(a) Certification (Principal Executive Officer)</w:t>
              </w:r>
            </w:hyperlink>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4"/>
                <w:szCs w:val="24"/>
                <w:color w:val="auto"/>
              </w:rPr>
            </w:pPr>
          </w:p>
        </w:tc>
        <w:tc>
          <w:tcPr>
            <w:tcW w:w="4660" w:type="dxa"/>
            <w:vAlign w:val="bottom"/>
            <w:gridSpan w:val="8"/>
          </w:tcPr>
          <w:p>
            <w:pPr>
              <w:spacing w:after="0"/>
              <w:rPr>
                <w:sz w:val="24"/>
                <w:szCs w:val="24"/>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Section 1350 Certification (Principal Executive Officer and Principal Financial Officer)</w:t>
              </w:r>
            </w:hyperlink>
          </w:p>
        </w:tc>
      </w:tr>
      <w:tr>
        <w:trPr>
          <w:trHeight w:val="41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3620" w:type="dxa"/>
            <w:vAlign w:val="bottom"/>
            <w:gridSpan w:val="7"/>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040" w:right="319" w:bottom="1440" w:gutter="0" w:footer="0" w:header="0"/>
        </w:sectPr>
      </w:pPr>
    </w:p>
    <w:bookmarkStart w:id="31" w:name="page32"/>
    <w:bookmarkEnd w:id="31"/>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240" w:top="1012" w:right="7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SENIOR UNSECURED REVOLVING CREDIT AGREEMENT</w:t>
      </w:r>
    </w:p>
    <w:p>
      <w:pPr>
        <w:spacing w:after="0" w:line="3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This FIRST AMENDMENT TO AMENDED AND RESTATED SENIOR UNSECURED REVOLVING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and entered into as of September 25, 2018, by and among WESTLAKE CHEMICAL OPCO LP, a Delaware limited partnership (“</w:t>
      </w:r>
      <w:r>
        <w:rPr>
          <w:rFonts w:ascii="Arial" w:cs="Arial" w:eastAsia="Arial" w:hAnsi="Arial"/>
          <w:sz w:val="22"/>
          <w:szCs w:val="22"/>
          <w:u w:val="single" w:color="auto"/>
          <w:color w:val="auto"/>
        </w:rPr>
        <w:t>Borrower</w:t>
      </w:r>
      <w:r>
        <w:rPr>
          <w:rFonts w:ascii="Arial" w:cs="Arial" w:eastAsia="Arial" w:hAnsi="Arial"/>
          <w:sz w:val="22"/>
          <w:szCs w:val="22"/>
          <w:color w:val="auto"/>
        </w:rPr>
        <w:t>”), as borrower, WESTLAKE POLYMERS LLC, a Delaware limited liability as administrative agent (the “</w:t>
      </w:r>
      <w:r>
        <w:rPr>
          <w:rFonts w:ascii="Arial" w:cs="Arial" w:eastAsia="Arial" w:hAnsi="Arial"/>
          <w:sz w:val="22"/>
          <w:szCs w:val="22"/>
          <w:u w:val="single" w:color="auto"/>
          <w:color w:val="auto"/>
        </w:rPr>
        <w:t>Agent</w:t>
      </w:r>
      <w:r>
        <w:rPr>
          <w:rFonts w:ascii="Arial" w:cs="Arial" w:eastAsia="Arial" w:hAnsi="Arial"/>
          <w:sz w:val="22"/>
          <w:szCs w:val="22"/>
          <w:color w:val="auto"/>
        </w:rPr>
        <w:t>”), and the lenders party thereto (the “Lenders”).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the Agent and the Lenders entered into that certain Amended and Restated Senior Unsecured</w:t>
      </w:r>
      <w:r>
        <w:rPr>
          <w:rFonts w:ascii="Arial" w:cs="Arial" w:eastAsia="Arial" w:hAnsi="Arial"/>
          <w:sz w:val="22"/>
          <w:szCs w:val="22"/>
          <w:b w:val="1"/>
          <w:bCs w:val="1"/>
          <w:color w:val="auto"/>
        </w:rPr>
        <w:t xml:space="preserve"> </w:t>
      </w:r>
      <w:r>
        <w:rPr>
          <w:rFonts w:ascii="Arial" w:cs="Arial" w:eastAsia="Arial" w:hAnsi="Arial"/>
          <w:sz w:val="22"/>
          <w:szCs w:val="22"/>
          <w:color w:val="auto"/>
        </w:rPr>
        <w:t>Revolving Credit Agreement, dated as of June 1, 2017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Lenders have made certain financial accommodations available to the Borrower; and</w:t>
      </w:r>
    </w:p>
    <w:p>
      <w:pPr>
        <w:spacing w:after="0" w:line="1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Lenders desires to make certain modifications to the Credit Agreement to extend the maturity date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as more fully set forth herein;</w:t>
      </w:r>
    </w:p>
    <w:p>
      <w:pPr>
        <w:spacing w:after="0" w:line="12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covenants and the payment contained herein, and subject to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herein set forth, the parties hereby agree as follows:</w:t>
      </w:r>
    </w:p>
    <w:p>
      <w:pPr>
        <w:spacing w:after="0" w:line="127"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u w:val="single" w:color="auto"/>
          <w:color w:val="auto"/>
        </w:rPr>
        <w:t>DEFINITIONS</w:t>
      </w:r>
    </w:p>
    <w:p>
      <w:pPr>
        <w:spacing w:after="0" w:line="220"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1.1 Unless otherwise defined herein, including in the text of the preamble and recitals hereto, all capitalized terms used herein shall have the respective meanings given to such terms in Section 1.1 of the Credit Agreement, as amended hereby.</w:t>
      </w:r>
    </w:p>
    <w:p>
      <w:pPr>
        <w:spacing w:after="0" w:line="51"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1.2 The rules of interpretation set forth in Sections 1.2 and 1.3 of the Credit Agreement shall apply to this Amendment in all respects.</w:t>
      </w:r>
    </w:p>
    <w:p>
      <w:pPr>
        <w:spacing w:after="0" w:line="11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AMENDMENT</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The defined term “Applicable Margin” is hereby deleted in its entirety and replaced with the following: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shall mean 2.0% per annum.</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The defined term “Maturity Date” is hereby deleted in its entirety and replaced with the following: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shall mean September 25, 2023.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EFFECTIVENESS</w:t>
      </w:r>
    </w:p>
    <w:p>
      <w:pPr>
        <w:spacing w:after="0" w:line="23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3.1 This Amendment shall become effective upon the execution and delivery of this Amendment by the Borrower and the Lenders.</w:t>
      </w:r>
    </w:p>
    <w:p>
      <w:pPr>
        <w:spacing w:after="0" w:line="11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u w:val="single" w:color="auto"/>
          <w:color w:val="auto"/>
        </w:rPr>
        <w:t>MISCELLANEOUS</w:t>
      </w:r>
    </w:p>
    <w:p>
      <w:pPr>
        <w:spacing w:after="0" w:line="233"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Full Force and Effect</w:t>
      </w:r>
      <w:r>
        <w:rPr>
          <w:rFonts w:ascii="Arial" w:cs="Arial" w:eastAsia="Arial" w:hAnsi="Arial"/>
          <w:sz w:val="19"/>
          <w:szCs w:val="19"/>
          <w:color w:val="auto"/>
        </w:rPr>
        <w:t>. 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 under the Credit Agreement, any applicable law or any existing or future Default or Event of Default.</w:t>
      </w:r>
    </w:p>
    <w:p>
      <w:pPr>
        <w:spacing w:after="0" w:line="10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color w:val="auto"/>
        </w:rPr>
        <w:t>Headings</w:t>
      </w:r>
      <w:r>
        <w:rPr>
          <w:rFonts w:ascii="Arial" w:cs="Arial" w:eastAsia="Arial" w:hAnsi="Arial"/>
          <w:sz w:val="22"/>
          <w:szCs w:val="22"/>
          <w:color w:val="auto"/>
        </w:rPr>
        <w:t>. Section headings used herein are for convenience of reference only, are not part of this Amendment and shall not affect the construction of, or be taken into consideration in interpreting, this Amendment.</w:t>
      </w:r>
    </w:p>
    <w:p>
      <w:pPr>
        <w:spacing w:after="0" w:line="1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Counterparts</w:t>
      </w:r>
      <w:r>
        <w:rPr>
          <w:rFonts w:ascii="Arial" w:cs="Arial" w:eastAsia="Arial" w:hAnsi="Arial"/>
          <w:sz w:val="22"/>
          <w:szCs w:val="22"/>
          <w:color w:val="auto"/>
        </w:rPr>
        <w:t>. 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spacing w:after="0" w:line="13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i w:val="1"/>
          <w:iCs w:val="1"/>
          <w:color w:val="auto"/>
        </w:rPr>
        <w:t>Governing Law</w:t>
      </w:r>
      <w:r>
        <w:rPr>
          <w:rFonts w:ascii="Arial" w:cs="Arial" w:eastAsia="Arial" w:hAnsi="Arial"/>
          <w:sz w:val="19"/>
          <w:szCs w:val="19"/>
          <w:color w:val="auto"/>
        </w:rPr>
        <w:t>. This Amendment shall be construed in accordance with and governed by the law of the State of New</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duly executed as of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WESTLAKE CHEMICAL OPCO LP</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Westlake Chemical OpCo GP LLC, its general partner</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2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 STEVEN BENDER</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 Mark Steven Bender</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Title: Senior Vice President, Chief Financial Officer and</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WESTLAKE POLYMERS LLC</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Westlake Chemical Investments, Inc., its manager</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2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JEFFREY HOLY</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 Jeffrey Holy</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WESTLAKE LONGVIEW CORPORATION</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2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 STEVEN BENDER</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 Mark Steven Bender</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Title: Executive Vice President and Chief Financial Officer</w:t>
      </w:r>
    </w:p>
    <w:p>
      <w:pPr>
        <w:sectPr>
          <w:pgSz w:w="11900" w:h="16838" w:orient="portrait"/>
          <w:cols w:equalWidth="0" w:num="1">
            <w:col w:w="11420"/>
          </w:cols>
          <w:pgMar w:left="240" w:top="125" w:right="239" w:bottom="655"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ETHYLENE SALES AGREEMENT</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w:t>
      </w:r>
      <w:r>
        <w:rPr>
          <w:rFonts w:ascii="Arial" w:cs="Arial" w:eastAsia="Arial" w:hAnsi="Arial"/>
          <w:sz w:val="22"/>
          <w:szCs w:val="22"/>
          <w:color w:val="auto"/>
        </w:rPr>
        <w:t xml:space="preserve">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dated as of November 1, 2018, and effective as of January 1, 2018, to the </w:t>
      </w:r>
      <w:r>
        <w:rPr>
          <w:rFonts w:ascii="Arial" w:cs="Arial" w:eastAsia="Arial" w:hAnsi="Arial"/>
          <w:sz w:val="22"/>
          <w:szCs w:val="22"/>
          <w:b w:val="1"/>
          <w:bCs w:val="1"/>
          <w:color w:val="auto"/>
        </w:rPr>
        <w:t>ETHYLENE SALES AGREEMENT</w:t>
      </w:r>
      <w:r>
        <w:rPr>
          <w:rFonts w:ascii="Arial" w:cs="Arial" w:eastAsia="Arial" w:hAnsi="Arial"/>
          <w:sz w:val="22"/>
          <w:szCs w:val="22"/>
          <w:color w:val="auto"/>
        </w:rPr>
        <w:t>, dated as of August 4, 2014, as amended by that certain First Amendment dated as of August 4, 2016 and effective as of January 1, 2016 (as amended,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xml:space="preserve">”), is entered into by and among </w:t>
      </w:r>
      <w:r>
        <w:rPr>
          <w:rFonts w:ascii="Arial" w:cs="Arial" w:eastAsia="Arial" w:hAnsi="Arial"/>
          <w:sz w:val="22"/>
          <w:szCs w:val="22"/>
          <w:b w:val="1"/>
          <w:bCs w:val="1"/>
          <w:color w:val="auto"/>
        </w:rPr>
        <w:t>WESTLAKE</w:t>
      </w:r>
      <w:r>
        <w:rPr>
          <w:rFonts w:ascii="Arial" w:cs="Arial" w:eastAsia="Arial" w:hAnsi="Arial"/>
          <w:sz w:val="22"/>
          <w:szCs w:val="22"/>
          <w:color w:val="auto"/>
        </w:rPr>
        <w:t xml:space="preserve"> </w:t>
      </w:r>
      <w:r>
        <w:rPr>
          <w:rFonts w:ascii="Arial" w:cs="Arial" w:eastAsia="Arial" w:hAnsi="Arial"/>
          <w:sz w:val="22"/>
          <w:szCs w:val="22"/>
          <w:b w:val="1"/>
          <w:bCs w:val="1"/>
          <w:color w:val="auto"/>
        </w:rPr>
        <w:t>CHEMICAL OPCO LP</w:t>
      </w:r>
      <w:r>
        <w:rPr>
          <w:rFonts w:ascii="Arial" w:cs="Arial" w:eastAsia="Arial" w:hAnsi="Arial"/>
          <w:sz w:val="22"/>
          <w:szCs w:val="22"/>
          <w:color w:val="auto"/>
        </w:rPr>
        <w:t>, a Delaware limited partnership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and</w:t>
      </w:r>
      <w:r>
        <w:rPr>
          <w:rFonts w:ascii="Arial" w:cs="Arial" w:eastAsia="Arial" w:hAnsi="Arial"/>
          <w:sz w:val="22"/>
          <w:szCs w:val="22"/>
          <w:b w:val="1"/>
          <w:bCs w:val="1"/>
          <w:color w:val="auto"/>
        </w:rPr>
        <w:t xml:space="preserve"> WPT LLC</w:t>
      </w:r>
      <w:r>
        <w:rPr>
          <w:rFonts w:ascii="Arial" w:cs="Arial" w:eastAsia="Arial" w:hAnsi="Arial"/>
          <w:sz w:val="22"/>
          <w:szCs w:val="22"/>
          <w:color w:val="auto"/>
        </w:rPr>
        <w:t>, a Delaware limited liability company,</w:t>
      </w:r>
      <w:r>
        <w:rPr>
          <w:rFonts w:ascii="Arial" w:cs="Arial" w:eastAsia="Arial" w:hAnsi="Arial"/>
          <w:sz w:val="22"/>
          <w:szCs w:val="22"/>
          <w:b w:val="1"/>
          <w:bCs w:val="1"/>
          <w:color w:val="auto"/>
        </w:rPr>
        <w:t xml:space="preserve"> WESTLAKE VINYLS, INC.</w:t>
      </w:r>
      <w:r>
        <w:rPr>
          <w:rFonts w:ascii="Arial" w:cs="Arial" w:eastAsia="Arial" w:hAnsi="Arial"/>
          <w:sz w:val="22"/>
          <w:szCs w:val="22"/>
          <w:color w:val="auto"/>
        </w:rPr>
        <w:t>, a Delaware corporation, and</w:t>
      </w:r>
      <w:r>
        <w:rPr>
          <w:rFonts w:ascii="Arial" w:cs="Arial" w:eastAsia="Arial" w:hAnsi="Arial"/>
          <w:sz w:val="22"/>
          <w:szCs w:val="22"/>
          <w:b w:val="1"/>
          <w:bCs w:val="1"/>
          <w:color w:val="auto"/>
        </w:rPr>
        <w:t xml:space="preserve"> WESTLAKE PETROCHEMICALS LLC</w:t>
      </w:r>
      <w:r>
        <w:rPr>
          <w:rFonts w:ascii="Arial" w:cs="Arial" w:eastAsia="Arial" w:hAnsi="Arial"/>
          <w:sz w:val="22"/>
          <w:szCs w:val="22"/>
          <w:color w:val="auto"/>
        </w:rPr>
        <w:t>, a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(each, a “</w:t>
      </w:r>
      <w:r>
        <w:rPr>
          <w:rFonts w:ascii="Arial" w:cs="Arial" w:eastAsia="Arial" w:hAnsi="Arial"/>
          <w:sz w:val="22"/>
          <w:szCs w:val="22"/>
          <w:b w:val="1"/>
          <w:bCs w:val="1"/>
          <w:i w:val="1"/>
          <w:iCs w:val="1"/>
          <w:color w:val="auto"/>
        </w:rPr>
        <w:t>Buyer Party</w:t>
      </w:r>
      <w:r>
        <w:rPr>
          <w:rFonts w:ascii="Arial" w:cs="Arial" w:eastAsia="Arial" w:hAnsi="Arial"/>
          <w:sz w:val="22"/>
          <w:szCs w:val="22"/>
          <w:color w:val="auto"/>
        </w:rPr>
        <w:t>,” and collectively, “</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Seller and Buyer hereinafter are referred to each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the Agreement in 2014 in order to provide for the purchase by Buyer and the sale by</w:t>
      </w:r>
      <w:r>
        <w:rPr>
          <w:rFonts w:ascii="Arial" w:cs="Arial" w:eastAsia="Arial" w:hAnsi="Arial"/>
          <w:sz w:val="22"/>
          <w:szCs w:val="22"/>
          <w:b w:val="1"/>
          <w:bCs w:val="1"/>
          <w:color w:val="auto"/>
        </w:rPr>
        <w:t xml:space="preserve"> </w:t>
      </w:r>
      <w:r>
        <w:rPr>
          <w:rFonts w:ascii="Arial" w:cs="Arial" w:eastAsia="Arial" w:hAnsi="Arial"/>
          <w:sz w:val="22"/>
          <w:szCs w:val="22"/>
          <w:color w:val="auto"/>
        </w:rPr>
        <w:t>Seller of certain Ethylene produced by Seller at its Plants; and</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the First Amendment to the Agreement in 2016 to reflect certain modifications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clarifications to better reflect the original intent of the Parties, including amendments to reflect the interplay of the obligations of the Parties under the Agreement and the obligations under the Services Agreement with respect to Poly Purge of Buyer or its affiliates reprocessed by Seller at its Plants; and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17.8 of the Agreement provides that the Agreement may be amended only by a written agreement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all the Parties, designated on its face an “Amendment” or “Addendum” to the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have determined to amend the Agreement to reflect certain modifications to the Agreement;</w:t>
      </w:r>
    </w:p>
    <w:p>
      <w:pPr>
        <w:spacing w:after="0" w:line="2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representations, warranties, covenants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herein contained, and intending to be legally bound hereby, the Parties hereby agrees as follows:</w:t>
      </w:r>
    </w:p>
    <w:p>
      <w:pPr>
        <w:spacing w:after="0" w:line="162"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Defined Terms</w:t>
      </w:r>
      <w:r>
        <w:rPr>
          <w:rFonts w:ascii="Arial" w:cs="Arial" w:eastAsia="Arial" w:hAnsi="Arial"/>
          <w:sz w:val="22"/>
          <w:szCs w:val="22"/>
          <w:color w:val="auto"/>
        </w:rPr>
        <w:t>. Capitalized terms not otherwise defined herein shall have the meanings set forth therefor in the Agreement.</w:t>
      </w:r>
    </w:p>
    <w:p>
      <w:pPr>
        <w:spacing w:after="0" w:line="3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00" w:lineRule="exact"/>
        <w:rPr>
          <w:sz w:val="20"/>
          <w:szCs w:val="20"/>
          <w:color w:val="auto"/>
        </w:rPr>
      </w:pPr>
    </w:p>
    <w:p>
      <w:pPr>
        <w:spacing w:after="0" w:line="30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AMENDMENTS OF AGREEMENT</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Section 1.1 of the Agreement is hereby amended to add or restate the following definitions therein:</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Minimum Quantity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4.1(b)</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Production</w:t>
      </w:r>
      <w:r>
        <w:rPr>
          <w:rFonts w:ascii="Arial" w:cs="Arial" w:eastAsia="Arial" w:hAnsi="Arial"/>
          <w:sz w:val="22"/>
          <w:szCs w:val="22"/>
          <w:color w:val="auto"/>
        </w:rPr>
        <w:t>” shall mean for any Contract Year the sum of (x) the aggregate quantities of Production during such Contract Year, regardless of whether purchased by Buyer, and (y) any amount of Ethylene not produced as a result of Curtailed Production during such Contract Year.</w:t>
      </w:r>
    </w:p>
    <w:p>
      <w:pPr>
        <w:spacing w:after="0" w:line="17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Curtailed Production</w:t>
      </w:r>
      <w:r>
        <w:rPr>
          <w:rFonts w:ascii="Arial" w:cs="Arial" w:eastAsia="Arial" w:hAnsi="Arial"/>
          <w:sz w:val="21"/>
          <w:szCs w:val="21"/>
          <w:color w:val="auto"/>
        </w:rPr>
        <w:t xml:space="preserve">” shall mean for any Month up to the amount of production of Ethylene that Seller elects to curtail for such Month by prompt written notice to Buyer based on Seller’s reasonable determination that its sales of Ethylene to Third Parties for such Month would be uneconomic during such Month because the marginal variable cost of producing such amount of Ethylene is expected to exceed the sales revenue that would be received by Seller for such amount of production;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Curtailed Production for any Month shall not exceed approximately 5% of the pro rata amount of Annual Planned Output for the applicable Contract Year. For the avoidance of doubt, the amount of Curtailed Production for any Month in a Contract Year shall not be adjusted based on the amount of Ethylene subsequently produced by Seller during any other Month in such Contract Year.</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Section 4.1(a)(i) of the Agreement is hereby amended and restated in its entirety as follows:</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the Annual Minimum Quantity (as defined below); and”</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2.3 Section 4.1(a)(ii) of the Agreement is hereby amended to (a) delete the words “the limit of 95% of any Excess Quantity pursuant to” and (b) replace the language “(such Production, regardless of whether purchased by Buyer, the “</w:t>
      </w:r>
      <w:r>
        <w:rPr>
          <w:rFonts w:ascii="Arial" w:cs="Arial" w:eastAsia="Arial" w:hAnsi="Arial"/>
          <w:sz w:val="22"/>
          <w:szCs w:val="22"/>
          <w:b w:val="1"/>
          <w:bCs w:val="1"/>
          <w:color w:val="auto"/>
        </w:rPr>
        <w:t>Annual</w:t>
      </w:r>
      <w:r>
        <w:rPr>
          <w:rFonts w:ascii="Arial" w:cs="Arial" w:eastAsia="Arial" w:hAnsi="Arial"/>
          <w:sz w:val="22"/>
          <w:szCs w:val="22"/>
          <w:color w:val="auto"/>
        </w:rPr>
        <w:t xml:space="preserve"> </w:t>
      </w:r>
      <w:r>
        <w:rPr>
          <w:rFonts w:ascii="Arial" w:cs="Arial" w:eastAsia="Arial" w:hAnsi="Arial"/>
          <w:sz w:val="22"/>
          <w:szCs w:val="22"/>
          <w:b w:val="1"/>
          <w:bCs w:val="1"/>
          <w:color w:val="auto"/>
        </w:rPr>
        <w:t>Production</w:t>
      </w:r>
      <w:r>
        <w:rPr>
          <w:rFonts w:ascii="Arial" w:cs="Arial" w:eastAsia="Arial" w:hAnsi="Arial"/>
          <w:sz w:val="22"/>
          <w:szCs w:val="22"/>
          <w:color w:val="auto"/>
        </w:rPr>
        <w:t>”), not to exceed 3.8 billion pounds in a given Contract Year” with the following text: “;</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Annual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shall not exceed 3.8 billion pounds in a given Contract Year”.</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Section 4.1(b) of the Agreement is hereby amended and restated in its entirety as follows:</w:t>
      </w:r>
    </w:p>
    <w:p>
      <w:pPr>
        <w:spacing w:after="0" w:line="233" w:lineRule="exact"/>
        <w:rPr>
          <w:sz w:val="20"/>
          <w:szCs w:val="20"/>
          <w:color w:val="auto"/>
        </w:rPr>
      </w:pPr>
    </w:p>
    <w:p>
      <w:pPr>
        <w:jc w:val="both"/>
        <w:ind w:left="1960" w:hanging="659"/>
        <w:spacing w:after="0" w:line="286" w:lineRule="auto"/>
        <w:tabs>
          <w:tab w:leader="none" w:pos="194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 xml:space="preserve">The Annual Minimum Quantity for any Contract Year shall be equal to (i) the quantity of the Annual Planned Production notified to Buyer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in respect of the relevant Contract Year, </w:t>
      </w:r>
      <w:r>
        <w:rPr>
          <w:rFonts w:ascii="Arial" w:cs="Arial" w:eastAsia="Arial" w:hAnsi="Arial"/>
          <w:sz w:val="19"/>
          <w:szCs w:val="19"/>
          <w:i w:val="1"/>
          <w:iCs w:val="1"/>
          <w:color w:val="auto"/>
        </w:rPr>
        <w:t>plus</w:t>
      </w:r>
      <w:r>
        <w:rPr>
          <w:rFonts w:ascii="Arial" w:cs="Arial" w:eastAsia="Arial" w:hAnsi="Arial"/>
          <w:sz w:val="19"/>
          <w:szCs w:val="19"/>
          <w:color w:val="auto"/>
        </w:rPr>
        <w:t xml:space="preserve"> or </w:t>
      </w:r>
      <w:r>
        <w:rPr>
          <w:rFonts w:ascii="Arial" w:cs="Arial" w:eastAsia="Arial" w:hAnsi="Arial"/>
          <w:sz w:val="19"/>
          <w:szCs w:val="19"/>
          <w:i w:val="1"/>
          <w:iCs w:val="1"/>
          <w:color w:val="auto"/>
        </w:rPr>
        <w:t>minus</w:t>
      </w:r>
      <w:r>
        <w:rPr>
          <w:rFonts w:ascii="Arial" w:cs="Arial" w:eastAsia="Arial" w:hAnsi="Arial"/>
          <w:sz w:val="19"/>
          <w:szCs w:val="19"/>
          <w:color w:val="auto"/>
        </w:rPr>
        <w:t>, as applicable, (ii) the following adjustments: (A) upward or downward if it determines, in its</w:t>
      </w:r>
      <w:r>
        <w:rPr>
          <w:rFonts w:ascii="Arial" w:cs="Arial" w:eastAsia="Arial" w:hAnsi="Arial"/>
          <w:sz w:val="19"/>
          <w:szCs w:val="19"/>
          <w:i w:val="1"/>
          <w:iCs w:val="1"/>
          <w:color w:val="auto"/>
        </w:rPr>
        <w:t xml:space="preserve"> </w:t>
      </w:r>
      <w:r>
        <w:rPr>
          <w:rFonts w:ascii="Arial" w:cs="Arial" w:eastAsia="Arial" w:hAnsi="Arial"/>
          <w:sz w:val="19"/>
          <w:szCs w:val="19"/>
          <w:color w:val="auto"/>
        </w:rPr>
        <w:t>reasonable discretion, that any such adjustment is appropriate in order to account for operating conditions,</w:t>
      </w:r>
    </w:p>
    <w:p>
      <w:pPr>
        <w:spacing w:after="0" w:line="3" w:lineRule="exact"/>
        <w:rPr>
          <w:sz w:val="20"/>
          <w:szCs w:val="20"/>
          <w:color w:val="auto"/>
        </w:rPr>
      </w:pPr>
    </w:p>
    <w:p>
      <w:pPr>
        <w:ind w:left="2300" w:hanging="347"/>
        <w:spacing w:after="0"/>
        <w:tabs>
          <w:tab w:leader="none" w:pos="2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downward by the amount of any Curtailed Production during such Contract Year, and (C)</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4220"/>
        <w:spacing w:after="0"/>
        <w:rPr>
          <w:rFonts w:ascii="Arial" w:cs="Arial" w:eastAsia="Arial" w:hAnsi="Arial"/>
          <w:sz w:val="22"/>
          <w:szCs w:val="22"/>
          <w:color w:val="auto"/>
        </w:rPr>
      </w:pPr>
      <w:r>
        <w:rPr>
          <w:rFonts w:ascii="Arial" w:cs="Arial" w:eastAsia="Arial" w:hAnsi="Arial"/>
          <w:sz w:val="20"/>
          <w:szCs w:val="20"/>
          <w:color w:val="auto"/>
        </w:rPr>
        <w:t>2</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00" w:lineRule="exact"/>
        <w:rPr>
          <w:sz w:val="20"/>
          <w:szCs w:val="20"/>
          <w:color w:val="auto"/>
        </w:rPr>
      </w:pPr>
    </w:p>
    <w:p>
      <w:pPr>
        <w:spacing w:after="0" w:line="315" w:lineRule="exact"/>
        <w:rPr>
          <w:sz w:val="20"/>
          <w:szCs w:val="20"/>
          <w:color w:val="auto"/>
        </w:rPr>
      </w:pPr>
    </w:p>
    <w:p>
      <w:pPr>
        <w:jc w:val="both"/>
        <w:ind w:left="1960"/>
        <w:spacing w:after="0" w:line="248" w:lineRule="auto"/>
        <w:rPr>
          <w:sz w:val="20"/>
          <w:szCs w:val="20"/>
          <w:color w:val="auto"/>
        </w:rPr>
      </w:pPr>
      <w:r>
        <w:rPr>
          <w:rFonts w:ascii="Arial" w:cs="Arial" w:eastAsia="Arial" w:hAnsi="Arial"/>
          <w:sz w:val="22"/>
          <w:szCs w:val="22"/>
          <w:color w:val="auto"/>
        </w:rPr>
        <w:t>downward by the aggregate quantities of Ethylene sold by Seller to Third Parties during such Contract Year (such amount, as adjusted pursuant to clauses (A)-(C), the “</w:t>
      </w:r>
      <w:r>
        <w:rPr>
          <w:rFonts w:ascii="Arial" w:cs="Arial" w:eastAsia="Arial" w:hAnsi="Arial"/>
          <w:sz w:val="22"/>
          <w:szCs w:val="22"/>
          <w:b w:val="1"/>
          <w:bCs w:val="1"/>
          <w:color w:val="auto"/>
        </w:rPr>
        <w:t>Annual Minimum Quantity</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amount of any Curtailed Production and the aggregate quantities of Ethylene sold by Seller to Third Parties under clauses (B) and (C) in any Contract Year shall not be less than approximately 5% of Annual Output for such Contract Year.”</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2.5 The first sentence of Section 4.1(d) of the Agreement is hereby amended and restated as follows: “During any Contract Year, Seller shall be entitled (but not obligated) to produce Ethylene in excess of (i) the Annual Planned Production applicable to such Contract Year </w:t>
      </w:r>
      <w:r>
        <w:rPr>
          <w:rFonts w:ascii="Arial" w:cs="Arial" w:eastAsia="Arial" w:hAnsi="Arial"/>
          <w:sz w:val="22"/>
          <w:szCs w:val="22"/>
          <w:i w:val="1"/>
          <w:iCs w:val="1"/>
          <w:color w:val="auto"/>
        </w:rPr>
        <w:t>less</w:t>
      </w:r>
      <w:r>
        <w:rPr>
          <w:rFonts w:ascii="Arial" w:cs="Arial" w:eastAsia="Arial" w:hAnsi="Arial"/>
          <w:sz w:val="22"/>
          <w:szCs w:val="22"/>
          <w:color w:val="auto"/>
        </w:rPr>
        <w:t xml:space="preserve"> (ii) the aggregate amount of any Curtailed Production during such Contract Year, if applicable (such excess amount, the “</w:t>
      </w:r>
      <w:r>
        <w:rPr>
          <w:rFonts w:ascii="Arial" w:cs="Arial" w:eastAsia="Arial" w:hAnsi="Arial"/>
          <w:sz w:val="22"/>
          <w:szCs w:val="22"/>
          <w:b w:val="1"/>
          <w:bCs w:val="1"/>
          <w:color w:val="auto"/>
        </w:rPr>
        <w:t>Excess Quantity</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Section 5.3(a)(i) of the Agreement is amended to insert the following text after the words “due to reasons other than”: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“Curtailed Production or”</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3.1 This Amendment shall be subject to and governed by the laws of the State of Texas, excluding any conflicts-of-law rule or principle that might refer the construction or interpretation of this Amendment to the laws of another state.</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Except as hereby amended, the Agreement shall remain in full force and effect.</w:t>
      </w:r>
    </w:p>
    <w:p>
      <w:pPr>
        <w:spacing w:after="0" w:line="23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3.3 This Amendment, the Agreement and the Related Agreements (including any exhibits or schedules hereto or thereto) constitute the entire agreement of the Parties relating to the matters contained herein and therein, superseding all prior contracts or agreements, whether oral or written, relating to the matters contained herein and therein.</w:t>
      </w:r>
    </w:p>
    <w:p>
      <w:pPr>
        <w:spacing w:after="0" w:line="16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3.4 This Amendment may be executed in any number of counterparts with the same effect as if all signatory parties had signed the same document. All counterparts shall be construed together and shall constitute one and the same instrument.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each of the Parties hereto has caused this Amendment to be signed as of the date first written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SELLER:</w:t>
      </w:r>
    </w:p>
    <w:p>
      <w:pPr>
        <w:spacing w:after="0" w:line="26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WESTLAKE CHEMICAL OPCO LP</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Westlake Chemical OpCo GP LLC,</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its general partner</w:t>
      </w:r>
    </w:p>
    <w:tbl>
      <w:tblPr>
        <w:tblLayout w:type="fixed"/>
        <w:tblInd w:w="5060" w:type="dxa"/>
        <w:tblCellMar>
          <w:top w:w="0" w:type="dxa"/>
          <w:left w:w="0" w:type="dxa"/>
          <w:bottom w:w="0" w:type="dxa"/>
          <w:right w:w="0" w:type="dxa"/>
        </w:tblCellMar>
      </w:tblP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By:</w:t>
            </w:r>
          </w:p>
        </w:tc>
        <w:tc>
          <w:tcPr>
            <w:tcW w:w="240" w:type="dxa"/>
            <w:vAlign w:val="bottom"/>
          </w:tcPr>
          <w:p>
            <w:pPr>
              <w:spacing w:after="0"/>
              <w:rPr>
                <w:sz w:val="21"/>
                <w:szCs w:val="21"/>
                <w:color w:val="auto"/>
              </w:rPr>
            </w:pPr>
          </w:p>
        </w:tc>
        <w:tc>
          <w:tcPr>
            <w:tcW w:w="230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2"/>
              </w:rPr>
              <w:t>/S/ LAWRENCE E. TEEL</w:t>
            </w:r>
          </w:p>
        </w:tc>
      </w:tr>
      <w:tr>
        <w:trPr>
          <w:trHeight w:val="733"/>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2540" w:type="dxa"/>
            <w:vAlign w:val="bottom"/>
            <w:gridSpan w:val="2"/>
          </w:tcPr>
          <w:p>
            <w:pPr>
              <w:ind w:left="180"/>
              <w:spacing w:after="0"/>
              <w:rPr>
                <w:sz w:val="20"/>
                <w:szCs w:val="20"/>
                <w:color w:val="auto"/>
              </w:rPr>
            </w:pPr>
            <w:r>
              <w:rPr>
                <w:rFonts w:ascii="Arial" w:cs="Arial" w:eastAsia="Arial" w:hAnsi="Arial"/>
                <w:sz w:val="22"/>
                <w:szCs w:val="22"/>
                <w:color w:val="auto"/>
              </w:rPr>
              <w:t>Lawrence E. Teel</w:t>
            </w:r>
          </w:p>
        </w:tc>
      </w:tr>
      <w:tr>
        <w:trPr>
          <w:trHeight w:val="513"/>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540" w:type="dxa"/>
            <w:vAlign w:val="bottom"/>
            <w:gridSpan w:val="2"/>
          </w:tcPr>
          <w:p>
            <w:pPr>
              <w:ind w:left="180"/>
              <w:spacing w:after="0"/>
              <w:rPr>
                <w:sz w:val="20"/>
                <w:szCs w:val="20"/>
                <w:color w:val="auto"/>
              </w:rPr>
            </w:pPr>
            <w:r>
              <w:rPr>
                <w:rFonts w:ascii="Arial" w:cs="Arial" w:eastAsia="Arial" w:hAnsi="Arial"/>
                <w:sz w:val="22"/>
                <w:szCs w:val="22"/>
                <w:color w:val="auto"/>
                <w:w w:val="90"/>
              </w:rPr>
              <w:t>Principal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BUYER:</w:t>
      </w:r>
    </w:p>
    <w:p>
      <w:pPr>
        <w:spacing w:after="0" w:line="26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WPT LLC</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Westlake Chemical Investments, Inc.,</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its Manager</w:t>
      </w:r>
    </w:p>
    <w:tbl>
      <w:tblPr>
        <w:tblLayout w:type="fixed"/>
        <w:tblInd w:w="5060" w:type="dxa"/>
        <w:tblCellMar>
          <w:top w:w="0" w:type="dxa"/>
          <w:left w:w="0" w:type="dxa"/>
          <w:bottom w:w="0" w:type="dxa"/>
          <w:right w:w="0" w:type="dxa"/>
        </w:tblCellMar>
      </w:tblPr>
      <w:tr>
        <w:trPr>
          <w:trHeight w:val="250"/>
        </w:trPr>
        <w:tc>
          <w:tcPr>
            <w:tcW w:w="920" w:type="dxa"/>
            <w:vAlign w:val="bottom"/>
          </w:tcPr>
          <w:p>
            <w:pPr>
              <w:spacing w:after="0" w:line="250" w:lineRule="exact"/>
              <w:rPr>
                <w:sz w:val="20"/>
                <w:szCs w:val="20"/>
                <w:color w:val="auto"/>
              </w:rPr>
            </w:pPr>
            <w:r>
              <w:rPr>
                <w:rFonts w:ascii="Arial" w:cs="Arial" w:eastAsia="Arial" w:hAnsi="Arial"/>
                <w:sz w:val="22"/>
                <w:szCs w:val="22"/>
                <w:color w:val="auto"/>
              </w:rPr>
              <w:t>By:</w:t>
            </w:r>
          </w:p>
        </w:tc>
        <w:tc>
          <w:tcPr>
            <w:tcW w:w="23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3"/>
              </w:rPr>
              <w:t>/S/ M. STEVEN BENDER</w:t>
            </w:r>
          </w:p>
        </w:tc>
      </w:tr>
      <w:tr>
        <w:trPr>
          <w:trHeight w:val="733"/>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2340" w:type="dxa"/>
            <w:vAlign w:val="bottom"/>
          </w:tcPr>
          <w:p>
            <w:pPr>
              <w:spacing w:after="0"/>
              <w:rPr>
                <w:sz w:val="20"/>
                <w:szCs w:val="20"/>
                <w:color w:val="auto"/>
              </w:rPr>
            </w:pPr>
            <w:r>
              <w:rPr>
                <w:rFonts w:ascii="Arial" w:cs="Arial" w:eastAsia="Arial" w:hAnsi="Arial"/>
                <w:sz w:val="22"/>
                <w:szCs w:val="22"/>
                <w:color w:val="auto"/>
              </w:rPr>
              <w:t>Mark Steven Bender</w:t>
            </w:r>
          </w:p>
        </w:tc>
      </w:tr>
      <w:tr>
        <w:trPr>
          <w:trHeight w:val="702"/>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2340" w:type="dxa"/>
            <w:vAlign w:val="bottom"/>
          </w:tcPr>
          <w:p>
            <w:pPr>
              <w:spacing w:after="0"/>
              <w:rPr>
                <w:sz w:val="20"/>
                <w:szCs w:val="20"/>
                <w:color w:val="auto"/>
              </w:rPr>
            </w:pPr>
            <w:r>
              <w:rPr>
                <w:rFonts w:ascii="Arial" w:cs="Arial" w:eastAsia="Arial" w:hAnsi="Arial"/>
                <w:sz w:val="22"/>
                <w:szCs w:val="22"/>
                <w:color w:val="auto"/>
              </w:rPr>
              <w:t>EVP &amp; CFO</w:t>
            </w:r>
          </w:p>
        </w:tc>
      </w:tr>
      <w:tr>
        <w:trPr>
          <w:trHeight w:val="702"/>
        </w:trPr>
        <w:tc>
          <w:tcPr>
            <w:tcW w:w="3260" w:type="dxa"/>
            <w:vAlign w:val="bottom"/>
            <w:gridSpan w:val="2"/>
          </w:tcPr>
          <w:p>
            <w:pPr>
              <w:spacing w:after="0"/>
              <w:rPr>
                <w:sz w:val="20"/>
                <w:szCs w:val="20"/>
                <w:color w:val="auto"/>
              </w:rPr>
            </w:pPr>
            <w:r>
              <w:rPr>
                <w:rFonts w:ascii="Arial" w:cs="Arial" w:eastAsia="Arial" w:hAnsi="Arial"/>
                <w:sz w:val="22"/>
                <w:szCs w:val="22"/>
                <w:color w:val="auto"/>
              </w:rPr>
              <w:t>WESTLAKE VINYLS, INC.</w:t>
            </w:r>
          </w:p>
        </w:tc>
      </w:tr>
      <w:tr>
        <w:trPr>
          <w:trHeight w:val="46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2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/S/ M. STEVEN BENDER</w:t>
            </w:r>
          </w:p>
        </w:tc>
      </w:tr>
      <w:tr>
        <w:trPr>
          <w:trHeight w:val="733"/>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2340" w:type="dxa"/>
            <w:vAlign w:val="bottom"/>
          </w:tcPr>
          <w:p>
            <w:pPr>
              <w:spacing w:after="0"/>
              <w:rPr>
                <w:sz w:val="20"/>
                <w:szCs w:val="20"/>
                <w:color w:val="auto"/>
              </w:rPr>
            </w:pPr>
            <w:r>
              <w:rPr>
                <w:rFonts w:ascii="Arial" w:cs="Arial" w:eastAsia="Arial" w:hAnsi="Arial"/>
                <w:sz w:val="22"/>
                <w:szCs w:val="22"/>
                <w:color w:val="auto"/>
              </w:rPr>
              <w:t>Mark Steven Bender</w:t>
            </w:r>
          </w:p>
        </w:tc>
      </w:tr>
    </w:tbl>
    <w:p>
      <w:pPr>
        <w:spacing w:after="0" w:line="200" w:lineRule="exact"/>
        <w:rPr>
          <w:sz w:val="20"/>
          <w:szCs w:val="20"/>
          <w:color w:val="auto"/>
        </w:rPr>
      </w:pPr>
    </w:p>
    <w:p>
      <w:pPr>
        <w:spacing w:after="0" w:line="228" w:lineRule="exact"/>
        <w:rPr>
          <w:sz w:val="20"/>
          <w:szCs w:val="20"/>
          <w:color w:val="auto"/>
        </w:rPr>
      </w:pPr>
    </w:p>
    <w:p>
      <w:pPr>
        <w:ind w:left="5060"/>
        <w:spacing w:after="0"/>
        <w:tabs>
          <w:tab w:leader="none" w:pos="5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EVP &amp; CFO</w:t>
      </w:r>
    </w:p>
    <w:p>
      <w:pPr>
        <w:spacing w:after="0" w:line="260"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WESTLAKE PETROCHEMICALS LLC</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 Westlake Chemical Investments, Inc.,</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its Manager</w:t>
      </w:r>
    </w:p>
    <w:p>
      <w:pPr>
        <w:spacing w:after="0" w:line="26" w:lineRule="exact"/>
        <w:rPr>
          <w:sz w:val="20"/>
          <w:szCs w:val="20"/>
          <w:color w:val="auto"/>
        </w:rPr>
      </w:pPr>
    </w:p>
    <w:p>
      <w:pPr>
        <w:ind w:left="5060"/>
        <w:spacing w:after="0"/>
        <w:tabs>
          <w:tab w:leader="none" w:pos="5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 STEVEN BENDER</w:t>
      </w:r>
    </w:p>
    <w:p>
      <w:pPr>
        <w:spacing w:after="0" w:line="200" w:lineRule="exact"/>
        <w:rPr>
          <w:sz w:val="20"/>
          <w:szCs w:val="20"/>
          <w:color w:val="auto"/>
        </w:rPr>
      </w:pPr>
    </w:p>
    <w:p>
      <w:pPr>
        <w:spacing w:after="0" w:line="249" w:lineRule="exact"/>
        <w:rPr>
          <w:sz w:val="20"/>
          <w:szCs w:val="20"/>
          <w:color w:val="auto"/>
        </w:rPr>
      </w:pPr>
    </w:p>
    <w:p>
      <w:pPr>
        <w:ind w:left="5060"/>
        <w:spacing w:after="0"/>
        <w:tabs>
          <w:tab w:leader="none" w:pos="59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Mark Steven Bender</w:t>
      </w:r>
    </w:p>
    <w:p>
      <w:pPr>
        <w:spacing w:after="0" w:line="200" w:lineRule="exact"/>
        <w:rPr>
          <w:sz w:val="20"/>
          <w:szCs w:val="20"/>
          <w:color w:val="auto"/>
        </w:rPr>
      </w:pPr>
    </w:p>
    <w:p>
      <w:pPr>
        <w:spacing w:after="0" w:line="249" w:lineRule="exact"/>
        <w:rPr>
          <w:sz w:val="20"/>
          <w:szCs w:val="20"/>
          <w:color w:val="auto"/>
        </w:rPr>
      </w:pPr>
    </w:p>
    <w:p>
      <w:pPr>
        <w:ind w:left="5060"/>
        <w:spacing w:after="0"/>
        <w:tabs>
          <w:tab w:leader="none" w:pos="5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EVP &amp; CFO</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Amendment to Ethylene Sales Agreement</w:t>
      </w:r>
    </w:p>
    <w:p>
      <w:pPr>
        <w:sectPr>
          <w:pgSz w:w="11900" w:h="16838" w:orient="portrait"/>
          <w:cols w:equalWidth="0" w:num="1">
            <w:col w:w="11420"/>
          </w:cols>
          <w:pgMar w:left="240" w:top="125"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Senior Vice President, Chief Financial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September 30, 2018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decimal"/>
      <w:start w:val="13"/>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upperLetter"/>
      <w:start w:val="2"/>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0" Type="http://schemas.openxmlformats.org/officeDocument/2006/relationships/hyperlink" Target="http://www.sec.gov/Archives/edgar/data/1604665/000119312518294123/d633576dex11.htm" TargetMode="External"/><Relationship Id="rId31" Type="http://schemas.openxmlformats.org/officeDocument/2006/relationships/hyperlink" Target="http://www.sec.gov/Archives/edgar/data/1604665/000119312518231463/d58375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2020-01-10T21:28:18Z</dcterms:created>
  <dcterms:modified xsi:type="dcterms:W3CDTF">2020-01-10T21:28:18Z</dcterms:modified>
</cp:coreProperties>
</file>