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138430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135255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680" w:right="8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September 30, 2023</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163195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Arial" w:cs="Arial" w:eastAsia="Arial" w:hAnsi="Arial"/>
                <w:sz w:val="18"/>
                <w:szCs w:val="18"/>
                <w:b w:val="1"/>
                <w:bCs w:val="1"/>
                <w:color w:val="auto"/>
                <w:w w:val="89"/>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6"/>
              </w:rPr>
              <w:t>Identification No.)</w:t>
            </w:r>
          </w:p>
        </w:tc>
      </w:tr>
      <w:tr>
        <w:trPr>
          <w:trHeight w:val="466"/>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4000" w:type="dxa"/>
            <w:vAlign w:val="bottom"/>
          </w:tcPr>
          <w:p>
            <w:pPr>
              <w:spacing w:after="0"/>
              <w:rPr>
                <w:sz w:val="24"/>
                <w:szCs w:val="24"/>
                <w:color w:val="auto"/>
              </w:rPr>
            </w:pPr>
          </w:p>
        </w:tc>
      </w:tr>
      <w:tr>
        <w:trPr>
          <w:trHeight w:val="212"/>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4000" w:type="dxa"/>
            <w:vAlign w:val="bottom"/>
          </w:tcPr>
          <w:p>
            <w:pPr>
              <w:spacing w:after="0"/>
              <w:rPr>
                <w:sz w:val="18"/>
                <w:szCs w:val="18"/>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67"/>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Arial" w:cs="Arial" w:eastAsia="Arial" w:hAnsi="Arial"/>
                <w:sz w:val="18"/>
                <w:szCs w:val="18"/>
                <w:b w:val="1"/>
                <w:bCs w:val="1"/>
                <w:color w:val="auto"/>
                <w:w w:val="90"/>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0" w:type="dxa"/>
            <w:vAlign w:val="bottom"/>
          </w:tcPr>
          <w:p>
            <w:pPr>
              <w:spacing w:after="0"/>
              <w:rPr>
                <w:sz w:val="16"/>
                <w:szCs w:val="16"/>
                <w:color w:val="auto"/>
              </w:rPr>
            </w:pPr>
          </w:p>
        </w:tc>
      </w:tr>
      <w:tr>
        <w:trPr>
          <w:trHeight w:val="471"/>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82"/>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0"/>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Arial" w:cs="Arial" w:eastAsia="Arial" w:hAnsi="Arial"/>
                <w:sz w:val="18"/>
                <w:szCs w:val="18"/>
                <w:color w:val="auto"/>
                <w:w w:val="91"/>
              </w:rPr>
              <w:t>The New York Stock Exchange</w:t>
            </w:r>
          </w:p>
        </w:tc>
      </w:tr>
    </w:tbl>
    <w:p>
      <w:pPr>
        <w:spacing w:after="0" w:line="200" w:lineRule="exact"/>
        <w:rPr>
          <w:sz w:val="24"/>
          <w:szCs w:val="24"/>
          <w:color w:val="auto"/>
        </w:rPr>
      </w:pPr>
    </w:p>
    <w:p>
      <w:pPr>
        <w:spacing w:after="0" w:line="299" w:lineRule="exact"/>
        <w:rPr>
          <w:sz w:val="24"/>
          <w:szCs w:val="24"/>
          <w:color w:val="auto"/>
        </w:rPr>
      </w:pPr>
    </w:p>
    <w:p>
      <w:pPr>
        <w:ind w:right="2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22" w:lineRule="exact"/>
        <w:rPr>
          <w:sz w:val="24"/>
          <w:szCs w:val="24"/>
          <w:color w:val="auto"/>
        </w:rPr>
      </w:pPr>
    </w:p>
    <w:p>
      <w:pPr>
        <w:ind w:right="360"/>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18"/>
        </w:trPr>
        <w:tc>
          <w:tcPr>
            <w:tcW w:w="238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7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35,228,134 common units outstanding as of October 26, 2023.</w:t>
      </w:r>
    </w:p>
    <w:p>
      <w:pPr>
        <w:sectPr>
          <w:pgSz w:w="11900" w:h="16838" w:orient="portrait"/>
          <w:cols w:equalWidth="0" w:num="1">
            <w:col w:w="11240"/>
          </w:cols>
          <w:pgMar w:left="320" w:top="1043" w:right="339" w:bottom="227"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2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2)</w:t>
            </w:r>
          </w:p>
        </w:tc>
        <w:tc>
          <w:tcPr>
            <w:tcW w:w="992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3)</w:t>
            </w:r>
          </w:p>
        </w:tc>
        <w:tc>
          <w:tcPr>
            <w:tcW w:w="992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4)</w:t>
            </w:r>
          </w:p>
        </w:tc>
        <w:tc>
          <w:tcPr>
            <w:tcW w:w="992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1A) 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5)</w:t>
            </w:r>
          </w:p>
        </w:tc>
        <w:tc>
          <w:tcPr>
            <w:tcW w:w="99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6)</w:t>
            </w:r>
          </w:p>
        </w:tc>
        <w:tc>
          <w:tcPr>
            <w:tcW w:w="9920" w:type="dxa"/>
            <w:vAlign w:val="bottom"/>
          </w:tcPr>
          <w:p>
            <w:pPr>
              <w:ind w:left="20"/>
              <w:spacing w:after="0"/>
              <w:rPr>
                <w:sz w:val="20"/>
                <w:szCs w:val="20"/>
                <w:color w:val="auto"/>
              </w:rPr>
            </w:pPr>
            <w:r>
              <w:rPr>
                <w:rFonts w:ascii="Arial" w:cs="Arial" w:eastAsia="Arial" w:hAnsi="Arial"/>
                <w:sz w:val="18"/>
                <w:szCs w:val="18"/>
                <w:color w:val="auto"/>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2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(in thousands of dollars, except unit amounts)</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Receivable under the Investment Management Agreement—Westlake Corporation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net—Westlake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90,965</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959,114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990,213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130,159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payable—Westlake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payable—third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468,271</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rPr>
              <w:t>Common unitholders—publicly and privately held (21,105,904 and 21,099,638 units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issued and outstanding at September 30, 2023 and December 31, 2022,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480,643</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unitholder—Westlake (14,122,230 and 14,122,230 units issued and outstanding</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September 30, 2023 and December 31, 2022,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partner—Westlake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Westlake Chemical Partners LP 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291,930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611,778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861,272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903,708</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1,341,510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289,303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364,273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771,349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1,020,042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893,518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1,226,308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947,073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92,981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286,776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279,235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264,892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252,411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248,176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244,391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247,569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243,569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196,180</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6"/>
              </w:rPr>
              <w:t>Net income attributable to Westlake Chemical Partners LP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13,206</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14,757</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39,984</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47,389</w:t>
            </w:r>
          </w:p>
        </w:tc>
        <w:tc>
          <w:tcPr>
            <w:tcW w:w="0" w:type="dxa"/>
            <w:vAlign w:val="bottom"/>
          </w:tcPr>
          <w:p>
            <w:pPr>
              <w:spacing w:after="0"/>
              <w:rPr>
                <w:sz w:val="1"/>
                <w:szCs w:val="1"/>
                <w:color w:val="auto"/>
              </w:rPr>
            </w:pPr>
          </w:p>
        </w:tc>
      </w:tr>
      <w:tr>
        <w:trPr>
          <w:trHeight w:val="221"/>
        </w:trPr>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limited partners' interest in net income</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per limited partner unit attributable to Westlake</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Chemical Partners LP (basic and 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Weighted average limited partner units outstanding (basic and</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21,103,180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21,096,317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21,100,832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21,093,578</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14,122,230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Publicly and</w:t>
            </w:r>
          </w:p>
        </w:tc>
        <w:tc>
          <w:tcPr>
            <w:tcW w:w="104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40" w:type="dxa"/>
            <w:vAlign w:val="bottom"/>
          </w:tcPr>
          <w:p>
            <w:pPr>
              <w:spacing w:after="0"/>
              <w:rPr>
                <w:sz w:val="12"/>
                <w:szCs w:val="12"/>
                <w:color w:val="auto"/>
              </w:rPr>
            </w:pPr>
          </w:p>
        </w:tc>
        <w:tc>
          <w:tcPr>
            <w:tcW w:w="9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Partner</w:t>
            </w: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Westlake</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903,708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91,452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Distribution to noncontrolling interest retained in OpCo by Westlake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(88,678)</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889,878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75,264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Distribution to noncontrolling interest retained in OpCo by Westlake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(80,581)</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582,457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867,958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80,853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issued for vested phantom units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Distribution to unitholders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(16,606)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noncontrolling interest retained in OpCo by Westlake</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(71,074)</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474,895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579,030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861,272</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Unitholders—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Publicly and</w:t>
            </w:r>
          </w:p>
        </w:tc>
        <w:tc>
          <w:tcPr>
            <w:tcW w:w="104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Unitholder—</w:t>
            </w:r>
          </w:p>
        </w:tc>
        <w:tc>
          <w:tcPr>
            <w:tcW w:w="140" w:type="dxa"/>
            <w:vAlign w:val="bottom"/>
          </w:tcPr>
          <w:p>
            <w:pPr>
              <w:spacing w:after="0"/>
              <w:rPr>
                <w:sz w:val="12"/>
                <w:szCs w:val="12"/>
                <w:color w:val="auto"/>
              </w:rPr>
            </w:pPr>
          </w:p>
        </w:tc>
        <w:tc>
          <w:tcPr>
            <w:tcW w:w="9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Partner—</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Westlake</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972,698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80,825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Distribution to noncontrolling interest retained in OpCo by Westlake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(60,688)</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976,232</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84,439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Distribution to noncontrolling interest retained in OpCo by Westlake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(75,130)</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481,453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675,534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968,941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78,305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issued for vested phantom units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Distribution to unitholders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(16,604)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noncontrolling interest retained in OpCo by Westlake</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(78,668)</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480,535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53,787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660,414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952,164</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17"/>
        </w:trPr>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(in thousands of dollars)</w:t>
            </w:r>
          </w:p>
        </w:tc>
      </w:tr>
      <w:tr>
        <w:trPr>
          <w:trHeight w:val="26"/>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247,569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243,569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91,682</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Other losses (gains),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(23,109)</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accounts receivable—Westlake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68,520</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3,539</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(14,269)</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341,162</w:t>
            </w: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247,000</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debt payable to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 payable to 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 retained in OpCo by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(214,486)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unitholders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(49,807)</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(264,293)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280" w:firstLine="8"/>
        <w:spacing w:after="0" w:line="35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2022 (the "2022 Form 10-K"), filed with the SEC on March 1, 2023. These financial statements have been prepared in conformity with the accounting principles and practices as disclosed in the notes to the consolidated financial statements of the Partnership for the fiscal year ended December 31, 2022.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References to "Westlake" refer collectively to Westlake Corporation and its subsidiaries, other than the Partnership, OpCo and OpCo GP.</w:t>
      </w:r>
    </w:p>
    <w:p>
      <w:pPr>
        <w:spacing w:after="0" w:line="18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2023, its results of operations for the three and nine months ended September 30, 2023 and 2022 and the changes in its cash position for the nine months ended September 30, 2023 and 2022.</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2023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20,030</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60" w:type="dxa"/>
            <w:vAlign w:val="bottom"/>
          </w:tcPr>
          <w:p>
            <w:pPr>
              <w:ind w:left="42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08"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Depreciation expense on property, plant and equipment of $21,282 and $23,368 is included in cost of sales in the consolidated statements of operations for the three months ended September 30, 2023 and 2022, respectively. Depreciation expense on property, plant and equipment of $63,167 and $71,252 is included in cost of sales in the consolidated statements of operations for the nine months ended September 30, 2023 and 2022,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108"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Amortization expense on deferred charges and other assets of $6,944 and $6,023 is included in cost of sales in the consolidated statements of operations for the three months ended September 30, 2023 and 2022, respectively. Amortization expense on deferred charges and other assets of $18,735 and $20,430 is included in cost of sales in the consolidated statements of operations for the nine months ended September 30,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On October 31, 2023, the board of directors of Westlake Chemical Partners GP LLC ("Westlake GP"), the Partnership's general partner, declared a quarterly cash distribution for the three months ended September 30, 2023 of $0.4714 per unit. This distribution is payable on November 27, 2023 to unitholders of record as of November 10, 2023.</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13,206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14,757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39,984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47,389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16,607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49,814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49,799</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Distribution in excess of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1"/>
              </w:rPr>
              <w:t>(3,401)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4"/>
              </w:rPr>
              <w:t>(1,847)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4"/>
              </w:rPr>
              <w:t>(9,830)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(2,410)</w:t>
            </w: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16,607</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16,607</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35,225,410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35,225,410</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16,604</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35,218,547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35,218,547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92"/>
              </w:rPr>
              <w:t>Nine Months Ended September 30,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49,814</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49,814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35,223,062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35,223,062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jc w:val="center"/>
              <w:ind w:left="757"/>
              <w:spacing w:after="0"/>
              <w:rPr>
                <w:sz w:val="20"/>
                <w:szCs w:val="20"/>
                <w:color w:val="auto"/>
              </w:rPr>
            </w:pPr>
            <w:r>
              <w:rPr>
                <w:rFonts w:ascii="Arial" w:cs="Arial" w:eastAsia="Arial" w:hAnsi="Arial"/>
                <w:sz w:val="14"/>
                <w:szCs w:val="14"/>
                <w:b w:val="1"/>
                <w:bCs w:val="1"/>
                <w:color w:val="auto"/>
                <w:w w:val="92"/>
              </w:rPr>
              <w:t>Nine Months Ended September 30, 2022</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Incentive Distribution</w:t>
            </w:r>
          </w:p>
        </w:tc>
        <w:tc>
          <w:tcPr>
            <w:tcW w:w="480" w:type="dxa"/>
            <w:vAlign w:val="bottom"/>
          </w:tcPr>
          <w:p>
            <w:pPr>
              <w:spacing w:after="0"/>
              <w:rPr>
                <w:sz w:val="11"/>
                <w:szCs w:val="11"/>
                <w:color w:val="auto"/>
              </w:rPr>
            </w:pPr>
          </w:p>
        </w:tc>
        <w:tc>
          <w:tcPr>
            <w:tcW w:w="9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49,799</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49,799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35,215,808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35,215,808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w w:val="99"/>
              </w:rPr>
              <w:t>Marginal Percentage Interest in Distributions</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Unitholders</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The Partnership's distribution for the three months ended September 30, 2023 did not exceed the $1.2938 per unit threshold, and, as a result, no distribution was made with respect to the Partnership's incentive distribution rights to Westlake, as the holder of the Partnership's incentive distribution rights.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Per Common Unit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and nine months ended September 30, 2023 and 2022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10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September 30, 2023.</w:t>
      </w:r>
    </w:p>
    <w:p>
      <w:pPr>
        <w:spacing w:after="0" w:line="13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289,303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771,349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1,020,042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Feedstock purchased from Westlake and included in cost of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603,243</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135,574</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738,817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104"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4"/>
              </w:rPr>
              <w:t>Services received from Westlake and included in selling, general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19,966</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10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61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Goods and services purchased from Westlake and capitalized as assets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$1,186 and $940 was included in the receivable under the Investment Management Agreement balance at September 30, 2023 and December 31, 2022, respectively. Total interest earned related to the Investment Management Agreement was $1,186 and $691 for the three months ended September 30, 2023 and 2022, respectively, and $3,151 and $934 for the nine months ended September 30, 2023 and 2022, respectively.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84,358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64,996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10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16"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Based on OpCo's 2022 production, the Partnership recognized buyer deficiency fees of $23,835 during 2022. The buyer deficiency fee was received by the Partnership in January 2023. Additionally, as a result of force majeure events in 2021, the Partnership recognized a shortfall fee of $58,906 during 2021, of which $7,193 remained to be collected by the Partnership as of December 31, 2022. Of this amount, $6,451 was received in the nine months ended September 30, 2023 and the remaining amount will be collected during the remainder of 2023 pursuant to the terms of the Ethylene Sales Agreement.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54,625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90,965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payable to Westlake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34,087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OpCo is obligated to Westlake under various long-term and short-term noncancelable operating leases, primarily related to rail cars and land.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rentals paid to Westlake for such leases were $433 and $719 for the three months ended September 30, 2023 and 2022, respectively, and</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$1,480 and $1,979 for the nine months ended September 30, 2023 and 2022, respectively, and are reflected in other charges from Westlake that are included in cost of sales.</w:t>
      </w:r>
    </w:p>
    <w:p>
      <w:pPr>
        <w:spacing w:after="0" w:line="13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17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Interest on related party debt payable balances, net of capitalized interest, for the three months ended September 30, 2023 and 2022 was $6,437 and $3,645, respectively. Interest on related party debt payable balances, net of capitalized interest, for the nine months ended September 30, 2023 and 2022 was $19,869 and $8,703, respectively. Interest on related party debt payable is presented as interest expense—Westlake in the consolidated statements of operations. At September 30, 2023 and December 31, 2022, accrued interest on related party debt was $6,486 and $4,733, respectively, and is reflected as a component of accrued and other liabilities in the consolidated balance sheets.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10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During the three months ended September 30, 2023 and 2022, Westlake accounted for approximately 89.9% and 87.8%, respectively, of the Partnership's net sales. During the nine months ended September 30, 2023 and 2022, Westlake accounted for approximately 86.3% and 83.2%, respectively, of the Partnership's net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MLP Revolver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As of September 30, 2023,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interest rate on all long-term debt was 7.1% and 4.8% at September 30, 2023 and December 31, 2022,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2023, the Partnership was in compliance with all of the covenants under the OpCo Revolver and the MLP Revolver.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2023 and December 31, 2022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Arial" w:cs="Arial" w:eastAsia="Arial" w:hAnsi="Arial"/>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Arial" w:cs="Arial" w:eastAsia="Arial" w:hAnsi="Arial"/>
                <w:sz w:val="14"/>
                <w:szCs w:val="14"/>
                <w:b w:val="1"/>
                <w:bCs w:val="1"/>
                <w:color w:val="auto"/>
                <w:w w:val="90"/>
              </w:rPr>
              <w:t>Value</w:t>
            </w:r>
          </w:p>
        </w:tc>
      </w:tr>
      <w:tr>
        <w:trPr>
          <w:trHeight w:val="255"/>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405,879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920" w:firstLine="8"/>
        <w:spacing w:after="0" w:line="398"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spacing w:after="0" w:line="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Accrued and other liabilities were $31,355 and $17,537 at September 30, 2023 and December 31, 2022, respectively. Accrued maintenance expense, accrued capital expenditures, accrued interest on related party debt and accrued taxes, which are components of accrued and other liabilities, were $10,020, $5,320, $6,486 and $4,881, respectively, at September 30, 2023 and $3,752, $2,442, $4,733 and $2,652, respectively, at December 31, 2022. No other component of accrued and other liabilities was more than five percent of total current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Capital expenditure related liabilities, included in accounts payable—third parties and accrued and other liabilities, were $8,262 and $7,654 at September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Paid</w:t>
      </w:r>
    </w:p>
    <w:p>
      <w:pPr>
        <w:spacing w:after="0" w:line="104"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Interest paid by the Partnership, net of interest capitalized, was $18,095 and $7,335 for the nine months ended September 30, 2023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08"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27" w:lineRule="exact"/>
        <w:rPr>
          <w:sz w:val="20"/>
          <w:szCs w:val="20"/>
          <w:color w:val="auto"/>
        </w:rPr>
      </w:pPr>
    </w:p>
    <w:p>
      <w:pPr>
        <w:ind w:right="700" w:firstLine="405"/>
        <w:spacing w:after="0" w:line="263" w:lineRule="auto"/>
        <w:rPr>
          <w:sz w:val="20"/>
          <w:szCs w:val="20"/>
          <w:color w:val="auto"/>
        </w:rPr>
      </w:pPr>
      <w:r>
        <w:rPr>
          <w:rFonts w:ascii="Arial" w:cs="Arial" w:eastAsia="Arial" w:hAnsi="Arial"/>
          <w:sz w:val="18"/>
          <w:szCs w:val="18"/>
          <w:color w:val="auto"/>
        </w:rPr>
        <w:t>On September 27, 2021, shortly after the turnaround on Petro 2 commenced, there was a flash fire at the quench tower of the Petro 2 facility. Contractors working on the quench tower were injured. There are lawsuits pending in connection with the flash fire. Litigation and discovery are continuing, and settlements have been reached with most of the plaintiffs.</w:t>
      </w:r>
    </w:p>
    <w:p>
      <w:pPr>
        <w:spacing w:after="0" w:line="130"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Partnership is also involved in other legal proceedings incidental to the conduct of its business. After considering all relevant facts and circumstances, including applicable insurance, the Partnership does not believe that any of these legal proceedings will have a material adverse effect on its financial condition, results of operations or cash flows.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2022 (the "2022 Form 10-K"), as filed with the SEC on March 1, 2023.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10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4"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108"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or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or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289,303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364,273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771,349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1,020,042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32,361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50,850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122,169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206,266</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321,664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415,123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893,518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1,226,308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228,683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324,629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606,742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947,073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92,981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90,494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286,776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279,235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8,678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21,884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26,824</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86,240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81,816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264,892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252,411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(19,869)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81,075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78,789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248,176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244,391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80,853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78,305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247,569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243,569</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Less: Net income attributable to noncontrolling interest in</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OpCo</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67,647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63,548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207,585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196,180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w w:val="97"/>
              </w:rPr>
              <w:t>Net income attributable to Westlake Chemical Partners LP</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13,206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14,757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39,984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47,389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13,620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46,156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55,609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115,738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111,825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349,947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344,776</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76" w:lineRule="exact"/>
        <w:rPr>
          <w:rFonts w:ascii="Arial" w:cs="Arial" w:eastAsia="Arial" w:hAnsi="Arial"/>
          <w:sz w:val="18"/>
          <w:szCs w:val="18"/>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hanging="242"/>
        <w:spacing w:after="0" w:line="235" w:lineRule="auto"/>
        <w:rPr>
          <w:sz w:val="20"/>
          <w:szCs w:val="20"/>
          <w:color w:val="auto"/>
        </w:rPr>
      </w:pPr>
      <w:r>
        <w:rPr>
          <w:rFonts w:ascii="Arial" w:cs="Arial" w:eastAsia="Arial" w:hAnsi="Arial"/>
          <w:sz w:val="18"/>
          <w:szCs w:val="18"/>
          <w:color w:val="auto"/>
        </w:rPr>
        <w:t>Net sales percentage change from prior-year period due to average sales price and volume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September 30, 2023</w:t>
            </w:r>
          </w:p>
        </w:tc>
        <w:tc>
          <w:tcPr>
            <w:tcW w:w="3140" w:type="dxa"/>
            <w:vAlign w:val="bottom"/>
            <w:gridSpan w:val="3"/>
          </w:tcPr>
          <w:p>
            <w:pPr>
              <w:jc w:val="right"/>
              <w:ind w:right="264"/>
              <w:spacing w:after="0"/>
              <w:rPr>
                <w:sz w:val="20"/>
                <w:szCs w:val="20"/>
                <w:color w:val="auto"/>
              </w:rPr>
            </w:pPr>
            <w:r>
              <w:rPr>
                <w:rFonts w:ascii="Arial" w:cs="Arial" w:eastAsia="Arial" w:hAnsi="Arial"/>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5"/>
        </w:trPr>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16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Volume</w:t>
            </w:r>
          </w:p>
        </w:tc>
        <w:tc>
          <w:tcPr>
            <w:tcW w:w="0" w:type="dxa"/>
            <w:vAlign w:val="bottom"/>
          </w:tcPr>
          <w:p>
            <w:pPr>
              <w:spacing w:after="0"/>
              <w:rPr>
                <w:sz w:val="1"/>
                <w:szCs w:val="1"/>
                <w:color w:val="auto"/>
              </w:rPr>
            </w:pPr>
          </w:p>
        </w:tc>
      </w:tr>
      <w:tr>
        <w:trPr>
          <w:trHeight w:val="196"/>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62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-27.0 %</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392"/>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September 30, 2023</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-631825</wp:posOffset>
            </wp:positionV>
            <wp:extent cx="713232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660"/>
            <w:col w:w="63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Domestic US prices percentage change from prior-year period for fuel cost and feedstock</w:t>
            </w: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Fuel cost (Natural Gas)</w:t>
            </w:r>
          </w:p>
        </w:tc>
        <w:tc>
          <w:tcPr>
            <w:tcW w:w="1500" w:type="dxa"/>
            <w:vAlign w:val="bottom"/>
          </w:tcPr>
          <w:p>
            <w:pPr>
              <w:jc w:val="right"/>
              <w:spacing w:after="0"/>
              <w:rPr>
                <w:sz w:val="20"/>
                <w:szCs w:val="20"/>
                <w:color w:val="auto"/>
              </w:rPr>
            </w:pPr>
            <w:r>
              <w:rPr>
                <w:rFonts w:ascii="Arial" w:cs="Arial" w:eastAsia="Arial" w:hAnsi="Arial"/>
                <w:sz w:val="18"/>
                <w:szCs w:val="18"/>
                <w:color w:val="auto"/>
              </w:rPr>
              <w:t>-69.4 %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-60.9 %</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(Ethane)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17"/>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6"/>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341,162</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(93,205)</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243,569</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5"/>
              </w:rPr>
              <w:t>Depreciation, amortization and disposition of property, plant and</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520"/>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96,070</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Contribution to turnaround reserves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(21,811)</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(38,172)</w:t>
            </w: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8"/>
              </w:rPr>
              <w:t>Distributable cash flow attributable to noncontrolling interest in</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OpCo</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(224,047)</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18"/>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341,162</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(93,205)</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243,569</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expense—Westlake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252,411</w:t>
            </w: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91,682</w:t>
            </w:r>
          </w:p>
        </w:tc>
      </w:tr>
      <w:tr>
        <w:trPr>
          <w:trHeight w:val="229"/>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344,776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04" w:lineRule="exact"/>
        <w:rPr>
          <w:sz w:val="20"/>
          <w:szCs w:val="20"/>
          <w:color w:val="auto"/>
        </w:rPr>
      </w:pPr>
    </w:p>
    <w:p>
      <w:pPr>
        <w:jc w:val="both"/>
        <w:ind w:right="140" w:firstLine="405"/>
        <w:spacing w:after="0" w:line="287" w:lineRule="auto"/>
        <w:rPr>
          <w:sz w:val="20"/>
          <w:szCs w:val="20"/>
          <w:color w:val="auto"/>
        </w:rPr>
      </w:pPr>
      <w:r>
        <w:rPr>
          <w:rFonts w:ascii="Arial" w:cs="Arial" w:eastAsia="Arial" w:hAnsi="Arial"/>
          <w:sz w:val="16"/>
          <w:szCs w:val="16"/>
          <w:color w:val="auto"/>
        </w:rPr>
        <w:t>For the quarter ended September 30, 2023, net income was $80.9 million on net sales of $321.7 million. This represents an increase in net income of $2.6 million as compared to net income of $78.3 million on net sales of $415.1 million for the quarter ended September 30, 2022. Net income attributable to the Partnership for the third quarter of 2023 was $13.2 million as compared to $14.8 million for the third quarter of 2022, a decrease of $1.6 million.</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Income from operations was $86.2 million for the third quarter of 2023 as compared to $81.8 million for the third quarter of 2022. Income from operations and net income for the third quarter of 2023 as compared to the third quarter of 2022 were higher primarily due to lower ethane feedstock and natural gas costs in the third quarter of 2023 compared to the third quarter of 2022, partially offset by lower ethylene and co-products sales prices. Net income attributable to the Partnership for the third quarter of 2023 decreased as compared to the third quarter of 2022, primarily due to higher interest expense attributable to the Partnership, partially offset by the higher income from operations as discussed above. Net sales for the third quarter of 2023 decreased by $93.4 million as compared to net sales for the third quarter of 2022, mainly due to lower ethylene and co-products sales prices during the third quarter of 2023 as compared to the third quarter of 2022, partially offset by higher ethylene and co-products sales volumes.</w:t>
      </w:r>
    </w:p>
    <w:p>
      <w:pPr>
        <w:spacing w:after="0" w:line="11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For the nine months ended September 30, 2023, net income was $247.6 million on net sales of $893.5 million. This represents an increase in net income of $4.0 million as compared to net income of $243.6 million on net sales of $1,226.3 million for the nine months ended September 30, 2022. Net income attributable to the Partnership for the nine months ended September 30, 2023 was $40.0 million as compared to $47.4 million for the nine months ended September 30, 2022, a decrease of $7.4 million. Income from operations was $264.9 million for the nine months ended September 30, 2023 as compared to $252.4 million for the nine months ended September 30, 2022. Income from operations and net income for the nine months ended September 30, 2023 as compared to the nine months ended September 30, 2022 were higher primarily due to lower ethane feedstock and natural gas costs in the nine months ended September 30, 2023 compared to the nine months ended September 30, 2022, partially offset by lower ethylene and co-products sales prices. Net income attributable to the Partnership for the nine months ended September 30, 2023 decreased as compared to the nine months ended September 30, 2022, primarily due to higher interest expense attributable to the Partnership, partially offset by the higher income from operations as discussed above. Net sales for the nine months ended September 30, 2023 decreased by $332.8 million as compared to net sales for the nine months ended September 30, 2022, mainly due to lower ethylene and co-products sales prices during the nine months ended September 30, 2023 as compared to the nine months ended September 30,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with Third Quarter 2022</w:t>
      </w:r>
    </w:p>
    <w:p>
      <w:pPr>
        <w:spacing w:after="0" w:line="10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$93.4 million, or 22.5%, to $321.7 million in the third quarter of 2023 from $415.1 million in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2022. The decrease in net sales in the third quarter of 2023 was primarily due to lower ethylene and co-products sales prices in the third quarter of 2023 as compared to the third quarter of 2022, partially offset by higher ethylene and co-products sales volumes. Additionally, net sales in the third quarter of 2022 included a buyer deficiency fee recognized in the period. Lower average sales prices in the third quarter of 2023 contributed to a 27.7% decrease in net sales compared to the third quarter of 2022. Higher sales volumes in the third quarter of 2023 contributed to a 7.8% increase in net sales compared to the third quarter of 2022.</w:t>
      </w:r>
    </w:p>
    <w:p>
      <w:pPr>
        <w:spacing w:after="0" w:line="138"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$93.0 million in the third quarter of 2023 from $90.5 million in the third quarter of 2022. Gross profit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2023 was 28.9%, as compared to 21.8% for the third quarter of 2022. The increase in gross profit margin was primarily due to lower ethane feedstock and natural gas costs in the third quarter of 2023 as compared to the third quarter of 2022.</w:t>
      </w:r>
    </w:p>
    <w:p>
      <w:pPr>
        <w:spacing w:after="0" w:line="130"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$2.0 million, or 23.0%, to $6.7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2023 as compared to $8.7 million in the third quarter of 2022. The decrease in the third quarter of 2023 was mainly attributable to a reduction in the provision for credit losses recognized in the third quarter of 2022.</w:t>
      </w:r>
    </w:p>
    <w:p>
      <w:pPr>
        <w:spacing w:after="0" w:line="13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Interest Expense—Westlake. </w:t>
      </w:r>
      <w:r>
        <w:rPr>
          <w:rFonts w:ascii="Arial" w:cs="Arial" w:eastAsia="Arial" w:hAnsi="Arial"/>
          <w:sz w:val="18"/>
          <w:szCs w:val="18"/>
          <w:color w:val="auto"/>
        </w:rPr>
        <w:t>Interest expense of $6.4 million in the third quarter of 2023 increased from $3.6 million in the third quarter of 2022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higher average interest rate on debt owed to Westlake.</w:t>
      </w:r>
    </w:p>
    <w:p>
      <w:pPr>
        <w:spacing w:after="0" w:line="11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of $1.3 million in the third quarter of 2023 primarily represents interest earned on the balance with Westlake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Investment Management Agreement.</w:t>
      </w:r>
    </w:p>
    <w:p>
      <w:pPr>
        <w:spacing w:after="0" w:line="116"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$3.1 million to $13.6 million in the third quarter of 2023 from $16.7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2022. The decrease in the third quarter of 2023, as compared to the prior-year period, was primarily attributable to increased maintenance capital expenditures and higher interest expense, partially offset by increased earnings at OpCo.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increased by $3.9 million to $115.7 million in the third quarter of 2023 from $111.8 million in the third quarter of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lower ethane feedstock and natural gas costs in the third quarter of 2023 as compared to the third quarter of 2022, partially offset by lower ethylene and co-products sales prices.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with Nine Months Ended September 30, 2022</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$332.8 million, or 27.1%, to $893.5 million in the nine months ended September 30, 2023 from $1,226.3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September 30, 2022. The decrease in net sales in the nine months ended September 30, 2023 was primarily due to lower ethylene and co-products sales prices during the nine months ended September 30, 2023 as compared to the nine months ended September 30, 2022. Lower average sales prices in the nine months ended September 30, 2023 contributed to a 27.0% decrease in net sales compared to the nine months ended September 30, 2022. Higher sales volumes in the nine months ended September 30, 2023 contributed to a 0.7% increase in net sales as compared to the nine months ended September 30, 2022.</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to $286.8 million in the nine months ended September 30, 2023 from $279.2 million in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The gross profit margin in the nine months ended September 30, 2023 was 32.1%, as compared to 22.8%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The increase in gross profit margin was primarily due to lower ethane feedstock and natural gas costs in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compared to the nine months ended September 30, 2022.</w:t>
      </w:r>
    </w:p>
    <w:p>
      <w:pPr>
        <w:spacing w:after="0" w:line="15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$4.9 million, or 18.3%, to $21.9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2023 as compared to $26.8 million in the nine months ended September 30, 2022. The decrease in the nine months ended September 30, 2023 was mainly attributable to a reduction in the provision for credit losses recognized in the nine months ended September 30, 2022.</w:t>
      </w:r>
    </w:p>
    <w:p>
      <w:pPr>
        <w:spacing w:after="0" w:line="13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Interest Expense—Westlake. </w:t>
      </w:r>
      <w:r>
        <w:rPr>
          <w:rFonts w:ascii="Arial" w:cs="Arial" w:eastAsia="Arial" w:hAnsi="Arial"/>
          <w:sz w:val="18"/>
          <w:szCs w:val="18"/>
          <w:color w:val="auto"/>
        </w:rPr>
        <w:t>Interest expense of $19.9 million in the nine months ended September 30, 2023 increased from $8.7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due to a higher average interest rate on debt owed to Westlake.</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of $3.2 million in the nine months ended September 30, 2023 primarily represents interest earned on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Westlake under the Investment Management Agreement.</w:t>
      </w:r>
    </w:p>
    <w:p>
      <w:pPr>
        <w:spacing w:after="0" w:line="11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i w:val="1"/>
          <w:iCs w:val="1"/>
          <w:color w:val="auto"/>
        </w:rPr>
        <w:t xml:space="preserve">MLP Distributable Cash Flow. </w:t>
      </w:r>
      <w:r>
        <w:rPr>
          <w:rFonts w:ascii="Arial" w:cs="Arial" w:eastAsia="Arial" w:hAnsi="Arial"/>
          <w:sz w:val="17"/>
          <w:szCs w:val="17"/>
          <w:color w:val="auto"/>
        </w:rPr>
        <w:t>MLP distributable cash flow decreased by $9.4 million to $46.2 million in the nine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from $55.6 million in the nine months ended September 30, 2022. The decrease in the nine months ended September 30, 2023, as compared to the prior-year period, was primarily attributable to higher interest expense, partially offset by increased earnings at OpCo.</w:t>
      </w:r>
    </w:p>
    <w:p>
      <w:pPr>
        <w:spacing w:after="0" w:line="11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EBITDA increased by $5.1 million to $349.9 million in the nine months ended September 30, 2023 from $344.8 million in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2022. The increase was primarily due to lower ethane feedstock and natural gas costs in the nine months ended September 30, 2023 as compared to the nine months ended September 30, 2022, partially offset by lower ethylene and co-products sales prices.</w:t>
      </w:r>
    </w:p>
    <w:p>
      <w:pPr>
        <w:spacing w:after="0" w:line="202" w:lineRule="exact"/>
        <w:rPr>
          <w:sz w:val="20"/>
          <w:szCs w:val="20"/>
          <w:color w:val="auto"/>
        </w:rPr>
      </w:pPr>
    </w:p>
    <w:p>
      <w:pPr>
        <w:ind w:right="3460"/>
        <w:spacing w:after="0" w:line="354" w:lineRule="auto"/>
        <w:rPr>
          <w:sz w:val="20"/>
          <w:szCs w:val="20"/>
          <w:color w:val="auto"/>
        </w:rPr>
      </w:pPr>
      <w:r>
        <w:rPr>
          <w:rFonts w:ascii="Arial" w:cs="Arial" w:eastAsia="Arial" w:hAnsi="Arial"/>
          <w:sz w:val="18"/>
          <w:szCs w:val="18"/>
          <w:b w:val="1"/>
          <w:bCs w:val="1"/>
          <w:color w:val="auto"/>
        </w:rPr>
        <w:t xml:space="preserve">CASH FLOW DISCUSSION FOR THE NINE MONTHS ENDED SEPTEMBER 30, 2023 AND 2022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Operating activities provided cash of $344.3 million in the first nine months of 2023 compared to cash provided by operating activities of $341.2 million in the first nine months of 2022. The $3.1 million increase in cash flows from operating activities was mainly due to an increase of $37.2 million in cash provided by working capital during the nine months ended September 30, 2023 as compared to the prior-year period, which was partially offset by cash used for the Calvert City Olefins turnaround activity.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provided cash of $39.5 million in the first nine months of 2023 as compared to $2.3 million of cash provided in the first nine months of 2022, resulting in an overall favorable change of $37.2 million. The favorable change in working capital was mainly attributable to a favorable change in accounts receivable—third parties, accounts payable—third parties and accrued and other liabilities, primarily due to the timing of payment of accruals and the impact on accounts receivable of the Petro 2 turnaround activities in 2021, which impacted the changes in working capital in the first nine months of 2022. These favorable changes were partially offset by an unfavorable change in accounts payable—Westlake due to fluctuating ethane feedstock costs. Additionally, there was an unfavorable change in accounts receivable, net— Westlake due to a smaller buyer deficiency fee and Shortfall collected in the first nine months of 2023 as compared to the first nine months of 2022, which was partially offset by the impact on accounts receivable, net—Westlake of the Petro 2 turnaround activities in 2021.</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Net cash used for investing activities in the first nine months of 2023 was $53.1 million as compared to net cash used for investing activities of $74.5 million in the first nine months of 2022. The $21.4 million decrease in net cash used for investing activities was mainly due to a decrease in capital expenditures and a decrease in net cash invested under the Investment Management Agreement in the first nine months of 2023 as compared to the prior-year period. Capital expenditures in the first nine months of 2023 and 2022 were primarily related to projects to increase production capacity or reduce costs, maintenance and safety and environmental projects at our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Net cash used for financing activities in the first nine months of 2023 was $290.1 million as compared to net cash used for financing activities of $264.3 million in the first nine months of 2022. The outflows in the first nine months of 2023 were related to distributions of $240.3 million to the noncontrolling interest retained in OpCo by Westlake and of $49.8 million to unitholders by the Partnership. The cash outflows in the first nine months of 2022 were related to distributions of $214.5 million to the noncontrolling interest retained in OpCo by Westlake and of $49.8 million to unitholders by the Partnership.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0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September 30, 2023.</w:t>
      </w:r>
    </w:p>
    <w:p>
      <w:pPr>
        <w:spacing w:after="0" w:line="122"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30"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12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October 31, 2023, the board of directors of Westlake Chemical Partners GP LLC, our general partner, approved a quarterly distribution of $0.4714 per unit payable on November 27, 2023 to unitholders of record as of November 10, 2023, which equates to a total amount of approximately $16.6 million per quarter, or approximately $66.4 million per year in aggregate, based on the number of common units outstanding on September 30, 2023. We do not have a legal or contractual obligation to pay distributions on a quarterly basis or any other basis at our minimum quarterly distribution rate or any other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0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No such funding was required by OpCo during the nine months ended September 30, 2023 and 2022. Total capital expenditures for the nine months ended September 30, 2023 and 2022 were $34.0 million and $45.5 million, respectively. We expect that Westlake will loan additional cash to OpCo to fund its expansion capital expenditures in the future, but Westlake is under no obligation to do so.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As of September 30, 2023, our cash and cash equivalents totaled $65.9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$84.4 million of cash invested under the Investment Management Agreement at September 30, 2023.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September 30, 2023, outstanding borrowings under the OpCo Revolver totaled $22.6 million and bore interest at SOFR plus the Applicable Margin and credit spread adjustment, which is accrued in arrears quarterly.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0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September 30, 2023,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ongoing supply chain constraints caused by the conflicts in the Middle East and between Russia and Ukraine;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At-the-Market program and the use of any net proceeds from any sales under that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OpCo's ability to extend our credit agreements with 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any buyer deficiency fee and Shortfall under the Ethylene Sales Agreement;</w:t>
      </w:r>
    </w:p>
    <w:p>
      <w:pPr>
        <w:spacing w:after="0" w:line="10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2022 Form 10-K and the following:</w:t>
      </w:r>
    </w:p>
    <w:p>
      <w:pPr>
        <w:spacing w:after="0" w:line="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including inflation, interest rates and possible recession;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crude oil prices reducing the cost advantage of ethane-based ethylene producers;</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associated with climate change;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impact on demand for ethylene due to initiatives such as recycling and customers seeking alternatives to polymers;</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0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systems failures and cyberattacks;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September 30,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September 30, 2023,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September 30, 2023 was 7.1%.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September 30, 2023 debt balance.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2022 Form 10-K, filed on March 1, 2023,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130"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w:t>
      </w:r>
    </w:p>
    <w:p>
      <w:pPr>
        <w:spacing w:after="0" w:line="7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a discussion of risk factors, please read Item 1A, "Risk Factors" in the 2022 Form 10-K. There have been no material changes from those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Rule 10b5-1 Trading Arrangements. </w:t>
      </w:r>
      <w:r>
        <w:rPr>
          <w:rFonts w:ascii="Arial" w:cs="Arial" w:eastAsia="Arial" w:hAnsi="Arial"/>
          <w:sz w:val="18"/>
          <w:szCs w:val="18"/>
          <w:color w:val="auto"/>
        </w:rPr>
        <w:t>During the three months ended September 30, 2023, no director or officer of the Partnership's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920" w:type="dxa"/>
            <w:vAlign w:val="bottom"/>
            <w:gridSpan w:val="18"/>
          </w:tcPr>
          <w:p>
            <w:pPr>
              <w:ind w:left="17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44">
              <w:r>
                <w:rPr>
                  <w:rFonts w:ascii="Arial" w:cs="Arial" w:eastAsia="Arial" w:hAnsi="Arial"/>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Arial" w:cs="Arial" w:eastAsia="Arial" w:hAnsi="Arial"/>
                <w:sz w:val="18"/>
                <w:szCs w:val="18"/>
                <w:color w:val="0000FF"/>
              </w:rPr>
            </w:pPr>
            <w:hyperlink r:id="rId47">
              <w:r>
                <w:rPr>
                  <w:rFonts w:ascii="Arial" w:cs="Arial" w:eastAsia="Arial" w:hAnsi="Arial"/>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48">
              <w:r>
                <w:rPr>
                  <w:rFonts w:ascii="Arial" w:cs="Arial" w:eastAsia="Arial" w:hAnsi="Arial"/>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3"/>
        </w:trPr>
        <w:tc>
          <w:tcPr>
            <w:tcW w:w="1320" w:type="dxa"/>
            <w:vAlign w:val="bottom"/>
            <w:gridSpan w:val="2"/>
          </w:tcPr>
          <w:p>
            <w:pPr>
              <w:spacing w:after="0"/>
              <w:rPr>
                <w:sz w:val="20"/>
                <w:szCs w:val="20"/>
                <w:color w:val="auto"/>
              </w:rPr>
            </w:pPr>
            <w:r>
              <w:rPr>
                <w:rFonts w:ascii="Arial" w:cs="Arial" w:eastAsia="Arial" w:hAnsi="Arial"/>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4"/>
        </w:trPr>
        <w:tc>
          <w:tcPr>
            <w:tcW w:w="132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63"/>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20"/>
          </w:tcPr>
          <w:p>
            <w:pPr>
              <w:spacing w:after="0"/>
              <w:rPr>
                <w:sz w:val="20"/>
                <w:szCs w:val="20"/>
                <w:color w:val="auto"/>
              </w:rPr>
            </w:pPr>
            <w:r>
              <w:rPr>
                <w:rFonts w:ascii="Arial" w:cs="Arial" w:eastAsia="Arial" w:hAnsi="Arial"/>
                <w:sz w:val="18"/>
                <w:szCs w:val="18"/>
                <w:color w:val="auto"/>
                <w:w w:val="93"/>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40" w:right="300" w:hanging="1314"/>
        <w:spacing w:after="0" w:line="246"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117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3"/>
          <w:szCs w:val="13"/>
          <w:b w:val="1"/>
          <w:bCs w:val="1"/>
          <w:color w:val="auto"/>
        </w:rPr>
        <w:t>President, Chief Executive Officer and Director of</w:t>
      </w:r>
    </w:p>
    <w:p>
      <w:pPr>
        <w:jc w:val="center"/>
        <w:ind w:left="6940"/>
        <w:spacing w:after="0" w:line="223"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Executive Officer)</w:t>
      </w:r>
    </w:p>
    <w:p>
      <w:pPr>
        <w:spacing w:after="0" w:line="304"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11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20"/>
          </w:cols>
          <w:pgMar w:left="320" w:top="121" w:right="8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 (the "registrant");</w:t>
      </w:r>
    </w:p>
    <w:p>
      <w:pPr>
        <w:spacing w:after="0" w:line="157"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40" w:right="140" w:hanging="666"/>
        <w:spacing w:after="0" w:line="229"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60" w:hanging="666"/>
        <w:spacing w:after="0" w:line="229"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right="480" w:hanging="666"/>
        <w:spacing w:after="0" w:line="307" w:lineRule="auto"/>
        <w:tabs>
          <w:tab w:leader="none" w:pos="1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26"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 (the "registrant");</w:t>
      </w:r>
    </w:p>
    <w:p>
      <w:pPr>
        <w:spacing w:after="0" w:line="157"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40" w:right="140" w:hanging="666"/>
        <w:spacing w:after="0" w:line="229"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60" w:hanging="666"/>
        <w:spacing w:after="0" w:line="229"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right="480" w:hanging="666"/>
        <w:spacing w:after="0" w:line="307"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600" w:val="left"/>
          <w:tab w:leader="none" w:pos="822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spacing w:after="0" w:line="3"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In connection with the Quarterly Report of Westlake Chemical Partners LP (the "Partnership") on Form 10-Q for the fiscal quarter ended September 30, 2023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49" w:lineRule="exact"/>
        <w:rPr>
          <w:sz w:val="20"/>
          <w:szCs w:val="20"/>
          <w:color w:val="auto"/>
        </w:rPr>
      </w:pPr>
    </w:p>
    <w:p>
      <w:pPr>
        <w:ind w:left="560" w:hanging="30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26"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2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44" Type="http://schemas.openxmlformats.org/officeDocument/2006/relationships/hyperlink" Target="http://www.sec.gov/Archives/edgar/data/1604665/000119312514164760/d715499dex31.htm" TargetMode="External"/><Relationship Id="rId45" Type="http://schemas.openxmlformats.org/officeDocument/2006/relationships/hyperlink" Target="http://www.sec.gov/Archives/edgar/data/1604665/000119312514303305/d756630dex31.htm" TargetMode="External"/><Relationship Id="rId46" Type="http://schemas.openxmlformats.org/officeDocument/2006/relationships/hyperlink" Target="http://www.sec.gov/Archives/edgar/data/1604665/000119312517345554/d493400dex31.htm" TargetMode="External"/><Relationship Id="rId47" Type="http://schemas.openxmlformats.org/officeDocument/2006/relationships/hyperlink" Target="http://www.sec.gov/Archives/edgar/data/1604665/000119312518231463/d583758dex31.htm" TargetMode="External"/><Relationship Id="rId48" Type="http://schemas.openxmlformats.org/officeDocument/2006/relationships/hyperlink" Target="http://www.sec.gov/Archives/edgar/data/1604665/000119312514303305/d756630dex107.htm" TargetMode="External"/><Relationship Id="rId49" Type="http://schemas.openxmlformats.org/officeDocument/2006/relationships/hyperlink" Target="http://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2023-11-02T13:20:30Z</dcterms:created>
  <dcterms:modified xsi:type="dcterms:W3CDTF">2023-11-02T13:20:30Z</dcterms:modified>
</cp:coreProperties>
</file>