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4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478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7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32,237,266 common units outstanding as of April 26, 2018.</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5">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15">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13</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4">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4">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26">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c>
          <w:tcPr>
            <w:tcW w:w="0" w:type="dxa"/>
            <w:vAlign w:val="bottom"/>
          </w:tcPr>
          <w:p>
            <w:pPr>
              <w:spacing w:after="0"/>
              <w:rPr>
                <w:sz w:val="1"/>
                <w:szCs w:val="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Receivable under the Investment Management Agreement—Westlake Chemical</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Corporation ("Westlake")</w:t>
            </w:r>
          </w:p>
        </w:tc>
        <w:tc>
          <w:tcPr>
            <w:tcW w:w="2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134,712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136,510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231,389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1,183,409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1,196,245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81,828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1,492,604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477,608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473,960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516,527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4"/>
              </w:rPr>
              <w:t>Common unitholders—public (18,115,036 and 18,112,500 units issued and outstanding at March 31, 2018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December 31, 2017, respectively)</w:t>
            </w:r>
          </w:p>
        </w:tc>
        <w:tc>
          <w:tcPr>
            <w:tcW w:w="2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410,786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411,228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unitholder—Westlake (14,122,230 and 14,122,230 units issued and outstanding at March 31, 2018 and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(241,958)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219,117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756,206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778,935</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975,323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1,492,604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(in thousands of dollars, except unit amounts and</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per unit data)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235,031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212,930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284,272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277,448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191,767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92,505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97,961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85,372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90,133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80,997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80,714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76,264</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12,295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9,764</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 Westlake Chemical Partners LP (basic</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18,115,036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12,937,500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12,686,115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8"/>
                <w:szCs w:val="18"/>
                <w:color w:val="auto"/>
              </w:rPr>
              <w:t>Distributions per common unit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0.3864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0.3450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9"/>
              </w:rPr>
              <w:t>Partnership</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ind w:left="700"/>
              <w:spacing w:after="0"/>
              <w:rPr>
                <w:sz w:val="20"/>
                <w:szCs w:val="20"/>
                <w:color w:val="auto"/>
              </w:rPr>
            </w:pPr>
            <w:r>
              <w:rPr>
                <w:rFonts w:ascii="Arial" w:cs="Arial" w:eastAsia="Arial" w:hAnsi="Arial"/>
                <w:sz w:val="14"/>
                <w:szCs w:val="14"/>
                <w:b w:val="1"/>
                <w:bCs w:val="1"/>
                <w:color w:val="auto"/>
                <w:w w:val="99"/>
              </w:rPr>
              <w:t>(in thousands of dollars)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76,264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(89,617)</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297,462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42,626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(242,341)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805,126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907,985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68,419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80,714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Units issued for vested phantom units</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(91,148)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410,786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756,206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975,323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80,714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86,028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30,150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from disposition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5,150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(9,626)</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149,078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 of debt payable to Westlake</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(11,423)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(9,478)</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(93,518)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34,074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122,974</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4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On September 29, 2017, the Partnership completed its secondary offering of 5,175,000 common units at a price of $22.00 per unit.</w:t>
      </w:r>
    </w:p>
    <w:p>
      <w:pPr>
        <w:spacing w:after="0" w:line="5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The remaining 81.7% limited partner interest in OpCo is owned by Westlake Chemical Corporation.</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owns three ethylene production facilities and a common carrier ethylene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392"/>
        <w:spacing w:after="0" w:line="291"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2017 consolidated financial statements and notes thereto of the Partnership included in the annual report on Form 10-K for the fiscal year ended December 31, 2017 (the "2017 Form 10-K"), filed with the SEC on March 1, 2018. These financial statements have been prepared in conformity with the accounting principles and practices as disclosed in the notes to the consolidated financial statements of the Partnership for the fiscal year ended December 31, 2017 with the exceptions of those accounting standards adopted in the first quarter of 2018 as discussed in Note 1.</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60" w:firstLine="392"/>
        <w:spacing w:after="0" w:line="271" w:lineRule="auto"/>
        <w:rPr>
          <w:sz w:val="20"/>
          <w:szCs w:val="20"/>
          <w:color w:val="auto"/>
        </w:rPr>
      </w:pPr>
      <w:r>
        <w:rPr>
          <w:rFonts w:ascii="Arial" w:cs="Arial" w:eastAsia="Arial" w:hAnsi="Arial"/>
          <w:sz w:val="17"/>
          <w:szCs w:val="17"/>
          <w:color w:val="auto"/>
        </w:rPr>
        <w:t>The Partnership holds an 18.3% limited partner interest and the entire non-economic general partner interest in OpCo. The remaining 81.7%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81.7% is recorded as noncontrolling interest in the Partnership's consolidated financial statements.</w:t>
      </w:r>
    </w:p>
    <w:p>
      <w:pPr>
        <w:spacing w:after="0" w:line="1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2018, its results of operations for the three months ended March 31, 2018 and 2017 and the changes in its cash position for the three months ended March 31, 2018 and 2017.</w:t>
      </w:r>
    </w:p>
    <w:p>
      <w:pPr>
        <w:spacing w:after="0" w:line="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2018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May 2014, the Financial Accounting Standards Board ("FASB") issued an accounting standards update on a comprehensive new revenue recognition standard that supersedes virtually all previously issued revenue recognition guidance. The new accounting guidance creates a framework by which an entity will allocate the transaction price to separate performance obligations and recognize revenue when each performance obligation is satisfied. Under the new standard, entities are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"modified retrospective" adoption, meaning the standard is applied only to the most current period presented in the financial statements with a cumulative catch-up as of the current period.</w:t>
      </w:r>
    </w:p>
    <w:p>
      <w:pPr>
        <w:spacing w:after="0" w:line="16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The Partnership adopted ASC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effective January 1, 2018. The Company applied the modified retrospective transition method to all contracts that were not completed as of the adoption date. Periods prior to January 1, 2018 were not adjusted and are reported under the accounting standards that were in place during those periods. There was no cumulative effect to the Partnership’s consolidated January 1, 2018 balance sheet for the adoption of this accounting standard. There was no impact of ASC 606 adoption on the financial statements for the three months ended March 31, 2017 as compared with the guidance that was in effect prior to January 1, 2018.</w:t>
      </w:r>
    </w:p>
    <w:p>
      <w:pPr>
        <w:spacing w:after="0" w:line="25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(i) have an original expected duration of one year or less or (ii) have only variable consideration which is allocated to wholly unsatisfied performance obligations that is calculated based on market prices at a specified date and is allocated to wholly unsatisfied performance obligations.</w:t>
      </w:r>
    </w:p>
    <w:p>
      <w:pPr>
        <w:spacing w:after="0" w:line="12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Partnership generates a substantial majority of its revenue from sales to Westlake under the Ethylene Sales Agreement (discussed in Note 2 to the 2017 Form 10-K). The Ethylene Sales Agreement is intended to generate a long-term, fixed cash margin per pound. Partnership’s direct commodity price risk is limited to the sales to third parties. Refer to the Partnership’s Consolidated Statement of Operations for the disaggregation of net sales to Westlake and net sales to third parties.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the FASB ASC Topic 606, Revenue from contracts with customers.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5,244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346</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5,590</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81"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Depreciation expense on property, plant and equipment of $22,157 and $23,413 is included in cost of sales in the consolidated statements of operations for the three months ended March 31,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Amortization expense on other assets of $5,541 and $6,737 is included in costs of sales in the consolidated statements of operations for the three months ended March 31, 2018 and 2017,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175" w:lineRule="exact"/>
        <w:rPr>
          <w:sz w:val="20"/>
          <w:szCs w:val="20"/>
          <w:color w:val="auto"/>
        </w:rPr>
      </w:pPr>
    </w:p>
    <w:p>
      <w:pPr>
        <w:ind w:right="240" w:firstLine="392"/>
        <w:spacing w:after="0" w:line="312" w:lineRule="auto"/>
        <w:rPr>
          <w:sz w:val="20"/>
          <w:szCs w:val="20"/>
          <w:color w:val="auto"/>
        </w:rPr>
      </w:pPr>
      <w:r>
        <w:rPr>
          <w:rFonts w:ascii="Arial" w:cs="Arial" w:eastAsia="Arial" w:hAnsi="Arial"/>
          <w:sz w:val="16"/>
          <w:szCs w:val="16"/>
          <w:color w:val="auto"/>
        </w:rPr>
        <w:t>On April 30, 2018, the board of directors of Westlake Chemical Partners GP LLC ("Westlake GP"), the Partnership's general partner, declared a quarterly cash distribution for the period from January 1, 2018 through March 31, 2018 of $0.3975 per unit and of $733 to the holder of the Partnership's incentive distribution rights ("IDR Holder"). This distribution is payable on May 24, 2018 to the unitholders and IDR Holder of record as of May 10, 2018.</w:t>
      </w:r>
    </w:p>
    <w:p>
      <w:pPr>
        <w:spacing w:after="0" w:line="1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 Agreement provides that the Partnership will distribute cash each quarter in the following manner: first, to all the unitholders, until each unit has received the minimum quarterly distribution of $0.2750, plus any arrearages from prior quarters; and second, to all the unitholders, pro-rata, until each unit has received a distribution of $0.3163. If cash distributions to the Partnership's unitholders exceed $0.3163 per unit in any quarter, the Partnership's unitholders and Westlake, as the holder of the Partnership's incentive distribution rights, will receive distributions according to the following percentage allocations: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the three months ended March 31, 2018, the Partnership's distribution exceeded the $0.3163 per common unit target, which resulted in distributions to the IDR Holder.</w:t>
      </w:r>
    </w:p>
    <w:p>
      <w:pPr>
        <w:spacing w:after="0" w:line="116"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31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distributions declared on common units</w:t>
            </w:r>
          </w:p>
        </w:tc>
        <w:tc>
          <w:tcPr>
            <w:tcW w:w="2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Limited partners' distributions declared on subordinated units</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Distributions declared with respect to the incentive distribution rights</w:t>
            </w:r>
          </w:p>
        </w:tc>
        <w:tc>
          <w:tcPr>
            <w:tcW w:w="2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Distribution in excess of net income</w:t>
            </w:r>
          </w:p>
        </w:tc>
        <w:tc>
          <w:tcPr>
            <w:tcW w:w="28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40" w:type="dxa"/>
            <w:vAlign w:val="bottom"/>
            <w:vMerge w:val="restart"/>
          </w:tcPr>
          <w:p>
            <w:pPr>
              <w:jc w:val="right"/>
              <w:ind w:right="251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4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12,686,115 subordinated units, all of which were owned by Westlake, were converted into common units during the third quarter of 2017 and were considered converted as of July 1, 2017 for purposes of calculating net income per unit. Therefore, the subordinated units did not share in the distribution of cash generated nor did the partnership allocate any earnings to the subordinated unitholders for the determination of net income per unit subsequent to June 30,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23495</wp:posOffset>
            </wp:positionV>
            <wp:extent cx="2958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12,814</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11,562</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32,236,449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32,236,449</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-1097280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-745490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-385445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-16510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3" w:lineRule="exact"/>
        <w:rPr>
          <w:sz w:val="20"/>
          <w:szCs w:val="20"/>
          <w:color w:val="auto"/>
        </w:rPr>
      </w:pPr>
    </w:p>
    <w:p>
      <w:pPr>
        <w:ind w:left="2680" w:hanging="1052"/>
        <w:spacing w:after="0"/>
        <w:tabs>
          <w:tab w:leader="none" w:pos="2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31750</wp:posOffset>
            </wp:positionV>
            <wp:extent cx="951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48895</wp:posOffset>
            </wp:positionV>
            <wp:extent cx="951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78"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978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Pr>
          <w:p>
            <w:pPr>
              <w:spacing w:after="0"/>
              <w:rPr>
                <w:sz w:val="14"/>
                <w:szCs w:val="14"/>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Subordinated Units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5,101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4,502</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4,469</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-1465580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-1114425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-753745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-385445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ind w:right="20" w:firstLine="405"/>
        <w:spacing w:after="0" w:line="255" w:lineRule="auto"/>
        <w:rPr>
          <w:sz w:val="20"/>
          <w:szCs w:val="20"/>
          <w:color w:val="auto"/>
        </w:rPr>
      </w:pPr>
      <w:r>
        <w:rPr>
          <w:rFonts w:ascii="Arial" w:cs="Arial" w:eastAsia="Arial" w:hAnsi="Arial"/>
          <w:sz w:val="18"/>
          <w:szCs w:val="18"/>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 As discussed in Note 6, the subordinated units were considered converted as of July 1, 2017 for purposes of calculating net income per unit and, therefore, the subordinated units did not share in the distribution of cash generated nor did the Partnership allocate any earnings to the subordinated unitholders for the determination of net income per unit subsequent to June 30, 2017.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On September 29, 2017, the Partnership completed its secondary offering of 5,175,000 common units at a price of $22.00 per unit. Net proceeds to the Partnership from the sale of the units were $110,739, net of underwriting discounts, structuring fees and estimated offering expenses of approximately $3,111.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Net sales—Westlake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235,031</w:t>
        <w:tab/>
        <w:t>$</w:t>
      </w:r>
      <w:r>
        <w:rPr>
          <w:sz w:val="20"/>
          <w:szCs w:val="20"/>
          <w:color w:val="auto"/>
        </w:rPr>
        <w:tab/>
      </w:r>
      <w:r>
        <w:rPr>
          <w:rFonts w:ascii="Arial" w:cs="Arial" w:eastAsia="Arial" w:hAnsi="Arial"/>
          <w:sz w:val="16"/>
          <w:szCs w:val="16"/>
          <w:color w:val="auto"/>
        </w:rPr>
        <w:t>212,930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25,417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133,821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122,530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 general and administrative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6,251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440" w:val="left"/>
          <w:tab w:leader="none" w:pos="9960" w:val="left"/>
          <w:tab w:leader="none" w:pos="10880" w:val="left"/>
        </w:tabs>
        <w:rPr>
          <w:sz w:val="20"/>
          <w:szCs w:val="20"/>
          <w:color w:val="auto"/>
        </w:rPr>
      </w:pPr>
      <w:r>
        <w:rPr>
          <w:rFonts w:ascii="Arial" w:cs="Arial" w:eastAsia="Arial" w:hAnsi="Arial"/>
          <w:sz w:val="18"/>
          <w:szCs w:val="18"/>
          <w:color w:val="auto"/>
        </w:rPr>
        <w:t>Goods and services purchased from Westlake and capitalized as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346</w:t>
        <w:tab/>
        <w:t>$</w:t>
      </w:r>
      <w:r>
        <w:rPr>
          <w:sz w:val="20"/>
          <w:szCs w:val="20"/>
          <w:color w:val="auto"/>
        </w:rPr>
        <w:tab/>
      </w:r>
      <w:r>
        <w:rPr>
          <w:rFonts w:ascii="Arial" w:cs="Arial" w:eastAsia="Arial" w:hAnsi="Arial"/>
          <w:sz w:val="16"/>
          <w:szCs w:val="16"/>
          <w:color w:val="auto"/>
        </w:rPr>
        <w:t>1,405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earned of $540 and $340 was included in the receivable under the Investment Management Agreement balance at March 31, 2018 and December 31, 2017, respectively.</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134,712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136,510</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Partnership's accounts receivable from Westlake result primarily from ethylene sales to Westlake under the Ethylene Sales Agreement.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43,884</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14,027</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Note 9 for a description of related party debt payable balances. Interest on related party debt payable balances for the three months ended March 31,</w:t>
      </w:r>
    </w:p>
    <w:p>
      <w:pPr>
        <w:spacing w:after="0" w:line="4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2018 and 2017 was $4,866 and $5,460, respectively. Interest on related party debt payable is presented as interest expense—Westlake in the consolidated statements of operations. Interest capitalized as a component of property, plant and equipment on related party debt was $15 and $398 for the three months ended March 31, 2018 and 2017, respectively. At March 31, 2018 and December 31, 2017, accrued interest on related party debt was $4,864 and $4,590, respectively, and is reflected as a component of accrued liabilities in the consolidated balance sheets.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March 31, 2018 and 2017, Westlake accounted for approximately 82.7% and 76.7%, respectively, of the Partnership's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August 4,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224,064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220,416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2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253,544</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4.08% and 3.76% at March 31, 2018 and December 31, 2017,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2018,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2018 and December 31, 2017 are summarized in the table below. The Partnership's long-term debt includes the OpCo Revolver and the MLP Revolver at March 31, 2018.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Partnership's long-term debt are classified as Level 3 within the fair value hierarchy. Inputs used to estimate the fair values of the Partnership's long-term debt include the selection of an appropriate discount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224,064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230,649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220,416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253,544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256,588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258,234</w:t>
            </w:r>
          </w:p>
        </w:tc>
      </w:tr>
    </w:tbl>
    <w:p>
      <w:pPr>
        <w:spacing w:after="0" w:line="252" w:lineRule="exact"/>
        <w:rPr>
          <w:sz w:val="20"/>
          <w:szCs w:val="20"/>
          <w:color w:val="auto"/>
        </w:rPr>
      </w:pPr>
    </w:p>
    <w:p>
      <w:pPr>
        <w:ind w:right="9100" w:firstLine="8"/>
        <w:spacing w:after="0" w:line="390" w:lineRule="auto"/>
        <w:tabs>
          <w:tab w:leader="none" w:pos="2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40" w:firstLine="405"/>
        <w:spacing w:after="0" w:line="259" w:lineRule="auto"/>
        <w:rPr>
          <w:sz w:val="20"/>
          <w:szCs w:val="20"/>
          <w:color w:val="auto"/>
        </w:rPr>
      </w:pPr>
      <w:r>
        <w:rPr>
          <w:rFonts w:ascii="Arial" w:cs="Arial" w:eastAsia="Arial" w:hAnsi="Arial"/>
          <w:sz w:val="18"/>
          <w:szCs w:val="18"/>
          <w:color w:val="auto"/>
        </w:rPr>
        <w:t>Accrued liabilities were $15,150 and $15,697 at March 31, 2018 and December 31, 2017, respectively. The accrued interest, accrued maintenance, capital expenditures accrual and accrued taxes, which are components of accrued liabilities, were $4,864, $3,406, $2,179 and $2,115, respectively, at March 31, 2018, and $4,590, $3,698, $3,197 and $1,422, respectively, at December 31, 2017.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reducing additions to property, plant and equipment was $117 for the three months ended March 31,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change in capital expenditure accrual reducing additions to property, plant and equipment was $1,159 for the three months ended March 31, 2017.</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2017 (the "2017 Form 10-K"), as filed with the SEC on March 1, 2018.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are a Delaware limited partnership formed by Westlake to operate, acquire and develop ethylene production facilities and related assets. On August 4, 2014, we closed our initial public offering (the "IPO") of 12,937,500 common units.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connection with the IPO, we acquired a 10.6% interest in OpCo and a 100% interest in OpCo GP, which is the general partner of OpCo. On April 29, 2015, we purchased an additional 2.7% newly-issued limited partner interest in OpCo for approximately $135.3 million, resulting in an aggregate 13.3% limited partner interest in OpCo effective April 1, 2015. On September 29, 2017, we completed a secondary public offering of 5,175,000 common units and purchased an additional 5.0% newly-issued limited partner interest in OpCo for approximately $229.2 million, resulting in an aggregate 18.3% limited partner interest in OpCo, effective as of July 1, 2017.</w:t>
      </w:r>
    </w:p>
    <w:p>
      <w:pPr>
        <w:spacing w:after="0" w:line="13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Currently, our sole revenue generating asset is our 18.3% limited partner interest in OpCo, a limited partnership formed by Westlake and us in anticipation of the IPO to own and operate an ethylene production business. We control OpCo through our ownership of its general partner. Westlake retains the remaining 81.7% limited partner interest in OpCo as well as a significant interest in us through its ownership of our general partner, 43.8% of our limited partner units (consisting of 14,122,230 common units )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w:t>
      </w:r>
    </w:p>
    <w:p>
      <w:pPr>
        <w:spacing w:after="0" w:line="13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use each of MLP distributable cash flow and EBITDA to analyze our performance. We define distributable cash flow as net income plus depreciation, amortization and disposition of property, plant and equipment,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operations of our predecessor.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235,031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212,930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284,272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277,448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191,767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92,505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97,961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85,372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90,133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80,997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86,331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80,714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76,264</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9,764</w:t>
            </w:r>
          </w:p>
        </w:tc>
      </w:tr>
      <w:tr>
        <w:trPr>
          <w:trHeight w:val="257"/>
        </w:trPr>
        <w:tc>
          <w:tcPr>
            <w:tcW w:w="83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11,447</w:t>
            </w:r>
          </w:p>
        </w:tc>
      </w:tr>
      <w:tr>
        <w:trPr>
          <w:trHeight w:val="283"/>
        </w:trPr>
        <w:tc>
          <w:tcPr>
            <w:tcW w:w="83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113,561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121,941</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91" w:lineRule="exact"/>
        <w:rPr>
          <w:sz w:val="20"/>
          <w:szCs w:val="20"/>
          <w:color w:val="auto"/>
        </w:rPr>
      </w:pPr>
    </w:p>
    <w:p>
      <w:pPr>
        <w:ind w:left="280" w:hanging="245"/>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52"/>
        </w:trPr>
        <w:tc>
          <w:tcPr>
            <w:tcW w:w="8180" w:type="dxa"/>
            <w:vAlign w:val="bottom"/>
          </w:tcPr>
          <w:p>
            <w:pPr>
              <w:spacing w:after="0"/>
              <w:rPr>
                <w:sz w:val="13"/>
                <w:szCs w:val="13"/>
                <w:color w:val="auto"/>
              </w:rPr>
            </w:pP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 prior-year period</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561"/>
        </w:trPr>
        <w:tc>
          <w:tcPr>
            <w:tcW w:w="8180" w:type="dxa"/>
            <w:vAlign w:val="bottom"/>
          </w:tcPr>
          <w:p>
            <w:pPr>
              <w:spacing w:after="0"/>
              <w:rPr>
                <w:sz w:val="24"/>
                <w:szCs w:val="24"/>
                <w:color w:val="auto"/>
              </w:rPr>
            </w:pPr>
          </w:p>
        </w:tc>
        <w:tc>
          <w:tcPr>
            <w:tcW w:w="32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818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600" w:type="dxa"/>
            <w:vAlign w:val="bottom"/>
          </w:tcPr>
          <w:p>
            <w:pPr>
              <w:jc w:val="right"/>
              <w:ind w:right="157"/>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2"/>
                <w:szCs w:val="22"/>
                <w:color w:val="auto"/>
              </w:rPr>
            </w:pPr>
          </w:p>
        </w:tc>
        <w:tc>
          <w:tcPr>
            <w:tcW w:w="1540" w:type="dxa"/>
            <w:vAlign w:val="bottom"/>
          </w:tcPr>
          <w:p>
            <w:pPr>
              <w:jc w:val="right"/>
              <w:ind w:right="92"/>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6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20"/>
                <w:szCs w:val="20"/>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20"/>
                <w:szCs w:val="20"/>
                <w:color w:val="auto"/>
              </w:rPr>
              <w:t>16.9</w:t>
            </w:r>
          </w:p>
        </w:tc>
        <w:tc>
          <w:tcPr>
            <w:tcW w:w="0" w:type="dxa"/>
            <w:vAlign w:val="bottom"/>
          </w:tcPr>
          <w:p>
            <w:pPr>
              <w:spacing w:after="0"/>
              <w:rPr>
                <w:sz w:val="1"/>
                <w:szCs w:val="1"/>
                <w:color w:val="auto"/>
              </w:rPr>
            </w:pPr>
          </w:p>
        </w:tc>
      </w:tr>
      <w:tr>
        <w:trPr>
          <w:trHeight w:val="283"/>
        </w:trPr>
        <w:tc>
          <w:tcPr>
            <w:tcW w:w="818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600" w:type="dxa"/>
            <w:vAlign w:val="bottom"/>
          </w:tcPr>
          <w:p>
            <w:pPr>
              <w:jc w:val="right"/>
              <w:ind w:right="157"/>
              <w:spacing w:after="0"/>
              <w:rPr>
                <w:sz w:val="20"/>
                <w:szCs w:val="20"/>
                <w:color w:val="auto"/>
              </w:rPr>
            </w:pPr>
            <w:r>
              <w:rPr>
                <w:rFonts w:ascii="Arial" w:cs="Arial" w:eastAsia="Arial" w:hAnsi="Arial"/>
                <w:sz w:val="20"/>
                <w:szCs w:val="20"/>
                <w:color w:val="auto"/>
              </w:rPr>
              <w:t>23.6</w:t>
            </w:r>
          </w:p>
        </w:tc>
        <w:tc>
          <w:tcPr>
            <w:tcW w:w="10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Arial" w:cs="Arial" w:eastAsia="Arial" w:hAnsi="Arial"/>
                <w:sz w:val="20"/>
                <w:szCs w:val="20"/>
                <w:color w:val="auto"/>
              </w:rPr>
              <w:t>31.2</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_____________</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149,078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Gain (loss) from disposition of fixed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80,714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86,028</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amortization and disposition of property, plant and equipment</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28,265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30,150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(88,771)</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11,447</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106,222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149,078</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Gain (loss) from disposition of fixed assets</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4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(63,177)</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80,714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113,561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121,941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For the quarter ended March 31, 2018, net income was $80.7 million on net sales of $284.3 million. This represents a decrease in net income of $5.3 million as compared to the quarter ended March 31, 2017 net income of $86.0 million on net sales of $277.4 million. Net income for the first quarter of 2018 as compared to the first quarter of 2017 was lower primarily as a result of lower third party sales prices, partially offset by higher sales volumes to Westlake and third parties due to higher production primarily at our Calvert City Olefins facility. Our Calvert City Olefins facility production was lower in the first quarter of 2017 because of an upgrade and expansion project in March and April 2017. Net income attributable to Westlake Chemical Partners LP for the quarter ended March 31, 2018 was $12.3 million as compared to $9.8 million for the quarter ended March 31, 2017, an increase of $2.5 million, which was primarily due to a 5% increase in the Partnership's interest in OpCo, effective as of July 1, 2017. Net sales for the first quarter of 2018 increased by $6.9 million as compared to net sales for the first quarter of 2017 mainly due to increased sales to Westlake and higher volumes of co-product sales to third parties, partially offset by lower sales prices for co-products to third parties. Income from operations was $85.4 million for the first quarter of 2018 as compared to $90.1 million for the first quarter of 2017. Income from operations for the first quarter of 2018 decreased mainly as a result of the lower third party sales prices, partially offset by higher sales volume resulting primarily from higher production at our Calvert City Olefins facility as compared to the first quarter of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2018 Compared with First Quarter 2017</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increased by $6.9 million, or 2.5%, to $284.3 million in the first quarter of 2018 from $277.4 million in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overall increase in sales volumes for the first quarter of 2018 contributed to a 5.6% increase in net sales, as compared to the first quarter of 2017, which was mainly due to higher sales volumes to Westlake and third parties. The average sales price contributed to a decrease in net sales by 3.1% in the first quarter of 2018 compared to the first quarter of 2017, primarily as a result of lower sales price to third parties.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to $92.5 million for the first quarter of 2018 from $98.0 million for the first quarter of 2017.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first quarter of 2018 was 32.5%, as compared to 35.3% for the first quarter of 2017. The first quarter of 2018 gross profit margin was lower mainly due to the lower third party sales prices, partially offset by higher sales volumes to Westlake and third parties as a result of higher production primarily at our Calvert City Olefins facility, as compared to the first quarter of 2017. Our Calvert City Olefins facility production was lower in the first quarter of 2017 because of an upgrade and expansion project in March and April 2017.</w:t>
      </w:r>
    </w:p>
    <w:p>
      <w:pPr>
        <w:spacing w:after="0" w:line="13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$0.7 million, or 9.0%, to $7.1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2018 as compared to $7.8 million in the first quarter of 2017. The decrease was mainly attributable to the lower provision for doubtful accounts in the first quarter of 2018, as compared to the prior-year period.</w:t>
      </w:r>
    </w:p>
    <w:p>
      <w:pPr>
        <w:spacing w:after="0" w:line="12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$0.6 million to $4.9 million in the first quarter of 2018 from $5.5 million in the first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a lower average debt balance in the first quarter of 2018. The lower debt balance was due to the partial repayment of borrowings under the OpCo Revolver and full repayment of the August 2013 Promissory Notes during the second half of 2017, in both cases using the funds generated from the secondary equity offering.</w:t>
      </w:r>
    </w:p>
    <w:p>
      <w:pPr>
        <w:spacing w:after="0" w:line="13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decrease in other income in the first quarter of 2018 as compared to the first quarter of 2017 was primarily due to the recognition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2017 of an insurance recovery received for the 2016 Calvert City Olefins facility unplanned shut-down.</w:t>
      </w:r>
    </w:p>
    <w:p>
      <w:pPr>
        <w:spacing w:after="0" w:line="11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$3.1 million to $14.5 million in the first quarter of 2018 from $11.4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2017. The increase in MLP distributable cash flow in the first quarter of 2018 as compared to the prior-year period was primarily due to the 5% increase in the Partnership's interest in OpCo, effective as of July 1, 2017.</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$8.4 million to $113.6 million in the first quarter of 2018 from $121.9 million in the first quarter of 2017.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EBITDA as compared to the prior-year period was primarily due to lower third party sales prices, partially offset by higher sales volumes to Westlake and third parties primarily as a result of higher production at our Calvert City Olefins facility.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 FOR THE THREE MONTHS ENDED MARCH 31, 2018 AND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Operating activities provided cash of $106.2 million in the first three months of 2018 compared to cash provided by operating activities of $149.1 million in the first three months of 2017. The $42.9 million decrease in cash flows from operating activities was mainly due to lower operating income and an increase in use of cash in working capital, partially offset by a decrease in cash used for turnaround related expenditures during the three months ended March 31, 2018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$3.2 million in the first three months of 2018 as compared to $43.2 million of cash provided in the first three months of 2017, resulting in an overall unfavorable change of $46.4 million. The unfavorable change in working capital was mainly attributable to the unfavorable changes in the accounts receivable—Westlake, third party accounts payable and accrued liabilities balances, partially offset by a favorable change in third party accounts receivables. The cash provided in the first three months of 2017 primarily related to the partial recovery of the Shortfall that was recognized in 2016 as an accounts receivable from Westlake.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used for investing activities during the first three months of 2018 was $7.7 million as compared to net cash used for investing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first three months of 2017, mainly due to lower capital expenditures at our facilities in the first three months of 2018 as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prior-year period. Capital expenditures during the first three months of 2018 were primarily related to planned and unplanned outages at our facilities while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during the same period in 2017 primarily reflected capital expenditures incurred for the Calvert City expansion project. Other investing activities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three months of 2018 related to investments with Westlake under the Investment Management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Net cash used for financing activities during the first three months of 2018 was $100.6 million as compared to net cash used for financing activities of $93.5 million in the first three months of 2017. The cash outflows during the first three months of 2018 were related to the distribution of $91.1 million to Westlake and of $13.1 million to other unitholders by the Partnership. The distributions in the first three months of 2018 were partially offset by borrowings under the OpCo Revolver of $3.6 million. The cash outflows during the first three months of 2017 were related to the distribution of $89.6 million to Westlake and of $9.5 million to other unitholders by the Partnership and the repayment of $11.4 million of borrowings under the OpCo Revolver. The distributions and repayment in the first three months of 2017 were partially offset by borrowings under the OpCo Revolver of $17.0 million to fund capital expenditures.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cash is generated from cash distributions from OpCo. OpCo was a restricted subsidiary and guarantor under Westlake's credit facility and the indentures governing its senior notes until August 2016, but OpCo remains a restricted subsidiary under Westlake's credit facility and indentures governing its senior notes. The guarantees were released in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0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April 30, 2018, the board of directors of Westlake Chemical Partners GP LLC, our general partner, approved a quarterly distribution of $0.3975 per unit payable on May 24, 2018 to unitholders of record as of May 10, 2018 and a distribution to the incentive distribution rights holder ("IDR Holder"), which equates to a total amount of approximately $13.5 million per quarter, or approximately $54.2 million per year in aggregate (in each case, including the distribution to the IDR Holder), based on the number of common units outstanding on March 31, 2018. We do not have a legal or contractual obligation to pay distributions on a quarterly basis or any other basis at our minimum quarterly distribution rate or any other 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three months ended March 31, 2018 and 2017, Westlake loaned OpCo $3.6 million and $17.0 million, respectively. The $3.6 million was used to fund working capital needs in the first three months of 2018, while the $17.0 million was used to fund the expansion capital expenditures in 2017. The total capital expenditures, which include expansion and capital maintenance costs, for 2018 are expected to be approximately $60.4 million, of which $9.7 million was spent during the three months ended March 31, 2018. We expect that Westlake will loan additional cash to OpCo to fund its expansion capital expenditures in the future, but Westlake is under no obligation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420" w:firstLine="446"/>
        <w:spacing w:after="0" w:line="264" w:lineRule="auto"/>
        <w:rPr>
          <w:sz w:val="20"/>
          <w:szCs w:val="20"/>
          <w:color w:val="auto"/>
        </w:rPr>
      </w:pPr>
      <w:r>
        <w:rPr>
          <w:rFonts w:ascii="Arial" w:cs="Arial" w:eastAsia="Arial" w:hAnsi="Arial"/>
          <w:sz w:val="18"/>
          <w:szCs w:val="18"/>
          <w:color w:val="auto"/>
        </w:rPr>
        <w:t>As of March 31, 2018, our cash and cash equivalents totaled $25.0 million. In addition, we have cash invested under the Investment Management Agreement (as described below) and a revolving credit facility with Westlake available to supplement cash if needed, as described under "Indebtedness" below.</w:t>
      </w:r>
    </w:p>
    <w:p>
      <w:pPr>
        <w:spacing w:after="0" w:line="12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$134.2 million of cash invested under the Investment Management Agreement at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60" w:firstLine="392"/>
        <w:spacing w:after="0" w:line="286"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(the "OpCo Revolver") that may be used to fund growth projects and working capital needs. As of March 31, 2018, outstanding borrowings under the OpCo Revolver totaled $224.1 million and bore interest at the LIBOR rate plus 3.0%, which is accrued in arrears quarterly. The OpCo Revolver is scheduled to mature in August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2015, we entered into a senior, unsecured revolving credit agreement with Westlake Chemical Finance Corporation, an affiliate of Westlake (the "MLP Revolver"). The MLP Revolver has a borrowing capacity of $600 million and is scheduled to mature in 2021.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March 31, 2018, outstanding borrowings under the MLP Revolver totaled $253.5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2017 Form 10-K and the following:</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5" w:right="2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exposed to interest rate risk with respect to our outstanding debt, all of which is variable rate debt. At March 31, 2018, we had variable rate debt of $477.6 million outstanding, all of which was owed to wholly-owned subsidiaries of Westlake, $224.1 million of which currently accrues interest at a variable rate of LIBOR plus 300 basis points and the remaining $253.5 million of which currently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March 31, 2018 was 4.2%.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$4.1 million, based on the March 31, 2018 debt balance.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2018 that have materially affected, or are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2017 Form 10-K, filed on March 1, 2018, contained a description of various legal proceedings in which we are involved, including environmental proceedings. See below and Note 12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Environmental Protection Agency ("EPA") has been conducting an enforcement initiative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4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Risk Management Program Investigation</w:t>
      </w:r>
      <w:r>
        <w:rPr>
          <w:rFonts w:ascii="Arial" w:cs="Arial" w:eastAsia="Arial" w:hAnsi="Arial"/>
          <w:sz w:val="18"/>
          <w:szCs w:val="18"/>
          <w:color w:val="auto"/>
        </w:rPr>
        <w:t>. Region 4 of the EPA has conducted inspections and information requests to assess compliance with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Program requirements under the Clean Air Act at the Calvert City facility. EPA Region 4 has identified concerns with the facility’s compliance under the Risk Management Program and Release Prevention regulations in connection with certain emissions release events between 2011 and 2015. Westlake has engaged in communications with EPA Region 4 to resolve these concerns. The Partnership believes the resolution of these matters may require the payment of a monetary sanction in excess of $100,000.</w:t>
      </w:r>
    </w:p>
    <w:p>
      <w:pPr>
        <w:spacing w:after="0" w:line="13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Kentucky Notices of Violation</w:t>
      </w:r>
      <w:r>
        <w:rPr>
          <w:rFonts w:ascii="Arial" w:cs="Arial" w:eastAsia="Arial" w:hAnsi="Arial"/>
          <w:sz w:val="18"/>
          <w:szCs w:val="18"/>
          <w:color w:val="auto"/>
        </w:rPr>
        <w:t>. In October 2017, the Enforcement Division of the Kentucky Department of Environmental Protection (KDEP)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intended to proceed with enforcement on two Notices of Violation (NOVs) received by the Calvert City facility in December 2016 and May 2017. The NOVs allege violations of state and federal air requirements in connection with the operation of the olefins unit at the facility. Westlake has engaged in negotiations with KDEP to resolve these alleged violations. The Partnership believes the resolution of these matters may require the payment of a monetary sanction in excess of $100,000.</w:t>
      </w:r>
    </w:p>
    <w:p>
      <w:pPr>
        <w:spacing w:after="0" w:line="134"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2017 Form 10-K. There have been no material changes from those risk factors.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80" w:type="dxa"/>
            <w:vAlign w:val="bottom"/>
            <w:gridSpan w:val="5"/>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9580" w:type="dxa"/>
            <w:vAlign w:val="bottom"/>
            <w:tcBorders>
              <w:bottom w:val="single" w:sz="8" w:color="0000FF"/>
            </w:tcBorders>
            <w:gridSpan w:val="6"/>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Form of Phantom Unit Agreement (incorporated by reference to Exhibit 10.12 to Westlake Chemical Partners LP's Annual Report on</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Form 10-K for the year ended December 31, 2017 (file No. 01-36567) filed on March 1, 2018)</w:t>
              </w:r>
            </w:hyperlink>
          </w:p>
        </w:tc>
        <w:tc>
          <w:tcPr>
            <w:tcW w:w="2760" w:type="dxa"/>
            <w:vAlign w:val="bottom"/>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580" w:type="dxa"/>
            <w:vAlign w:val="bottom"/>
            <w:gridSpan w:val="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Rule 13a – 14(a) / 15d – 14(a) Certification (Principal Executive Officer)</w:t>
              </w:r>
            </w:hyperlink>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4"/>
                <w:szCs w:val="24"/>
                <w:color w:val="auto"/>
              </w:rPr>
            </w:pPr>
          </w:p>
        </w:tc>
        <w:tc>
          <w:tcPr>
            <w:tcW w:w="4320" w:type="dxa"/>
            <w:vAlign w:val="bottom"/>
            <w:gridSpan w:val="3"/>
          </w:tcPr>
          <w:p>
            <w:pPr>
              <w:spacing w:after="0"/>
              <w:rPr>
                <w:sz w:val="24"/>
                <w:szCs w:val="24"/>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58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Section 1350 Certification (Principal Executive Officer and Principal Financial Officer)</w:t>
              </w:r>
            </w:hyperlink>
          </w:p>
        </w:tc>
      </w:tr>
      <w:tr>
        <w:trPr>
          <w:trHeight w:val="41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3280" w:type="dxa"/>
            <w:vAlign w:val="bottom"/>
            <w:gridSpan w:val="2"/>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240" w:top="125" w:right="6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240" w:top="125" w:right="7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Senior Vice President, Chief Financial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March 31, 2018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May 3,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0" Type="http://schemas.openxmlformats.org/officeDocument/2006/relationships/hyperlink" Target="http://www.sec.gov/Archives/edgar/data/1604665/000160466518000007/ex1012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2020-01-15T07:16:39Z</dcterms:created>
  <dcterms:modified xsi:type="dcterms:W3CDTF">2020-01-15T07:16:39Z</dcterms:modified>
</cp:coreProperties>
</file>