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type w:val="continuous"/>
        </w:sectPr>
      </w:pPr>
    </w:p>
    <w:p>
      <w:pPr>
        <w:spacing w:after="0" w:line="25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Non-accelerated filer</w:t>
      </w:r>
    </w:p>
    <w:p>
      <w:pPr>
        <w:spacing w:after="0" w:line="20" w:lineRule="exact"/>
        <w:rPr>
          <w:sz w:val="24"/>
          <w:szCs w:val="24"/>
          <w:color w:val="auto"/>
        </w:rPr>
      </w:pPr>
      <w:r>
        <w:rPr>
          <w:sz w:val="24"/>
          <w:szCs w:val="24"/>
          <w:color w:val="auto"/>
        </w:rPr>
        <w:br w:type="column"/>
      </w:r>
    </w:p>
    <w:p>
      <w:pPr>
        <w:jc w:val="center"/>
        <w:ind w:right="520"/>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0" w:lineRule="exact"/>
        <w:rPr>
          <w:sz w:val="24"/>
          <w:szCs w:val="24"/>
          <w:color w:val="auto"/>
        </w:rPr>
      </w:pPr>
    </w:p>
    <w:p>
      <w:pPr>
        <w:sectPr>
          <w:pgSz w:w="11900" w:h="16838" w:orient="portrait"/>
          <w:cols w:equalWidth="0" w:num="5">
            <w:col w:w="8140" w:space="220"/>
            <w:col w:w="260" w:space="140"/>
            <w:col w:w="160" w:space="220"/>
            <w:col w:w="220" w:space="140"/>
            <w:col w:w="1880"/>
          </w:cols>
          <w:pgMar w:left="240" w:top="517" w:right="279" w:bottom="1440" w:gutter="0" w:footer="0" w:header="0"/>
          <w:type w:val="continuous"/>
        </w:sectPr>
      </w:pPr>
    </w:p>
    <w:p>
      <w:pPr>
        <w:spacing w:after="0"/>
        <w:rPr>
          <w:sz w:val="20"/>
          <w:szCs w:val="20"/>
          <w:color w:val="auto"/>
        </w:rPr>
      </w:pPr>
      <w:r>
        <w:rPr>
          <w:rFonts w:ascii="Arial" w:cs="Arial" w:eastAsia="Arial" w:hAnsi="Arial"/>
          <w:sz w:val="16"/>
          <w:szCs w:val="16"/>
          <w:color w:val="auto"/>
        </w:rPr>
        <w:t>The registrant had 14,373,615 common units and 12,686,115 subordinated units outstanding as of April 29, 2016.</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0">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4"/>
        </w:trPr>
        <w:tc>
          <w:tcPr>
            <w:tcW w:w="8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178,676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receivable—Westlake Chemical Corporation ("Westlake")</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39,655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3,879</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243,532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225,287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1,020,469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38,779</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44,593</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1,384,077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1,290,349</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18,737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57,694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384,006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518,854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443,182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9 and 16)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294,565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4,502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39,786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(242,572)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99,580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96,561</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765,643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750,606</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865,223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847,167</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1,384,077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1,290,349</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4"/>
        </w:trPr>
        <w:tc>
          <w:tcPr>
            <w:tcW w:w="8360" w:type="dxa"/>
            <w:vAlign w:val="bottom"/>
          </w:tcPr>
          <w:p>
            <w:pPr>
              <w:spacing w:after="0"/>
              <w:rPr>
                <w:sz w:val="23"/>
                <w:szCs w:val="23"/>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(in thousands of dollars, except unit amounts and</w:t>
            </w:r>
          </w:p>
        </w:tc>
      </w:tr>
      <w:tr>
        <w:trPr>
          <w:trHeight w:val="192"/>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per unit data)</w:t>
            </w:r>
          </w:p>
        </w:tc>
        <w:tc>
          <w:tcPr>
            <w:tcW w:w="1000" w:type="dxa"/>
            <w:vAlign w:val="bottom"/>
          </w:tcPr>
          <w:p>
            <w:pPr>
              <w:spacing w:after="0"/>
              <w:rPr>
                <w:sz w:val="16"/>
                <w:szCs w:val="16"/>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231,260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208,913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feedstock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252,604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258,391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142,190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162,164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110,414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104,317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90,227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103,170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88,856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102,771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88,389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79,889</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12,084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8,500</w:t>
            </w:r>
          </w:p>
        </w:tc>
      </w:tr>
      <w:tr>
        <w:trPr>
          <w:trHeight w:val="189"/>
        </w:trPr>
        <w:tc>
          <w:tcPr>
            <w:tcW w:w="8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per limited partner unit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Weighted average limited partner units outstanding (basic and diluted)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12,937,500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1,436,115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12,686,115</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38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cash flow hedge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Reclassification of loss to net income</w:t>
            </w:r>
          </w:p>
        </w:tc>
        <w:tc>
          <w:tcPr>
            <w:tcW w:w="3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loss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102,040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88,389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90,687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79,889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 Chemical Partners LP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11,353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8,500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1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3540" w:type="dxa"/>
            <w:vAlign w:val="bottom"/>
          </w:tcPr>
          <w:p>
            <w:pPr>
              <w:spacing w:after="0"/>
              <w:rPr>
                <w:sz w:val="6"/>
                <w:szCs w:val="6"/>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8"/>
                <w:szCs w:val="18"/>
                <w:color w:val="auto"/>
                <w:w w:val="93"/>
              </w:rPr>
              <w:t>—</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8"/>
                <w:szCs w:val="18"/>
                <w:color w:val="auto"/>
                <w:w w:val="97"/>
              </w:rPr>
              <w:t>—</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8"/>
                <w:szCs w:val="18"/>
                <w:color w:val="auto"/>
                <w:w w:val="95"/>
              </w:rPr>
              <w:t>—</w:t>
            </w:r>
          </w:p>
        </w:tc>
        <w:tc>
          <w:tcPr>
            <w:tcW w:w="160" w:type="dxa"/>
            <w:vAlign w:val="bottom"/>
          </w:tcPr>
          <w:p>
            <w:pPr>
              <w:spacing w:after="0"/>
              <w:rPr>
                <w:sz w:val="6"/>
                <w:szCs w:val="6"/>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8"/>
                <w:szCs w:val="18"/>
                <w:color w:val="auto"/>
                <w:w w:val="98"/>
              </w:rPr>
              <w:t>—</w:t>
            </w: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ind w:left="660"/>
              <w:spacing w:after="0"/>
              <w:rPr>
                <w:sz w:val="20"/>
                <w:szCs w:val="20"/>
                <w:color w:val="auto"/>
              </w:rPr>
            </w:pPr>
            <w:r>
              <w:rPr>
                <w:rFonts w:ascii="Arial" w:cs="Arial" w:eastAsia="Arial" w:hAnsi="Arial"/>
                <w:sz w:val="14"/>
                <w:szCs w:val="14"/>
                <w:b w:val="1"/>
                <w:bCs w:val="1"/>
                <w:color w:val="auto"/>
                <w:w w:val="94"/>
              </w:rPr>
              <w:t>(in thousands of dollars)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290,377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747,426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79,889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88,389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(85,277)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March 31, 2015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290,884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742,038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830,621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90,687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102,771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retained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w:t>
            </w: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Balances at March 31,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296,357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41,543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765,643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865,223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102,771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88,389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19,803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20,523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113,235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(85,277)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(62,527)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169,559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133,750</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144,918</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4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Westlake Chemical Partners LP (the "Partnership") is a Delaware limited partnership formed in March 2014 to operate, acquire and develop facilities and related assets for the processing of natural gas liquids.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natural gas liquids processing facilities and a common carrier ethylene pipeline.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392"/>
        <w:spacing w:after="0" w:line="272" w:lineRule="auto"/>
        <w:rPr>
          <w:sz w:val="20"/>
          <w:szCs w:val="20"/>
          <w:color w:val="auto"/>
        </w:rPr>
      </w:pPr>
      <w:r>
        <w:rPr>
          <w:rFonts w:ascii="Arial" w:cs="Arial" w:eastAsia="Arial" w:hAnsi="Arial"/>
          <w:sz w:val="17"/>
          <w:szCs w:val="17"/>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2015 combined and consolidated financial statements and notes thereto of the Partnership included in the annual report on Form 10-K for the fiscal year ended December 31, 2015 (the "2015 Form 10-K"), filed with the SEC on March 8, 2016. These financial statements have been prepared in conformity with the accounting principles and practices as disclosed in the notes to the combined and consolidated financial statements of the Partnership for the fiscal year ended December 31, 2015.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60" w:firstLine="392"/>
        <w:spacing w:after="0" w:line="270"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86.7% is recorded as noncontrolling interest in the Partnership's consolidated financial statements.</w:t>
      </w:r>
    </w:p>
    <w:p>
      <w:pPr>
        <w:spacing w:after="0" w:line="128"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2016, its results of operations for the three months ended March 31, 2016 and 2015 and the changes in its cash position for the three months ended March 31, 2016 and 2015.</w:t>
      </w:r>
    </w:p>
    <w:p>
      <w:pPr>
        <w:spacing w:after="0" w:line="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2016 or any other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9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May 2014, the Financial Accounting Standards Board ("FASB") issued an accounting standards update on a comprehensive new revenue recognition standard that will supersede the existing revenue recognition guidance. The new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March 2016, the FASB issued additional authoritative guidance to provide clarification on principal versus agent considerations included within the new revenue recognition standard. The accounting standard (including the clarification guidance issued in March 2016)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March 2016, the FASB issued an accounting standards update to simplify several aspects of the accounting for share-based payment transactions, including income tax consequences, classifications of awards as either equity or liabilities and certain related classifications on the statement of cash flows. The accounting standard is effective for reporting periods beginning after December 15, 2016. The Partnership is in the process of evaluating the impact that the new accounting guidance will have on its consolidated financial position,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 certain guidance for limited partnerships and similar entities under the voting interest consolidation model. The accounting standard is effective for annual periods beginning after December 15, 2015. The Partnership adopted this accounting standard effective January 1, 2016 and the adoption did not have an impact on the Partnership's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Historical Earnings per Unit of Master Limited Partnership Dropdown Transactions</w:t>
      </w:r>
    </w:p>
    <w:p>
      <w:pPr>
        <w:spacing w:after="0" w:line="90" w:lineRule="exact"/>
        <w:rPr>
          <w:sz w:val="20"/>
          <w:szCs w:val="20"/>
          <w:color w:val="auto"/>
        </w:rPr>
      </w:pPr>
    </w:p>
    <w:p>
      <w:pPr>
        <w:jc w:val="both"/>
        <w:ind w:right="140" w:firstLine="405"/>
        <w:spacing w:after="0" w:line="297" w:lineRule="auto"/>
        <w:rPr>
          <w:sz w:val="20"/>
          <w:szCs w:val="20"/>
          <w:color w:val="auto"/>
        </w:rPr>
      </w:pPr>
      <w:r>
        <w:rPr>
          <w:rFonts w:ascii="Arial" w:cs="Arial" w:eastAsia="Arial" w:hAnsi="Arial"/>
          <w:sz w:val="16"/>
          <w:szCs w:val="16"/>
          <w:color w:val="auto"/>
        </w:rPr>
        <w:t>In April 2015, the FASB issued an accounting standard update requiring that the earnings of transferred net assets from a general partner prior to the dropdown date of the net assets to a master limited partnership be allocated entirely to the general partner when calculating earnings per unit under the two class method. As a result, previously reported earnings per unit of the limited partners will not change as a result of a dropdown transaction. The accounting standard is effective for annual periods beginning after December 15, 2015. The Partnership adopted this accounting standard effective January 1, 2016 and the adoption of this accounting standard did not have an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November 2015, the FASB issued an accounting standards update that requires all deferred tax assets and liabilities, along with any related valuation allowance, be classified as noncurrent on the balance sheet. As a result, each jurisdiction will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now only have one net noncurrent deferred tax asset or liability. The new guidance does not change the existing requirement that only permits offsetting within a jurisdiction. The accounting standard is required to be adopted for reporting periods beginning after December 15, 2016; however, early adoption of this standard is permitted. The Partnership elected to early adopt this accounting standard, to be applied prospectively, effective January 1, 2016. Consistent with the prospective application of this accounting standard, prior period comparative information was not adjusted. The early adoption of this accounting standard did not have an impact on the Partnership's consolidated financial position, results of operations and cash flows.</w:t>
      </w:r>
    </w:p>
    <w:p>
      <w:pPr>
        <w:spacing w:after="0" w:line="181" w:lineRule="exact"/>
        <w:rPr>
          <w:sz w:val="20"/>
          <w:szCs w:val="20"/>
          <w:color w:val="auto"/>
        </w:rPr>
      </w:pPr>
    </w:p>
    <w:p>
      <w:pPr>
        <w:ind w:right="9520" w:firstLine="8"/>
        <w:spacing w:after="0" w:line="39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340" w:firstLine="405"/>
        <w:spacing w:after="0" w:line="264" w:lineRule="auto"/>
        <w:rPr>
          <w:sz w:val="20"/>
          <w:szCs w:val="20"/>
          <w:color w:val="auto"/>
        </w:rPr>
      </w:pPr>
      <w:r>
        <w:rPr>
          <w:rFonts w:ascii="Arial" w:cs="Arial" w:eastAsia="Arial" w:hAnsi="Arial"/>
          <w:sz w:val="18"/>
          <w:szCs w:val="18"/>
          <w:color w:val="auto"/>
        </w:rPr>
        <w:t>The Partnership had $115,073 and $150,031 of held-to-maturity securities with original maturities of three months or less, primarily consisting of corporate debt securities, classified as cash equivalents at March 31, 2016 and December 31, 2015, respectively. The Partnership's investments in held-to-maturity securities are held at amortized cost, which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11,927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of March 31, 2016, the Partnership had property, plant and equipment, net totaling $1,096,354.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Depreciation expense on property, plant and equipment of $16,553 and $15,593 is included in cost of sales in the consolidated statements of operations for the three months ended March 31,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Amortization expense on other assets of $3,843 and $4,210 is included in the consolidated statements of operations for the three months ended March 31,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Distributions and Net Income Per Limited Partner Unit</w:t>
      </w:r>
    </w:p>
    <w:p>
      <w:pPr>
        <w:spacing w:after="0" w:line="175" w:lineRule="exact"/>
        <w:rPr>
          <w:sz w:val="20"/>
          <w:szCs w:val="20"/>
          <w:color w:val="auto"/>
        </w:rPr>
      </w:pPr>
    </w:p>
    <w:p>
      <w:pPr>
        <w:ind w:right="360" w:firstLine="392"/>
        <w:spacing w:after="0" w:line="312" w:lineRule="auto"/>
        <w:rPr>
          <w:sz w:val="20"/>
          <w:szCs w:val="20"/>
          <w:color w:val="auto"/>
        </w:rPr>
      </w:pPr>
      <w:r>
        <w:rPr>
          <w:rFonts w:ascii="Arial" w:cs="Arial" w:eastAsia="Arial" w:hAnsi="Arial"/>
          <w:sz w:val="16"/>
          <w:szCs w:val="16"/>
          <w:color w:val="auto"/>
        </w:rPr>
        <w:t>On April 27, 2016, the board of directors of Westlake Chemical Partners GP LLC ("Westlake GP"), the Partnership's general partner, declared a quarterly cash distribution for the period from January 1, 2016 through March 31, 2016 of $0.3168 per unit and of $2 to the holders of the Partnership's incentive distribution rights ("IDR Holders"). This distribution is payable on May 24, 2016 to unitholders and IDR Holders of record as of May 10, 2016.</w:t>
      </w:r>
    </w:p>
    <w:p>
      <w:pPr>
        <w:spacing w:after="0" w:line="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Agreement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For the three months ended March 31, 2016, the Partnership's distribution exceeded the $0.3163 per common and subordinated unit target by $0.0005 per common and subordinated unit, which resulted in distributions to the IDR Holders.</w:t>
      </w:r>
    </w:p>
    <w:p>
      <w:pPr>
        <w:spacing w:after="0" w:line="116"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cash distributions and the related periods pertaining to such distributions.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4,065</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 subordinated units</w:t>
            </w:r>
          </w:p>
        </w:tc>
        <w:tc>
          <w:tcPr>
            <w:tcW w:w="3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3,590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declared with respect to the incentive distribution rights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Net income in excess of distribution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845</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4"/>
                <w:szCs w:val="14"/>
                <w:color w:val="auto"/>
              </w:rPr>
            </w:pPr>
          </w:p>
        </w:tc>
        <w:tc>
          <w:tcPr>
            <w:tcW w:w="13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4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4,019</w:t>
            </w:r>
          </w:p>
        </w:tc>
        <w:tc>
          <w:tcPr>
            <w:tcW w:w="1240" w:type="dxa"/>
            <w:vAlign w:val="bottom"/>
            <w:gridSpan w:val="2"/>
          </w:tcPr>
          <w:p>
            <w:pPr>
              <w:jc w:val="right"/>
              <w:ind w:right="94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5,664</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12,084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 2015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3"/>
                <w:szCs w:val="13"/>
                <w:color w:val="auto"/>
              </w:rPr>
            </w:pPr>
          </w:p>
        </w:tc>
        <w:tc>
          <w:tcPr>
            <w:tcW w:w="134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4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3,590</w:t>
            </w:r>
          </w:p>
        </w:tc>
        <w:tc>
          <w:tcPr>
            <w:tcW w:w="1240" w:type="dxa"/>
            <w:vAlign w:val="bottom"/>
            <w:gridSpan w:val="2"/>
          </w:tcPr>
          <w:p>
            <w:pPr>
              <w:jc w:val="right"/>
              <w:ind w:right="94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4,516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Net sales—Westlake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231,260</w:t>
        <w:tab/>
        <w:t>$</w:t>
      </w:r>
      <w:r>
        <w:rPr>
          <w:sz w:val="20"/>
          <w:szCs w:val="20"/>
          <w:color w:val="auto"/>
        </w:rPr>
        <w:tab/>
      </w:r>
      <w:r>
        <w:rPr>
          <w:rFonts w:ascii="Arial" w:cs="Arial" w:eastAsia="Arial" w:hAnsi="Arial"/>
          <w:sz w:val="16"/>
          <w:szCs w:val="16"/>
          <w:color w:val="auto"/>
        </w:rPr>
        <w:t>208,913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80,819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13,896</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86,561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94,715</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 general and administrative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5,468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300" w:val="left"/>
          <w:tab w:leader="none" w:pos="9960" w:val="left"/>
          <w:tab w:leader="none" w:pos="11020" w:val="left"/>
        </w:tabs>
        <w:rPr>
          <w:sz w:val="20"/>
          <w:szCs w:val="20"/>
          <w:color w:val="auto"/>
        </w:rPr>
      </w:pPr>
      <w:r>
        <w:rPr>
          <w:rFonts w:ascii="Arial" w:cs="Arial" w:eastAsia="Arial" w:hAnsi="Arial"/>
          <w:sz w:val="18"/>
          <w:szCs w:val="18"/>
          <w:color w:val="auto"/>
        </w:rPr>
        <w:t>Goods and services purchased from Westlake and capitalized as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2,007</w:t>
        <w:tab/>
        <w:t>$</w:t>
      </w:r>
      <w:r>
        <w:rPr>
          <w:sz w:val="20"/>
          <w:szCs w:val="20"/>
          <w:color w:val="auto"/>
        </w:rPr>
        <w:tab/>
      </w:r>
      <w:r>
        <w:rPr>
          <w:rFonts w:ascii="Arial" w:cs="Arial" w:eastAsia="Arial" w:hAnsi="Arial"/>
          <w:sz w:val="16"/>
          <w:szCs w:val="16"/>
          <w:color w:val="auto"/>
        </w:rPr>
        <w:t>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39,655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(15,550)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OpCo assumed promissory notes payable to Westlake ("the August 2013 Promissory Notes") and entered into a senior unsecured revolving credit facility with Westlake in connection with the IPO. The Partnership entered into an unsecured revolving credit facility with Westlake during April 2015. See Note 9 for a description of related party debt payable balances. Interest on related party debt payable balances for the three months ended March 31, 2016 and 2015 were $1,231 and $1,376, respectively, and is presented as interest expense—Westlake in the consolidated statements of operations. Interest capitalized as a component of property, plant and equipment on related party debt was $2,386 and $1,215 for the three months ended March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31, 2016 and 2015, respectively. At March 31, 2016 and December 31, 2015, accrued interest on related party debt was $3,600 and $2,879, respectively, and is reflected as a component of accrued liabilities in the consolidated balance sheets.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443,525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384,006</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OpCo, together with other subsidiaries of Westlake not included in these consolidated financial statements, are guarantors under Westlake's revolving credit facility and the indentures governing its senior notes. As of March 31, 2016 and December 31, 2015, Westlake had outstanding letters of credit totaling $30,445 and $30,098, respectively, under its revolving credit facility and $754,000 principal amount outstanding under its senior notes (less the unamortized discount and debt issuance costs of $6,589 and $6,741, as of March 31, 2016 and December 31, 2015, respectively).</w:t>
      </w:r>
    </w:p>
    <w:p>
      <w:pPr>
        <w:spacing w:after="0" w:line="117"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LIBOR component of the interest rate for a portion of the MLP Revolver balance. See Note 11 for additional information on the interest rate contract.</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3.0%, original scheduled maturity of August 4, 2019)</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276,409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216,890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r>
      <w:tr>
        <w:trPr>
          <w:trHeight w:val="237"/>
        </w:trPr>
        <w:tc>
          <w:tcPr>
            <w:tcW w:w="8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443,525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384,006</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3.41% and 3.30% at March 31, 2016 and December 31, 2015, respectively.</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March 31, 2016, the Partnership was in compliance with all of the covenants under the August 2013 Promissory Notes, the OpCo Revolver and the MLP Revolver.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sets forth the changes in accumulated other comprehensive loss for the three months ended March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r>
      <w:tr>
        <w:trPr>
          <w:trHeight w:val="192"/>
        </w:trPr>
        <w:tc>
          <w:tcPr>
            <w:tcW w:w="9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loss before reclassification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 loss into net income</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Balances at March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94"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three months ended March 31, 2016. The Partnership did not have any interest rate contracts for the three months ended March 31, 2015.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fair values of the derivative instrument on the Partnership's consolidated balance sheets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Derivative Assets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7"/>
              </w:rPr>
              <w:t>Balance Sheet Location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w:t>
            </w:r>
          </w:p>
        </w:tc>
        <w:tc>
          <w:tcPr>
            <w:tcW w:w="1820" w:type="dxa"/>
            <w:vAlign w:val="bottom"/>
            <w:gridSpan w:val="3"/>
            <w:vMerge w:val="restart"/>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net</w:t>
            </w:r>
          </w:p>
        </w:tc>
        <w:tc>
          <w:tcPr>
            <w:tcW w:w="1820" w:type="dxa"/>
            <w:vAlign w:val="bottom"/>
            <w:gridSpan w:val="3"/>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Derivative Liabilities</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23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7"/>
              </w:rPr>
              <w:t>Balance Sheet Location</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20" w:type="dxa"/>
            <w:vAlign w:val="bottom"/>
            <w:gridSpan w:val="3"/>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312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13</w:t>
            </w: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 of operations and the consolidated statement of comprehensive income for the three months ended March 31, 2016:</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300" w:type="dxa"/>
            <w:vAlign w:val="bottom"/>
          </w:tcPr>
          <w:p>
            <w:pPr>
              <w:jc w:val="center"/>
              <w:ind w:left="1788"/>
              <w:spacing w:after="0"/>
              <w:rPr>
                <w:sz w:val="20"/>
                <w:szCs w:val="20"/>
                <w:color w:val="auto"/>
              </w:rPr>
            </w:pPr>
            <w:r>
              <w:rPr>
                <w:rFonts w:ascii="Arial" w:cs="Arial" w:eastAsia="Arial" w:hAnsi="Arial"/>
                <w:sz w:val="14"/>
                <w:szCs w:val="14"/>
                <w:b w:val="1"/>
                <w:bCs w:val="1"/>
                <w:color w:val="auto"/>
                <w:w w:val="92"/>
              </w:rPr>
              <w:t>Location of Gain (Loss)</w:t>
            </w:r>
          </w:p>
        </w:tc>
        <w:tc>
          <w:tcPr>
            <w:tcW w:w="17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 Cash Flow Hedging Relationship</w:t>
            </w:r>
          </w:p>
        </w:tc>
        <w:tc>
          <w:tcPr>
            <w:tcW w:w="4300" w:type="dxa"/>
            <w:vAlign w:val="bottom"/>
          </w:tcPr>
          <w:p>
            <w:pPr>
              <w:jc w:val="center"/>
              <w:ind w:left="176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4300" w:type="dxa"/>
            <w:vAlign w:val="bottom"/>
          </w:tcPr>
          <w:p>
            <w:pPr>
              <w:jc w:val="center"/>
              <w:ind w:left="1788"/>
              <w:spacing w:after="0"/>
              <w:rPr>
                <w:sz w:val="20"/>
                <w:szCs w:val="20"/>
                <w:color w:val="auto"/>
              </w:rPr>
            </w:pPr>
            <w:r>
              <w:rPr>
                <w:rFonts w:ascii="Arial" w:cs="Arial" w:eastAsia="Arial" w:hAnsi="Arial"/>
                <w:sz w:val="14"/>
                <w:szCs w:val="14"/>
                <w:b w:val="1"/>
                <w:bCs w:val="1"/>
                <w:color w:val="auto"/>
                <w:w w:val="93"/>
              </w:rPr>
              <w:t>Statement of Operations</w:t>
            </w:r>
          </w:p>
        </w:tc>
        <w:tc>
          <w:tcPr>
            <w:tcW w:w="176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contract—Loss reclassified from accumulated other</w:t>
            </w:r>
          </w:p>
        </w:tc>
        <w:tc>
          <w:tcPr>
            <w:tcW w:w="100" w:type="dxa"/>
            <w:vAlign w:val="bottom"/>
            <w:tcBorders>
              <w:top w:val="single" w:sz="8" w:color="CCEEFF"/>
            </w:tcBorders>
            <w:shd w:val="clear" w:color="auto" w:fill="CCEEFF"/>
          </w:tcPr>
          <w:p>
            <w:pPr>
              <w:spacing w:after="0"/>
              <w:rPr>
                <w:sz w:val="20"/>
                <w:szCs w:val="20"/>
                <w:color w:val="auto"/>
              </w:rPr>
            </w:pPr>
          </w:p>
        </w:tc>
        <w:tc>
          <w:tcPr>
            <w:tcW w:w="29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3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 in cash flow hedge relationship</w:t>
            </w:r>
          </w:p>
        </w:tc>
        <w:tc>
          <w:tcPr>
            <w:tcW w:w="2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2"/>
        </w:trPr>
        <w:tc>
          <w:tcPr>
            <w:tcW w:w="6880" w:type="dxa"/>
            <w:vAlign w:val="bottom"/>
            <w:tcBorders>
              <w:bottom w:val="single" w:sz="8" w:color="auto"/>
            </w:tcBorders>
            <w:gridSpan w:val="3"/>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63"/>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rate contract—Change in value recognized in other comprehensive loss</w:t>
            </w:r>
          </w:p>
        </w:tc>
        <w:tc>
          <w:tcPr>
            <w:tcW w:w="2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the derivative instrument during the three months ended March 31,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by level within the fair value hierarchy, the Partnership's liability and asset under the interest rate contract that was accounted for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4"/>
              </w:rPr>
              <w:t>March 31, 2016</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960" w:type="dxa"/>
            <w:vAlign w:val="bottom"/>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250"/>
        </w:trPr>
        <w:tc>
          <w:tcPr>
            <w:tcW w:w="8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Liability—Interest rate contract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312</w:t>
            </w:r>
          </w:p>
        </w:tc>
      </w:tr>
      <w:tr>
        <w:trPr>
          <w:trHeight w:val="588"/>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1"/>
              </w:rPr>
              <w:t>December 31, 2015</w:t>
            </w:r>
          </w:p>
        </w:tc>
        <w:tc>
          <w:tcPr>
            <w:tcW w:w="960" w:type="dxa"/>
            <w:vAlign w:val="bottom"/>
            <w:tcBorders>
              <w:bottom w:val="single" w:sz="8" w:color="auto"/>
            </w:tcBorders>
          </w:tcPr>
          <w:p>
            <w:pPr>
              <w:spacing w:after="0"/>
              <w:rPr>
                <w:sz w:val="24"/>
                <w:szCs w:val="24"/>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960" w:type="dxa"/>
            <w:vAlign w:val="bottom"/>
          </w:tcPr>
          <w:p>
            <w:pPr>
              <w:jc w:val="right"/>
              <w:ind w:right="499"/>
              <w:spacing w:after="0"/>
              <w:rPr>
                <w:sz w:val="20"/>
                <w:szCs w:val="20"/>
                <w:color w:val="auto"/>
              </w:rPr>
            </w:pPr>
            <w:r>
              <w:rPr>
                <w:rFonts w:ascii="Arial" w:cs="Arial" w:eastAsia="Arial" w:hAnsi="Arial"/>
                <w:sz w:val="14"/>
                <w:szCs w:val="14"/>
                <w:b w:val="1"/>
                <w:bCs w:val="1"/>
                <w:color w:val="auto"/>
              </w:rPr>
              <w:t>Total</w:t>
            </w:r>
          </w:p>
        </w:tc>
      </w:tr>
      <w:tr>
        <w:trPr>
          <w:trHeight w:val="250"/>
        </w:trPr>
        <w:tc>
          <w:tcPr>
            <w:tcW w:w="8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Asset—Interest rate contract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436</w:t>
            </w:r>
          </w:p>
        </w:tc>
      </w:tr>
    </w:tbl>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3-month LIBOR forward curve). There were no transfers in or out of Levels 1 and 2 of the fair value hierarchy during the three months ended March 31, 2016.</w:t>
      </w:r>
    </w:p>
    <w:p>
      <w:pPr>
        <w:spacing w:after="0" w:line="127"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2016 and December 31, 2015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fair value of the Partnership's long-term debt are classified as Level 3 within the fair value hierarchy. Inputs used to estimate the fair values of the Partnership's long-term debt include the selection of an appropriate discount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276,409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273,324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216,890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215,738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130,814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130,439</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The effective income tax rates were 0.4% and 0.5% for the three months ended March 31, 2016 and 2015, respectively.</w:t>
      </w:r>
    </w:p>
    <w:p>
      <w:pPr>
        <w:spacing w:after="0" w:line="204" w:lineRule="exact"/>
        <w:rPr>
          <w:sz w:val="20"/>
          <w:szCs w:val="20"/>
          <w:color w:val="auto"/>
        </w:rPr>
      </w:pPr>
    </w:p>
    <w:p>
      <w:pPr>
        <w:ind w:right="9100" w:firstLine="8"/>
        <w:spacing w:after="0" w:line="390"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jc w:val="both"/>
        <w:ind w:right="460" w:firstLine="405"/>
        <w:spacing w:after="0" w:line="264" w:lineRule="auto"/>
        <w:rPr>
          <w:sz w:val="20"/>
          <w:szCs w:val="20"/>
          <w:color w:val="auto"/>
        </w:rPr>
      </w:pPr>
      <w:r>
        <w:rPr>
          <w:rFonts w:ascii="Arial" w:cs="Arial" w:eastAsia="Arial" w:hAnsi="Arial"/>
          <w:sz w:val="18"/>
          <w:szCs w:val="18"/>
          <w:color w:val="auto"/>
        </w:rPr>
        <w:t>Accrued liabilities were $36,627 and $23,407 at March 31, 2016 and December 31, 2015, respectively. The accrual related to capital expenditures, which is a component of accrued liabilities, was $27,004 and $14,745 at March 31, 2016 and December 31, 2015, respectively. No other component of accrued liabilities was more than five percent of total current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reducing additions to property, plant and equipment was $13,719 for the three months ended March 31,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change in capital expenditure accrual reducing additions to property, plant and equipment was $545 for the three months ended March 31, 2015.</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Major Customer and Concentration of Credit Risk</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March 31, 2016 and 2015, Westlake accounted for approximately 91.6% and 80.9%, respectively, of the Partnership's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$2,210 in 2015. By letter dated March 16, 2010, PolyOne notified Westlake that it was initiating an arbitration proceeding under the settlement agreement. In this proceeding, PolyOne sought to readjust the percentage allocation of costs and to recover approximately $1,400 from Westlake in reimbursement of previously paid remediation costs. In December 2015, the arbitration panel dismissed the proceeding with prejudice. In a separate proceeding in Ohio state court, Westlake is seeking certain insurance documents from PolyOne.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Westlake will indemnify the Partnership for liabilities that occurred or existed prior to August 4, 2014.</w:t>
      </w:r>
    </w:p>
    <w:p>
      <w:pPr>
        <w:spacing w:after="0" w:line="212" w:lineRule="exact"/>
        <w:rPr>
          <w:sz w:val="20"/>
          <w:szCs w:val="20"/>
          <w:color w:val="auto"/>
        </w:rPr>
      </w:pPr>
    </w:p>
    <w:p>
      <w:pPr>
        <w:ind w:right="60" w:firstLine="392"/>
        <w:spacing w:after="0" w:line="271" w:lineRule="auto"/>
        <w:rPr>
          <w:sz w:val="20"/>
          <w:szCs w:val="20"/>
          <w:color w:val="auto"/>
        </w:rPr>
      </w:pPr>
      <w:r>
        <w:rPr>
          <w:rFonts w:ascii="Arial" w:cs="Arial" w:eastAsia="Arial" w:hAnsi="Arial"/>
          <w:sz w:val="17"/>
          <w:szCs w:val="17"/>
          <w:i w:val="1"/>
          <w:iCs w:val="1"/>
          <w:color w:val="auto"/>
        </w:rPr>
        <w:t>State Administrative Proceedings</w:t>
      </w:r>
      <w:r>
        <w:rPr>
          <w:rFonts w:ascii="Arial" w:cs="Arial" w:eastAsia="Arial" w:hAnsi="Arial"/>
          <w:sz w:val="17"/>
          <w:szCs w:val="17"/>
          <w:color w:val="auto"/>
        </w:rPr>
        <w:t>. There are several administrative proceedings in Kentucky involving Westlake, Goodrich and PolyOne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manufacturing site in Calvert City, which includes OpCo's natural gas liquids processing facility in Calvert City. In 2003, the Kentucky Environmental and Public Protection Cabinet (the "Cabinet") re-issued Goodrich's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125" w:lineRule="exact"/>
        <w:rPr>
          <w:sz w:val="20"/>
          <w:szCs w:val="20"/>
          <w:color w:val="auto"/>
        </w:rPr>
      </w:pPr>
    </w:p>
    <w:p>
      <w:pPr>
        <w:ind w:right="60" w:firstLine="392"/>
        <w:spacing w:after="0" w:line="289" w:lineRule="auto"/>
        <w:rPr>
          <w:sz w:val="20"/>
          <w:szCs w:val="20"/>
          <w:color w:val="auto"/>
        </w:rPr>
      </w:pPr>
      <w:r>
        <w:rPr>
          <w:rFonts w:ascii="Arial" w:cs="Arial" w:eastAsia="Arial" w:hAnsi="Arial"/>
          <w:sz w:val="16"/>
          <w:szCs w:val="16"/>
          <w:i w:val="1"/>
          <w:iCs w:val="1"/>
          <w:color w:val="auto"/>
        </w:rPr>
        <w:t>Federal Administrative Proceedings</w:t>
      </w:r>
      <w:r>
        <w:rPr>
          <w:rFonts w:ascii="Arial" w:cs="Arial" w:eastAsia="Arial" w:hAnsi="Arial"/>
          <w:sz w:val="16"/>
          <w:szCs w:val="16"/>
          <w:color w:val="auto"/>
        </w:rPr>
        <w:t>. In May 2009, the Cabinet sent a letter to the EPA requesting the EPA's assistance in addressing contamination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Calvert City site under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13" w:lineRule="exact"/>
        <w:rPr>
          <w:sz w:val="20"/>
          <w:szCs w:val="20"/>
          <w:color w:val="auto"/>
        </w:rPr>
      </w:pPr>
    </w:p>
    <w:p>
      <w:pPr>
        <w:ind w:right="80" w:firstLine="392"/>
        <w:spacing w:after="0" w:line="287"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the Partnership's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in excess of $100, such a settlement will likely cover assets owned by the Partnership and Westlake, and to the extent it covers the Partnership's assets, Westlake will indemnify the Partnership for liabilities that occurred or existed prior to August 4, 2014. Westlake has reached a verbal agreement with the LDEQ to settle various NOVs in two separate settlements for a combined $192 in civil penalties.</w:t>
      </w:r>
    </w:p>
    <w:p>
      <w:pPr>
        <w:spacing w:after="0" w:line="13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4"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On April 27, 2016, the board of directors of Westlake GP declared a quarterly distribution for the period from January 1, 2016 through March 31, 2016 of $0.3168 per unit and $2 to IDR Holders. This distribution is payable on May 24, 2016 to unitholders and IDR Holders of record as of May 10, 2016.</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Unless otherwise indicated, references in this report to "we," "our," "us" or like terms used in the present tense or prospectively, refer to Westlake Chemical Partners LP (the "Partnership"), Westlake Chemical OpCo LP ("OpCo") and Westlake Chemical OpCo GP LLC ("OpCo GP"). References to "Westlake" refer to Westlake Chemical Corporation and its consolidated subsidiaries other than the Partnership, OpCo GP and OpCo.</w:t>
      </w:r>
    </w:p>
    <w:p>
      <w:pPr>
        <w:spacing w:after="0" w:line="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section should be read in conjunction with the accompanying consolidated financial statements and the notes thereto and the combined and consolidated financial statements and notes thereto included in Westlake Chemical Partners LP's annual report on Form 10-K for the fiscal year ended December 31, 2015 (the "2015 Form 10-K"), as filed with the SEC on March 8, 2016.</w:t>
      </w:r>
    </w:p>
    <w:p>
      <w:pPr>
        <w:spacing w:after="0" w:line="1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discussion contains forward-looking statements. Please read "Forward-Looking Statements" for a discussion of limitations inherent in such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August 4, 2014, we closed our initial public offering (the "IPO'") of 12,937,500 common units. We are a Delaware limited partnership formed by Westlake to operate, acquire and develop facilities and related assets for the processing of natural gas liquids. Currently, our sole revenue generating asset is our 13.3% limited partner interest in OpCo, a limited partnership formed by Westlake and us in anticipation of the IPO to own and operate a natural gas liquids processing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natural gas liquids processing facilities ("Petro 1" and "Petro 2" and, collectively, "Lake Charles Olefins") at Westlake's Lake Charles, Louisiana site; (2) one natural gas liquids processing facility ("Calvert City Olefins") at Westlake's Calvert City, Kentucky site; and (3) a 200-mile common carrier ethylene pipeline (the "Longview Pipeline") that runs from Mont Belvieu, Texas to Westlake's Longview, Texas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The shortfall amount is recognized during the period in which the related operating, maintenance or turnaround activities occur.</w:t>
      </w:r>
    </w:p>
    <w:p>
      <w:pPr>
        <w:spacing w:after="0" w:line="12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2015, all the third-party ethylene and associated co-products sales generated greater than 17% of our total revenues. However, in the first quarter of 2016, there were no third-party ethylene sale</w:t>
      </w:r>
      <w:r>
        <w:rPr>
          <w:rFonts w:ascii="Arial" w:cs="Arial" w:eastAsia="Arial" w:hAnsi="Arial"/>
          <w:sz w:val="16"/>
          <w:szCs w:val="16"/>
          <w:u w:val="single" w:color="auto"/>
          <w:color w:val="auto"/>
        </w:rPr>
        <w:t>s.</w:t>
      </w:r>
      <w:r>
        <w:rPr>
          <w:rFonts w:ascii="Arial" w:cs="Arial" w:eastAsia="Arial" w:hAnsi="Arial"/>
          <w:sz w:val="16"/>
          <w:szCs w:val="16"/>
          <w:color w:val="auto"/>
        </w:rPr>
        <w:t xml:space="preserve"> The significant drop in crude oil prices since the third quarter of 2014 and continuing through the first quarter of 2016 may create volatility in the North American and global markets, which may result in reduced prices and margins with respect to third-party ethylene and co-products sales in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Sales Agreement. OpCo may purchase the ethane and other feedstocks to produce ethylene and resulting co-products to sell to unrelated third parties from Westlake Petrochemicals LLC.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processing capacity;</w:t>
      </w:r>
    </w:p>
    <w:p>
      <w:pPr>
        <w:spacing w:after="0" w:line="9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or increase capacity at our existing processing facilities, or add additional processing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processing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spacing w:after="0" w:line="138" w:lineRule="exact"/>
        <w:rPr>
          <w:sz w:val="20"/>
          <w:szCs w:val="20"/>
          <w:color w:val="auto"/>
        </w:rPr>
      </w:pPr>
    </w:p>
    <w:p>
      <w:pPr>
        <w:ind w:firstLine="432"/>
        <w:spacing w:after="0" w:line="304" w:lineRule="auto"/>
        <w:rPr>
          <w:sz w:val="20"/>
          <w:szCs w:val="20"/>
          <w:color w:val="auto"/>
        </w:rPr>
      </w:pPr>
      <w:r>
        <w:rPr>
          <w:rFonts w:ascii="Arial" w:cs="Arial" w:eastAsia="Arial" w:hAnsi="Arial"/>
          <w:sz w:val="16"/>
          <w:szCs w:val="16"/>
          <w:color w:val="auto"/>
        </w:rPr>
        <w:t xml:space="preserve">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w:t>
      </w:r>
      <w:r>
        <w:rPr>
          <w:rFonts w:ascii="Arial" w:cs="Arial" w:eastAsia="Arial" w:hAnsi="Arial"/>
          <w:sz w:val="17"/>
          <w:szCs w:val="17"/>
          <w:color w:val="auto"/>
        </w:rPr>
        <w:t>T</w:t>
      </w:r>
      <w:r>
        <w:rPr>
          <w:rFonts w:ascii="Arial" w:cs="Arial" w:eastAsia="Arial" w:hAnsi="Arial"/>
          <w:sz w:val="16"/>
          <w:szCs w:val="16"/>
          <w:color w:val="auto"/>
        </w:rPr>
        <w:t>he impact on profitability is partially mitigated by the fact that we recognize any shortfall amount as revenue in the period such costs and expenses are incurred. We seek to manage our operating and maintenance expenses on our natural gas liquids processing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less distributable cash flow attributable to Westlake's noncontrolling interest in OpCo.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cash flow from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production, subject to a maximum commitment of 3.8 billion pounds of ethylene per year, with an option to purchase an additional 95% of actual production in excess of the planned production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2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processing facilities.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We completed the expansion of the production capacity of our Petro 2 ethylene facility in Lake Charles in the first quarter of 2013. We commenced the upgrade and capacity expansion of our Petro 1 ethylene facility in Lake Charles in April 2016. This project is expected to add approximately 250 million pounds of ethylene capacity annually. We anticipate that the Petro 1 upgrade and expansion project will take approximately 80 days to complete.</w:t>
      </w:r>
    </w:p>
    <w:p>
      <w:pPr>
        <w:spacing w:after="0" w:line="9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January 2016, we announced an expansion project to increase the ethylene capacity of our ethylene processing facility at Calvert City Olefins. The project is expected to increase ethylene capacity by approximately 70 million pounds annually and is targeted for completion during the first half of 2017. Combined with other incremental capacity increases which we have undertaken, the total ethylene capacity of Calvert City Olefins is expected to increase to 730 million pounds annually at the completion of this project.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231,260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208,913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feedstock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252,604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258,391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162,164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110,414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104,317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90,227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103,170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88,856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88,389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79,889</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12,084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8,500</w:t>
            </w:r>
          </w:p>
        </w:tc>
      </w:tr>
      <w:tr>
        <w:trPr>
          <w:trHeight w:val="257"/>
        </w:trPr>
        <w:tc>
          <w:tcPr>
            <w:tcW w:w="83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9,517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8,961</w:t>
            </w:r>
          </w:p>
        </w:tc>
      </w:tr>
      <w:tr>
        <w:trPr>
          <w:trHeight w:val="283"/>
        </w:trPr>
        <w:tc>
          <w:tcPr>
            <w:tcW w:w="83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124,797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110,035</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91" w:lineRule="exact"/>
        <w:rPr>
          <w:sz w:val="20"/>
          <w:szCs w:val="20"/>
          <w:color w:val="auto"/>
        </w:rPr>
      </w:pPr>
    </w:p>
    <w:p>
      <w:pPr>
        <w:ind w:left="280" w:hanging="245"/>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 GAAP financial measure. See the "Reconciliation of MLP Distributable Cash Flow to Net Income and Net Cash Provided by Operating Activities."</w:t>
      </w:r>
    </w:p>
    <w:p>
      <w:pPr>
        <w:spacing w:after="0" w:line="140" w:lineRule="exact"/>
        <w:rPr>
          <w:rFonts w:ascii="Arial" w:cs="Arial" w:eastAsia="Arial" w:hAnsi="Arial"/>
          <w:sz w:val="16"/>
          <w:szCs w:val="16"/>
          <w:color w:val="auto"/>
        </w:rPr>
      </w:pPr>
    </w:p>
    <w:p>
      <w:pPr>
        <w:ind w:left="280" w:hanging="245"/>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 GAAP financial measure. See the "Reconciliation of EBITDA to Net Income and Net Cash Provided by Operating Activities."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Three Months Ended March 31, 2016</w:t>
            </w:r>
          </w:p>
        </w:tc>
        <w:tc>
          <w:tcPr>
            <w:tcW w:w="0" w:type="dxa"/>
            <w:vAlign w:val="bottom"/>
          </w:tcPr>
          <w:p>
            <w:pPr>
              <w:spacing w:after="0"/>
              <w:rPr>
                <w:sz w:val="1"/>
                <w:szCs w:val="1"/>
                <w:color w:val="auto"/>
              </w:rPr>
            </w:pPr>
          </w:p>
        </w:tc>
      </w:tr>
      <w:tr>
        <w:trPr>
          <w:trHeight w:val="152"/>
        </w:trPr>
        <w:tc>
          <w:tcPr>
            <w:tcW w:w="8180" w:type="dxa"/>
            <w:vAlign w:val="bottom"/>
          </w:tcPr>
          <w:p>
            <w:pPr>
              <w:spacing w:after="0"/>
              <w:rPr>
                <w:sz w:val="13"/>
                <w:szCs w:val="13"/>
                <w:color w:val="auto"/>
              </w:rPr>
            </w:pP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Sales Price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 prior year period</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561"/>
        </w:trPr>
        <w:tc>
          <w:tcPr>
            <w:tcW w:w="8180" w:type="dxa"/>
            <w:vAlign w:val="bottom"/>
          </w:tcPr>
          <w:p>
            <w:pPr>
              <w:spacing w:after="0"/>
              <w:rPr>
                <w:sz w:val="24"/>
                <w:szCs w:val="24"/>
                <w:color w:val="auto"/>
              </w:rPr>
            </w:pPr>
          </w:p>
        </w:tc>
        <w:tc>
          <w:tcPr>
            <w:tcW w:w="32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600" w:type="dxa"/>
            <w:vAlign w:val="bottom"/>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6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6"/>
        </w:trPr>
        <w:tc>
          <w:tcPr>
            <w:tcW w:w="818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600" w:type="dxa"/>
            <w:vAlign w:val="bottom"/>
          </w:tcPr>
          <w:p>
            <w:pPr>
              <w:jc w:val="right"/>
              <w:ind w:right="16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_____________</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MLP distributable cash flow</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8,961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83,824</w:t>
            </w:r>
          </w:p>
        </w:tc>
        <w:tc>
          <w:tcPr>
            <w:tcW w:w="0" w:type="dxa"/>
            <w:vAlign w:val="bottom"/>
          </w:tcPr>
          <w:p>
            <w:pPr>
              <w:spacing w:after="0"/>
              <w:rPr>
                <w:sz w:val="1"/>
                <w:szCs w:val="1"/>
                <w:color w:val="auto"/>
              </w:rPr>
            </w:pPr>
          </w:p>
        </w:tc>
      </w:tr>
      <w:tr>
        <w:trPr>
          <w:trHeight w:val="270"/>
        </w:trPr>
        <w:tc>
          <w:tcPr>
            <w:tcW w:w="83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33,610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8,286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to turnaround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88,389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112,575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113,235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9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maintenance capital expenditures in the first quarter of 2016 as compared to the first quarter of 2015 are primarily related to Petro 1 maintenance capital expenditures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124,797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110,035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88,389</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112,575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113,235</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For the quarter ended March 31, 2016, net income was $102.8 million on net sales of $252.6 million. This represents an increase in net income of $14.4 million as compared to the quarter ended March 31, 2015 net income of $88.4 million on net sales of $258.4 million. Net sales for the first quarter of 2016 decreased by $5.8 million as compared to net sales for the first quarter of 2015 mainly attributable to a lower sales price to Westlake and the absence of ethylene sales to third parties, partially offset by a higher volume of ethylene sales to Westlake and the shortfall amount recognized for the period. Income from operations was $104.3 million for the first quarter of 2016 as compared to $90.2 million for the first quarter of 2015. Income from operations for the first quarter of 2016 increased mainly as a result of the higher volume of ethylene sales to Westlake and the shortfall amount recognized during the period, partially offset by the absence of ethylene sales to third parties.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2016 Compared with First Quarter 2015</w:t>
      </w:r>
    </w:p>
    <w:p>
      <w:pPr>
        <w:spacing w:after="0" w:line="90"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$5.8 million, or 2.2%, to $252.6 million in the first quarter of 2016 from $258.4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decline in average sales price of ethylene and related co-products for the first quarter of 2016 resulted in a decrease in net sales by 3.0% as compared to the first quarter of 2015. Higher sales volumes for the first quarter of 2016 contributed to an increase in net sales by 0.8% as compared to the first quarter of 2015. The decrease in average sales price was primarily due to a lower ethylene sales price, partially offset by the shortfall amount for the first quarter of 2016 as compared to the first quarter of 2015. The increase in sales volume during the first quarter of 2016 was primarily due to an increase in ethylene production. The ethylene production in the first quarter of 2016 increased by approximately 3.0% as compared to the first quarter of 2015 due to higher production rates at the Petro 2 and Calvert City Olefins processing facilities, which resulted in an increase in the sales volume to meet the higher demand by Westlake for its buildup of ethylene inventory in anticipation of the Petro 1 shut-down for the upgrade and capacity expansion project during the second quarter of 2016.</w:t>
      </w:r>
    </w:p>
    <w:p>
      <w:pPr>
        <w:spacing w:after="0" w:line="157" w:lineRule="exact"/>
        <w:rPr>
          <w:sz w:val="20"/>
          <w:szCs w:val="20"/>
          <w:color w:val="auto"/>
        </w:rPr>
      </w:pPr>
    </w:p>
    <w:p>
      <w:pPr>
        <w:ind w:right="60" w:firstLine="432"/>
        <w:spacing w:after="0" w:line="319"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increased to $110.4 million, or 43.7%, for the first quarter of 2016 from $96.2 million, or 37.2%, for the first quarter of 2015,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higher production rates at the Petro 2 and Calvert City Olefins processing facilities in the first quarter of 2016, which resulted in higher ethylene sales volume to Westlake, as compared to the prior-year period, and the shortfall amount recognized for the first quarter of 2016. This increase was partially offset by the absence of ethylene sales to third parties for the three months ended March 31, 2016 as compared to the prior-year period.</w:t>
      </w:r>
    </w:p>
    <w:p>
      <w:pPr>
        <w:spacing w:after="0" w:line="8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$0.1 million, or 1.7%, to $6.1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2016 as compared to $6.0 million in the first quarter of 2015. The increase in selling, general and administrative expenses in the first quarter of 2016 as compared to the first quarter of 2015 was mainly attributable to an increase in general and administrative expense allocation from Westlake.</w:t>
      </w:r>
    </w:p>
    <w:p>
      <w:pPr>
        <w:spacing w:after="0" w:line="93"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$0.2 million to $1.2 million in the first quarter of 2016 from $1.4 million in the first quarter of 2015,</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lower weighted average interest rate in the first quarter of 2016 as compared to the prior-year period. The lower average interest rate in the first quarter of 2016 as compared to the first quarter of 2015 was due to the repayment in April 2015 of a significant portion of the August 2013 Promissory Notes, which bear a higher interest rate as compared to our other outstanding debt. This decrease was partially offset by an increase in average debt balance during the later part of 2015 and in the first quarter of 2016 primarily to fund the capital expenditures related to the Petro 1 upgrade and expansion.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0.4% for the first quarter of 2016 as compared to 0.5% for the first quarter of 2015.</w:t>
      </w:r>
    </w:p>
    <w:p>
      <w:pPr>
        <w:spacing w:after="0" w:line="248" w:lineRule="exact"/>
        <w:rPr>
          <w:sz w:val="20"/>
          <w:szCs w:val="20"/>
          <w:color w:val="auto"/>
        </w:rPr>
      </w:pPr>
    </w:p>
    <w:p>
      <w:pPr>
        <w:ind w:right="3840"/>
        <w:spacing w:after="0" w:line="346" w:lineRule="auto"/>
        <w:rPr>
          <w:sz w:val="20"/>
          <w:szCs w:val="20"/>
          <w:color w:val="auto"/>
        </w:rPr>
      </w:pPr>
      <w:r>
        <w:rPr>
          <w:rFonts w:ascii="Arial" w:cs="Arial" w:eastAsia="Arial" w:hAnsi="Arial"/>
          <w:sz w:val="18"/>
          <w:szCs w:val="18"/>
          <w:b w:val="1"/>
          <w:bCs w:val="1"/>
          <w:color w:val="auto"/>
        </w:rPr>
        <w:t xml:space="preserve">CASH FLOW DISCUSSION FOR THE THREE MONTHS ENDED MARCH 31, 2016 AND 2015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Operating activities provided cash of $112.6 million in the first three months of 2016 compared to cash provided by operating activities of $113.2 million in the first three months of 2015. The $0.6 million decrease in cash flows from operating activities was mainly due to an increase in the use of cash for working capital purposes, as compared to the prior-year period. This increase was largely offset by the increase in income from operations during the first quarter of 2016 as compared to the prior-year period. Changes in components of working capital, which we define for the purposes of cash flow discussions as net accounts receivable—Westlake and accounts receivable, net—third parties, inventories, prepaid expenses and other current assets less accounts payable —Westlake and accounts payable—third parties and accrued liabilities, used cash of $7.1 million in the three months ended March 31, 2016 as compared to $5.3 million of cash provided in the first quarter of 2015 resulting in an overall unfavorable change of $12.4 million. The change in working capital is mainly attributable to unfavorable changes in Westlake and third party accounts receivable balances and favorable changes in Westlake and third party payable and accrued liabilities balances at March 31, 2016 as compared to the prior-year period. Turnaround costs and other non-current assets and liabilities also increased resulting in the net cash use of $3.9 million during the first quarter of 2016 as compared to $0.3 million of net cash used in the first quarter of 2015. The increase in income from operations by $14.1 million as compared to the prior-year period was primarily due to the higher volume of ethylene sales to Westlake, the shortfall amount recognized during the period, partially offset by the absence of ethylene sales to third 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cash used for investing activities during the first quarter of 2016 was $79.0 million as compared to net cash used for investing activities of $39.5 million in the first quarter of 2015 due to increased capital expenditures as compared to the prior-year period. Capital expenditures during the first quarter of 2016 were primarily incurred with respect to the planned upgrade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and expansion of the Petro 1 facility to increase ethylene production capacity as further discussed under "Liquidity and Capital Resources - Capital Expenditures"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Net cash used for financing activities during the first quarter of 2016 was $24.5 million as compared to net cash used for financing activities of $62.5 million in the first quarter of 2015. The activity during the first quarter of 2016 was related to the distribution of $75.7 million to Westlake and of $8.3 million to other unitholders by the Partnership and OpCo as compared to the distribution of $85.3 million to Westlake and of $7.4 million to other unitholders during the first quarter of 2015. These distributions were partially offset by borrowings under the OpCo Revolver of $59.5 million and $30.2 million, primarily to fund the capital expenditures during the three months ended March 31, 2016 and 2015,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jc w:val="both"/>
        <w:ind w:right="360" w:firstLine="432"/>
        <w:spacing w:after="0" w:line="302" w:lineRule="auto"/>
        <w:rPr>
          <w:sz w:val="20"/>
          <w:szCs w:val="20"/>
          <w:color w:val="auto"/>
        </w:rPr>
      </w:pPr>
      <w:r>
        <w:rPr>
          <w:rFonts w:ascii="Arial" w:cs="Arial" w:eastAsia="Arial" w:hAnsi="Arial"/>
          <w:sz w:val="16"/>
          <w:szCs w:val="16"/>
          <w:color w:val="auto"/>
        </w:rPr>
        <w:t>In order to fund non-annual turnaround expenditures, we cause OpCo to reserve approximately $30.0 million during each twelve-month period for turnaround activities. Each of OpCo's processing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1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On April 27, 2016, the board of directors of Westlake Chemical Partners GP LLC, our general partner, approved a quarterly distribution of $0.3168 per unit payable on May 24, 2016 to unitholders of record on May 10, 2016 and a distribution to the incentive distribution rights holders ("IDR Holders"), which equates to a total amount of approximately $8.6 million per quarter, or approximately $34.4 million per year in aggregate (in each case, including the distribution to the IDR Holders), based on the number of common and subordinated units outstanding on March 31, 2016.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January 2016, we announced an expansion project to increase the ethylene capacity of our ethylene processing facility at Calvert City Olefins. The expansion is expected to increase ethylene capacity by approximately 70 million pounds annually and is targeted for completion during the first half of 2017. This capital project is currently estimated to cost in the range of $70.0 million to $80.0 million and is expected to be funded solely with borrowings under the OpCo Revolver. Combined with other incremental capacity increases which we have undertaken, the total ethylene capacity of Calvert City Olefins is expected to increase to 730 million pounds annually at the completion of this project.</w:t>
      </w:r>
    </w:p>
    <w:p>
      <w:pPr>
        <w:spacing w:after="0" w:line="13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commenced the upgrade and capacity expansion of the Petro 1 ethylene facility in April 2016. This project is currently estimated to cost in the range of $285.0 million to $345.0 million and is expected to add approximately 250 million pounds of ethylene capacity annually. This capital project is being funded with borrowings under the OpCo Revolver.</w:t>
      </w:r>
    </w:p>
    <w:p>
      <w:pPr>
        <w:spacing w:after="0" w:line="127"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As of March 31, 2016, we had incurred a total cost of approximately $263.4 million on the Petro 1 and Calvert City Olefins capital projects.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three months ended March 31, 2016 and 2015, Westlake loaned OpCo $59.5 million and $30.2 million, respectively, of which $56.9 million was used to fund the expansion capital expenditures and $2.6 million was used for working capital purposes in the first three months ended March 31, 2016. The total capital expenditures, including the expansion, capital maintenance and turnaround, for 2016 are expected to be approximately $293.0 million, of which $79.1 million was spent during the first quarter of 2016. We expect that Westlake will loan additional cash to OpCo to fund its expansion capital expenditures in the future, but Westlake is under no obligation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As of March 31, 2016, our cash and cash equivalents totaled $178.7 million. In addition, we have a revolving credit facility with Westlake available to supplement cash if needed, as described under "Indebtedness"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As of March 31, 2016,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100" w:firstLine="392"/>
        <w:spacing w:after="0" w:line="264"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As of March 31, 2016, outstanding borrowings under the OpCo Revolver totaled $276.4 million and bore interest at the LIBOR rate plus 3.0%, which is accrued in arrears quarterly. The OpCo Revolver matures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March 31, 2016, outstanding borrowings under the MLP Revolver totaled $135.3 million. We intend to use the MLP Revolver to purchase additional limited partnership interests in OpCo in the future, in the event OpCo desires to sell such additional interests to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increase the ethylene capacity of the ethylene processing facility at Calvert City Olefins and upgrade and expand the capacity of Petro 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in "Risk Factors" in the 2015 Form 10-K and the following:</w:t>
      </w:r>
    </w:p>
    <w:p>
      <w:pPr>
        <w:spacing w:after="0" w:line="229" w:lineRule="exact"/>
        <w:rPr>
          <w:sz w:val="20"/>
          <w:szCs w:val="20"/>
          <w:color w:val="auto"/>
        </w:rPr>
      </w:pPr>
    </w:p>
    <w:p>
      <w:pPr>
        <w:ind w:left="900" w:hanging="325"/>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80" w:hanging="359"/>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5"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are exposed to interest rate risk with respect to our outstanding debt, all of which is variable rate debt. At March 31, 2016, we had variable rate debt of $443.5 million outstanding, all of which was owed to wholly owned subsidiaries of Westlake, $31.8 million of which accrues interest at a variable rate of prime plus 150 basis points, $276.4 million of which accrues interest at a variable rate of LIBOR plus 300 basis points and the remaining $135.3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March 31, 2016 was 3.55%.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$3.7 million, based on the March 31, 2016 debt balance.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Chief Financial Officer and Treasurer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4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2016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2015 Form 10-K, filed on March 8, 2016, contained a description of various legal proceedings in which we are involved, including environmental proceedings. See Note 16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2015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3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Treasurer and Director of</w:t>
      </w:r>
    </w:p>
    <w:p>
      <w:pPr>
        <w:jc w:val="center"/>
        <w:ind w:left="730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240" w:top="125" w:right="7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586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125"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May 4, 2016</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Senior Vice President, Chief Financial Officer, Treasurer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March 31, 2016 as filed with the Securities and Exchange Commission on the date hereof (the "Report"), I, Albert Chao, President, Chief Executive Officer and Director of the Partnership, and I, M. Steven Bender, Senior Vice President, Chief Financial Officer, Treasurer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May 4,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May 4, 2016</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Senior Vice President, Chief Financial Officer,</w:t>
      </w:r>
    </w:p>
    <w:p>
      <w:pPr>
        <w:jc w:val="center"/>
        <w:ind w:left="7080"/>
        <w:spacing w:after="0" w:line="226" w:lineRule="auto"/>
        <w:rPr>
          <w:sz w:val="20"/>
          <w:szCs w:val="20"/>
          <w:color w:val="auto"/>
        </w:rPr>
      </w:pPr>
      <w:r>
        <w:rPr>
          <w:rFonts w:ascii="Arial" w:cs="Arial" w:eastAsia="Arial" w:hAnsi="Arial"/>
          <w:sz w:val="14"/>
          <w:szCs w:val="14"/>
          <w:b w:val="1"/>
          <w:bCs w:val="1"/>
          <w:color w:val="auto"/>
        </w:rPr>
        <w:t>Treasurer and 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4"/>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2020-01-20T10:59:10Z</dcterms:created>
  <dcterms:modified xsi:type="dcterms:W3CDTF">2020-01-20T10:59:10Z</dcterms:modified>
</cp:coreProperties>
</file>