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jc w:val="center"/>
        <w:rPr>
          <w:rFonts w:ascii="inherit" w:hAnsi="inherit"/>
          <w:b/>
          <w:sz w:val="30"/>
        </w:rPr>
      </w:pPr>
      <w:bookmarkStart w:id="0" w:name="s11632AB403435562B1761D09A5FA91B4"/>
      <w:bookmarkStart w:id="1" w:name="a2019033110qwlkp.htm"/>
      <w:bookmarkStart w:id="2" w:name="ksa2019033110qwlkp"/>
      <w:bookmarkEnd w:id="0"/>
      <w:bookmarkEnd w:id="1"/>
      <w:bookmarkEnd w:id="2"/>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tbl>
      <w:tblPr>
        <w:tblW w:w="450" w:type="dxa"/>
        <w:jc w:val="center"/>
        <w:tblInd w:w="0" w:type="dxa"/>
        <w:tblCellMar>
          <w:top w:w="0" w:type="dxa"/>
          <w:left w:w="0" w:type="dxa"/>
          <w:bottom w:w="0" w:type="dxa"/>
          <w:right w:w="0" w:type="dxa"/>
        </w:tblCellMar>
      </w:tblPr>
      <w:tblGrid>
        <w:gridCol w:w="105"/>
        <w:gridCol w:w="90"/>
        <w:gridCol w:w="90"/>
        <w:gridCol w:w="90"/>
        <w:gridCol w:w="75"/>
      </w:tblGrid>
      <w:tr>
        <w:trPr/>
        <w:tc>
          <w:tcPr>
            <w:tcW w:w="450"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b/>
          <w:sz w:val="30"/>
        </w:rPr>
      </w:pPr>
      <w:r>
        <w:rPr>
          <w:rFonts w:ascii="inherit" w:hAnsi="inherit"/>
          <w:b/>
          <w:sz w:val="30"/>
        </w:rPr>
        <w:t>Form 10-Q</w:t>
      </w:r>
    </w:p>
    <w:tbl>
      <w:tblPr>
        <w:tblW w:w="450" w:type="dxa"/>
        <w:jc w:val="center"/>
        <w:tblInd w:w="0" w:type="dxa"/>
        <w:tblCellMar>
          <w:top w:w="0" w:type="dxa"/>
          <w:left w:w="0" w:type="dxa"/>
          <w:bottom w:w="0" w:type="dxa"/>
          <w:right w:w="0" w:type="dxa"/>
        </w:tblCellMar>
      </w:tblPr>
      <w:tblGrid>
        <w:gridCol w:w="105"/>
        <w:gridCol w:w="90"/>
        <w:gridCol w:w="90"/>
        <w:gridCol w:w="90"/>
        <w:gridCol w:w="75"/>
      </w:tblGrid>
      <w:tr>
        <w:trPr/>
        <w:tc>
          <w:tcPr>
            <w:tcW w:w="450"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185"/>
        <w:gridCol w:w="10020"/>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5" w:type="dxa"/>
            <w:tcBorders/>
            <w:shd w:fill="auto" w:val="clear"/>
            <w:vAlign w:val="center"/>
          </w:tcPr>
          <w:p>
            <w:pPr>
              <w:pStyle w:val="TableContents"/>
              <w:spacing w:before="0" w:after="283"/>
              <w:rPr>
                <w:sz w:val="4"/>
                <w:szCs w:val="4"/>
              </w:rPr>
            </w:pPr>
            <w:r>
              <w:rPr>
                <w:sz w:val="4"/>
                <w:szCs w:val="4"/>
              </w:rPr>
            </w:r>
          </w:p>
        </w:tc>
        <w:tc>
          <w:tcPr>
            <w:tcW w:w="100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5" w:type="dxa"/>
            <w:tcBorders/>
            <w:shd w:fill="auto" w:val="clear"/>
            <w:vAlign w:val="center"/>
          </w:tcPr>
          <w:p>
            <w:pPr>
              <w:pStyle w:val="TableContents"/>
              <w:spacing w:before="0" w:after="0"/>
              <w:ind w:left="0" w:right="0" w:firstLine="30"/>
              <w:jc w:val="left"/>
              <w:rPr>
                <w:rFonts w:ascii="Wingdings" w:hAnsi="Wingdings"/>
                <w:sz w:val="20"/>
              </w:rPr>
            </w:pPr>
            <w:r>
              <w:rPr>
                <w:rFonts w:ascii="Wingdings" w:hAnsi="Wingdings"/>
                <w:sz w:val="20"/>
              </w:rPr>
              <w:t>x</w:t>
            </w:r>
          </w:p>
        </w:tc>
        <w:tc>
          <w:tcPr>
            <w:tcW w:w="10020" w:type="dxa"/>
            <w:tcBorders/>
            <w:shd w:fill="auto" w:val="clear"/>
            <w:vAlign w:val="center"/>
          </w:tcPr>
          <w:p>
            <w:pPr>
              <w:pStyle w:val="TableContents"/>
              <w:spacing w:before="0" w:after="0"/>
              <w:ind w:left="0" w:right="0" w:firstLine="30"/>
              <w:jc w:val="left"/>
              <w:rPr>
                <w:rFonts w:ascii="inherit" w:hAnsi="inherit"/>
                <w:b/>
                <w:sz w:val="20"/>
              </w:rPr>
            </w:pPr>
            <w:r>
              <w:rPr>
                <w:rFonts w:ascii="inherit" w:hAnsi="inherit"/>
                <w:b/>
                <w:sz w:val="20"/>
              </w:rPr>
              <w:t>QUARTERLY REPORT PURSUANT TO SECTION 13 OR 15(d) OF THE SECURITIES EXCHANGE ACT OF 1934</w:t>
            </w:r>
          </w:p>
        </w:tc>
      </w:tr>
      <w:tr>
        <w:trPr/>
        <w:tc>
          <w:tcPr>
            <w:tcW w:w="185" w:type="dxa"/>
            <w:tcBorders/>
            <w:shd w:fill="auto" w:val="clear"/>
            <w:vAlign w:val="center"/>
          </w:tcPr>
          <w:p>
            <w:pPr>
              <w:pStyle w:val="TableContents"/>
              <w:spacing w:before="0" w:after="0"/>
              <w:ind w:left="0" w:right="0" w:firstLine="30"/>
              <w:rPr/>
            </w:pPr>
            <w:r>
              <w:rPr/>
              <w:t> </w:t>
            </w:r>
          </w:p>
        </w:tc>
        <w:tc>
          <w:tcPr>
            <w:tcW w:w="10020" w:type="dxa"/>
            <w:tcBorders/>
            <w:shd w:fill="auto" w:val="clear"/>
            <w:vAlign w:val="center"/>
          </w:tcPr>
          <w:p>
            <w:pPr>
              <w:pStyle w:val="TableContents"/>
              <w:spacing w:before="0" w:after="0"/>
              <w:jc w:val="left"/>
              <w:rPr>
                <w:rFonts w:ascii="inherit" w:hAnsi="inherit"/>
                <w:b/>
                <w:sz w:val="17"/>
              </w:rPr>
            </w:pPr>
            <w:r>
              <w:rPr>
                <w:rFonts w:ascii="inherit" w:hAnsi="inherit"/>
                <w:b/>
                <w:sz w:val="17"/>
              </w:rPr>
              <w:t>For the quarterly period ended March 31, 2019</w:t>
            </w:r>
          </w:p>
        </w:tc>
      </w:tr>
    </w:tbl>
    <w:p>
      <w:pPr>
        <w:pStyle w:val="TextBody"/>
        <w:spacing w:lineRule="auto" w:line="288" w:before="0" w:after="0"/>
        <w:jc w:val="center"/>
        <w:rPr>
          <w:rFonts w:ascii="inherit" w:hAnsi="inherit"/>
          <w:b/>
          <w:sz w:val="17"/>
        </w:rPr>
      </w:pPr>
      <w:r>
        <w:rPr>
          <w:rFonts w:ascii="inherit" w:hAnsi="inherit"/>
          <w:b/>
          <w:sz w:val="17"/>
        </w:rPr>
        <w:t>or</w:t>
      </w:r>
    </w:p>
    <w:tbl>
      <w:tblPr>
        <w:tblW w:w="10205" w:type="dxa"/>
        <w:jc w:val="center"/>
        <w:tblInd w:w="0" w:type="dxa"/>
        <w:tblCellMar>
          <w:top w:w="0" w:type="dxa"/>
          <w:left w:w="0" w:type="dxa"/>
          <w:bottom w:w="0" w:type="dxa"/>
          <w:right w:w="0" w:type="dxa"/>
        </w:tblCellMar>
      </w:tblPr>
      <w:tblGrid>
        <w:gridCol w:w="275"/>
        <w:gridCol w:w="9930"/>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sz w:val="4"/>
                <w:szCs w:val="4"/>
              </w:rPr>
            </w:pPr>
            <w:r>
              <w:rPr>
                <w:sz w:val="4"/>
                <w:szCs w:val="4"/>
              </w:rPr>
            </w:r>
          </w:p>
        </w:tc>
        <w:tc>
          <w:tcPr>
            <w:tcW w:w="993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5" w:type="dxa"/>
            <w:tcBorders/>
            <w:shd w:fill="auto" w:val="clear"/>
            <w:vAlign w:val="center"/>
          </w:tcPr>
          <w:p>
            <w:pPr>
              <w:pStyle w:val="TableContents"/>
              <w:spacing w:before="0" w:after="0"/>
              <w:ind w:left="0" w:right="0" w:firstLine="30"/>
              <w:jc w:val="left"/>
              <w:rPr/>
            </w:pPr>
            <w:r>
              <w:rPr/>
              <w:t>☐</w:t>
            </w:r>
          </w:p>
        </w:tc>
        <w:tc>
          <w:tcPr>
            <w:tcW w:w="9930" w:type="dxa"/>
            <w:tcBorders/>
            <w:shd w:fill="auto" w:val="clear"/>
            <w:vAlign w:val="center"/>
          </w:tcPr>
          <w:p>
            <w:pPr>
              <w:pStyle w:val="TableContents"/>
              <w:spacing w:before="0" w:after="0"/>
              <w:ind w:left="0" w:right="0" w:firstLine="30"/>
              <w:jc w:val="left"/>
              <w:rPr>
                <w:rFonts w:ascii="inherit" w:hAnsi="inherit"/>
                <w:b/>
                <w:sz w:val="20"/>
              </w:rPr>
            </w:pPr>
            <w:r>
              <w:rPr>
                <w:rFonts w:ascii="inherit" w:hAnsi="inherit"/>
                <w:b/>
                <w:sz w:val="20"/>
              </w:rPr>
              <w:t>TRANSITION REPORT PURSUANT TO SECTION 13 OR 15(d) OF THE SECURITIES EXCHANGE ACT OF 1934</w:t>
            </w:r>
          </w:p>
        </w:tc>
      </w:tr>
      <w:tr>
        <w:trPr/>
        <w:tc>
          <w:tcPr>
            <w:tcW w:w="275" w:type="dxa"/>
            <w:tcBorders/>
            <w:shd w:fill="auto" w:val="clear"/>
            <w:vAlign w:val="center"/>
          </w:tcPr>
          <w:p>
            <w:pPr>
              <w:pStyle w:val="TableContents"/>
              <w:spacing w:before="0" w:after="0"/>
              <w:ind w:left="0" w:right="0" w:firstLine="30"/>
              <w:rPr/>
            </w:pPr>
            <w:r>
              <w:rPr/>
              <w:t> </w:t>
            </w:r>
          </w:p>
        </w:tc>
        <w:tc>
          <w:tcPr>
            <w:tcW w:w="9930" w:type="dxa"/>
            <w:tcBorders/>
            <w:shd w:fill="auto" w:val="clear"/>
            <w:vAlign w:val="center"/>
          </w:tcPr>
          <w:p>
            <w:pPr>
              <w:pStyle w:val="TableContents"/>
              <w:spacing w:before="0" w:after="0"/>
              <w:jc w:val="left"/>
              <w:rPr>
                <w:rFonts w:ascii="inherit" w:hAnsi="inherit"/>
                <w:b/>
                <w:sz w:val="17"/>
              </w:rPr>
            </w:pPr>
            <w:r>
              <w:rPr>
                <w:rFonts w:ascii="inherit" w:hAnsi="inherit"/>
                <w:b/>
                <w:sz w:val="17"/>
              </w:rPr>
              <w:t>For the Transition Period from                    to                    </w:t>
            </w:r>
          </w:p>
        </w:tc>
      </w:tr>
    </w:tbl>
    <w:p>
      <w:pPr>
        <w:pStyle w:val="TextBody"/>
        <w:spacing w:lineRule="auto" w:line="288" w:before="0" w:after="0"/>
        <w:jc w:val="center"/>
        <w:rPr>
          <w:rFonts w:ascii="inherit" w:hAnsi="inherit"/>
          <w:b/>
          <w:sz w:val="17"/>
        </w:rPr>
      </w:pPr>
      <w:r>
        <w:rPr>
          <w:rFonts w:ascii="inherit" w:hAnsi="inherit"/>
          <w:b/>
          <w:sz w:val="17"/>
        </w:rPr>
        <w:t>Commission File No. 001-36567</w:t>
      </w:r>
    </w:p>
    <w:tbl>
      <w:tblPr>
        <w:tblW w:w="450" w:type="dxa"/>
        <w:jc w:val="center"/>
        <w:tblInd w:w="0" w:type="dxa"/>
        <w:tblCellMar>
          <w:top w:w="0" w:type="dxa"/>
          <w:left w:w="0" w:type="dxa"/>
          <w:bottom w:w="0" w:type="dxa"/>
          <w:right w:w="0" w:type="dxa"/>
        </w:tblCellMar>
      </w:tblPr>
      <w:tblGrid>
        <w:gridCol w:w="105"/>
        <w:gridCol w:w="90"/>
        <w:gridCol w:w="90"/>
        <w:gridCol w:w="90"/>
        <w:gridCol w:w="75"/>
      </w:tblGrid>
      <w:tr>
        <w:trPr/>
        <w:tc>
          <w:tcPr>
            <w:tcW w:w="450"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b/>
          <w:sz w:val="40"/>
        </w:rPr>
      </w:pPr>
      <w:r>
        <w:rPr>
          <w:rFonts w:ascii="inherit" w:hAnsi="inherit"/>
          <w:b/>
          <w:sz w:val="40"/>
        </w:rPr>
        <w:t>Westlake Chemical Partners LP</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tbl>
      <w:tblPr>
        <w:tblW w:w="450" w:type="dxa"/>
        <w:jc w:val="center"/>
        <w:tblInd w:w="0" w:type="dxa"/>
        <w:tblCellMar>
          <w:top w:w="0" w:type="dxa"/>
          <w:left w:w="0" w:type="dxa"/>
          <w:bottom w:w="0" w:type="dxa"/>
          <w:right w:w="0" w:type="dxa"/>
        </w:tblCellMar>
      </w:tblPr>
      <w:tblGrid>
        <w:gridCol w:w="105"/>
        <w:gridCol w:w="90"/>
        <w:gridCol w:w="90"/>
        <w:gridCol w:w="90"/>
        <w:gridCol w:w="75"/>
      </w:tblGrid>
      <w:tr>
        <w:trPr/>
        <w:tc>
          <w:tcPr>
            <w:tcW w:w="450"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tbl>
      <w:tblPr>
        <w:tblW w:w="4045" w:type="dxa"/>
        <w:jc w:val="left"/>
        <w:tblInd w:w="0" w:type="dxa"/>
        <w:tblCellMar>
          <w:top w:w="0" w:type="dxa"/>
          <w:left w:w="0" w:type="dxa"/>
          <w:bottom w:w="0" w:type="dxa"/>
          <w:right w:w="0" w:type="dxa"/>
        </w:tblCellMar>
      </w:tblPr>
      <w:tblGrid>
        <w:gridCol w:w="2255"/>
        <w:gridCol w:w="90"/>
        <w:gridCol w:w="1700"/>
      </w:tblGrid>
      <w:tr>
        <w:trPr/>
        <w:tc>
          <w:tcPr>
            <w:tcW w:w="4045" w:type="dxa"/>
            <w:gridSpan w:val="3"/>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5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jc w:val="left"/>
              <w:rPr/>
            </w:pPr>
            <w:r>
              <w:rPr/>
              <w:t> </w:t>
            </w:r>
          </w:p>
        </w:tc>
        <w:tc>
          <w:tcPr>
            <w:tcW w:w="170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32-0436529</w:t>
            </w:r>
          </w:p>
        </w:tc>
      </w:tr>
      <w:tr>
        <w:trPr/>
        <w:tc>
          <w:tcPr>
            <w:tcW w:w="2255"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 of</w:t>
            </w:r>
          </w:p>
          <w:p>
            <w:pPr>
              <w:pStyle w:val="TableContents"/>
              <w:spacing w:before="0" w:after="0"/>
              <w:ind w:left="0" w:right="0" w:firstLine="30"/>
              <w:jc w:val="center"/>
              <w:rPr>
                <w:rFonts w:ascii="inherit" w:hAnsi="inherit"/>
                <w:b/>
                <w:sz w:val="13"/>
              </w:rPr>
            </w:pPr>
            <w:r>
              <w:rPr>
                <w:rFonts w:ascii="inherit" w:hAnsi="inherit"/>
                <w:b/>
                <w:sz w:val="13"/>
              </w:rPr>
              <w:t>incorporation or organization)</w:t>
            </w:r>
          </w:p>
        </w:tc>
        <w:tc>
          <w:tcPr>
            <w:tcW w:w="90" w:type="dxa"/>
            <w:tcBorders/>
            <w:shd w:fill="auto" w:val="clear"/>
            <w:vAlign w:val="center"/>
          </w:tcPr>
          <w:p>
            <w:pPr>
              <w:pStyle w:val="TableContents"/>
              <w:spacing w:before="0" w:after="0"/>
              <w:ind w:left="0" w:right="0" w:firstLine="30"/>
              <w:jc w:val="left"/>
              <w:rPr/>
            </w:pPr>
            <w:r>
              <w:rPr/>
              <w:t> </w:t>
            </w:r>
          </w:p>
        </w:tc>
        <w:tc>
          <w:tcPr>
            <w:tcW w:w="1700"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Number)</w:t>
            </w:r>
          </w:p>
        </w:tc>
      </w:tr>
    </w:tbl>
    <w:p>
      <w:pPr>
        <w:pStyle w:val="TextBody"/>
        <w:spacing w:lineRule="auto" w:line="288" w:before="0" w:after="0"/>
        <w:jc w:val="center"/>
        <w:rPr>
          <w:rFonts w:ascii="inherit" w:hAnsi="inherit"/>
          <w:b/>
          <w:sz w:val="17"/>
        </w:rPr>
      </w:pPr>
      <w:r>
        <w:rPr>
          <w:rFonts w:ascii="inherit" w:hAnsi="inherit"/>
          <w:b/>
          <w:sz w:val="17"/>
        </w:rPr>
        <w:t>2801 Post Oak Boulevard, Suite 600</w:t>
      </w:r>
    </w:p>
    <w:p>
      <w:pPr>
        <w:pStyle w:val="TextBody"/>
        <w:spacing w:lineRule="auto" w:line="288" w:before="0" w:after="0"/>
        <w:jc w:val="center"/>
        <w:rPr>
          <w:rFonts w:ascii="inherit" w:hAnsi="inherit"/>
          <w:b/>
          <w:sz w:val="17"/>
        </w:rPr>
      </w:pPr>
      <w:r>
        <w:rPr>
          <w:rFonts w:ascii="inherit" w:hAnsi="inherit"/>
          <w:b/>
          <w:sz w:val="17"/>
        </w:rPr>
        <w:t>Houston, Texas 77056</w:t>
      </w:r>
    </w:p>
    <w:p>
      <w:pPr>
        <w:pStyle w:val="TextBody"/>
        <w:spacing w:lineRule="auto" w:line="288" w:before="0" w:after="0"/>
        <w:jc w:val="center"/>
        <w:rPr>
          <w:rFonts w:ascii="inherit" w:hAnsi="inherit"/>
          <w:b/>
          <w:sz w:val="13"/>
        </w:rPr>
      </w:pPr>
      <w:r>
        <w:rPr>
          <w:rFonts w:ascii="inherit" w:hAnsi="inherit"/>
          <w:b/>
          <w:sz w:val="13"/>
        </w:rPr>
        <w:t>(Address of principal executive offices, including zip code)</w:t>
      </w:r>
    </w:p>
    <w:p>
      <w:pPr>
        <w:pStyle w:val="TextBody"/>
        <w:spacing w:lineRule="auto" w:line="288" w:before="0" w:after="0"/>
        <w:jc w:val="center"/>
        <w:rPr>
          <w:rFonts w:ascii="inherit" w:hAnsi="inherit"/>
          <w:b/>
          <w:sz w:val="17"/>
        </w:rPr>
      </w:pPr>
      <w:r>
        <w:rPr>
          <w:rFonts w:ascii="inherit" w:hAnsi="inherit"/>
          <w:b/>
          <w:sz w:val="17"/>
        </w:rPr>
        <w:t>(713) 585-2900</w:t>
      </w:r>
    </w:p>
    <w:p>
      <w:pPr>
        <w:pStyle w:val="TextBody"/>
        <w:spacing w:lineRule="auto" w:line="288" w:before="0" w:after="0"/>
        <w:jc w:val="center"/>
        <w:rPr>
          <w:rFonts w:ascii="inherit" w:hAnsi="inherit"/>
          <w:b/>
          <w:sz w:val="13"/>
        </w:rPr>
      </w:pPr>
      <w:r>
        <w:rPr>
          <w:rFonts w:ascii="inherit" w:hAnsi="inherit"/>
          <w:b/>
          <w:sz w:val="13"/>
        </w:rPr>
        <w:t>(Registrant's telephone number, including area code)</w:t>
      </w:r>
    </w:p>
    <w:p>
      <w:pPr>
        <w:pStyle w:val="TextBody"/>
        <w:spacing w:lineRule="auto" w:line="288" w:before="0" w:after="0"/>
        <w:jc w:val="center"/>
        <w:rPr>
          <w:rFonts w:ascii="inherit" w:hAnsi="inherit"/>
          <w:sz w:val="13"/>
        </w:rPr>
      </w:pPr>
      <w:r>
        <w:rPr>
          <w:rFonts w:ascii="inherit" w:hAnsi="inherit"/>
          <w:sz w:val="13"/>
        </w:rPr>
      </w:r>
    </w:p>
    <w:p>
      <w:pPr>
        <w:pStyle w:val="TextBody"/>
        <w:spacing w:lineRule="auto" w:line="288" w:before="0" w:after="0"/>
        <w:rPr>
          <w:sz w:val="17"/>
        </w:rPr>
      </w:pPr>
      <w:r>
        <w:rPr>
          <w:rFonts w:ascii="inherit" w:hAnsi="inherit"/>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inherit" w:hAnsi="inherit"/>
          <w:b/>
          <w:sz w:val="17"/>
        </w:rPr>
        <w:t>Yes</w:t>
      </w:r>
      <w:r>
        <w:rPr>
          <w:sz w:val="17"/>
        </w:rPr>
        <w:t>   </w:t>
      </w:r>
      <w:r>
        <w:rPr>
          <w:rFonts w:ascii="Wingdings" w:hAnsi="Wingdings"/>
          <w:sz w:val="17"/>
        </w:rPr>
        <w:t>x</w:t>
      </w:r>
      <w:r>
        <w:rPr>
          <w:sz w:val="17"/>
        </w:rPr>
        <w:t>     </w:t>
      </w:r>
      <w:r>
        <w:rPr>
          <w:rFonts w:ascii="inherit" w:hAnsi="inherit"/>
          <w:b/>
          <w:sz w:val="17"/>
        </w:rPr>
        <w:t>No</w:t>
      </w:r>
      <w:r>
        <w:rPr>
          <w:sz w:val="17"/>
        </w:rPr>
        <w:t>   ☐</w:t>
      </w:r>
    </w:p>
    <w:p>
      <w:pPr>
        <w:pStyle w:val="TextBody"/>
        <w:spacing w:lineRule="auto" w:line="288" w:before="0" w:after="0"/>
        <w:rPr>
          <w:sz w:val="17"/>
        </w:rPr>
      </w:pPr>
      <w:r>
        <w:rPr>
          <w:rFonts w:ascii="inherit" w:hAnsi="inherit"/>
          <w:sz w:val="17"/>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inherit" w:hAnsi="inherit"/>
          <w:b/>
          <w:sz w:val="17"/>
        </w:rPr>
        <w:t>Yes</w:t>
      </w:r>
      <w:r>
        <w:rPr>
          <w:sz w:val="17"/>
        </w:rPr>
        <w:t>   </w:t>
      </w:r>
      <w:r>
        <w:rPr>
          <w:rFonts w:ascii="Wingdings" w:hAnsi="Wingdings"/>
          <w:sz w:val="17"/>
        </w:rPr>
        <w:t>x</w:t>
      </w:r>
      <w:r>
        <w:rPr>
          <w:sz w:val="17"/>
        </w:rPr>
        <w:t>     </w:t>
      </w:r>
      <w:r>
        <w:rPr>
          <w:rFonts w:ascii="inherit" w:hAnsi="inherit"/>
          <w:b/>
          <w:sz w:val="17"/>
        </w:rPr>
        <w:t>No</w:t>
      </w:r>
      <w:r>
        <w:rPr>
          <w:sz w:val="17"/>
        </w:rPr>
        <w:t>   ☐</w:t>
      </w:r>
    </w:p>
    <w:p>
      <w:pPr>
        <w:pStyle w:val="TextBody"/>
        <w:spacing w:lineRule="auto" w:line="288" w:before="0" w:after="0"/>
        <w:rPr>
          <w:rFonts w:ascii="inherit" w:hAnsi="inherit"/>
          <w:sz w:val="17"/>
        </w:rPr>
      </w:pPr>
      <w:r>
        <w:rPr>
          <w:rFonts w:ascii="inherit" w:hAnsi="inherit"/>
          <w:sz w:val="17"/>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tbl>
      <w:tblPr>
        <w:tblW w:w="5555" w:type="dxa"/>
        <w:jc w:val="left"/>
        <w:tblInd w:w="0" w:type="dxa"/>
        <w:tblCellMar>
          <w:top w:w="0" w:type="dxa"/>
          <w:left w:w="0" w:type="dxa"/>
          <w:bottom w:w="0" w:type="dxa"/>
          <w:right w:w="0" w:type="dxa"/>
        </w:tblCellMar>
      </w:tblPr>
      <w:tblGrid>
        <w:gridCol w:w="2120"/>
        <w:gridCol w:w="90"/>
        <w:gridCol w:w="320"/>
        <w:gridCol w:w="90"/>
        <w:gridCol w:w="2570"/>
        <w:gridCol w:w="90"/>
        <w:gridCol w:w="275"/>
      </w:tblGrid>
      <w:tr>
        <w:trPr/>
        <w:tc>
          <w:tcPr>
            <w:tcW w:w="5555" w:type="dxa"/>
            <w:gridSpan w:val="7"/>
            <w:tcBorders/>
            <w:shd w:fill="auto" w:val="clear"/>
            <w:vAlign w:val="center"/>
          </w:tcPr>
          <w:p>
            <w:pPr>
              <w:pStyle w:val="TableContents"/>
              <w:spacing w:before="0" w:after="283"/>
              <w:rPr>
                <w:sz w:val="4"/>
                <w:szCs w:val="4"/>
              </w:rPr>
            </w:pPr>
            <w:r>
              <w:rPr>
                <w:sz w:val="4"/>
                <w:szCs w:val="4"/>
              </w:rPr>
            </w:r>
          </w:p>
        </w:tc>
      </w:tr>
      <w:tr>
        <w:trPr/>
        <w:tc>
          <w:tcPr>
            <w:tcW w:w="2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5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2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Large accelerated filer</w:t>
            </w:r>
          </w:p>
        </w:tc>
        <w:tc>
          <w:tcPr>
            <w:tcW w:w="90" w:type="dxa"/>
            <w:tcBorders/>
            <w:shd w:fill="auto" w:val="clear"/>
            <w:vAlign w:val="center"/>
          </w:tcPr>
          <w:p>
            <w:pPr>
              <w:pStyle w:val="TableContents"/>
              <w:spacing w:before="0" w:after="0"/>
              <w:ind w:left="0" w:right="0" w:firstLine="30"/>
              <w:rPr/>
            </w:pPr>
            <w:r>
              <w:rPr/>
              <w:t> </w:t>
            </w:r>
          </w:p>
        </w:tc>
        <w:tc>
          <w:tcPr>
            <w:tcW w:w="320" w:type="dxa"/>
            <w:tcBorders/>
            <w:shd w:fill="auto" w:val="clear"/>
            <w:vAlign w:val="center"/>
          </w:tcPr>
          <w:p>
            <w:pPr>
              <w:pStyle w:val="TableContents"/>
              <w:spacing w:before="0" w:after="0"/>
              <w:ind w:left="0" w:right="0" w:firstLine="30"/>
              <w:jc w:val="left"/>
              <w:rPr/>
            </w:pPr>
            <w:r>
              <w:rPr/>
              <w:t>☐</w:t>
            </w:r>
          </w:p>
        </w:tc>
        <w:tc>
          <w:tcPr>
            <w:tcW w:w="90" w:type="dxa"/>
            <w:tcBorders/>
            <w:shd w:fill="auto" w:val="clear"/>
            <w:vAlign w:val="center"/>
          </w:tcPr>
          <w:p>
            <w:pPr>
              <w:pStyle w:val="TableContents"/>
              <w:spacing w:before="0" w:after="0"/>
              <w:ind w:left="0" w:right="0" w:firstLine="30"/>
              <w:rPr/>
            </w:pPr>
            <w:r>
              <w:rPr/>
              <w:t> </w:t>
            </w:r>
          </w:p>
        </w:tc>
        <w:tc>
          <w:tcPr>
            <w:tcW w:w="257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Accelerated filer</w:t>
            </w:r>
          </w:p>
        </w:tc>
        <w:tc>
          <w:tcPr>
            <w:tcW w:w="90" w:type="dxa"/>
            <w:tcBorders/>
            <w:shd w:fill="auto" w:val="clear"/>
            <w:vAlign w:val="center"/>
          </w:tcPr>
          <w:p>
            <w:pPr>
              <w:pStyle w:val="TableContents"/>
              <w:spacing w:before="0" w:after="0"/>
              <w:ind w:left="0" w:right="0" w:firstLine="30"/>
              <w:jc w:val="left"/>
              <w:rPr/>
            </w:pPr>
            <w:r>
              <w:rPr/>
              <w:t> </w:t>
            </w:r>
          </w:p>
        </w:tc>
        <w:tc>
          <w:tcPr>
            <w:tcW w:w="275"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x</w:t>
            </w:r>
          </w:p>
        </w:tc>
      </w:tr>
      <w:tr>
        <w:trPr/>
        <w:tc>
          <w:tcPr>
            <w:tcW w:w="212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Non-accelerated filer</w:t>
            </w:r>
          </w:p>
        </w:tc>
        <w:tc>
          <w:tcPr>
            <w:tcW w:w="90" w:type="dxa"/>
            <w:tcBorders/>
            <w:shd w:fill="auto" w:val="clear"/>
            <w:vAlign w:val="center"/>
          </w:tcPr>
          <w:p>
            <w:pPr>
              <w:pStyle w:val="TableContents"/>
              <w:spacing w:before="0" w:after="0"/>
              <w:ind w:left="0" w:right="0" w:firstLine="30"/>
              <w:rPr/>
            </w:pPr>
            <w:r>
              <w:rPr/>
              <w:t> </w:t>
            </w:r>
          </w:p>
        </w:tc>
        <w:tc>
          <w:tcPr>
            <w:tcW w:w="32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57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Smaller reporting company</w:t>
            </w:r>
          </w:p>
        </w:tc>
        <w:tc>
          <w:tcPr>
            <w:tcW w:w="90" w:type="dxa"/>
            <w:tcBorders/>
            <w:shd w:fill="auto" w:val="clear"/>
            <w:vAlign w:val="center"/>
          </w:tcPr>
          <w:p>
            <w:pPr>
              <w:pStyle w:val="TableContents"/>
              <w:spacing w:before="0" w:after="0"/>
              <w:ind w:left="0" w:right="0" w:firstLine="30"/>
              <w:jc w:val="left"/>
              <w:rPr/>
            </w:pPr>
            <w:r>
              <w:rPr/>
              <w:t> </w:t>
            </w:r>
          </w:p>
        </w:tc>
        <w:tc>
          <w:tcPr>
            <w:tcW w:w="275" w:type="dxa"/>
            <w:tcBorders/>
            <w:shd w:fill="auto" w:val="clear"/>
            <w:vAlign w:val="center"/>
          </w:tcPr>
          <w:p>
            <w:pPr>
              <w:pStyle w:val="TableContents"/>
              <w:spacing w:before="0" w:after="0"/>
              <w:ind w:left="0" w:right="0" w:firstLine="30"/>
              <w:jc w:val="left"/>
              <w:rPr/>
            </w:pPr>
            <w:r>
              <w:rPr/>
              <w:t>☐</w:t>
            </w:r>
          </w:p>
        </w:tc>
      </w:tr>
      <w:tr>
        <w:trPr/>
        <w:tc>
          <w:tcPr>
            <w:tcW w:w="212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2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57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Emerging growth company</w:t>
            </w:r>
          </w:p>
        </w:tc>
        <w:tc>
          <w:tcPr>
            <w:tcW w:w="90" w:type="dxa"/>
            <w:tcBorders/>
            <w:shd w:fill="auto" w:val="clear"/>
            <w:vAlign w:val="center"/>
          </w:tcPr>
          <w:p>
            <w:pPr>
              <w:pStyle w:val="TableContents"/>
              <w:spacing w:before="0" w:after="0"/>
              <w:ind w:left="0" w:right="0" w:firstLine="30"/>
              <w:rPr/>
            </w:pPr>
            <w:r>
              <w:rPr/>
              <w:t> </w:t>
            </w:r>
          </w:p>
        </w:tc>
        <w:tc>
          <w:tcPr>
            <w:tcW w:w="275" w:type="dxa"/>
            <w:tcBorders/>
            <w:shd w:fill="auto" w:val="clear"/>
            <w:vAlign w:val="center"/>
          </w:tcPr>
          <w:p>
            <w:pPr>
              <w:pStyle w:val="TableContents"/>
              <w:spacing w:before="0" w:after="0"/>
              <w:jc w:val="left"/>
              <w:rPr/>
            </w:pPr>
            <w:r>
              <w:rPr/>
              <w:t>☐</w:t>
            </w:r>
          </w:p>
        </w:tc>
      </w:tr>
    </w:tbl>
    <w:p>
      <w:pPr>
        <w:pStyle w:val="TextBody"/>
        <w:spacing w:lineRule="auto" w:line="288" w:before="0" w:after="0"/>
        <w:rPr>
          <w:sz w:val="17"/>
        </w:rPr>
      </w:pPr>
      <w:r>
        <w:rPr>
          <w:rFonts w:ascii="inherit" w:hAnsi="inherit"/>
          <w:sz w:val="17"/>
        </w:rPr>
        <w:t>If an emerging growth company, indicate by check mark if the registrant has elected not to use the extended transition period for complying with any new or revised financial accounting standards provided pursuant to Section 13(a) of the Exchange Act.  </w:t>
      </w:r>
      <w:r>
        <w:rPr>
          <w:sz w:val="17"/>
        </w:rPr>
        <w:t>☐  </w:t>
      </w:r>
    </w:p>
    <w:p>
      <w:pPr>
        <w:pStyle w:val="TextBody"/>
        <w:spacing w:lineRule="auto" w:line="288" w:before="0" w:after="0"/>
        <w:rPr>
          <w:sz w:val="17"/>
        </w:rPr>
      </w:pPr>
      <w:r>
        <w:rPr>
          <w:rFonts w:ascii="inherit" w:hAnsi="inherit"/>
          <w:sz w:val="17"/>
        </w:rPr>
        <w:t>Indicate by check mark whether the registrant is a shell company (as defined in Rule 12b-2 of the Exchange Act)     </w:t>
      </w:r>
      <w:r>
        <w:rPr>
          <w:rFonts w:ascii="inherit" w:hAnsi="inherit"/>
          <w:b/>
          <w:sz w:val="17"/>
        </w:rPr>
        <w:t>Yes</w:t>
      </w:r>
      <w:r>
        <w:rPr>
          <w:sz w:val="17"/>
        </w:rPr>
        <w:t>   ☐     </w:t>
      </w:r>
      <w:r>
        <w:rPr>
          <w:rFonts w:ascii="inherit" w:hAnsi="inherit"/>
          <w:b/>
          <w:sz w:val="17"/>
        </w:rPr>
        <w:t>No</w:t>
      </w:r>
      <w:r>
        <w:rPr>
          <w:sz w:val="17"/>
        </w:rPr>
        <w:t>   </w:t>
      </w:r>
      <w:r>
        <w:rPr>
          <w:rFonts w:ascii="Wingdings" w:hAnsi="Wingdings"/>
          <w:sz w:val="17"/>
        </w:rPr>
        <w:t>x</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Securities registered pursuant to Section 12(b) of the Act:</w:t>
      </w:r>
    </w:p>
    <w:p>
      <w:pPr>
        <w:pStyle w:val="TextBody"/>
        <w:spacing w:lineRule="auto" w:line="288" w:before="0" w:after="0"/>
        <w:jc w:val="center"/>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4547"/>
        <w:gridCol w:w="1703"/>
        <w:gridCol w:w="3955"/>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4547" w:type="dxa"/>
            <w:tcBorders/>
            <w:shd w:fill="auto" w:val="clear"/>
            <w:vAlign w:val="center"/>
          </w:tcPr>
          <w:p>
            <w:pPr>
              <w:pStyle w:val="TableContents"/>
              <w:spacing w:before="0" w:after="283"/>
              <w:rPr>
                <w:sz w:val="4"/>
                <w:szCs w:val="4"/>
              </w:rPr>
            </w:pPr>
            <w:r>
              <w:rPr>
                <w:sz w:val="4"/>
                <w:szCs w:val="4"/>
              </w:rPr>
            </w:r>
          </w:p>
        </w:tc>
        <w:tc>
          <w:tcPr>
            <w:tcW w:w="1703" w:type="dxa"/>
            <w:tcBorders/>
            <w:shd w:fill="auto" w:val="clear"/>
            <w:vAlign w:val="center"/>
          </w:tcPr>
          <w:p>
            <w:pPr>
              <w:pStyle w:val="TableContents"/>
              <w:spacing w:before="0" w:after="283"/>
              <w:rPr>
                <w:sz w:val="4"/>
                <w:szCs w:val="4"/>
              </w:rPr>
            </w:pPr>
            <w:r>
              <w:rPr>
                <w:sz w:val="4"/>
                <w:szCs w:val="4"/>
              </w:rPr>
            </w:r>
          </w:p>
        </w:tc>
        <w:tc>
          <w:tcPr>
            <w:tcW w:w="39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47" w:type="dxa"/>
            <w:tcBorders/>
            <w:shd w:fill="auto" w:val="clear"/>
            <w:vAlign w:val="center"/>
          </w:tcPr>
          <w:p>
            <w:pPr>
              <w:pStyle w:val="TableContents"/>
              <w:spacing w:before="0" w:after="0"/>
              <w:ind w:left="0" w:right="0" w:firstLine="30"/>
              <w:jc w:val="center"/>
              <w:rPr>
                <w:rFonts w:ascii="inherit" w:hAnsi="inherit"/>
                <w:b/>
                <w:sz w:val="17"/>
                <w:u w:val="single"/>
              </w:rPr>
            </w:pPr>
            <w:r>
              <w:rPr>
                <w:rFonts w:ascii="inherit" w:hAnsi="inherit"/>
                <w:b/>
                <w:sz w:val="17"/>
                <w:u w:val="single"/>
              </w:rPr>
              <w:t>Title of each class</w:t>
            </w:r>
          </w:p>
        </w:tc>
        <w:tc>
          <w:tcPr>
            <w:tcW w:w="1703"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Trading Symbol(s)</w:t>
            </w:r>
          </w:p>
        </w:tc>
        <w:tc>
          <w:tcPr>
            <w:tcW w:w="395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Name of each exchange on which registered</w:t>
            </w:r>
          </w:p>
        </w:tc>
      </w:tr>
      <w:tr>
        <w:trPr/>
        <w:tc>
          <w:tcPr>
            <w:tcW w:w="4547"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Common units representing limited partnership interests</w:t>
            </w:r>
          </w:p>
        </w:tc>
        <w:tc>
          <w:tcPr>
            <w:tcW w:w="1703"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WLKP</w:t>
            </w:r>
          </w:p>
        </w:tc>
        <w:tc>
          <w:tcPr>
            <w:tcW w:w="3955" w:type="dxa"/>
            <w:tcBorders/>
            <w:shd w:fill="auto" w:val="clear"/>
            <w:vAlign w:val="center"/>
          </w:tcPr>
          <w:p>
            <w:pPr>
              <w:pStyle w:val="TableContents"/>
              <w:spacing w:before="0" w:after="0"/>
              <w:jc w:val="center"/>
              <w:rPr>
                <w:rFonts w:ascii="inherit" w:hAnsi="inherit"/>
                <w:sz w:val="17"/>
              </w:rPr>
            </w:pPr>
            <w:r>
              <w:rPr>
                <w:rFonts w:ascii="inherit" w:hAnsi="inherit"/>
                <w:sz w:val="17"/>
              </w:rPr>
              <w:t>The New York Stock Exchange</w:t>
            </w:r>
          </w:p>
        </w:tc>
      </w:tr>
    </w:tbl>
    <w:p>
      <w:pPr>
        <w:pStyle w:val="TextBody"/>
        <w:spacing w:lineRule="auto" w:line="288" w:before="0" w:after="0"/>
        <w:jc w:val="left"/>
        <w:rPr>
          <w:sz w:val="17"/>
        </w:rPr>
      </w:pPr>
      <w:r>
        <w:rPr>
          <w:rFonts w:ascii="inherit" w:hAnsi="inherit"/>
          <w:sz w:val="17"/>
        </w:rPr>
        <w:t>The registrant had 35,188,189</w:t>
      </w:r>
      <w:r>
        <w:rPr>
          <w:sz w:val="17"/>
        </w:rPr>
        <w:t xml:space="preserve"> </w:t>
      </w:r>
      <w:r>
        <w:rPr>
          <w:rFonts w:ascii="inherit" w:hAnsi="inherit"/>
          <w:sz w:val="17"/>
        </w:rPr>
        <w:t>common units outstanding as of April 25, 2019.</w:t>
      </w:r>
    </w:p>
    <w:p>
      <w:pPr>
        <w:pStyle w:val="TextBody"/>
        <w:rPr/>
      </w:pPr>
      <w:r>
        <w:rPr/>
      </w:r>
      <w:r>
        <w:br w:type="page"/>
      </w:r>
    </w:p>
    <w:p>
      <w:pPr>
        <w:pStyle w:val="TextBody"/>
        <w:spacing w:before="0" w:after="0"/>
        <w:rPr/>
      </w:pPr>
      <w:r>
        <w:rPr/>
      </w:r>
      <w:bookmarkStart w:id="3" w:name="s57D9DAA9FEA85990A24D0CBB70729000"/>
      <w:bookmarkStart w:id="4" w:name="s57D9DAA9FEA85990A24D0CBB70729000"/>
      <w:bookmarkEnd w:id="4"/>
    </w:p>
    <w:p>
      <w:pPr>
        <w:pStyle w:val="TextBody"/>
        <w:spacing w:lineRule="auto" w:line="288" w:before="0" w:after="0"/>
        <w:jc w:val="center"/>
        <w:rPr>
          <w:rFonts w:ascii="inherit" w:hAnsi="inherit"/>
          <w:b/>
          <w:sz w:val="17"/>
        </w:rPr>
      </w:pPr>
      <w:r>
        <w:rPr>
          <w:rFonts w:ascii="inherit" w:hAnsi="inherit"/>
          <w:b/>
          <w:sz w:val="17"/>
        </w:rPr>
        <w:t>INDEX</w:t>
      </w:r>
    </w:p>
    <w:p>
      <w:pPr>
        <w:pStyle w:val="TextBody"/>
        <w:spacing w:lineRule="auto" w:line="288" w:before="0" w:after="0"/>
        <w:rPr>
          <w:rFonts w:ascii="inherit" w:hAnsi="inherit"/>
          <w:sz w:val="15"/>
        </w:rPr>
      </w:pPr>
      <w:r>
        <w:rPr>
          <w:rFonts w:ascii="inherit" w:hAnsi="inherit"/>
          <w:sz w:val="15"/>
        </w:rPr>
      </w:r>
    </w:p>
    <w:tbl>
      <w:tblPr>
        <w:tblW w:w="8245" w:type="dxa"/>
        <w:jc w:val="left"/>
        <w:tblInd w:w="0" w:type="dxa"/>
        <w:tblCellMar>
          <w:top w:w="0" w:type="dxa"/>
          <w:left w:w="0" w:type="dxa"/>
          <w:bottom w:w="0" w:type="dxa"/>
          <w:right w:w="0" w:type="dxa"/>
        </w:tblCellMar>
      </w:tblPr>
      <w:tblGrid>
        <w:gridCol w:w="7580"/>
        <w:gridCol w:w="665"/>
      </w:tblGrid>
      <w:tr>
        <w:trPr/>
        <w:tc>
          <w:tcPr>
            <w:tcW w:w="8245" w:type="dxa"/>
            <w:gridSpan w:val="2"/>
            <w:tcBorders/>
            <w:shd w:fill="auto" w:val="clear"/>
            <w:vAlign w:val="center"/>
          </w:tcPr>
          <w:p>
            <w:pPr>
              <w:pStyle w:val="TableContents"/>
              <w:spacing w:before="0" w:after="283"/>
              <w:rPr>
                <w:sz w:val="4"/>
                <w:szCs w:val="4"/>
              </w:rPr>
            </w:pPr>
            <w:r>
              <w:rPr>
                <w:sz w:val="4"/>
                <w:szCs w:val="4"/>
              </w:rPr>
            </w:r>
          </w:p>
        </w:tc>
      </w:tr>
      <w:tr>
        <w:trPr/>
        <w:tc>
          <w:tcPr>
            <w:tcW w:w="758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580" w:type="dxa"/>
            <w:tcBorders/>
            <w:shd w:fill="auto" w:val="clear"/>
            <w:vAlign w:val="center"/>
          </w:tcPr>
          <w:p>
            <w:pPr>
              <w:pStyle w:val="TableContents"/>
              <w:spacing w:before="0" w:after="0"/>
              <w:ind w:left="0" w:right="0" w:firstLine="30"/>
              <w:rPr/>
            </w:pPr>
            <w:r>
              <w:rPr/>
              <w:t> </w:t>
            </w:r>
          </w:p>
        </w:tc>
        <w:tc>
          <w:tcPr>
            <w:tcW w:w="665" w:type="dxa"/>
            <w:tcBorders/>
            <w:shd w:fill="auto" w:val="clear"/>
            <w:vAlign w:val="center"/>
          </w:tcPr>
          <w:p>
            <w:pPr>
              <w:pStyle w:val="TableContents"/>
              <w:spacing w:before="0" w:after="0"/>
              <w:ind w:left="0" w:right="0" w:firstLine="30"/>
              <w:rPr/>
            </w:pPr>
            <w:r>
              <w:rPr/>
              <w:t> </w:t>
            </w:r>
          </w:p>
        </w:tc>
      </w:tr>
      <w:tr>
        <w:trPr/>
        <w:tc>
          <w:tcPr>
            <w:tcW w:w="7580" w:type="dxa"/>
            <w:tcBorders/>
            <w:shd w:fill="auto" w:val="clear"/>
            <w:vAlign w:val="center"/>
          </w:tcPr>
          <w:p>
            <w:pPr>
              <w:pStyle w:val="TableContents"/>
              <w:spacing w:before="0" w:after="0"/>
              <w:ind w:left="0" w:right="0" w:firstLine="30"/>
              <w:jc w:val="left"/>
              <w:rPr>
                <w:rFonts w:ascii="inherit" w:hAnsi="inherit"/>
                <w:b/>
                <w:sz w:val="13"/>
                <w:u w:val="single"/>
              </w:rPr>
            </w:pPr>
            <w:r>
              <w:rPr>
                <w:rFonts w:ascii="inherit" w:hAnsi="inherit"/>
                <w:b/>
                <w:sz w:val="13"/>
                <w:u w:val="single"/>
              </w:rPr>
              <w:t xml:space="preserve">Item </w:t>
            </w:r>
          </w:p>
        </w:tc>
        <w:tc>
          <w:tcPr>
            <w:tcW w:w="66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Page</w:t>
            </w:r>
          </w:p>
        </w:tc>
      </w:tr>
      <w:tr>
        <w:trPr/>
        <w:tc>
          <w:tcPr>
            <w:tcW w:w="7580" w:type="dxa"/>
            <w:tcBorders/>
            <w:shd w:fill="auto" w:val="clear"/>
            <w:vAlign w:val="center"/>
          </w:tcPr>
          <w:p>
            <w:pPr>
              <w:pStyle w:val="TableContents"/>
              <w:spacing w:before="0" w:after="0"/>
              <w:ind w:left="0" w:right="0" w:firstLine="30"/>
              <w:rPr/>
            </w:pPr>
            <w:hyperlink w:anchor="s3E2C0D174BB451FBBE914221C5C58330">
              <w:r>
                <w:rPr>
                  <w:rStyle w:val="InternetLink"/>
                  <w:rFonts w:ascii="inherit" w:hAnsi="inherit"/>
                  <w:b/>
                  <w:strike w:val="false"/>
                  <w:dstrike w:val="false"/>
                  <w:color w:val="000000"/>
                  <w:sz w:val="17"/>
                  <w:u w:val="none"/>
                  <w:effect w:val="none"/>
                </w:rPr>
                <w:t>PART I. FINANCIAL INFORMATION</w:t>
              </w:r>
            </w:hyperlink>
          </w:p>
        </w:tc>
        <w:tc>
          <w:tcPr>
            <w:tcW w:w="665" w:type="dxa"/>
            <w:tcBorders/>
            <w:shd w:fill="auto" w:val="clear"/>
            <w:vAlign w:val="center"/>
          </w:tcPr>
          <w:p>
            <w:pPr>
              <w:pStyle w:val="TableContents"/>
              <w:spacing w:before="0" w:after="0"/>
              <w:ind w:left="0" w:right="0" w:firstLine="420"/>
              <w:rPr/>
            </w:pPr>
            <w:r>
              <w:rPr/>
              <w:t> </w:t>
            </w:r>
          </w:p>
        </w:tc>
      </w:tr>
      <w:tr>
        <w:trPr/>
        <w:tc>
          <w:tcPr>
            <w:tcW w:w="7580" w:type="dxa"/>
            <w:tcBorders/>
            <w:shd w:fill="auto" w:val="clear"/>
            <w:vAlign w:val="center"/>
          </w:tcPr>
          <w:p>
            <w:pPr>
              <w:pStyle w:val="TableContents"/>
              <w:spacing w:before="0" w:after="0"/>
              <w:ind w:left="0" w:right="0" w:firstLine="30"/>
              <w:rPr/>
            </w:pPr>
            <w:hyperlink w:anchor="s0927661C7CA2570E8818C144A1613862">
              <w:r>
                <w:rPr>
                  <w:rStyle w:val="InternetLink"/>
                  <w:rFonts w:ascii="inherit" w:hAnsi="inherit"/>
                  <w:strike w:val="false"/>
                  <w:dstrike w:val="false"/>
                  <w:color w:val="000000"/>
                  <w:sz w:val="17"/>
                  <w:u w:val="none"/>
                  <w:effect w:val="none"/>
                </w:rPr>
                <w:t>1) Financial Statements</w:t>
              </w:r>
            </w:hyperlink>
          </w:p>
        </w:tc>
        <w:tc>
          <w:tcPr>
            <w:tcW w:w="665" w:type="dxa"/>
            <w:tcBorders/>
            <w:shd w:fill="auto" w:val="clear"/>
            <w:vAlign w:val="center"/>
          </w:tcPr>
          <w:p>
            <w:pPr>
              <w:pStyle w:val="TableContents"/>
              <w:spacing w:before="0" w:after="0"/>
              <w:ind w:left="0" w:right="0" w:firstLine="420"/>
              <w:jc w:val="right"/>
              <w:rPr/>
            </w:pPr>
            <w:hyperlink w:anchor="s0927661C7CA2570E8818C144A1613862">
              <w:r>
                <w:rPr>
                  <w:rStyle w:val="InternetLink"/>
                  <w:rFonts w:ascii="inherit" w:hAnsi="inherit"/>
                  <w:strike w:val="false"/>
                  <w:dstrike w:val="false"/>
                  <w:color w:val="000000"/>
                  <w:sz w:val="17"/>
                  <w:u w:val="none"/>
                  <w:effect w:val="none"/>
                </w:rPr>
                <w:t>1</w:t>
              </w:r>
            </w:hyperlink>
          </w:p>
        </w:tc>
      </w:tr>
      <w:tr>
        <w:trPr/>
        <w:tc>
          <w:tcPr>
            <w:tcW w:w="7580" w:type="dxa"/>
            <w:tcBorders/>
            <w:shd w:fill="auto" w:val="clear"/>
            <w:vAlign w:val="center"/>
          </w:tcPr>
          <w:p>
            <w:pPr>
              <w:pStyle w:val="TableContents"/>
              <w:spacing w:before="0" w:after="0"/>
              <w:ind w:left="0" w:right="0" w:firstLine="30"/>
              <w:rPr/>
            </w:pPr>
            <w:hyperlink w:anchor="sCFCD96EB807059E69ED7270A16F4326F">
              <w:r>
                <w:rPr>
                  <w:rStyle w:val="InternetLink"/>
                  <w:rFonts w:ascii="inherit" w:hAnsi="inherit"/>
                  <w:strike w:val="false"/>
                  <w:dstrike w:val="false"/>
                  <w:color w:val="000000"/>
                  <w:sz w:val="17"/>
                  <w:u w:val="none"/>
                  <w:effect w:val="none"/>
                </w:rPr>
                <w:t>2) Management's Discussion and Analysis of Financial Condition and Results of Operations</w:t>
              </w:r>
            </w:hyperlink>
          </w:p>
        </w:tc>
        <w:tc>
          <w:tcPr>
            <w:tcW w:w="665" w:type="dxa"/>
            <w:tcBorders/>
            <w:shd w:fill="auto" w:val="clear"/>
            <w:vAlign w:val="center"/>
          </w:tcPr>
          <w:p>
            <w:pPr>
              <w:pStyle w:val="TableContents"/>
              <w:spacing w:before="0" w:after="0"/>
              <w:ind w:left="0" w:right="0" w:firstLine="420"/>
              <w:jc w:val="right"/>
              <w:rPr/>
            </w:pPr>
            <w:hyperlink w:anchor="sCFCD96EB807059E69ED7270A16F4326F">
              <w:r>
                <w:rPr>
                  <w:rStyle w:val="InternetLink"/>
                  <w:rFonts w:ascii="inherit" w:hAnsi="inherit"/>
                  <w:strike w:val="false"/>
                  <w:dstrike w:val="false"/>
                  <w:color w:val="000000"/>
                  <w:sz w:val="17"/>
                  <w:u w:val="none"/>
                  <w:effect w:val="none"/>
                </w:rPr>
                <w:t>13</w:t>
              </w:r>
            </w:hyperlink>
          </w:p>
        </w:tc>
      </w:tr>
      <w:tr>
        <w:trPr/>
        <w:tc>
          <w:tcPr>
            <w:tcW w:w="7580" w:type="dxa"/>
            <w:tcBorders/>
            <w:shd w:fill="auto" w:val="clear"/>
            <w:vAlign w:val="center"/>
          </w:tcPr>
          <w:p>
            <w:pPr>
              <w:pStyle w:val="TableContents"/>
              <w:spacing w:before="0" w:after="0"/>
              <w:ind w:left="0" w:right="0" w:firstLine="30"/>
              <w:rPr/>
            </w:pPr>
            <w:hyperlink w:anchor="s9CB6F3F55FE35213B4B2CFD8903C4F25">
              <w:r>
                <w:rPr>
                  <w:rStyle w:val="InternetLink"/>
                  <w:rFonts w:ascii="inherit" w:hAnsi="inherit"/>
                  <w:strike w:val="false"/>
                  <w:dstrike w:val="false"/>
                  <w:color w:val="000000"/>
                  <w:sz w:val="17"/>
                  <w:u w:val="none"/>
                  <w:effect w:val="none"/>
                </w:rPr>
                <w:t>3) Quantitative and Qualitative Disclosures about Market Risk</w:t>
              </w:r>
            </w:hyperlink>
          </w:p>
        </w:tc>
        <w:tc>
          <w:tcPr>
            <w:tcW w:w="665" w:type="dxa"/>
            <w:tcBorders/>
            <w:shd w:fill="auto" w:val="clear"/>
            <w:vAlign w:val="center"/>
          </w:tcPr>
          <w:p>
            <w:pPr>
              <w:pStyle w:val="TableContents"/>
              <w:spacing w:before="0" w:after="0"/>
              <w:ind w:left="0" w:right="0" w:firstLine="420"/>
              <w:jc w:val="right"/>
              <w:rPr/>
            </w:pPr>
            <w:hyperlink w:anchor="s9CB6F3F55FE35213B4B2CFD8903C4F25">
              <w:r>
                <w:rPr>
                  <w:rStyle w:val="InternetLink"/>
                  <w:rFonts w:ascii="inherit" w:hAnsi="inherit"/>
                  <w:strike w:val="false"/>
                  <w:dstrike w:val="false"/>
                  <w:color w:val="000000"/>
                  <w:sz w:val="17"/>
                  <w:u w:val="none"/>
                  <w:effect w:val="none"/>
                </w:rPr>
                <w:t>23</w:t>
              </w:r>
            </w:hyperlink>
          </w:p>
        </w:tc>
      </w:tr>
      <w:tr>
        <w:trPr/>
        <w:tc>
          <w:tcPr>
            <w:tcW w:w="7580" w:type="dxa"/>
            <w:tcBorders/>
            <w:shd w:fill="auto" w:val="clear"/>
            <w:vAlign w:val="center"/>
          </w:tcPr>
          <w:p>
            <w:pPr>
              <w:pStyle w:val="TableContents"/>
              <w:spacing w:before="0" w:after="0"/>
              <w:ind w:left="0" w:right="0" w:firstLine="30"/>
              <w:rPr/>
            </w:pPr>
            <w:hyperlink w:anchor="s7CF8311D59F15A5C8922402CAFC5662F">
              <w:r>
                <w:rPr>
                  <w:rStyle w:val="InternetLink"/>
                  <w:rFonts w:ascii="inherit" w:hAnsi="inherit"/>
                  <w:strike w:val="false"/>
                  <w:dstrike w:val="false"/>
                  <w:color w:val="000000"/>
                  <w:sz w:val="17"/>
                  <w:u w:val="none"/>
                  <w:effect w:val="none"/>
                </w:rPr>
                <w:t>4) Controls and Procedures</w:t>
              </w:r>
            </w:hyperlink>
          </w:p>
        </w:tc>
        <w:tc>
          <w:tcPr>
            <w:tcW w:w="665" w:type="dxa"/>
            <w:tcBorders/>
            <w:shd w:fill="auto" w:val="clear"/>
            <w:vAlign w:val="center"/>
          </w:tcPr>
          <w:p>
            <w:pPr>
              <w:pStyle w:val="TableContents"/>
              <w:spacing w:before="0" w:after="0"/>
              <w:ind w:left="0" w:right="0" w:firstLine="30"/>
              <w:jc w:val="right"/>
              <w:rPr/>
            </w:pPr>
            <w:hyperlink w:anchor="s7CF8311D59F15A5C8922402CAFC5662F">
              <w:r>
                <w:rPr>
                  <w:rStyle w:val="InternetLink"/>
                  <w:rFonts w:ascii="inherit" w:hAnsi="inherit"/>
                  <w:strike w:val="false"/>
                  <w:dstrike w:val="false"/>
                  <w:color w:val="000000"/>
                  <w:sz w:val="17"/>
                  <w:u w:val="none"/>
                  <w:effect w:val="none"/>
                </w:rPr>
                <w:t>23</w:t>
              </w:r>
            </w:hyperlink>
          </w:p>
        </w:tc>
      </w:tr>
      <w:tr>
        <w:trPr/>
        <w:tc>
          <w:tcPr>
            <w:tcW w:w="7580" w:type="dxa"/>
            <w:tcBorders/>
            <w:shd w:fill="auto" w:val="clear"/>
            <w:vAlign w:val="center"/>
          </w:tcPr>
          <w:p>
            <w:pPr>
              <w:pStyle w:val="TableContents"/>
              <w:spacing w:before="0" w:after="0"/>
              <w:ind w:left="0" w:right="0" w:firstLine="30"/>
              <w:rPr/>
            </w:pPr>
            <w:r>
              <w:rPr/>
              <w:t> </w:t>
            </w:r>
          </w:p>
        </w:tc>
        <w:tc>
          <w:tcPr>
            <w:tcW w:w="665" w:type="dxa"/>
            <w:tcBorders/>
            <w:shd w:fill="auto" w:val="clear"/>
            <w:vAlign w:val="center"/>
          </w:tcPr>
          <w:p>
            <w:pPr>
              <w:pStyle w:val="TableContents"/>
              <w:spacing w:before="0" w:after="0"/>
              <w:ind w:left="0" w:right="0" w:firstLine="30"/>
              <w:rPr/>
            </w:pPr>
            <w:r>
              <w:rPr/>
              <w:t> </w:t>
            </w:r>
          </w:p>
        </w:tc>
      </w:tr>
      <w:tr>
        <w:trPr/>
        <w:tc>
          <w:tcPr>
            <w:tcW w:w="7580" w:type="dxa"/>
            <w:tcBorders/>
            <w:shd w:fill="auto" w:val="clear"/>
            <w:vAlign w:val="center"/>
          </w:tcPr>
          <w:p>
            <w:pPr>
              <w:pStyle w:val="TableContents"/>
              <w:spacing w:before="0" w:after="0"/>
              <w:ind w:left="0" w:right="0" w:firstLine="30"/>
              <w:rPr/>
            </w:pPr>
            <w:hyperlink w:anchor="sFBF150B2DD1A51D6AA00FBB56E91C884">
              <w:r>
                <w:rPr>
                  <w:rStyle w:val="InternetLink"/>
                  <w:rFonts w:ascii="inherit" w:hAnsi="inherit"/>
                  <w:b/>
                  <w:strike w:val="false"/>
                  <w:dstrike w:val="false"/>
                  <w:color w:val="000000"/>
                  <w:sz w:val="17"/>
                  <w:u w:val="none"/>
                  <w:effect w:val="none"/>
                </w:rPr>
                <w:t>PART II. OTHER INFORMATION</w:t>
              </w:r>
            </w:hyperlink>
          </w:p>
        </w:tc>
        <w:tc>
          <w:tcPr>
            <w:tcW w:w="665" w:type="dxa"/>
            <w:tcBorders/>
            <w:shd w:fill="auto" w:val="clear"/>
            <w:vAlign w:val="center"/>
          </w:tcPr>
          <w:p>
            <w:pPr>
              <w:pStyle w:val="TableContents"/>
              <w:spacing w:before="0" w:after="0"/>
              <w:ind w:left="0" w:right="0" w:firstLine="420"/>
              <w:rPr/>
            </w:pPr>
            <w:r>
              <w:rPr/>
              <w:t> </w:t>
            </w:r>
          </w:p>
        </w:tc>
      </w:tr>
      <w:tr>
        <w:trPr/>
        <w:tc>
          <w:tcPr>
            <w:tcW w:w="7580" w:type="dxa"/>
            <w:tcBorders/>
            <w:shd w:fill="auto" w:val="clear"/>
            <w:vAlign w:val="center"/>
          </w:tcPr>
          <w:p>
            <w:pPr>
              <w:pStyle w:val="TableContents"/>
              <w:spacing w:before="0" w:after="0"/>
              <w:ind w:left="0" w:right="0" w:firstLine="30"/>
              <w:rPr/>
            </w:pPr>
            <w:hyperlink w:anchor="sCD36194347D85EF5B1D4C105668BA697">
              <w:r>
                <w:rPr>
                  <w:rStyle w:val="InternetLink"/>
                  <w:rFonts w:ascii="inherit" w:hAnsi="inherit"/>
                  <w:strike w:val="false"/>
                  <w:dstrike w:val="false"/>
                  <w:color w:val="000000"/>
                  <w:sz w:val="17"/>
                  <w:u w:val="none"/>
                  <w:effect w:val="none"/>
                </w:rPr>
                <w:t>1) Legal Proceedings</w:t>
              </w:r>
            </w:hyperlink>
          </w:p>
        </w:tc>
        <w:tc>
          <w:tcPr>
            <w:tcW w:w="665" w:type="dxa"/>
            <w:tcBorders/>
            <w:shd w:fill="auto" w:val="clear"/>
            <w:vAlign w:val="center"/>
          </w:tcPr>
          <w:p>
            <w:pPr>
              <w:pStyle w:val="TableContents"/>
              <w:spacing w:before="0" w:after="0"/>
              <w:ind w:left="0" w:right="0" w:firstLine="420"/>
              <w:jc w:val="right"/>
              <w:rPr/>
            </w:pPr>
            <w:hyperlink w:anchor="sCD36194347D85EF5B1D4C105668BA697">
              <w:r>
                <w:rPr>
                  <w:rStyle w:val="InternetLink"/>
                  <w:rFonts w:ascii="inherit" w:hAnsi="inherit"/>
                  <w:strike w:val="false"/>
                  <w:dstrike w:val="false"/>
                  <w:color w:val="000000"/>
                  <w:sz w:val="17"/>
                  <w:u w:val="none"/>
                  <w:effect w:val="none"/>
                </w:rPr>
                <w:t>23</w:t>
              </w:r>
            </w:hyperlink>
          </w:p>
        </w:tc>
      </w:tr>
      <w:tr>
        <w:trPr/>
        <w:tc>
          <w:tcPr>
            <w:tcW w:w="7580" w:type="dxa"/>
            <w:tcBorders/>
            <w:shd w:fill="auto" w:val="clear"/>
            <w:vAlign w:val="center"/>
          </w:tcPr>
          <w:p>
            <w:pPr>
              <w:pStyle w:val="TableContents"/>
              <w:spacing w:before="0" w:after="0"/>
              <w:ind w:left="0" w:right="0" w:firstLine="30"/>
              <w:rPr/>
            </w:pPr>
            <w:hyperlink w:anchor="s6AEF829F53025391B72B48A3D6559E2F">
              <w:r>
                <w:rPr>
                  <w:rStyle w:val="InternetLink"/>
                  <w:rFonts w:ascii="inherit" w:hAnsi="inherit"/>
                  <w:strike w:val="false"/>
                  <w:dstrike w:val="false"/>
                  <w:color w:val="000000"/>
                  <w:sz w:val="17"/>
                  <w:u w:val="none"/>
                  <w:effect w:val="none"/>
                </w:rPr>
                <w:t>1A) Risk Factors</w:t>
              </w:r>
            </w:hyperlink>
          </w:p>
        </w:tc>
        <w:tc>
          <w:tcPr>
            <w:tcW w:w="665" w:type="dxa"/>
            <w:tcBorders/>
            <w:shd w:fill="auto" w:val="clear"/>
            <w:vAlign w:val="center"/>
          </w:tcPr>
          <w:p>
            <w:pPr>
              <w:pStyle w:val="TableContents"/>
              <w:spacing w:before="0" w:after="0"/>
              <w:ind w:left="0" w:right="0" w:firstLine="420"/>
              <w:jc w:val="right"/>
              <w:rPr/>
            </w:pPr>
            <w:hyperlink w:anchor="s6AEF829F53025391B72B48A3D6559E2F">
              <w:r>
                <w:rPr>
                  <w:rStyle w:val="InternetLink"/>
                  <w:rFonts w:ascii="inherit" w:hAnsi="inherit"/>
                  <w:strike w:val="false"/>
                  <w:dstrike w:val="false"/>
                  <w:color w:val="000000"/>
                  <w:sz w:val="17"/>
                  <w:u w:val="none"/>
                  <w:effect w:val="none"/>
                </w:rPr>
                <w:t>24</w:t>
              </w:r>
            </w:hyperlink>
          </w:p>
        </w:tc>
      </w:tr>
      <w:tr>
        <w:trPr/>
        <w:tc>
          <w:tcPr>
            <w:tcW w:w="75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 Unregistered Sales of Equity Securities and Use of Proceeds</w:t>
            </w:r>
          </w:p>
        </w:tc>
        <w:tc>
          <w:tcPr>
            <w:tcW w:w="665" w:type="dxa"/>
            <w:tcBorders/>
            <w:shd w:fill="auto" w:val="clear"/>
            <w:vAlign w:val="center"/>
          </w:tcPr>
          <w:p>
            <w:pPr>
              <w:pStyle w:val="TableContents"/>
              <w:spacing w:before="0" w:after="0"/>
              <w:ind w:left="0" w:right="0" w:firstLine="420"/>
              <w:jc w:val="right"/>
              <w:rPr/>
            </w:pPr>
            <w:hyperlink w:anchor="se4dbdb7fc3e54681803f2bd3e6b7fdee">
              <w:r>
                <w:rPr>
                  <w:rStyle w:val="InternetLink"/>
                  <w:rFonts w:ascii="inherit" w:hAnsi="inherit"/>
                  <w:strike w:val="false"/>
                  <w:dstrike w:val="false"/>
                  <w:color w:val="000000"/>
                  <w:sz w:val="17"/>
                  <w:u w:val="none"/>
                  <w:effect w:val="none"/>
                </w:rPr>
                <w:t>24</w:t>
              </w:r>
            </w:hyperlink>
          </w:p>
        </w:tc>
      </w:tr>
      <w:tr>
        <w:trPr/>
        <w:tc>
          <w:tcPr>
            <w:tcW w:w="75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 Other Information</w:t>
            </w:r>
          </w:p>
        </w:tc>
        <w:tc>
          <w:tcPr>
            <w:tcW w:w="665" w:type="dxa"/>
            <w:tcBorders/>
            <w:shd w:fill="auto" w:val="clear"/>
            <w:vAlign w:val="center"/>
          </w:tcPr>
          <w:p>
            <w:pPr>
              <w:pStyle w:val="TableContents"/>
              <w:spacing w:before="0" w:after="0"/>
              <w:ind w:left="0" w:right="0" w:firstLine="420"/>
              <w:jc w:val="right"/>
              <w:rPr/>
            </w:pPr>
            <w:hyperlink w:anchor="s01E19E7A72E359C8A5EF39A9F2A751D8">
              <w:r>
                <w:rPr>
                  <w:rStyle w:val="InternetLink"/>
                  <w:rFonts w:ascii="inherit" w:hAnsi="inherit"/>
                  <w:strike w:val="false"/>
                  <w:dstrike w:val="false"/>
                  <w:color w:val="000000"/>
                  <w:sz w:val="17"/>
                  <w:u w:val="none"/>
                  <w:effect w:val="none"/>
                </w:rPr>
                <w:t>24</w:t>
              </w:r>
            </w:hyperlink>
          </w:p>
        </w:tc>
      </w:tr>
      <w:tr>
        <w:trPr/>
        <w:tc>
          <w:tcPr>
            <w:tcW w:w="7580" w:type="dxa"/>
            <w:tcBorders/>
            <w:shd w:fill="auto" w:val="clear"/>
            <w:vAlign w:val="center"/>
          </w:tcPr>
          <w:p>
            <w:pPr>
              <w:pStyle w:val="TableContents"/>
              <w:spacing w:before="0" w:after="0"/>
              <w:ind w:left="0" w:right="0" w:firstLine="30"/>
              <w:rPr/>
            </w:pPr>
            <w:hyperlink w:anchor="s69F648E20B9D5448B9EAF84F28D1A87E">
              <w:r>
                <w:rPr>
                  <w:rStyle w:val="InternetLink"/>
                  <w:rFonts w:ascii="inherit" w:hAnsi="inherit"/>
                  <w:strike w:val="false"/>
                  <w:dstrike w:val="false"/>
                  <w:color w:val="000000"/>
                  <w:sz w:val="17"/>
                  <w:u w:val="none"/>
                  <w:effect w:val="none"/>
                </w:rPr>
                <w:t>6) Exhibits</w:t>
              </w:r>
            </w:hyperlink>
          </w:p>
        </w:tc>
        <w:tc>
          <w:tcPr>
            <w:tcW w:w="665" w:type="dxa"/>
            <w:tcBorders/>
            <w:shd w:fill="auto" w:val="clear"/>
            <w:vAlign w:val="center"/>
          </w:tcPr>
          <w:p>
            <w:pPr>
              <w:pStyle w:val="TableContents"/>
              <w:spacing w:before="0" w:after="0"/>
              <w:jc w:val="right"/>
              <w:rPr/>
            </w:pPr>
            <w:hyperlink w:anchor="s69F648E20B9D5448B9EAF84F28D1A87E">
              <w:r>
                <w:rPr>
                  <w:rStyle w:val="InternetLink"/>
                  <w:rFonts w:ascii="inherit" w:hAnsi="inherit"/>
                  <w:strike w:val="false"/>
                  <w:dstrike w:val="false"/>
                  <w:color w:val="000000"/>
                  <w:sz w:val="17"/>
                  <w:u w:val="none"/>
                  <w:effect w:val="none"/>
                </w:rPr>
                <w:t>25</w:t>
              </w:r>
            </w:hyperlink>
          </w:p>
        </w:tc>
      </w:tr>
    </w:tbl>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5" w:name="s3E2C0D174BB451FBBE914221C5C58330"/>
      <w:bookmarkStart w:id="6" w:name="s3E2C0D174BB451FBBE914221C5C58330"/>
      <w:bookmarkEnd w:id="6"/>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PART I. FINANCIAL INFORMATION</w:t>
      </w:r>
    </w:p>
    <w:p>
      <w:pPr>
        <w:pStyle w:val="TextBody"/>
        <w:spacing w:lineRule="auto" w:line="288" w:before="0" w:after="0"/>
        <w:rPr>
          <w:rFonts w:ascii="inherit" w:hAnsi="inherit"/>
          <w:b/>
          <w:sz w:val="17"/>
        </w:rPr>
      </w:pPr>
      <w:bookmarkStart w:id="7" w:name="s0927661C7CA2570E8818C144A1613862"/>
      <w:bookmarkEnd w:id="7"/>
      <w:r>
        <w:rPr>
          <w:rFonts w:ascii="inherit" w:hAnsi="inherit"/>
          <w:b/>
          <w:sz w:val="17"/>
        </w:rPr>
        <w:t>Item 1. Financial Statements</w:t>
      </w:r>
    </w:p>
    <w:p>
      <w:pPr>
        <w:pStyle w:val="TextBody"/>
        <w:spacing w:lineRule="auto" w:line="288" w:before="0" w:after="0"/>
        <w:jc w:val="center"/>
        <w:rPr>
          <w:rFonts w:ascii="inherit" w:hAnsi="inherit"/>
          <w:b/>
          <w:sz w:val="17"/>
        </w:rPr>
      </w:pPr>
      <w:bookmarkStart w:id="8" w:name="sFA0A5FA85FE552D2A36820D82D1950C7"/>
      <w:bookmarkEnd w:id="8"/>
      <w:r>
        <w:rPr>
          <w:rFonts w:ascii="inherit" w:hAnsi="inherit"/>
          <w:b/>
          <w:sz w:val="17"/>
        </w:rPr>
        <w:t xml:space="preserve">WESTLAKE CHEMICAL PARTNERS LP </w:t>
      </w:r>
    </w:p>
    <w:p>
      <w:pPr>
        <w:pStyle w:val="TextBody"/>
        <w:spacing w:lineRule="auto" w:line="288" w:before="0" w:after="0"/>
        <w:jc w:val="center"/>
        <w:rPr>
          <w:rFonts w:ascii="inherit" w:hAnsi="inherit"/>
          <w:b/>
          <w:sz w:val="17"/>
        </w:rPr>
      </w:pPr>
      <w:r>
        <w:rPr>
          <w:rFonts w:ascii="inherit" w:hAnsi="inherit"/>
          <w:b/>
          <w:sz w:val="17"/>
        </w:rPr>
        <w:t>CONSOLIDATED BALANCE SHEETS</w:t>
      </w:r>
    </w:p>
    <w:p>
      <w:pPr>
        <w:pStyle w:val="TextBody"/>
        <w:spacing w:lineRule="auto" w:line="288" w:before="0" w:after="0"/>
        <w:jc w:val="center"/>
        <w:rPr>
          <w:rFonts w:ascii="inherit" w:hAnsi="inherit"/>
          <w:b/>
          <w:sz w:val="17"/>
        </w:rPr>
      </w:pPr>
      <w:r>
        <w:rPr>
          <w:rFonts w:ascii="inherit" w:hAnsi="inherit"/>
          <w:b/>
          <w:sz w:val="17"/>
        </w:rPr>
        <w:t>(Unaudited)</w:t>
      </w:r>
    </w:p>
    <w:tbl>
      <w:tblPr>
        <w:tblW w:w="10205" w:type="dxa"/>
        <w:jc w:val="left"/>
        <w:tblInd w:w="0" w:type="dxa"/>
        <w:tblCellMar>
          <w:top w:w="0" w:type="dxa"/>
          <w:left w:w="0" w:type="dxa"/>
          <w:bottom w:w="0" w:type="dxa"/>
          <w:right w:w="0" w:type="dxa"/>
        </w:tblCellMar>
      </w:tblPr>
      <w:tblGrid>
        <w:gridCol w:w="6909"/>
        <w:gridCol w:w="90"/>
        <w:gridCol w:w="132"/>
        <w:gridCol w:w="898"/>
        <w:gridCol w:w="116"/>
        <w:gridCol w:w="95"/>
        <w:gridCol w:w="132"/>
        <w:gridCol w:w="898"/>
        <w:gridCol w:w="935"/>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690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90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4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March 31, </w:t>
              <w:br/>
              <w:t>2019</w:t>
            </w:r>
          </w:p>
        </w:tc>
        <w:tc>
          <w:tcPr>
            <w:tcW w:w="95" w:type="dxa"/>
            <w:tcBorders/>
            <w:shd w:fill="auto" w:val="clear"/>
            <w:vAlign w:val="center"/>
          </w:tcPr>
          <w:p>
            <w:pPr>
              <w:pStyle w:val="TableContents"/>
              <w:spacing w:before="0" w:after="0"/>
              <w:ind w:left="0" w:right="0" w:firstLine="30"/>
              <w:rPr/>
            </w:pPr>
            <w:r>
              <w:rPr/>
              <w:t> </w:t>
            </w:r>
          </w:p>
        </w:tc>
        <w:tc>
          <w:tcPr>
            <w:tcW w:w="19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2018</w:t>
            </w:r>
          </w:p>
        </w:tc>
      </w:tr>
      <w:tr>
        <w:trPr/>
        <w:tc>
          <w:tcPr>
            <w:tcW w:w="690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46" w:type="dxa"/>
            <w:gridSpan w:val="3"/>
            <w:tcBorders/>
            <w:shd w:fill="auto" w:val="clear"/>
            <w:vAlign w:val="center"/>
          </w:tcPr>
          <w:p>
            <w:pPr>
              <w:pStyle w:val="TableContents"/>
              <w:spacing w:before="0" w:after="0"/>
              <w:ind w:left="0" w:right="0" w:firstLine="30"/>
              <w:rPr/>
            </w:pPr>
            <w:r>
              <w:rPr/>
              <w:t> </w:t>
            </w:r>
          </w:p>
        </w:tc>
        <w:tc>
          <w:tcPr>
            <w:tcW w:w="95" w:type="dxa"/>
            <w:tcBorders/>
            <w:shd w:fill="auto" w:val="clear"/>
            <w:vAlign w:val="center"/>
          </w:tcPr>
          <w:p>
            <w:pPr>
              <w:pStyle w:val="TableContents"/>
              <w:spacing w:before="0" w:after="0"/>
              <w:ind w:left="0" w:right="0" w:firstLine="30"/>
              <w:rPr/>
            </w:pPr>
            <w:r>
              <w:rPr/>
              <w:t> </w:t>
            </w:r>
          </w:p>
        </w:tc>
        <w:tc>
          <w:tcPr>
            <w:tcW w:w="1965" w:type="dxa"/>
            <w:gridSpan w:val="3"/>
            <w:tcBorders/>
            <w:shd w:fill="auto" w:val="clear"/>
            <w:vAlign w:val="center"/>
          </w:tcPr>
          <w:p>
            <w:pPr>
              <w:pStyle w:val="TableContents"/>
              <w:spacing w:before="0" w:after="0"/>
              <w:ind w:left="0" w:right="0" w:firstLine="30"/>
              <w:rPr/>
            </w:pPr>
            <w:r>
              <w:rPr/>
              <w:t> </w:t>
            </w:r>
          </w:p>
        </w:tc>
      </w:tr>
      <w:tr>
        <w:trPr/>
        <w:tc>
          <w:tcPr>
            <w:tcW w:w="690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206"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(in thousands of dollars, except unit amounts)</w:t>
            </w:r>
          </w:p>
        </w:tc>
      </w:tr>
      <w:tr>
        <w:trPr/>
        <w:tc>
          <w:tcPr>
            <w:tcW w:w="6909" w:type="dxa"/>
            <w:tcBorders/>
            <w:shd w:fill="CCEEFF" w:val="clear"/>
            <w:vAlign w:val="center"/>
          </w:tcPr>
          <w:p>
            <w:pPr>
              <w:pStyle w:val="TableContents"/>
              <w:spacing w:before="0" w:after="0"/>
              <w:ind w:left="0" w:right="0" w:firstLine="30"/>
              <w:jc w:val="center"/>
              <w:rPr>
                <w:rFonts w:ascii="inherit" w:hAnsi="inherit"/>
                <w:b/>
                <w:sz w:val="17"/>
              </w:rPr>
            </w:pPr>
            <w:r>
              <w:rPr>
                <w:rFonts w:ascii="inherit" w:hAnsi="inherit"/>
                <w:b/>
                <w:sz w:val="17"/>
              </w:rPr>
              <w:t>ASSETS</w:t>
            </w:r>
          </w:p>
        </w:tc>
        <w:tc>
          <w:tcPr>
            <w:tcW w:w="90" w:type="dxa"/>
            <w:tcBorders/>
            <w:shd w:fill="CCEEFF" w:val="clear"/>
            <w:vAlign w:val="center"/>
          </w:tcPr>
          <w:p>
            <w:pPr>
              <w:pStyle w:val="TableContents"/>
              <w:spacing w:before="0" w:after="0"/>
              <w:ind w:left="0" w:right="0" w:firstLine="30"/>
              <w:rPr/>
            </w:pPr>
            <w:r>
              <w:rPr/>
              <w:t> </w:t>
            </w:r>
          </w:p>
        </w:tc>
        <w:tc>
          <w:tcPr>
            <w:tcW w:w="1146" w:type="dxa"/>
            <w:gridSpan w:val="3"/>
            <w:tcBorders/>
            <w:shd w:fill="CCEEFF" w:val="clear"/>
            <w:vAlign w:val="center"/>
          </w:tcPr>
          <w:p>
            <w:pPr>
              <w:pStyle w:val="TableContents"/>
              <w:spacing w:before="0" w:after="0"/>
              <w:ind w:left="0" w:right="0" w:firstLine="30"/>
              <w:rPr/>
            </w:pPr>
            <w:r>
              <w:rPr/>
              <w:t> </w:t>
            </w:r>
          </w:p>
        </w:tc>
        <w:tc>
          <w:tcPr>
            <w:tcW w:w="95" w:type="dxa"/>
            <w:tcBorders/>
            <w:shd w:fill="CCEEFF" w:val="clear"/>
            <w:vAlign w:val="center"/>
          </w:tcPr>
          <w:p>
            <w:pPr>
              <w:pStyle w:val="TableContents"/>
              <w:spacing w:before="0" w:after="0"/>
              <w:ind w:left="0" w:right="0" w:firstLine="30"/>
              <w:rPr/>
            </w:pPr>
            <w:r>
              <w:rPr/>
              <w:t> </w:t>
            </w:r>
          </w:p>
        </w:tc>
        <w:tc>
          <w:tcPr>
            <w:tcW w:w="1965" w:type="dxa"/>
            <w:gridSpan w:val="3"/>
            <w:tcBorders/>
            <w:shd w:fill="CCEEFF" w:val="clear"/>
            <w:vAlign w:val="center"/>
          </w:tcPr>
          <w:p>
            <w:pPr>
              <w:pStyle w:val="TableContents"/>
              <w:spacing w:before="0" w:after="0"/>
              <w:ind w:left="0" w:right="0" w:firstLine="30"/>
              <w:rPr/>
            </w:pPr>
            <w:r>
              <w:rPr/>
              <w:t> </w:t>
            </w:r>
          </w:p>
        </w:tc>
      </w:tr>
      <w:tr>
        <w:trPr/>
        <w:tc>
          <w:tcPr>
            <w:tcW w:w="69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90" w:type="dxa"/>
            <w:tcBorders/>
            <w:shd w:fill="auto" w:val="clear"/>
            <w:vAlign w:val="center"/>
          </w:tcPr>
          <w:p>
            <w:pPr>
              <w:pStyle w:val="TableContents"/>
              <w:spacing w:before="0" w:after="0"/>
              <w:ind w:left="0" w:right="0" w:firstLine="30"/>
              <w:rPr/>
            </w:pPr>
            <w:r>
              <w:rPr/>
              <w:t> </w:t>
            </w:r>
          </w:p>
        </w:tc>
        <w:tc>
          <w:tcPr>
            <w:tcW w:w="1146" w:type="dxa"/>
            <w:gridSpan w:val="3"/>
            <w:tcBorders/>
            <w:shd w:fill="auto" w:val="clear"/>
            <w:vAlign w:val="center"/>
          </w:tcPr>
          <w:p>
            <w:pPr>
              <w:pStyle w:val="TableContents"/>
              <w:spacing w:before="0" w:after="0"/>
              <w:ind w:left="0" w:right="0" w:firstLine="30"/>
              <w:rPr/>
            </w:pPr>
            <w:r>
              <w:rPr/>
              <w:t> </w:t>
            </w:r>
          </w:p>
        </w:tc>
        <w:tc>
          <w:tcPr>
            <w:tcW w:w="95" w:type="dxa"/>
            <w:tcBorders/>
            <w:shd w:fill="auto" w:val="clear"/>
            <w:vAlign w:val="center"/>
          </w:tcPr>
          <w:p>
            <w:pPr>
              <w:pStyle w:val="TableContents"/>
              <w:spacing w:before="0" w:after="0"/>
              <w:ind w:left="0" w:right="0" w:firstLine="30"/>
              <w:rPr/>
            </w:pPr>
            <w:r>
              <w:rPr/>
              <w:t> </w:t>
            </w:r>
          </w:p>
        </w:tc>
        <w:tc>
          <w:tcPr>
            <w:tcW w:w="1965" w:type="dxa"/>
            <w:gridSpan w:val="3"/>
            <w:tcBorders/>
            <w:shd w:fill="auto" w:val="clear"/>
            <w:vAlign w:val="center"/>
          </w:tcPr>
          <w:p>
            <w:pPr>
              <w:pStyle w:val="TableContents"/>
              <w:spacing w:before="0" w:after="0"/>
              <w:ind w:left="0" w:right="0" w:firstLine="420"/>
              <w:rPr/>
            </w:pPr>
            <w:r>
              <w:rPr/>
              <w:t> </w:t>
            </w:r>
          </w:p>
        </w:tc>
      </w:tr>
      <w:tr>
        <w:trPr/>
        <w:tc>
          <w:tcPr>
            <w:tcW w:w="69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90"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8" w:type="dxa"/>
            <w:tcBorders/>
            <w:shd w:fill="CCEEFF" w:val="clear"/>
            <w:vAlign w:val="center"/>
          </w:tcPr>
          <w:p>
            <w:pPr>
              <w:pStyle w:val="TableContents"/>
              <w:spacing w:before="0" w:after="0"/>
              <w:jc w:val="right"/>
              <w:rPr>
                <w:rFonts w:ascii="inherit" w:hAnsi="inherit"/>
                <w:sz w:val="17"/>
              </w:rPr>
            </w:pPr>
            <w:r>
              <w:rPr>
                <w:rFonts w:ascii="inherit" w:hAnsi="inherit"/>
                <w:sz w:val="17"/>
              </w:rPr>
              <w:t>84,615</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8" w:type="dxa"/>
            <w:tcBorders/>
            <w:shd w:fill="CCEEFF" w:val="clear"/>
            <w:vAlign w:val="center"/>
          </w:tcPr>
          <w:p>
            <w:pPr>
              <w:pStyle w:val="TableContents"/>
              <w:spacing w:before="0" w:after="0"/>
              <w:jc w:val="right"/>
              <w:rPr>
                <w:rFonts w:ascii="inherit" w:hAnsi="inherit"/>
                <w:sz w:val="17"/>
              </w:rPr>
            </w:pPr>
            <w:r>
              <w:rPr>
                <w:rFonts w:ascii="inherit" w:hAnsi="inherit"/>
                <w:sz w:val="17"/>
              </w:rPr>
              <w:t>19,744</w:t>
            </w:r>
          </w:p>
        </w:tc>
        <w:tc>
          <w:tcPr>
            <w:tcW w:w="93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909" w:type="dxa"/>
            <w:tcBorders/>
            <w:shd w:fill="auto" w:val="clear"/>
            <w:vAlign w:val="center"/>
          </w:tcPr>
          <w:p>
            <w:pPr>
              <w:pStyle w:val="TableContents"/>
              <w:spacing w:before="0" w:after="0"/>
              <w:rPr>
                <w:rFonts w:ascii="inherit" w:hAnsi="inherit"/>
                <w:sz w:val="17"/>
              </w:rPr>
            </w:pPr>
            <w:r>
              <w:rPr>
                <w:rFonts w:ascii="inherit" w:hAnsi="inherit"/>
                <w:sz w:val="17"/>
              </w:rPr>
              <w:t xml:space="preserve">Receivable under the Investment Management Agreement—Westlake Chemical </w:t>
            </w:r>
          </w:p>
          <w:p>
            <w:pPr>
              <w:pStyle w:val="TableContents"/>
              <w:spacing w:before="0" w:after="0"/>
              <w:ind w:left="0" w:right="0" w:firstLine="30"/>
              <w:rPr/>
            </w:pPr>
            <w:r>
              <w:rPr/>
              <w:t>   </w:t>
            </w:r>
            <w:r>
              <w:rPr>
                <w:rFonts w:ascii="inherit" w:hAnsi="inherit"/>
                <w:sz w:val="17"/>
              </w:rPr>
              <w:t>Corporation ("Westlake")</w:t>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276,501</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148,956</w:t>
            </w:r>
          </w:p>
        </w:tc>
        <w:tc>
          <w:tcPr>
            <w:tcW w:w="93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9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 net—Westlake</w:t>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47,626</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57,280</w:t>
            </w:r>
          </w:p>
        </w:tc>
        <w:tc>
          <w:tcPr>
            <w:tcW w:w="93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9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 net—third parties</w:t>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15,495</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16,404</w:t>
            </w:r>
          </w:p>
        </w:tc>
        <w:tc>
          <w:tcPr>
            <w:tcW w:w="93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9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Inventories</w:t>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4,171</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4,388</w:t>
            </w:r>
          </w:p>
        </w:tc>
        <w:tc>
          <w:tcPr>
            <w:tcW w:w="93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9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current assets</w:t>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251</w:t>
            </w:r>
          </w:p>
        </w:tc>
        <w:tc>
          <w:tcPr>
            <w:tcW w:w="11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370</w:t>
            </w:r>
          </w:p>
        </w:tc>
        <w:tc>
          <w:tcPr>
            <w:tcW w:w="93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9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428,659</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247,142</w:t>
            </w:r>
          </w:p>
        </w:tc>
        <w:tc>
          <w:tcPr>
            <w:tcW w:w="93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plant and equipment, net</w:t>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1,138,434</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1,148,265</w:t>
            </w:r>
          </w:p>
        </w:tc>
        <w:tc>
          <w:tcPr>
            <w:tcW w:w="9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5,814</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5,814</w:t>
            </w:r>
          </w:p>
        </w:tc>
        <w:tc>
          <w:tcPr>
            <w:tcW w:w="9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charges and other assets, net</w:t>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58,366</w:t>
            </w:r>
          </w:p>
        </w:tc>
        <w:tc>
          <w:tcPr>
            <w:tcW w:w="11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60,904</w:t>
            </w:r>
          </w:p>
        </w:tc>
        <w:tc>
          <w:tcPr>
            <w:tcW w:w="93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909"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Total assets</w:t>
            </w:r>
          </w:p>
        </w:tc>
        <w:tc>
          <w:tcPr>
            <w:tcW w:w="90" w:type="dxa"/>
            <w:tcBorders/>
            <w:shd w:fill="CCEEFF" w:val="clear"/>
            <w:vAlign w:val="center"/>
          </w:tcPr>
          <w:p>
            <w:pPr>
              <w:pStyle w:val="TableContents"/>
              <w:spacing w:before="0" w:after="0"/>
              <w:ind w:left="0" w:right="0" w:firstLine="30"/>
              <w:rPr/>
            </w:pPr>
            <w:r>
              <w:rPr/>
              <w:t> </w:t>
            </w:r>
          </w:p>
        </w:tc>
        <w:tc>
          <w:tcPr>
            <w:tcW w:w="13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1,631,273</w:t>
            </w:r>
          </w:p>
        </w:tc>
        <w:tc>
          <w:tcPr>
            <w:tcW w:w="11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3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1,462,125</w:t>
            </w:r>
          </w:p>
        </w:tc>
        <w:tc>
          <w:tcPr>
            <w:tcW w:w="93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LIABILITIES</w:t>
            </w:r>
          </w:p>
        </w:tc>
        <w:tc>
          <w:tcPr>
            <w:tcW w:w="90" w:type="dxa"/>
            <w:tcBorders/>
            <w:shd w:fill="auto" w:val="clear"/>
            <w:vAlign w:val="center"/>
          </w:tcPr>
          <w:p>
            <w:pPr>
              <w:pStyle w:val="TableContents"/>
              <w:spacing w:before="0" w:after="0"/>
              <w:ind w:left="0" w:right="0" w:firstLine="30"/>
              <w:rPr/>
            </w:pPr>
            <w:r>
              <w:rPr/>
              <w:t> </w:t>
            </w:r>
          </w:p>
        </w:tc>
        <w:tc>
          <w:tcPr>
            <w:tcW w:w="1146" w:type="dxa"/>
            <w:gridSpan w:val="3"/>
            <w:tcBorders/>
            <w:shd w:fill="auto" w:val="clear"/>
            <w:vAlign w:val="center"/>
          </w:tcPr>
          <w:p>
            <w:pPr>
              <w:pStyle w:val="TableContents"/>
              <w:spacing w:before="0" w:after="0"/>
              <w:ind w:left="0" w:right="0" w:firstLine="30"/>
              <w:rPr/>
            </w:pPr>
            <w:r>
              <w:rPr/>
              <w:t> </w:t>
            </w:r>
          </w:p>
        </w:tc>
        <w:tc>
          <w:tcPr>
            <w:tcW w:w="95" w:type="dxa"/>
            <w:tcBorders/>
            <w:shd w:fill="auto" w:val="clear"/>
            <w:vAlign w:val="center"/>
          </w:tcPr>
          <w:p>
            <w:pPr>
              <w:pStyle w:val="TableContents"/>
              <w:spacing w:before="0" w:after="0"/>
              <w:ind w:left="0" w:right="0" w:firstLine="30"/>
              <w:rPr/>
            </w:pPr>
            <w:r>
              <w:rPr/>
              <w:t> </w:t>
            </w:r>
          </w:p>
        </w:tc>
        <w:tc>
          <w:tcPr>
            <w:tcW w:w="1965" w:type="dxa"/>
            <w:gridSpan w:val="3"/>
            <w:tcBorders/>
            <w:shd w:fill="auto" w:val="clear"/>
            <w:vAlign w:val="center"/>
          </w:tcPr>
          <w:p>
            <w:pPr>
              <w:pStyle w:val="TableContents"/>
              <w:spacing w:before="0" w:after="0"/>
              <w:ind w:left="0" w:right="0" w:firstLine="30"/>
              <w:rPr/>
            </w:pPr>
            <w:r>
              <w:rPr/>
              <w:t> </w:t>
            </w:r>
          </w:p>
        </w:tc>
      </w:tr>
      <w:tr>
        <w:trPr/>
        <w:tc>
          <w:tcPr>
            <w:tcW w:w="69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90" w:type="dxa"/>
            <w:tcBorders/>
            <w:shd w:fill="CCEEFF" w:val="clear"/>
            <w:vAlign w:val="center"/>
          </w:tcPr>
          <w:p>
            <w:pPr>
              <w:pStyle w:val="TableContents"/>
              <w:spacing w:before="0" w:after="0"/>
              <w:ind w:left="0" w:right="0" w:firstLine="30"/>
              <w:rPr/>
            </w:pPr>
            <w:r>
              <w:rPr/>
              <w:t> </w:t>
            </w:r>
          </w:p>
        </w:tc>
        <w:tc>
          <w:tcPr>
            <w:tcW w:w="1146" w:type="dxa"/>
            <w:gridSpan w:val="3"/>
            <w:tcBorders/>
            <w:shd w:fill="CCEEFF" w:val="clear"/>
            <w:vAlign w:val="center"/>
          </w:tcPr>
          <w:p>
            <w:pPr>
              <w:pStyle w:val="TableContents"/>
              <w:spacing w:before="0" w:after="0"/>
              <w:ind w:left="0" w:right="0" w:firstLine="30"/>
              <w:rPr/>
            </w:pPr>
            <w:r>
              <w:rPr/>
              <w:t> </w:t>
            </w:r>
          </w:p>
        </w:tc>
        <w:tc>
          <w:tcPr>
            <w:tcW w:w="95" w:type="dxa"/>
            <w:tcBorders/>
            <w:shd w:fill="CCEEFF" w:val="clear"/>
            <w:vAlign w:val="center"/>
          </w:tcPr>
          <w:p>
            <w:pPr>
              <w:pStyle w:val="TableContents"/>
              <w:spacing w:before="0" w:after="0"/>
              <w:ind w:left="0" w:right="0" w:firstLine="30"/>
              <w:rPr/>
            </w:pPr>
            <w:r>
              <w:rPr/>
              <w:t> </w:t>
            </w:r>
          </w:p>
        </w:tc>
        <w:tc>
          <w:tcPr>
            <w:tcW w:w="1965" w:type="dxa"/>
            <w:gridSpan w:val="3"/>
            <w:tcBorders/>
            <w:shd w:fill="CCEEFF" w:val="clear"/>
            <w:vAlign w:val="center"/>
          </w:tcPr>
          <w:p>
            <w:pPr>
              <w:pStyle w:val="TableContents"/>
              <w:spacing w:before="0" w:after="0"/>
              <w:ind w:left="0" w:right="0" w:firstLine="420"/>
              <w:rPr/>
            </w:pPr>
            <w:r>
              <w:rPr/>
              <w:t> </w:t>
            </w:r>
          </w:p>
        </w:tc>
      </w:tr>
      <w:tr>
        <w:trPr/>
        <w:tc>
          <w:tcPr>
            <w:tcW w:w="69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payable—Westlake</w:t>
            </w:r>
          </w:p>
        </w:tc>
        <w:tc>
          <w:tcPr>
            <w:tcW w:w="90"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98" w:type="dxa"/>
            <w:tcBorders/>
            <w:shd w:fill="auto" w:val="clear"/>
            <w:vAlign w:val="center"/>
          </w:tcPr>
          <w:p>
            <w:pPr>
              <w:pStyle w:val="TableContents"/>
              <w:spacing w:before="0" w:after="0"/>
              <w:jc w:val="right"/>
              <w:rPr>
                <w:rFonts w:ascii="inherit" w:hAnsi="inherit"/>
                <w:sz w:val="17"/>
              </w:rPr>
            </w:pPr>
            <w:r>
              <w:rPr>
                <w:rFonts w:ascii="inherit" w:hAnsi="inherit"/>
                <w:sz w:val="17"/>
              </w:rPr>
              <w:t>19,344</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98" w:type="dxa"/>
            <w:tcBorders/>
            <w:shd w:fill="auto" w:val="clear"/>
            <w:vAlign w:val="center"/>
          </w:tcPr>
          <w:p>
            <w:pPr>
              <w:pStyle w:val="TableContents"/>
              <w:spacing w:before="0" w:after="0"/>
              <w:jc w:val="right"/>
              <w:rPr>
                <w:rFonts w:ascii="inherit" w:hAnsi="inherit"/>
                <w:sz w:val="17"/>
              </w:rPr>
            </w:pPr>
            <w:r>
              <w:rPr>
                <w:rFonts w:ascii="inherit" w:hAnsi="inherit"/>
                <w:sz w:val="17"/>
              </w:rPr>
              <w:t>27,477</w:t>
            </w:r>
          </w:p>
        </w:tc>
        <w:tc>
          <w:tcPr>
            <w:tcW w:w="93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9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payable—third parties</w:t>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7,481</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5,045</w:t>
            </w:r>
          </w:p>
        </w:tc>
        <w:tc>
          <w:tcPr>
            <w:tcW w:w="93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9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Accrued and other liabilities </w:t>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20,433</w:t>
            </w:r>
          </w:p>
        </w:tc>
        <w:tc>
          <w:tcPr>
            <w:tcW w:w="11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16,250</w:t>
            </w:r>
          </w:p>
        </w:tc>
        <w:tc>
          <w:tcPr>
            <w:tcW w:w="93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9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47,258</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48,772</w:t>
            </w:r>
          </w:p>
        </w:tc>
        <w:tc>
          <w:tcPr>
            <w:tcW w:w="9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payable to Westlake</w:t>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601,119</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477,608</w:t>
            </w:r>
          </w:p>
        </w:tc>
        <w:tc>
          <w:tcPr>
            <w:tcW w:w="9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income taxes</w:t>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1,677</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1,664</w:t>
            </w:r>
          </w:p>
        </w:tc>
        <w:tc>
          <w:tcPr>
            <w:tcW w:w="9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liabilities</w:t>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1,272</w:t>
            </w:r>
          </w:p>
        </w:tc>
        <w:tc>
          <w:tcPr>
            <w:tcW w:w="11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93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9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w:t>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651,326</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528,044</w:t>
            </w:r>
          </w:p>
        </w:tc>
        <w:tc>
          <w:tcPr>
            <w:tcW w:w="9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Commitments and contingencies (Note 12)</w:t>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r>
          </w:p>
        </w:tc>
        <w:tc>
          <w:tcPr>
            <w:tcW w:w="9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9" w:type="dxa"/>
            <w:tcBorders/>
            <w:shd w:fill="CCEEFF" w:val="clear"/>
            <w:vAlign w:val="center"/>
          </w:tcPr>
          <w:p>
            <w:pPr>
              <w:pStyle w:val="TableContents"/>
              <w:spacing w:before="0" w:after="0"/>
              <w:ind w:left="0" w:right="0" w:firstLine="30"/>
              <w:jc w:val="center"/>
              <w:rPr>
                <w:rFonts w:ascii="inherit" w:hAnsi="inherit"/>
                <w:b/>
                <w:sz w:val="17"/>
              </w:rPr>
            </w:pPr>
            <w:r>
              <w:rPr>
                <w:rFonts w:ascii="inherit" w:hAnsi="inherit"/>
                <w:b/>
                <w:sz w:val="17"/>
              </w:rPr>
              <w:t>EQUITY</w:t>
            </w:r>
          </w:p>
        </w:tc>
        <w:tc>
          <w:tcPr>
            <w:tcW w:w="90" w:type="dxa"/>
            <w:tcBorders/>
            <w:shd w:fill="CCEEFF" w:val="clear"/>
            <w:vAlign w:val="center"/>
          </w:tcPr>
          <w:p>
            <w:pPr>
              <w:pStyle w:val="TableContents"/>
              <w:spacing w:before="0" w:after="0"/>
              <w:ind w:left="0" w:right="0" w:firstLine="30"/>
              <w:rPr/>
            </w:pPr>
            <w:r>
              <w:rPr/>
              <w:t> </w:t>
            </w:r>
          </w:p>
        </w:tc>
        <w:tc>
          <w:tcPr>
            <w:tcW w:w="1146" w:type="dxa"/>
            <w:gridSpan w:val="3"/>
            <w:tcBorders/>
            <w:shd w:fill="CCEEFF" w:val="clear"/>
            <w:vAlign w:val="center"/>
          </w:tcPr>
          <w:p>
            <w:pPr>
              <w:pStyle w:val="TableContents"/>
              <w:spacing w:before="0" w:after="0"/>
              <w:ind w:left="0" w:right="0" w:firstLine="30"/>
              <w:rPr/>
            </w:pPr>
            <w:r>
              <w:rPr/>
              <w:t> </w:t>
            </w:r>
          </w:p>
        </w:tc>
        <w:tc>
          <w:tcPr>
            <w:tcW w:w="95" w:type="dxa"/>
            <w:tcBorders/>
            <w:shd w:fill="CCEEFF" w:val="clear"/>
            <w:vAlign w:val="center"/>
          </w:tcPr>
          <w:p>
            <w:pPr>
              <w:pStyle w:val="TableContents"/>
              <w:spacing w:before="0" w:after="0"/>
              <w:ind w:left="0" w:right="0" w:firstLine="30"/>
              <w:rPr/>
            </w:pPr>
            <w:r>
              <w:rPr/>
              <w:t> </w:t>
            </w:r>
          </w:p>
        </w:tc>
        <w:tc>
          <w:tcPr>
            <w:tcW w:w="1965" w:type="dxa"/>
            <w:gridSpan w:val="3"/>
            <w:tcBorders/>
            <w:shd w:fill="CCEEFF" w:val="clear"/>
            <w:vAlign w:val="center"/>
          </w:tcPr>
          <w:p>
            <w:pPr>
              <w:pStyle w:val="TableContents"/>
              <w:spacing w:before="0" w:after="0"/>
              <w:ind w:left="0" w:right="0" w:firstLine="30"/>
              <w:rPr/>
            </w:pPr>
            <w:r>
              <w:rPr/>
              <w:t> </w:t>
            </w:r>
          </w:p>
        </w:tc>
      </w:tr>
      <w:tr>
        <w:trPr/>
        <w:tc>
          <w:tcPr>
            <w:tcW w:w="69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Common unitholders—publicly and privately held (21,065,959 and 18,125,141 units issued and outstanding at March 31, 2019 and December 31, 2018, respectively)</w:t>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473,119</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409,608</w:t>
            </w:r>
          </w:p>
        </w:tc>
        <w:tc>
          <w:tcPr>
            <w:tcW w:w="9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Common unitholder—Westlake (14,122,230 and 14,122,230 units issued and outstanding at March 31, 2019 and December 31, 2018, respectively)</w:t>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49,195</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48,774</w:t>
            </w:r>
          </w:p>
        </w:tc>
        <w:tc>
          <w:tcPr>
            <w:tcW w:w="9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General partner—Westlake</w:t>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(242,572</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5"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(242,572</w:t>
            </w:r>
          </w:p>
        </w:tc>
        <w:tc>
          <w:tcPr>
            <w:tcW w:w="93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69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Westlake Chemical Partners LP partners' capital</w:t>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279,742</w:t>
            </w:r>
          </w:p>
        </w:tc>
        <w:tc>
          <w:tcPr>
            <w:tcW w:w="11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215,810</w:t>
            </w:r>
          </w:p>
        </w:tc>
        <w:tc>
          <w:tcPr>
            <w:tcW w:w="93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Noncontrolling interest in Westlake Chemical OpCo LP ("OpCo")</w:t>
            </w:r>
          </w:p>
        </w:tc>
        <w:tc>
          <w:tcPr>
            <w:tcW w:w="90"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700,205</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718,271</w:t>
            </w:r>
          </w:p>
        </w:tc>
        <w:tc>
          <w:tcPr>
            <w:tcW w:w="93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9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equity</w:t>
            </w:r>
          </w:p>
        </w:tc>
        <w:tc>
          <w:tcPr>
            <w:tcW w:w="90" w:type="dxa"/>
            <w:tcBorders/>
            <w:shd w:fill="CCEEFF" w:val="clear"/>
            <w:vAlign w:val="center"/>
          </w:tcPr>
          <w:p>
            <w:pPr>
              <w:pStyle w:val="TableContents"/>
              <w:spacing w:before="0" w:after="0"/>
              <w:ind w:left="0" w:right="0" w:firstLine="30"/>
              <w:rPr/>
            </w:pPr>
            <w:r>
              <w:rPr/>
              <w:t> </w:t>
            </w:r>
          </w:p>
        </w:tc>
        <w:tc>
          <w:tcPr>
            <w:tcW w:w="103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979,947</w:t>
            </w:r>
          </w:p>
        </w:tc>
        <w:tc>
          <w:tcPr>
            <w:tcW w:w="116"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CCEEFF" w:val="clear"/>
            <w:vAlign w:val="center"/>
          </w:tcPr>
          <w:p>
            <w:pPr>
              <w:pStyle w:val="TableContents"/>
              <w:spacing w:before="0" w:after="0"/>
              <w:ind w:left="0" w:right="0" w:firstLine="30"/>
              <w:rPr/>
            </w:pPr>
            <w:r>
              <w:rPr/>
              <w:t> </w:t>
            </w:r>
          </w:p>
        </w:tc>
        <w:tc>
          <w:tcPr>
            <w:tcW w:w="103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934,081</w:t>
            </w:r>
          </w:p>
        </w:tc>
        <w:tc>
          <w:tcPr>
            <w:tcW w:w="93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909"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Total liabilities and equity</w:t>
            </w:r>
          </w:p>
        </w:tc>
        <w:tc>
          <w:tcPr>
            <w:tcW w:w="90" w:type="dxa"/>
            <w:tcBorders/>
            <w:shd w:fill="auto" w:val="clear"/>
            <w:vAlign w:val="center"/>
          </w:tcPr>
          <w:p>
            <w:pPr>
              <w:pStyle w:val="TableContents"/>
              <w:spacing w:before="0" w:after="0"/>
              <w:ind w:left="0" w:right="0" w:firstLine="30"/>
              <w:rPr/>
            </w:pPr>
            <w:r>
              <w:rPr/>
              <w:t> </w:t>
            </w:r>
          </w:p>
        </w:tc>
        <w:tc>
          <w:tcPr>
            <w:tcW w:w="13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1,631,273</w:t>
            </w:r>
          </w:p>
        </w:tc>
        <w:tc>
          <w:tcPr>
            <w:tcW w:w="11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5" w:type="dxa"/>
            <w:tcBorders/>
            <w:shd w:fill="auto" w:val="clear"/>
            <w:vAlign w:val="center"/>
          </w:tcPr>
          <w:p>
            <w:pPr>
              <w:pStyle w:val="TableContents"/>
              <w:spacing w:before="0" w:after="0"/>
              <w:ind w:left="0" w:right="0" w:firstLine="30"/>
              <w:rPr/>
            </w:pPr>
            <w:r>
              <w:rPr/>
              <w:t> </w:t>
            </w:r>
          </w:p>
        </w:tc>
        <w:tc>
          <w:tcPr>
            <w:tcW w:w="13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1,462,125</w:t>
            </w:r>
          </w:p>
        </w:tc>
        <w:tc>
          <w:tcPr>
            <w:tcW w:w="935"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t>The accompanying notes are an integral part of these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lineRule="auto" w:line="288" w:before="0" w:after="0"/>
        <w:rPr>
          <w:rFonts w:ascii="inherit" w:hAnsi="inherit"/>
          <w:sz w:val="17"/>
        </w:rPr>
      </w:pPr>
      <w:r>
        <w:rPr>
          <w:rFonts w:ascii="inherit" w:hAnsi="inherit"/>
          <w:sz w:val="17"/>
        </w:rPr>
      </w:r>
      <w:bookmarkStart w:id="9" w:name="s95B2C5C0CC7A561E8DB1BA4E6E41DE31"/>
      <w:bookmarkStart w:id="10" w:name="s95B2C5C0CC7A561E8DB1BA4E6E41DE31"/>
      <w:bookmarkEnd w:id="10"/>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 xml:space="preserve">WESTLAKE CHEMICAL PARTNERS LP </w:t>
      </w:r>
    </w:p>
    <w:p>
      <w:pPr>
        <w:pStyle w:val="TextBody"/>
        <w:spacing w:lineRule="auto" w:line="288" w:before="0" w:after="0"/>
        <w:jc w:val="center"/>
        <w:rPr>
          <w:rFonts w:ascii="inherit" w:hAnsi="inherit"/>
          <w:b/>
          <w:sz w:val="17"/>
        </w:rPr>
      </w:pPr>
      <w:r>
        <w:rPr>
          <w:rFonts w:ascii="inherit" w:hAnsi="inherit"/>
          <w:b/>
          <w:sz w:val="17"/>
        </w:rPr>
        <w:t>CONSOLIDATED STATEMENTS OF OPERATIONS</w:t>
      </w:r>
    </w:p>
    <w:p>
      <w:pPr>
        <w:pStyle w:val="TextBody"/>
        <w:spacing w:lineRule="auto" w:line="288" w:before="0" w:after="0"/>
        <w:jc w:val="center"/>
        <w:rPr>
          <w:rFonts w:ascii="inherit" w:hAnsi="inherit"/>
          <w:b/>
          <w:sz w:val="17"/>
        </w:rPr>
      </w:pPr>
      <w:r>
        <w:rPr>
          <w:rFonts w:ascii="inherit" w:hAnsi="inherit"/>
          <w:b/>
          <w:sz w:val="17"/>
        </w:rPr>
        <w:t>(Unaudited)</w:t>
      </w:r>
    </w:p>
    <w:tbl>
      <w:tblPr>
        <w:tblW w:w="10205" w:type="dxa"/>
        <w:jc w:val="center"/>
        <w:tblInd w:w="0" w:type="dxa"/>
        <w:tblCellMar>
          <w:top w:w="0" w:type="dxa"/>
          <w:left w:w="0" w:type="dxa"/>
          <w:bottom w:w="0" w:type="dxa"/>
          <w:right w:w="0" w:type="dxa"/>
        </w:tblCellMar>
      </w:tblPr>
      <w:tblGrid>
        <w:gridCol w:w="5921"/>
        <w:gridCol w:w="90"/>
        <w:gridCol w:w="283"/>
        <w:gridCol w:w="1269"/>
        <w:gridCol w:w="200"/>
        <w:gridCol w:w="163"/>
        <w:gridCol w:w="283"/>
        <w:gridCol w:w="1269"/>
        <w:gridCol w:w="727"/>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592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21"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19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r>
      <w:tr>
        <w:trPr/>
        <w:tc>
          <w:tcPr>
            <w:tcW w:w="5921"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5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63"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r>
          </w:p>
        </w:tc>
        <w:tc>
          <w:tcPr>
            <w:tcW w:w="227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5921"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52" w:type="dxa"/>
            <w:gridSpan w:val="3"/>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ind w:left="0" w:right="0" w:firstLine="30"/>
              <w:rPr/>
            </w:pPr>
            <w:r>
              <w:rPr/>
              <w:t> </w:t>
            </w:r>
          </w:p>
        </w:tc>
        <w:tc>
          <w:tcPr>
            <w:tcW w:w="2279" w:type="dxa"/>
            <w:gridSpan w:val="3"/>
            <w:tcBorders/>
            <w:shd w:fill="auto" w:val="clear"/>
            <w:vAlign w:val="center"/>
          </w:tcPr>
          <w:p>
            <w:pPr>
              <w:pStyle w:val="TableContents"/>
              <w:spacing w:before="0" w:after="0"/>
              <w:ind w:left="0" w:right="0" w:firstLine="30"/>
              <w:rPr/>
            </w:pPr>
            <w:r>
              <w:rPr/>
              <w:t> </w:t>
            </w:r>
          </w:p>
        </w:tc>
      </w:tr>
      <w:tr>
        <w:trPr/>
        <w:tc>
          <w:tcPr>
            <w:tcW w:w="5921"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194"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(in thousands of dollars, except unit amounts and per unit data)</w:t>
            </w:r>
          </w:p>
        </w:tc>
      </w:tr>
      <w:tr>
        <w:trPr/>
        <w:tc>
          <w:tcPr>
            <w:tcW w:w="5921"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Revenue</w:t>
            </w:r>
          </w:p>
        </w:tc>
        <w:tc>
          <w:tcPr>
            <w:tcW w:w="90" w:type="dxa"/>
            <w:tcBorders/>
            <w:shd w:fill="CCEEFF" w:val="clear"/>
            <w:vAlign w:val="center"/>
          </w:tcPr>
          <w:p>
            <w:pPr>
              <w:pStyle w:val="TableContents"/>
              <w:spacing w:before="0" w:after="0"/>
              <w:ind w:left="0" w:right="0" w:firstLine="30"/>
              <w:rPr/>
            </w:pPr>
            <w:r>
              <w:rPr/>
              <w:t> </w:t>
            </w:r>
          </w:p>
        </w:tc>
        <w:tc>
          <w:tcPr>
            <w:tcW w:w="1752" w:type="dxa"/>
            <w:gridSpan w:val="3"/>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ind w:left="0" w:right="0" w:firstLine="30"/>
              <w:rPr/>
            </w:pPr>
            <w:r>
              <w:rPr/>
              <w:t> </w:t>
            </w:r>
          </w:p>
        </w:tc>
        <w:tc>
          <w:tcPr>
            <w:tcW w:w="2279" w:type="dxa"/>
            <w:gridSpan w:val="3"/>
            <w:tcBorders/>
            <w:shd w:fill="CCEEFF" w:val="clear"/>
            <w:vAlign w:val="center"/>
          </w:tcPr>
          <w:p>
            <w:pPr>
              <w:pStyle w:val="TableContents"/>
              <w:spacing w:before="0" w:after="0"/>
              <w:ind w:left="0" w:right="0" w:firstLine="300"/>
              <w:rPr/>
            </w:pPr>
            <w:r>
              <w:rPr/>
              <w:t> </w:t>
            </w:r>
          </w:p>
        </w:tc>
      </w:tr>
      <w:tr>
        <w:trPr/>
        <w:tc>
          <w:tcPr>
            <w:tcW w:w="59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sales—Westlake</w:t>
            </w:r>
          </w:p>
        </w:tc>
        <w:tc>
          <w:tcPr>
            <w:tcW w:w="90" w:type="dxa"/>
            <w:tcBorders/>
            <w:shd w:fill="auto" w:val="clear"/>
            <w:vAlign w:val="center"/>
          </w:tcPr>
          <w:p>
            <w:pPr>
              <w:pStyle w:val="TableContents"/>
              <w:spacing w:before="0" w:after="0"/>
              <w:ind w:left="0" w:right="0" w:firstLine="30"/>
              <w:rPr/>
            </w:pPr>
            <w:r>
              <w:rPr/>
              <w:t> </w:t>
            </w:r>
          </w:p>
        </w:tc>
        <w:tc>
          <w:tcPr>
            <w:tcW w:w="2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69" w:type="dxa"/>
            <w:tcBorders/>
            <w:shd w:fill="auto" w:val="clear"/>
            <w:vAlign w:val="center"/>
          </w:tcPr>
          <w:p>
            <w:pPr>
              <w:pStyle w:val="TableContents"/>
              <w:spacing w:before="0" w:after="0"/>
              <w:jc w:val="right"/>
              <w:rPr>
                <w:rFonts w:ascii="inherit" w:hAnsi="inherit"/>
                <w:sz w:val="17"/>
              </w:rPr>
            </w:pPr>
            <w:r>
              <w:rPr>
                <w:rFonts w:ascii="inherit" w:hAnsi="inherit"/>
                <w:sz w:val="17"/>
              </w:rPr>
              <w:t>257,040</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3" w:type="dxa"/>
            <w:tcBorders/>
            <w:shd w:fill="auto" w:val="clear"/>
            <w:vAlign w:val="center"/>
          </w:tcPr>
          <w:p>
            <w:pPr>
              <w:pStyle w:val="TableContents"/>
              <w:spacing w:before="0" w:after="0"/>
              <w:ind w:left="0" w:right="0" w:firstLine="30"/>
              <w:rPr/>
            </w:pPr>
            <w:r>
              <w:rPr/>
              <w:t> </w:t>
            </w:r>
          </w:p>
        </w:tc>
        <w:tc>
          <w:tcPr>
            <w:tcW w:w="2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69" w:type="dxa"/>
            <w:tcBorders/>
            <w:shd w:fill="auto" w:val="clear"/>
            <w:vAlign w:val="center"/>
          </w:tcPr>
          <w:p>
            <w:pPr>
              <w:pStyle w:val="TableContents"/>
              <w:spacing w:before="0" w:after="0"/>
              <w:jc w:val="right"/>
              <w:rPr>
                <w:rFonts w:ascii="inherit" w:hAnsi="inherit"/>
                <w:sz w:val="17"/>
              </w:rPr>
            </w:pPr>
            <w:r>
              <w:rPr>
                <w:rFonts w:ascii="inherit" w:hAnsi="inherit"/>
                <w:sz w:val="17"/>
              </w:rPr>
              <w:t>235,031</w:t>
            </w:r>
          </w:p>
        </w:tc>
        <w:tc>
          <w:tcPr>
            <w:tcW w:w="72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9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co-product, ethylene and other sales—third parties</w:t>
            </w:r>
          </w:p>
        </w:tc>
        <w:tc>
          <w:tcPr>
            <w:tcW w:w="90" w:type="dxa"/>
            <w:tcBorders/>
            <w:shd w:fill="CCEEFF" w:val="clear"/>
            <w:vAlign w:val="center"/>
          </w:tcPr>
          <w:p>
            <w:pPr>
              <w:pStyle w:val="TableContents"/>
              <w:spacing w:before="0" w:after="0"/>
              <w:ind w:left="0" w:right="0" w:firstLine="30"/>
              <w:rPr/>
            </w:pPr>
            <w:r>
              <w:rPr/>
              <w:t> </w:t>
            </w:r>
          </w:p>
        </w:tc>
        <w:tc>
          <w:tcPr>
            <w:tcW w:w="155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42,046</w:t>
            </w:r>
          </w:p>
        </w:tc>
        <w:tc>
          <w:tcPr>
            <w:tcW w:w="2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3" w:type="dxa"/>
            <w:tcBorders/>
            <w:shd w:fill="CCEEFF" w:val="clear"/>
            <w:vAlign w:val="center"/>
          </w:tcPr>
          <w:p>
            <w:pPr>
              <w:pStyle w:val="TableContents"/>
              <w:spacing w:before="0" w:after="0"/>
              <w:ind w:left="0" w:right="0" w:firstLine="30"/>
              <w:rPr/>
            </w:pPr>
            <w:r>
              <w:rPr/>
              <w:t> </w:t>
            </w:r>
          </w:p>
        </w:tc>
        <w:tc>
          <w:tcPr>
            <w:tcW w:w="155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49,241</w:t>
            </w:r>
          </w:p>
        </w:tc>
        <w:tc>
          <w:tcPr>
            <w:tcW w:w="72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0" w:type="dxa"/>
            <w:tcBorders/>
            <w:shd w:fill="auto" w:val="clear"/>
            <w:vAlign w:val="center"/>
          </w:tcPr>
          <w:p>
            <w:pPr>
              <w:pStyle w:val="TableContents"/>
              <w:spacing w:before="0" w:after="0"/>
              <w:ind w:left="0" w:right="0" w:firstLine="30"/>
              <w:rPr/>
            </w:pPr>
            <w:r>
              <w:rPr/>
              <w:t> </w:t>
            </w:r>
          </w:p>
        </w:tc>
        <w:tc>
          <w:tcPr>
            <w:tcW w:w="155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299,086</w:t>
            </w:r>
          </w:p>
        </w:tc>
        <w:tc>
          <w:tcPr>
            <w:tcW w:w="20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3" w:type="dxa"/>
            <w:tcBorders/>
            <w:shd w:fill="auto" w:val="clear"/>
            <w:vAlign w:val="center"/>
          </w:tcPr>
          <w:p>
            <w:pPr>
              <w:pStyle w:val="TableContents"/>
              <w:spacing w:before="0" w:after="0"/>
              <w:ind w:left="0" w:right="0" w:firstLine="30"/>
              <w:rPr/>
            </w:pPr>
            <w:r>
              <w:rPr/>
              <w:t> </w:t>
            </w:r>
          </w:p>
        </w:tc>
        <w:tc>
          <w:tcPr>
            <w:tcW w:w="155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284,272</w:t>
            </w:r>
          </w:p>
        </w:tc>
        <w:tc>
          <w:tcPr>
            <w:tcW w:w="72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sales</w:t>
            </w:r>
          </w:p>
        </w:tc>
        <w:tc>
          <w:tcPr>
            <w:tcW w:w="90" w:type="dxa"/>
            <w:tcBorders/>
            <w:shd w:fill="CCEEFF" w:val="clear"/>
            <w:vAlign w:val="center"/>
          </w:tcPr>
          <w:p>
            <w:pPr>
              <w:pStyle w:val="TableContents"/>
              <w:spacing w:before="0" w:after="0"/>
              <w:ind w:left="0" w:right="0" w:firstLine="30"/>
              <w:rPr/>
            </w:pPr>
            <w:r>
              <w:rPr/>
              <w:t> </w:t>
            </w:r>
          </w:p>
        </w:tc>
        <w:tc>
          <w:tcPr>
            <w:tcW w:w="155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208,432</w:t>
            </w:r>
          </w:p>
        </w:tc>
        <w:tc>
          <w:tcPr>
            <w:tcW w:w="2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3" w:type="dxa"/>
            <w:tcBorders/>
            <w:shd w:fill="CCEEFF" w:val="clear"/>
            <w:vAlign w:val="center"/>
          </w:tcPr>
          <w:p>
            <w:pPr>
              <w:pStyle w:val="TableContents"/>
              <w:spacing w:before="0" w:after="0"/>
              <w:ind w:left="0" w:right="0" w:firstLine="30"/>
              <w:rPr/>
            </w:pPr>
            <w:r>
              <w:rPr/>
              <w:t> </w:t>
            </w:r>
          </w:p>
        </w:tc>
        <w:tc>
          <w:tcPr>
            <w:tcW w:w="155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191,767</w:t>
            </w:r>
          </w:p>
        </w:tc>
        <w:tc>
          <w:tcPr>
            <w:tcW w:w="72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90" w:type="dxa"/>
            <w:tcBorders/>
            <w:shd w:fill="auto" w:val="clear"/>
            <w:vAlign w:val="center"/>
          </w:tcPr>
          <w:p>
            <w:pPr>
              <w:pStyle w:val="TableContents"/>
              <w:spacing w:before="0" w:after="0"/>
              <w:ind w:left="0" w:right="0" w:firstLine="30"/>
              <w:rPr/>
            </w:pPr>
            <w:r>
              <w:rPr/>
              <w:t> </w:t>
            </w:r>
          </w:p>
        </w:tc>
        <w:tc>
          <w:tcPr>
            <w:tcW w:w="15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90,654</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3" w:type="dxa"/>
            <w:tcBorders/>
            <w:shd w:fill="auto" w:val="clear"/>
            <w:vAlign w:val="center"/>
          </w:tcPr>
          <w:p>
            <w:pPr>
              <w:pStyle w:val="TableContents"/>
              <w:spacing w:before="0" w:after="0"/>
              <w:ind w:left="0" w:right="0" w:firstLine="30"/>
              <w:rPr/>
            </w:pPr>
            <w:r>
              <w:rPr/>
              <w:t> </w:t>
            </w:r>
          </w:p>
        </w:tc>
        <w:tc>
          <w:tcPr>
            <w:tcW w:w="15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92,505</w:t>
            </w:r>
          </w:p>
        </w:tc>
        <w:tc>
          <w:tcPr>
            <w:tcW w:w="7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Selling, general and administrative expenses</w:t>
            </w:r>
          </w:p>
        </w:tc>
        <w:tc>
          <w:tcPr>
            <w:tcW w:w="90" w:type="dxa"/>
            <w:tcBorders/>
            <w:shd w:fill="CCEEFF" w:val="clear"/>
            <w:vAlign w:val="center"/>
          </w:tcPr>
          <w:p>
            <w:pPr>
              <w:pStyle w:val="TableContents"/>
              <w:spacing w:before="0" w:after="0"/>
              <w:ind w:left="0" w:right="0" w:firstLine="30"/>
              <w:rPr/>
            </w:pPr>
            <w:r>
              <w:rPr/>
              <w:t> </w:t>
            </w:r>
          </w:p>
        </w:tc>
        <w:tc>
          <w:tcPr>
            <w:tcW w:w="155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6,973</w:t>
            </w:r>
          </w:p>
        </w:tc>
        <w:tc>
          <w:tcPr>
            <w:tcW w:w="2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3" w:type="dxa"/>
            <w:tcBorders/>
            <w:shd w:fill="CCEEFF" w:val="clear"/>
            <w:vAlign w:val="center"/>
          </w:tcPr>
          <w:p>
            <w:pPr>
              <w:pStyle w:val="TableContents"/>
              <w:spacing w:before="0" w:after="0"/>
              <w:ind w:left="0" w:right="0" w:firstLine="30"/>
              <w:rPr/>
            </w:pPr>
            <w:r>
              <w:rPr/>
              <w:t> </w:t>
            </w:r>
          </w:p>
        </w:tc>
        <w:tc>
          <w:tcPr>
            <w:tcW w:w="155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7,133</w:t>
            </w:r>
          </w:p>
        </w:tc>
        <w:tc>
          <w:tcPr>
            <w:tcW w:w="72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operations</w:t>
            </w:r>
          </w:p>
        </w:tc>
        <w:tc>
          <w:tcPr>
            <w:tcW w:w="90" w:type="dxa"/>
            <w:tcBorders/>
            <w:shd w:fill="auto" w:val="clear"/>
            <w:vAlign w:val="center"/>
          </w:tcPr>
          <w:p>
            <w:pPr>
              <w:pStyle w:val="TableContents"/>
              <w:spacing w:before="0" w:after="0"/>
              <w:ind w:left="0" w:right="0" w:firstLine="30"/>
              <w:rPr/>
            </w:pPr>
            <w:r>
              <w:rPr/>
              <w:t> </w:t>
            </w:r>
          </w:p>
        </w:tc>
        <w:tc>
          <w:tcPr>
            <w:tcW w:w="15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83,681</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3" w:type="dxa"/>
            <w:tcBorders/>
            <w:shd w:fill="auto" w:val="clear"/>
            <w:vAlign w:val="center"/>
          </w:tcPr>
          <w:p>
            <w:pPr>
              <w:pStyle w:val="TableContents"/>
              <w:spacing w:before="0" w:after="0"/>
              <w:ind w:left="0" w:right="0" w:firstLine="30"/>
              <w:rPr/>
            </w:pPr>
            <w:r>
              <w:rPr/>
              <w:t> </w:t>
            </w:r>
          </w:p>
        </w:tc>
        <w:tc>
          <w:tcPr>
            <w:tcW w:w="15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85,372</w:t>
            </w:r>
          </w:p>
        </w:tc>
        <w:tc>
          <w:tcPr>
            <w:tcW w:w="7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1"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Other income (expense)</w:t>
            </w:r>
          </w:p>
        </w:tc>
        <w:tc>
          <w:tcPr>
            <w:tcW w:w="90" w:type="dxa"/>
            <w:tcBorders/>
            <w:shd w:fill="CCEEFF" w:val="clear"/>
            <w:vAlign w:val="center"/>
          </w:tcPr>
          <w:p>
            <w:pPr>
              <w:pStyle w:val="TableContents"/>
              <w:spacing w:before="0" w:after="0"/>
              <w:ind w:left="0" w:right="0" w:firstLine="30"/>
              <w:rPr/>
            </w:pPr>
            <w:r>
              <w:rPr/>
              <w:t> </w:t>
            </w:r>
          </w:p>
        </w:tc>
        <w:tc>
          <w:tcPr>
            <w:tcW w:w="1752" w:type="dxa"/>
            <w:gridSpan w:val="3"/>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ind w:left="0" w:right="0" w:firstLine="30"/>
              <w:rPr/>
            </w:pPr>
            <w:r>
              <w:rPr/>
              <w:t> </w:t>
            </w:r>
          </w:p>
        </w:tc>
        <w:tc>
          <w:tcPr>
            <w:tcW w:w="2279" w:type="dxa"/>
            <w:gridSpan w:val="3"/>
            <w:tcBorders/>
            <w:shd w:fill="CCEEFF" w:val="clear"/>
            <w:vAlign w:val="center"/>
          </w:tcPr>
          <w:p>
            <w:pPr>
              <w:pStyle w:val="TableContents"/>
              <w:spacing w:before="0" w:after="0"/>
              <w:ind w:left="0" w:right="0" w:firstLine="300"/>
              <w:rPr/>
            </w:pPr>
            <w:r>
              <w:rPr/>
              <w:t> </w:t>
            </w:r>
          </w:p>
        </w:tc>
      </w:tr>
      <w:tr>
        <w:trPr/>
        <w:tc>
          <w:tcPr>
            <w:tcW w:w="59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expense—Westlake</w:t>
            </w:r>
          </w:p>
        </w:tc>
        <w:tc>
          <w:tcPr>
            <w:tcW w:w="90" w:type="dxa"/>
            <w:tcBorders/>
            <w:shd w:fill="auto" w:val="clear"/>
            <w:vAlign w:val="center"/>
          </w:tcPr>
          <w:p>
            <w:pPr>
              <w:pStyle w:val="TableContents"/>
              <w:spacing w:before="0" w:after="0"/>
              <w:ind w:left="0" w:right="0" w:firstLine="30"/>
              <w:rPr/>
            </w:pPr>
            <w:r>
              <w:rPr/>
              <w:t> </w:t>
            </w:r>
          </w:p>
        </w:tc>
        <w:tc>
          <w:tcPr>
            <w:tcW w:w="15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(5,900</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63" w:type="dxa"/>
            <w:tcBorders/>
            <w:shd w:fill="auto" w:val="clear"/>
            <w:vAlign w:val="center"/>
          </w:tcPr>
          <w:p>
            <w:pPr>
              <w:pStyle w:val="TableContents"/>
              <w:spacing w:before="0" w:after="0"/>
              <w:ind w:left="0" w:right="0" w:firstLine="30"/>
              <w:rPr/>
            </w:pPr>
            <w:r>
              <w:rPr/>
              <w:t> </w:t>
            </w:r>
          </w:p>
        </w:tc>
        <w:tc>
          <w:tcPr>
            <w:tcW w:w="15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(4,866</w:t>
            </w:r>
          </w:p>
        </w:tc>
        <w:tc>
          <w:tcPr>
            <w:tcW w:w="72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9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 net</w:t>
            </w:r>
          </w:p>
        </w:tc>
        <w:tc>
          <w:tcPr>
            <w:tcW w:w="90" w:type="dxa"/>
            <w:tcBorders/>
            <w:shd w:fill="CCEEFF" w:val="clear"/>
            <w:vAlign w:val="center"/>
          </w:tcPr>
          <w:p>
            <w:pPr>
              <w:pStyle w:val="TableContents"/>
              <w:spacing w:before="0" w:after="0"/>
              <w:ind w:left="0" w:right="0" w:firstLine="30"/>
              <w:rPr/>
            </w:pPr>
            <w:r>
              <w:rPr/>
              <w:t> </w:t>
            </w:r>
          </w:p>
        </w:tc>
        <w:tc>
          <w:tcPr>
            <w:tcW w:w="155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815</w:t>
            </w:r>
          </w:p>
        </w:tc>
        <w:tc>
          <w:tcPr>
            <w:tcW w:w="2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3" w:type="dxa"/>
            <w:tcBorders/>
            <w:shd w:fill="CCEEFF" w:val="clear"/>
            <w:vAlign w:val="center"/>
          </w:tcPr>
          <w:p>
            <w:pPr>
              <w:pStyle w:val="TableContents"/>
              <w:spacing w:before="0" w:after="0"/>
              <w:ind w:left="0" w:right="0" w:firstLine="30"/>
              <w:rPr/>
            </w:pPr>
            <w:r>
              <w:rPr/>
              <w:t> </w:t>
            </w:r>
          </w:p>
        </w:tc>
        <w:tc>
          <w:tcPr>
            <w:tcW w:w="155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491</w:t>
            </w:r>
          </w:p>
        </w:tc>
        <w:tc>
          <w:tcPr>
            <w:tcW w:w="72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income taxes</w:t>
            </w:r>
          </w:p>
        </w:tc>
        <w:tc>
          <w:tcPr>
            <w:tcW w:w="90" w:type="dxa"/>
            <w:tcBorders/>
            <w:shd w:fill="auto" w:val="clear"/>
            <w:vAlign w:val="center"/>
          </w:tcPr>
          <w:p>
            <w:pPr>
              <w:pStyle w:val="TableContents"/>
              <w:spacing w:before="0" w:after="0"/>
              <w:ind w:left="0" w:right="0" w:firstLine="30"/>
              <w:rPr/>
            </w:pPr>
            <w:r>
              <w:rPr/>
              <w:t> </w:t>
            </w:r>
          </w:p>
        </w:tc>
        <w:tc>
          <w:tcPr>
            <w:tcW w:w="15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78,596</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3" w:type="dxa"/>
            <w:tcBorders/>
            <w:shd w:fill="auto" w:val="clear"/>
            <w:vAlign w:val="center"/>
          </w:tcPr>
          <w:p>
            <w:pPr>
              <w:pStyle w:val="TableContents"/>
              <w:spacing w:before="0" w:after="0"/>
              <w:ind w:left="0" w:right="0" w:firstLine="30"/>
              <w:rPr/>
            </w:pPr>
            <w:r>
              <w:rPr/>
              <w:t> </w:t>
            </w:r>
          </w:p>
        </w:tc>
        <w:tc>
          <w:tcPr>
            <w:tcW w:w="15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80,997</w:t>
            </w:r>
          </w:p>
        </w:tc>
        <w:tc>
          <w:tcPr>
            <w:tcW w:w="72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9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provision</w:t>
            </w:r>
          </w:p>
        </w:tc>
        <w:tc>
          <w:tcPr>
            <w:tcW w:w="90" w:type="dxa"/>
            <w:tcBorders/>
            <w:shd w:fill="CCEEFF" w:val="clear"/>
            <w:vAlign w:val="center"/>
          </w:tcPr>
          <w:p>
            <w:pPr>
              <w:pStyle w:val="TableContents"/>
              <w:spacing w:before="0" w:after="0"/>
              <w:ind w:left="0" w:right="0" w:firstLine="30"/>
              <w:rPr/>
            </w:pPr>
            <w:r>
              <w:rPr/>
              <w:t> </w:t>
            </w:r>
          </w:p>
        </w:tc>
        <w:tc>
          <w:tcPr>
            <w:tcW w:w="155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200</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3" w:type="dxa"/>
            <w:tcBorders/>
            <w:shd w:fill="CCEEFF" w:val="clear"/>
            <w:vAlign w:val="center"/>
          </w:tcPr>
          <w:p>
            <w:pPr>
              <w:pStyle w:val="TableContents"/>
              <w:spacing w:before="0" w:after="0"/>
              <w:ind w:left="0" w:right="0" w:firstLine="30"/>
              <w:rPr/>
            </w:pPr>
            <w:r>
              <w:rPr/>
              <w:t> </w:t>
            </w:r>
          </w:p>
        </w:tc>
        <w:tc>
          <w:tcPr>
            <w:tcW w:w="155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283</w:t>
            </w:r>
          </w:p>
        </w:tc>
        <w:tc>
          <w:tcPr>
            <w:tcW w:w="72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0" w:type="dxa"/>
            <w:tcBorders/>
            <w:shd w:fill="auto" w:val="clear"/>
            <w:vAlign w:val="center"/>
          </w:tcPr>
          <w:p>
            <w:pPr>
              <w:pStyle w:val="TableContents"/>
              <w:spacing w:before="0" w:after="0"/>
              <w:ind w:left="0" w:right="0" w:firstLine="30"/>
              <w:rPr/>
            </w:pPr>
            <w:r>
              <w:rPr/>
              <w:t> </w:t>
            </w:r>
          </w:p>
        </w:tc>
        <w:tc>
          <w:tcPr>
            <w:tcW w:w="155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78,396</w:t>
            </w:r>
          </w:p>
        </w:tc>
        <w:tc>
          <w:tcPr>
            <w:tcW w:w="20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3" w:type="dxa"/>
            <w:tcBorders/>
            <w:shd w:fill="auto" w:val="clear"/>
            <w:vAlign w:val="center"/>
          </w:tcPr>
          <w:p>
            <w:pPr>
              <w:pStyle w:val="TableContents"/>
              <w:spacing w:before="0" w:after="0"/>
              <w:ind w:left="0" w:right="0" w:firstLine="30"/>
              <w:rPr/>
            </w:pPr>
            <w:r>
              <w:rPr/>
              <w:t> </w:t>
            </w:r>
          </w:p>
        </w:tc>
        <w:tc>
          <w:tcPr>
            <w:tcW w:w="155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80,714</w:t>
            </w:r>
          </w:p>
        </w:tc>
        <w:tc>
          <w:tcPr>
            <w:tcW w:w="727" w:type="dxa"/>
            <w:tcBorders>
              <w:top w:val="single" w:sz="2" w:space="0" w:color="000000"/>
            </w:tcBorders>
            <w:shd w:fill="auto" w:val="clear"/>
            <w:tcMar>
              <w:top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9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Less: Net income attributable to noncontrolling interest in OpCo</w:t>
            </w:r>
          </w:p>
        </w:tc>
        <w:tc>
          <w:tcPr>
            <w:tcW w:w="90" w:type="dxa"/>
            <w:tcBorders/>
            <w:shd w:fill="CCEEFF" w:val="clear"/>
            <w:vAlign w:val="center"/>
          </w:tcPr>
          <w:p>
            <w:pPr>
              <w:pStyle w:val="TableContents"/>
              <w:spacing w:before="0" w:after="0"/>
              <w:ind w:left="0" w:right="0" w:firstLine="30"/>
              <w:rPr/>
            </w:pPr>
            <w:r>
              <w:rPr/>
              <w:t> </w:t>
            </w:r>
          </w:p>
        </w:tc>
        <w:tc>
          <w:tcPr>
            <w:tcW w:w="155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63,441</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3" w:type="dxa"/>
            <w:tcBorders/>
            <w:shd w:fill="CCEEFF" w:val="clear"/>
            <w:vAlign w:val="center"/>
          </w:tcPr>
          <w:p>
            <w:pPr>
              <w:pStyle w:val="TableContents"/>
              <w:spacing w:before="0" w:after="0"/>
              <w:ind w:left="0" w:right="0" w:firstLine="30"/>
              <w:rPr/>
            </w:pPr>
            <w:r>
              <w:rPr/>
              <w:t> </w:t>
            </w:r>
          </w:p>
        </w:tc>
        <w:tc>
          <w:tcPr>
            <w:tcW w:w="155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68,419</w:t>
            </w:r>
          </w:p>
        </w:tc>
        <w:tc>
          <w:tcPr>
            <w:tcW w:w="72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1"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Net income attributable to Westlake Chemical Partners LP</w:t>
            </w:r>
          </w:p>
        </w:tc>
        <w:tc>
          <w:tcPr>
            <w:tcW w:w="90" w:type="dxa"/>
            <w:tcBorders/>
            <w:shd w:fill="auto" w:val="clear"/>
            <w:vAlign w:val="center"/>
          </w:tcPr>
          <w:p>
            <w:pPr>
              <w:pStyle w:val="TableContents"/>
              <w:spacing w:before="0" w:after="0"/>
              <w:ind w:left="0" w:right="0" w:firstLine="30"/>
              <w:rPr/>
            </w:pPr>
            <w:r>
              <w:rPr/>
              <w:t> </w:t>
            </w:r>
          </w:p>
        </w:tc>
        <w:tc>
          <w:tcPr>
            <w:tcW w:w="28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26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14,955</w:t>
            </w:r>
          </w:p>
        </w:tc>
        <w:tc>
          <w:tcPr>
            <w:tcW w:w="20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3" w:type="dxa"/>
            <w:tcBorders/>
            <w:shd w:fill="auto" w:val="clear"/>
            <w:vAlign w:val="center"/>
          </w:tcPr>
          <w:p>
            <w:pPr>
              <w:pStyle w:val="TableContents"/>
              <w:spacing w:before="0" w:after="0"/>
              <w:ind w:left="0" w:right="0" w:firstLine="30"/>
              <w:rPr/>
            </w:pPr>
            <w:r>
              <w:rPr/>
              <w:t> </w:t>
            </w:r>
          </w:p>
        </w:tc>
        <w:tc>
          <w:tcPr>
            <w:tcW w:w="28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26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12,295</w:t>
            </w:r>
          </w:p>
        </w:tc>
        <w:tc>
          <w:tcPr>
            <w:tcW w:w="72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1" w:type="dxa"/>
            <w:tcBorders/>
            <w:shd w:fill="CCEEFF" w:val="clear"/>
            <w:vAlign w:val="center"/>
          </w:tcPr>
          <w:p>
            <w:pPr>
              <w:pStyle w:val="TableContents"/>
              <w:spacing w:before="0" w:after="0"/>
              <w:rPr>
                <w:rFonts w:ascii="inherit" w:hAnsi="inherit"/>
                <w:sz w:val="17"/>
              </w:rPr>
            </w:pPr>
            <w:r>
              <w:rPr>
                <w:rFonts w:ascii="inherit" w:hAnsi="inherit"/>
                <w:sz w:val="17"/>
              </w:rPr>
              <w:t xml:space="preserve">Net income per limited partner unit attributable to Westlake Chemical Partners LP (basic </w:t>
            </w:r>
          </w:p>
          <w:p>
            <w:pPr>
              <w:pStyle w:val="TableContents"/>
              <w:spacing w:before="0" w:after="0"/>
              <w:ind w:left="0" w:right="0" w:firstLine="30"/>
              <w:rPr/>
            </w:pPr>
            <w:r>
              <w:rPr/>
              <w:t>   </w:t>
            </w:r>
            <w:r>
              <w:rPr>
                <w:rFonts w:ascii="inherit" w:hAnsi="inherit"/>
                <w:sz w:val="17"/>
              </w:rPr>
              <w:t>and diluted)</w:t>
            </w:r>
          </w:p>
        </w:tc>
        <w:tc>
          <w:tcPr>
            <w:tcW w:w="90" w:type="dxa"/>
            <w:tcBorders/>
            <w:shd w:fill="CCEEFF" w:val="clear"/>
            <w:vAlign w:val="center"/>
          </w:tcPr>
          <w:p>
            <w:pPr>
              <w:pStyle w:val="TableContents"/>
              <w:spacing w:before="0" w:after="0"/>
              <w:ind w:left="0" w:right="0" w:firstLine="30"/>
              <w:rPr/>
            </w:pPr>
            <w:r>
              <w:rPr/>
              <w:t> </w:t>
            </w:r>
          </w:p>
        </w:tc>
        <w:tc>
          <w:tcPr>
            <w:tcW w:w="1752" w:type="dxa"/>
            <w:gridSpan w:val="3"/>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ind w:left="0" w:right="0" w:firstLine="30"/>
              <w:rPr/>
            </w:pPr>
            <w:r>
              <w:rPr/>
              <w:t> </w:t>
            </w:r>
          </w:p>
        </w:tc>
        <w:tc>
          <w:tcPr>
            <w:tcW w:w="2279" w:type="dxa"/>
            <w:gridSpan w:val="3"/>
            <w:tcBorders/>
            <w:shd w:fill="CCEEFF" w:val="clear"/>
            <w:vAlign w:val="center"/>
          </w:tcPr>
          <w:p>
            <w:pPr>
              <w:pStyle w:val="TableContents"/>
              <w:spacing w:before="0" w:after="0"/>
              <w:ind w:left="0" w:right="0" w:firstLine="300"/>
              <w:rPr/>
            </w:pPr>
            <w:r>
              <w:rPr/>
              <w:t> </w:t>
            </w:r>
          </w:p>
        </w:tc>
      </w:tr>
      <w:tr>
        <w:trPr/>
        <w:tc>
          <w:tcPr>
            <w:tcW w:w="59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Common units</w:t>
            </w:r>
          </w:p>
        </w:tc>
        <w:tc>
          <w:tcPr>
            <w:tcW w:w="90" w:type="dxa"/>
            <w:tcBorders/>
            <w:shd w:fill="auto" w:val="clear"/>
            <w:vAlign w:val="center"/>
          </w:tcPr>
          <w:p>
            <w:pPr>
              <w:pStyle w:val="TableContents"/>
              <w:spacing w:before="0" w:after="0"/>
              <w:ind w:left="0" w:right="0" w:firstLine="30"/>
              <w:rPr/>
            </w:pPr>
            <w:r>
              <w:rPr/>
              <w:t> </w:t>
            </w:r>
          </w:p>
        </w:tc>
        <w:tc>
          <w:tcPr>
            <w:tcW w:w="2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69" w:type="dxa"/>
            <w:tcBorders/>
            <w:shd w:fill="auto" w:val="clear"/>
            <w:vAlign w:val="center"/>
          </w:tcPr>
          <w:p>
            <w:pPr>
              <w:pStyle w:val="TableContents"/>
              <w:spacing w:before="0" w:after="0"/>
              <w:jc w:val="right"/>
              <w:rPr>
                <w:rFonts w:ascii="inherit" w:hAnsi="inherit"/>
                <w:sz w:val="17"/>
              </w:rPr>
            </w:pPr>
            <w:r>
              <w:rPr>
                <w:rFonts w:ascii="inherit" w:hAnsi="inherit"/>
                <w:sz w:val="17"/>
              </w:rPr>
              <w:t>0.46</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3" w:type="dxa"/>
            <w:tcBorders/>
            <w:shd w:fill="auto" w:val="clear"/>
            <w:vAlign w:val="center"/>
          </w:tcPr>
          <w:p>
            <w:pPr>
              <w:pStyle w:val="TableContents"/>
              <w:spacing w:before="0" w:after="0"/>
              <w:ind w:left="0" w:right="0" w:firstLine="30"/>
              <w:rPr/>
            </w:pPr>
            <w:r>
              <w:rPr/>
              <w:t> </w:t>
            </w:r>
          </w:p>
        </w:tc>
        <w:tc>
          <w:tcPr>
            <w:tcW w:w="2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69" w:type="dxa"/>
            <w:tcBorders/>
            <w:shd w:fill="auto" w:val="clear"/>
            <w:vAlign w:val="center"/>
          </w:tcPr>
          <w:p>
            <w:pPr>
              <w:pStyle w:val="TableContents"/>
              <w:spacing w:before="0" w:after="0"/>
              <w:jc w:val="right"/>
              <w:rPr>
                <w:rFonts w:ascii="inherit" w:hAnsi="inherit"/>
                <w:sz w:val="17"/>
              </w:rPr>
            </w:pPr>
            <w:r>
              <w:rPr>
                <w:rFonts w:ascii="inherit" w:hAnsi="inherit"/>
                <w:sz w:val="17"/>
              </w:rPr>
              <w:t>0.36</w:t>
            </w:r>
          </w:p>
        </w:tc>
        <w:tc>
          <w:tcPr>
            <w:tcW w:w="7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limited partner units outstanding (basic and diluted)</w:t>
            </w:r>
          </w:p>
        </w:tc>
        <w:tc>
          <w:tcPr>
            <w:tcW w:w="90" w:type="dxa"/>
            <w:tcBorders/>
            <w:shd w:fill="CCEEFF" w:val="clear"/>
            <w:vAlign w:val="center"/>
          </w:tcPr>
          <w:p>
            <w:pPr>
              <w:pStyle w:val="TableContents"/>
              <w:spacing w:before="0" w:after="0"/>
              <w:ind w:left="0" w:right="0" w:firstLine="30"/>
              <w:rPr/>
            </w:pPr>
            <w:r>
              <w:rPr/>
              <w:t> </w:t>
            </w:r>
          </w:p>
        </w:tc>
        <w:tc>
          <w:tcPr>
            <w:tcW w:w="1752" w:type="dxa"/>
            <w:gridSpan w:val="3"/>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ind w:left="0" w:right="0" w:firstLine="30"/>
              <w:rPr/>
            </w:pPr>
            <w:r>
              <w:rPr/>
              <w:t> </w:t>
            </w:r>
          </w:p>
        </w:tc>
        <w:tc>
          <w:tcPr>
            <w:tcW w:w="2279" w:type="dxa"/>
            <w:gridSpan w:val="3"/>
            <w:tcBorders/>
            <w:shd w:fill="CCEEFF" w:val="clear"/>
            <w:vAlign w:val="center"/>
          </w:tcPr>
          <w:p>
            <w:pPr>
              <w:pStyle w:val="TableContents"/>
              <w:spacing w:before="0" w:after="0"/>
              <w:ind w:left="0" w:right="0" w:firstLine="300"/>
              <w:rPr/>
            </w:pPr>
            <w:r>
              <w:rPr/>
              <w:t> </w:t>
            </w:r>
          </w:p>
        </w:tc>
      </w:tr>
      <w:tr>
        <w:trPr/>
        <w:tc>
          <w:tcPr>
            <w:tcW w:w="59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Common units—publicly and privately held</w:t>
            </w:r>
          </w:p>
        </w:tc>
        <w:tc>
          <w:tcPr>
            <w:tcW w:w="90" w:type="dxa"/>
            <w:tcBorders/>
            <w:shd w:fill="auto" w:val="clear"/>
            <w:vAlign w:val="center"/>
          </w:tcPr>
          <w:p>
            <w:pPr>
              <w:pStyle w:val="TableContents"/>
              <w:spacing w:before="0" w:after="0"/>
              <w:ind w:left="0" w:right="0" w:firstLine="30"/>
              <w:rPr/>
            </w:pPr>
            <w:r>
              <w:rPr/>
              <w:t> </w:t>
            </w:r>
          </w:p>
        </w:tc>
        <w:tc>
          <w:tcPr>
            <w:tcW w:w="15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18,223,168</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3" w:type="dxa"/>
            <w:tcBorders/>
            <w:shd w:fill="auto" w:val="clear"/>
            <w:vAlign w:val="center"/>
          </w:tcPr>
          <w:p>
            <w:pPr>
              <w:pStyle w:val="TableContents"/>
              <w:spacing w:before="0" w:after="0"/>
              <w:ind w:left="0" w:right="0" w:firstLine="30"/>
              <w:rPr/>
            </w:pPr>
            <w:r>
              <w:rPr/>
              <w:t> </w:t>
            </w:r>
          </w:p>
        </w:tc>
        <w:tc>
          <w:tcPr>
            <w:tcW w:w="15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18,115,036</w:t>
            </w:r>
          </w:p>
        </w:tc>
        <w:tc>
          <w:tcPr>
            <w:tcW w:w="72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9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Common units—Westlake</w:t>
            </w:r>
          </w:p>
        </w:tc>
        <w:tc>
          <w:tcPr>
            <w:tcW w:w="90" w:type="dxa"/>
            <w:tcBorders/>
            <w:shd w:fill="CCEEFF" w:val="clear"/>
            <w:vAlign w:val="center"/>
          </w:tcPr>
          <w:p>
            <w:pPr>
              <w:pStyle w:val="TableContents"/>
              <w:spacing w:before="0" w:after="0"/>
              <w:ind w:left="0" w:right="0" w:firstLine="30"/>
              <w:rPr/>
            </w:pPr>
            <w:r>
              <w:rPr/>
              <w:t> </w:t>
            </w:r>
          </w:p>
        </w:tc>
        <w:tc>
          <w:tcPr>
            <w:tcW w:w="155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14,122,230</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3" w:type="dxa"/>
            <w:tcBorders/>
            <w:shd w:fill="CCEEFF" w:val="clear"/>
            <w:vAlign w:val="center"/>
          </w:tcPr>
          <w:p>
            <w:pPr>
              <w:pStyle w:val="TableContents"/>
              <w:spacing w:before="0" w:after="0"/>
              <w:ind w:left="0" w:right="0" w:firstLine="30"/>
              <w:rPr/>
            </w:pPr>
            <w:r>
              <w:rPr/>
              <w:t> </w:t>
            </w:r>
          </w:p>
        </w:tc>
        <w:tc>
          <w:tcPr>
            <w:tcW w:w="155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14,122,230</w:t>
            </w:r>
          </w:p>
        </w:tc>
        <w:tc>
          <w:tcPr>
            <w:tcW w:w="727"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t>The accompanying notes are an integral part of these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rPr>
          <w:rFonts w:ascii="inherit" w:hAnsi="inherit"/>
          <w:sz w:val="17"/>
        </w:rPr>
      </w:pPr>
      <w:r>
        <w:rPr>
          <w:rFonts w:ascii="inherit" w:hAnsi="inherit"/>
          <w:sz w:val="17"/>
        </w:rPr>
      </w:r>
      <w:bookmarkStart w:id="11" w:name="s6430F2876BF45EB2B5FF7BB765DF22FA"/>
      <w:bookmarkStart w:id="12" w:name="s6430F2876BF45EB2B5FF7BB765DF22FA"/>
      <w:bookmarkEnd w:id="12"/>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 xml:space="preserve">WESTLAKE CHEMICAL PARTNERS LP </w:t>
      </w:r>
    </w:p>
    <w:p>
      <w:pPr>
        <w:pStyle w:val="TextBody"/>
        <w:spacing w:lineRule="auto" w:line="288" w:before="0" w:after="0"/>
        <w:jc w:val="center"/>
        <w:rPr>
          <w:rFonts w:ascii="inherit" w:hAnsi="inherit"/>
          <w:b/>
          <w:sz w:val="17"/>
        </w:rPr>
      </w:pPr>
      <w:r>
        <w:rPr>
          <w:rFonts w:ascii="inherit" w:hAnsi="inherit"/>
          <w:b/>
          <w:sz w:val="17"/>
        </w:rPr>
        <w:t>CONSOLIDATED STATEMENTS OF CHANGES IN EQUITY</w:t>
      </w:r>
    </w:p>
    <w:p>
      <w:pPr>
        <w:pStyle w:val="TextBody"/>
        <w:spacing w:lineRule="auto" w:line="288" w:before="0" w:after="0"/>
        <w:jc w:val="center"/>
        <w:rPr>
          <w:rFonts w:ascii="inherit" w:hAnsi="inherit"/>
          <w:b/>
          <w:sz w:val="17"/>
        </w:rPr>
      </w:pPr>
      <w:r>
        <w:rPr>
          <w:rFonts w:ascii="inherit" w:hAnsi="inherit"/>
          <w:b/>
          <w:sz w:val="17"/>
        </w:rPr>
        <w:t>(Unaudited)</w:t>
      </w:r>
    </w:p>
    <w:tbl>
      <w:tblPr>
        <w:tblW w:w="10205" w:type="dxa"/>
        <w:jc w:val="center"/>
        <w:tblInd w:w="0" w:type="dxa"/>
        <w:tblCellMar>
          <w:top w:w="0" w:type="dxa"/>
          <w:left w:w="0" w:type="dxa"/>
          <w:bottom w:w="0" w:type="dxa"/>
          <w:right w:w="0" w:type="dxa"/>
        </w:tblCellMar>
      </w:tblPr>
      <w:tblGrid>
        <w:gridCol w:w="3052"/>
        <w:gridCol w:w="90"/>
        <w:gridCol w:w="170"/>
        <w:gridCol w:w="947"/>
        <w:gridCol w:w="149"/>
        <w:gridCol w:w="90"/>
        <w:gridCol w:w="165"/>
        <w:gridCol w:w="780"/>
        <w:gridCol w:w="145"/>
        <w:gridCol w:w="90"/>
        <w:gridCol w:w="125"/>
        <w:gridCol w:w="755"/>
        <w:gridCol w:w="110"/>
        <w:gridCol w:w="90"/>
        <w:gridCol w:w="307"/>
        <w:gridCol w:w="823"/>
        <w:gridCol w:w="75"/>
        <w:gridCol w:w="90"/>
        <w:gridCol w:w="149"/>
        <w:gridCol w:w="833"/>
        <w:gridCol w:w="132"/>
        <w:gridCol w:w="90"/>
        <w:gridCol w:w="125"/>
        <w:gridCol w:w="695"/>
        <w:gridCol w:w="128"/>
      </w:tblGrid>
      <w:tr>
        <w:trPr/>
        <w:tc>
          <w:tcPr>
            <w:tcW w:w="10205" w:type="dxa"/>
            <w:gridSpan w:val="25"/>
            <w:tcBorders/>
            <w:shd w:fill="auto" w:val="clear"/>
            <w:vAlign w:val="center"/>
          </w:tcPr>
          <w:p>
            <w:pPr>
              <w:pStyle w:val="TableContents"/>
              <w:spacing w:before="0" w:after="283"/>
              <w:rPr>
                <w:sz w:val="4"/>
                <w:szCs w:val="4"/>
              </w:rPr>
            </w:pPr>
            <w:r>
              <w:rPr>
                <w:sz w:val="4"/>
                <w:szCs w:val="4"/>
              </w:rPr>
            </w:r>
          </w:p>
        </w:tc>
      </w:tr>
      <w:tr>
        <w:trPr/>
        <w:tc>
          <w:tcPr>
            <w:tcW w:w="305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05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821"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i/>
                <w:sz w:val="13"/>
              </w:rPr>
            </w:pPr>
            <w:r>
              <w:rPr>
                <w:rFonts w:ascii="inherit" w:hAnsi="inherit"/>
                <w:b/>
                <w:i/>
                <w:sz w:val="13"/>
              </w:rPr>
              <w:t>Partnership</w:t>
            </w:r>
          </w:p>
        </w:tc>
        <w:tc>
          <w:tcPr>
            <w:tcW w:w="90" w:type="dxa"/>
            <w:tcBorders/>
            <w:shd w:fill="auto" w:val="clear"/>
            <w:vAlign w:val="center"/>
          </w:tcPr>
          <w:p>
            <w:pPr>
              <w:pStyle w:val="TableContents"/>
              <w:spacing w:before="0" w:after="0"/>
              <w:ind w:left="0" w:right="0" w:firstLine="30"/>
              <w:rPr/>
            </w:pPr>
            <w:r>
              <w:rPr/>
              <w:t> </w:t>
            </w:r>
          </w:p>
        </w:tc>
        <w:tc>
          <w:tcPr>
            <w:tcW w:w="111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48" w:type="dxa"/>
            <w:gridSpan w:val="3"/>
            <w:tcBorders/>
            <w:shd w:fill="auto" w:val="clear"/>
            <w:vAlign w:val="center"/>
          </w:tcPr>
          <w:p>
            <w:pPr>
              <w:pStyle w:val="TableContents"/>
              <w:spacing w:before="0" w:after="0"/>
              <w:ind w:left="0" w:right="0" w:firstLine="30"/>
              <w:rPr/>
            </w:pPr>
            <w:r>
              <w:rPr/>
              <w:t> </w:t>
            </w:r>
          </w:p>
        </w:tc>
      </w:tr>
      <w:tr>
        <w:trPr/>
        <w:tc>
          <w:tcPr>
            <w:tcW w:w="305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66" w:type="dxa"/>
            <w:gridSpan w:val="3"/>
            <w:tcBorders>
              <w:bottom w:val="single" w:sz="2" w:space="0" w:color="000000"/>
            </w:tcBorders>
            <w:shd w:fill="auto" w:val="clear"/>
            <w:tcMar>
              <w:bottom w:w="30" w:type="dxa"/>
            </w:tcMar>
            <w:vAlign w:val="center"/>
          </w:tcPr>
          <w:p>
            <w:pPr>
              <w:pStyle w:val="TableContents"/>
              <w:spacing w:before="0" w:after="0"/>
              <w:jc w:val="center"/>
              <w:rPr>
                <w:sz w:val="13"/>
              </w:rPr>
            </w:pPr>
            <w:r>
              <w:rPr>
                <w:rFonts w:ascii="inherit" w:hAnsi="inherit"/>
                <w:b/>
                <w:sz w:val="13"/>
              </w:rPr>
              <w:t>Common Unitholders</w:t>
            </w:r>
            <w:r>
              <w:rPr>
                <w:sz w:val="13"/>
              </w:rPr>
              <w:t>—</w:t>
            </w:r>
          </w:p>
          <w:p>
            <w:pPr>
              <w:pStyle w:val="TableContents"/>
              <w:spacing w:before="0" w:after="0"/>
              <w:ind w:left="0" w:right="0" w:firstLine="30"/>
              <w:jc w:val="center"/>
              <w:rPr>
                <w:rFonts w:ascii="inherit" w:hAnsi="inherit"/>
                <w:b/>
                <w:sz w:val="13"/>
              </w:rPr>
            </w:pPr>
            <w:r>
              <w:rPr>
                <w:rFonts w:ascii="inherit" w:hAnsi="inherit"/>
                <w:b/>
                <w:sz w:val="13"/>
              </w:rPr>
              <w:t>Public and Privately Held</w:t>
            </w:r>
          </w:p>
        </w:tc>
        <w:tc>
          <w:tcPr>
            <w:tcW w:w="90" w:type="dxa"/>
            <w:tcBorders/>
            <w:shd w:fill="auto" w:val="clear"/>
            <w:vAlign w:val="center"/>
          </w:tcPr>
          <w:p>
            <w:pPr>
              <w:pStyle w:val="TableContents"/>
              <w:spacing w:before="0" w:after="0"/>
              <w:ind w:left="0" w:right="0" w:firstLine="30"/>
              <w:rPr/>
            </w:pPr>
            <w:r>
              <w:rPr/>
              <w:t> </w:t>
            </w:r>
          </w:p>
        </w:tc>
        <w:tc>
          <w:tcPr>
            <w:tcW w:w="1090" w:type="dxa"/>
            <w:gridSpan w:val="3"/>
            <w:tcBorders>
              <w:bottom w:val="single" w:sz="2" w:space="0" w:color="000000"/>
            </w:tcBorders>
            <w:shd w:fill="auto" w:val="clear"/>
            <w:tcMar>
              <w:bottom w:w="30" w:type="dxa"/>
            </w:tcMar>
            <w:vAlign w:val="center"/>
          </w:tcPr>
          <w:p>
            <w:pPr>
              <w:pStyle w:val="TableContents"/>
              <w:spacing w:before="0" w:after="0"/>
              <w:jc w:val="center"/>
              <w:rPr>
                <w:sz w:val="13"/>
              </w:rPr>
            </w:pPr>
            <w:r>
              <w:rPr>
                <w:rFonts w:ascii="inherit" w:hAnsi="inherit"/>
                <w:b/>
                <w:sz w:val="13"/>
              </w:rPr>
              <w:t>Common Unitholder</w:t>
            </w:r>
            <w:r>
              <w:rPr>
                <w:sz w:val="13"/>
              </w:rPr>
              <w:t>—</w:t>
            </w:r>
          </w:p>
          <w:p>
            <w:pPr>
              <w:pStyle w:val="TableContents"/>
              <w:spacing w:before="0" w:after="0"/>
              <w:ind w:left="0" w:right="0" w:firstLine="30"/>
              <w:jc w:val="center"/>
              <w:rPr>
                <w:rFonts w:ascii="inherit" w:hAnsi="inherit"/>
                <w:b/>
                <w:sz w:val="13"/>
              </w:rPr>
            </w:pPr>
            <w:r>
              <w:rPr>
                <w:rFonts w:ascii="inherit" w:hAnsi="inherit"/>
                <w:b/>
                <w:sz w:val="13"/>
              </w:rPr>
              <w:t>Westlake</w:t>
            </w:r>
          </w:p>
        </w:tc>
        <w:tc>
          <w:tcPr>
            <w:tcW w:w="90" w:type="dxa"/>
            <w:tcBorders/>
            <w:shd w:fill="auto" w:val="clear"/>
            <w:vAlign w:val="center"/>
          </w:tcPr>
          <w:p>
            <w:pPr>
              <w:pStyle w:val="TableContents"/>
              <w:spacing w:before="0" w:after="0"/>
              <w:ind w:left="0" w:right="0" w:firstLine="30"/>
              <w:rPr/>
            </w:pPr>
            <w:r>
              <w:rPr/>
              <w:t> </w:t>
            </w:r>
          </w:p>
        </w:tc>
        <w:tc>
          <w:tcPr>
            <w:tcW w:w="99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 xml:space="preserve">General </w:t>
            </w:r>
          </w:p>
          <w:p>
            <w:pPr>
              <w:pStyle w:val="TableContents"/>
              <w:spacing w:before="0" w:after="0"/>
              <w:jc w:val="center"/>
              <w:rPr>
                <w:sz w:val="13"/>
              </w:rPr>
            </w:pPr>
            <w:r>
              <w:rPr>
                <w:rFonts w:ascii="inherit" w:hAnsi="inherit"/>
                <w:b/>
                <w:sz w:val="13"/>
              </w:rPr>
              <w:t>Partner</w:t>
            </w:r>
            <w:r>
              <w:rPr>
                <w:sz w:val="13"/>
              </w:rPr>
              <w:t>—</w:t>
            </w:r>
          </w:p>
          <w:p>
            <w:pPr>
              <w:pStyle w:val="TableContents"/>
              <w:spacing w:before="0" w:after="0"/>
              <w:ind w:left="0" w:right="0" w:firstLine="30"/>
              <w:jc w:val="center"/>
              <w:rPr>
                <w:rFonts w:ascii="inherit" w:hAnsi="inherit"/>
                <w:b/>
                <w:sz w:val="13"/>
              </w:rPr>
            </w:pPr>
            <w:r>
              <w:rPr>
                <w:rFonts w:ascii="inherit" w:hAnsi="inherit"/>
                <w:b/>
                <w:sz w:val="13"/>
              </w:rPr>
              <w:t>Westlake</w:t>
            </w:r>
          </w:p>
        </w:tc>
        <w:tc>
          <w:tcPr>
            <w:tcW w:w="90" w:type="dxa"/>
            <w:tcBorders/>
            <w:shd w:fill="auto" w:val="clear"/>
            <w:vAlign w:val="center"/>
          </w:tcPr>
          <w:p>
            <w:pPr>
              <w:pStyle w:val="TableContents"/>
              <w:spacing w:before="0" w:after="0"/>
              <w:ind w:left="0" w:right="0" w:firstLine="30"/>
              <w:rPr/>
            </w:pPr>
            <w:r>
              <w:rPr/>
              <w:t> </w:t>
            </w:r>
          </w:p>
        </w:tc>
        <w:tc>
          <w:tcPr>
            <w:tcW w:w="120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 xml:space="preserve">Accumulated </w:t>
            </w:r>
          </w:p>
          <w:p>
            <w:pPr>
              <w:pStyle w:val="TableContents"/>
              <w:spacing w:before="0" w:after="0"/>
              <w:jc w:val="center"/>
              <w:rPr>
                <w:rFonts w:ascii="inherit" w:hAnsi="inherit"/>
                <w:b/>
                <w:sz w:val="13"/>
              </w:rPr>
            </w:pPr>
            <w:r>
              <w:rPr>
                <w:rFonts w:ascii="inherit" w:hAnsi="inherit"/>
                <w:b/>
                <w:sz w:val="13"/>
              </w:rPr>
              <w:t xml:space="preserve">Other </w:t>
            </w:r>
          </w:p>
          <w:p>
            <w:pPr>
              <w:pStyle w:val="TableContents"/>
              <w:spacing w:before="0" w:after="0"/>
              <w:jc w:val="center"/>
              <w:rPr>
                <w:rFonts w:ascii="inherit" w:hAnsi="inherit"/>
                <w:b/>
                <w:sz w:val="13"/>
              </w:rPr>
            </w:pPr>
            <w:r>
              <w:rPr>
                <w:rFonts w:ascii="inherit" w:hAnsi="inherit"/>
                <w:b/>
                <w:sz w:val="13"/>
              </w:rPr>
              <w:t>Comprehensive </w:t>
            </w:r>
          </w:p>
          <w:p>
            <w:pPr>
              <w:pStyle w:val="TableContents"/>
              <w:spacing w:before="0" w:after="0"/>
              <w:ind w:left="0" w:right="0" w:firstLine="30"/>
              <w:jc w:val="center"/>
              <w:rPr>
                <w:rFonts w:ascii="inherit" w:hAnsi="inherit"/>
                <w:b/>
                <w:sz w:val="13"/>
              </w:rPr>
            </w:pPr>
            <w:r>
              <w:rPr>
                <w:rFonts w:ascii="inherit" w:hAnsi="inherit"/>
                <w:b/>
                <w:sz w:val="13"/>
              </w:rPr>
              <w:t>Income (Loss)</w:t>
            </w:r>
          </w:p>
        </w:tc>
        <w:tc>
          <w:tcPr>
            <w:tcW w:w="90" w:type="dxa"/>
            <w:tcBorders/>
            <w:shd w:fill="auto" w:val="clear"/>
            <w:vAlign w:val="center"/>
          </w:tcPr>
          <w:p>
            <w:pPr>
              <w:pStyle w:val="TableContents"/>
              <w:spacing w:before="0" w:after="0"/>
              <w:ind w:left="0" w:right="0" w:firstLine="30"/>
              <w:rPr/>
            </w:pPr>
            <w:r>
              <w:rPr/>
              <w:t> </w:t>
            </w:r>
          </w:p>
        </w:tc>
        <w:tc>
          <w:tcPr>
            <w:tcW w:w="111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 xml:space="preserve">Noncontrolling </w:t>
            </w:r>
          </w:p>
          <w:p>
            <w:pPr>
              <w:pStyle w:val="TableContents"/>
              <w:spacing w:before="0" w:after="0"/>
              <w:jc w:val="center"/>
              <w:rPr>
                <w:rFonts w:ascii="inherit" w:hAnsi="inherit"/>
                <w:b/>
                <w:sz w:val="13"/>
              </w:rPr>
            </w:pPr>
            <w:r>
              <w:rPr>
                <w:rFonts w:ascii="inherit" w:hAnsi="inherit"/>
                <w:b/>
                <w:sz w:val="13"/>
              </w:rPr>
              <w:t>Interests</w:t>
            </w:r>
          </w:p>
          <w:p>
            <w:pPr>
              <w:pStyle w:val="TableContents"/>
              <w:spacing w:before="0" w:after="0"/>
              <w:ind w:left="0" w:right="0" w:firstLine="30"/>
              <w:jc w:val="center"/>
              <w:rPr>
                <w:rFonts w:ascii="inherit" w:hAnsi="inherit"/>
                <w:b/>
                <w:sz w:val="13"/>
              </w:rPr>
            </w:pPr>
            <w:r>
              <w:rPr>
                <w:rFonts w:ascii="inherit" w:hAnsi="inherit"/>
                <w:b/>
                <w:sz w:val="13"/>
              </w:rPr>
              <w:t>in OpCo</w:t>
            </w:r>
          </w:p>
        </w:tc>
        <w:tc>
          <w:tcPr>
            <w:tcW w:w="90" w:type="dxa"/>
            <w:tcBorders/>
            <w:shd w:fill="auto" w:val="clear"/>
            <w:vAlign w:val="center"/>
          </w:tcPr>
          <w:p>
            <w:pPr>
              <w:pStyle w:val="TableContents"/>
              <w:spacing w:before="0" w:after="0"/>
              <w:ind w:left="0" w:right="0" w:firstLine="30"/>
              <w:rPr/>
            </w:pPr>
            <w:r>
              <w:rPr/>
              <w:t> </w:t>
            </w:r>
          </w:p>
        </w:tc>
        <w:tc>
          <w:tcPr>
            <w:tcW w:w="94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05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9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0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1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48" w:type="dxa"/>
            <w:gridSpan w:val="3"/>
            <w:tcBorders/>
            <w:shd w:fill="auto" w:val="clear"/>
            <w:vAlign w:val="center"/>
          </w:tcPr>
          <w:p>
            <w:pPr>
              <w:pStyle w:val="TableContents"/>
              <w:spacing w:before="0" w:after="0"/>
              <w:ind w:left="0" w:right="0" w:firstLine="30"/>
              <w:rPr/>
            </w:pPr>
            <w:r>
              <w:rPr/>
              <w:t> </w:t>
            </w:r>
          </w:p>
        </w:tc>
      </w:tr>
      <w:tr>
        <w:trPr/>
        <w:tc>
          <w:tcPr>
            <w:tcW w:w="3052" w:type="dxa"/>
            <w:tcBorders/>
            <w:shd w:fill="auto" w:val="clear"/>
            <w:vAlign w:val="center"/>
          </w:tcPr>
          <w:p>
            <w:pPr>
              <w:pStyle w:val="TableContents"/>
              <w:spacing w:before="0" w:after="0"/>
              <w:ind w:left="0" w:right="0" w:firstLine="30"/>
              <w:rPr/>
            </w:pPr>
            <w:r>
              <w:rPr/>
              <w:t> </w:t>
            </w:r>
          </w:p>
        </w:tc>
        <w:tc>
          <w:tcPr>
            <w:tcW w:w="7153" w:type="dxa"/>
            <w:gridSpan w:val="24"/>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(in thousands of dollars)</w:t>
            </w:r>
          </w:p>
        </w:tc>
      </w:tr>
      <w:tr>
        <w:trPr/>
        <w:tc>
          <w:tcPr>
            <w:tcW w:w="3052"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Balances at December 31, 2017</w:t>
            </w:r>
          </w:p>
        </w:tc>
        <w:tc>
          <w:tcPr>
            <w:tcW w:w="90" w:type="dxa"/>
            <w:tcBorders/>
            <w:shd w:fill="CCEEFF" w:val="clear"/>
            <w:vAlign w:val="center"/>
          </w:tcPr>
          <w:p>
            <w:pPr>
              <w:pStyle w:val="TableContents"/>
              <w:spacing w:before="0" w:after="0"/>
              <w:ind w:left="0" w:right="0" w:firstLine="30"/>
              <w:rPr/>
            </w:pPr>
            <w:r>
              <w:rPr/>
              <w:t> </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7" w:type="dxa"/>
            <w:tcBorders/>
            <w:shd w:fill="CCEEFF" w:val="clear"/>
            <w:vAlign w:val="center"/>
          </w:tcPr>
          <w:p>
            <w:pPr>
              <w:pStyle w:val="TableContents"/>
              <w:spacing w:before="0" w:after="0"/>
              <w:jc w:val="right"/>
              <w:rPr>
                <w:rFonts w:ascii="inherit" w:hAnsi="inherit"/>
                <w:sz w:val="17"/>
              </w:rPr>
            </w:pPr>
            <w:r>
              <w:rPr>
                <w:rFonts w:ascii="inherit" w:hAnsi="inherit"/>
                <w:sz w:val="17"/>
              </w:rPr>
              <w:t>411,228</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80" w:type="dxa"/>
            <w:tcBorders/>
            <w:shd w:fill="CCEEFF" w:val="clear"/>
            <w:vAlign w:val="center"/>
          </w:tcPr>
          <w:p>
            <w:pPr>
              <w:pStyle w:val="TableContents"/>
              <w:spacing w:before="0" w:after="0"/>
              <w:jc w:val="right"/>
              <w:rPr>
                <w:rFonts w:ascii="inherit" w:hAnsi="inherit"/>
                <w:sz w:val="17"/>
              </w:rPr>
            </w:pPr>
            <w:r>
              <w:rPr>
                <w:rFonts w:ascii="inherit" w:hAnsi="inherit"/>
                <w:sz w:val="17"/>
              </w:rPr>
              <w:t>50,265</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55" w:type="dxa"/>
            <w:tcBorders/>
            <w:shd w:fill="CCEEFF" w:val="clear"/>
            <w:vAlign w:val="center"/>
          </w:tcPr>
          <w:p>
            <w:pPr>
              <w:pStyle w:val="TableContents"/>
              <w:spacing w:before="0" w:after="0"/>
              <w:jc w:val="right"/>
              <w:rPr>
                <w:rFonts w:ascii="inherit" w:hAnsi="inherit"/>
                <w:sz w:val="17"/>
              </w:rPr>
            </w:pPr>
            <w:r>
              <w:rPr>
                <w:rFonts w:ascii="inherit" w:hAnsi="inherit"/>
                <w:sz w:val="17"/>
              </w:rPr>
              <w:t>(241,958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0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23" w:type="dxa"/>
            <w:tcBorders/>
            <w:shd w:fill="CCEEFF" w:val="clear"/>
            <w:vAlign w:val="center"/>
          </w:tcPr>
          <w:p>
            <w:pPr>
              <w:pStyle w:val="TableContents"/>
              <w:spacing w:before="0" w:after="0"/>
              <w:jc w:val="right"/>
              <w:rPr>
                <w:rFonts w:ascii="inherit" w:hAnsi="inherit"/>
                <w:sz w:val="17"/>
              </w:rPr>
            </w:pPr>
            <w:r>
              <w:rPr>
                <w:rFonts w:ascii="inherit" w:hAnsi="inherit"/>
                <w:sz w:val="17"/>
              </w:rPr>
              <w:t>279</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33" w:type="dxa"/>
            <w:tcBorders/>
            <w:shd w:fill="CCEEFF" w:val="clear"/>
            <w:vAlign w:val="center"/>
          </w:tcPr>
          <w:p>
            <w:pPr>
              <w:pStyle w:val="TableContents"/>
              <w:spacing w:before="0" w:after="0"/>
              <w:jc w:val="right"/>
              <w:rPr>
                <w:rFonts w:ascii="inherit" w:hAnsi="inherit"/>
                <w:sz w:val="17"/>
              </w:rPr>
            </w:pPr>
            <w:r>
              <w:rPr>
                <w:rFonts w:ascii="inherit" w:hAnsi="inherit"/>
                <w:sz w:val="17"/>
              </w:rPr>
              <w:t>778,935</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998,749</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0" w:type="dxa"/>
            <w:tcBorders/>
            <w:shd w:fill="auto" w:val="clear"/>
            <w:vAlign w:val="center"/>
          </w:tcPr>
          <w:p>
            <w:pPr>
              <w:pStyle w:val="TableContents"/>
              <w:spacing w:before="0" w:after="0"/>
              <w:ind w:left="0" w:right="0" w:firstLine="30"/>
              <w:rPr/>
            </w:pPr>
            <w:r>
              <w:rPr/>
              <w:t> </w:t>
            </w:r>
          </w:p>
        </w:tc>
        <w:tc>
          <w:tcPr>
            <w:tcW w:w="11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6,498</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5,064</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30"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68,419</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80,714</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effect of cash flow hedge</w:t>
            </w:r>
          </w:p>
        </w:tc>
        <w:tc>
          <w:tcPr>
            <w:tcW w:w="90" w:type="dxa"/>
            <w:tcBorders/>
            <w:shd w:fill="CCEEFF" w:val="clear"/>
            <w:vAlign w:val="center"/>
          </w:tcPr>
          <w:p>
            <w:pPr>
              <w:pStyle w:val="TableContents"/>
              <w:spacing w:before="0" w:after="0"/>
              <w:ind w:left="0" w:right="0" w:firstLine="30"/>
              <w:rPr/>
            </w:pPr>
            <w:r>
              <w:rPr/>
              <w:t> </w:t>
            </w:r>
          </w:p>
        </w:tc>
        <w:tc>
          <w:tcPr>
            <w:tcW w:w="1117"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shd w:fill="CCEEFF" w:val="clear"/>
            <w:vAlign w:val="center"/>
          </w:tcPr>
          <w:p>
            <w:pPr>
              <w:pStyle w:val="TableContents"/>
              <w:spacing w:before="0" w:after="0"/>
              <w:jc w:val="right"/>
              <w:rPr/>
            </w:pPr>
            <w:r>
              <w:rPr/>
              <w:t>—</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8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82"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Units issued for vested phantom units</w:t>
            </w:r>
          </w:p>
        </w:tc>
        <w:tc>
          <w:tcPr>
            <w:tcW w:w="90" w:type="dxa"/>
            <w:tcBorders/>
            <w:shd w:fill="auto" w:val="clear"/>
            <w:vAlign w:val="center"/>
          </w:tcPr>
          <w:p>
            <w:pPr>
              <w:pStyle w:val="TableContents"/>
              <w:spacing w:before="0" w:after="0"/>
              <w:ind w:left="0" w:right="0" w:firstLine="30"/>
              <w:rPr/>
            </w:pPr>
            <w:r>
              <w:rPr/>
              <w:t> </w:t>
            </w:r>
          </w:p>
        </w:tc>
        <w:tc>
          <w:tcPr>
            <w:tcW w:w="11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pPr>
            <w:r>
              <w:rPr/>
              <w:t>—</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8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30"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82"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Quarterly distributions to unitholders</w:t>
            </w:r>
          </w:p>
        </w:tc>
        <w:tc>
          <w:tcPr>
            <w:tcW w:w="90" w:type="dxa"/>
            <w:tcBorders/>
            <w:shd w:fill="CCEEFF" w:val="clear"/>
            <w:vAlign w:val="center"/>
          </w:tcPr>
          <w:p>
            <w:pPr>
              <w:pStyle w:val="TableContents"/>
              <w:spacing w:before="0" w:after="0"/>
              <w:ind w:left="0" w:right="0" w:firstLine="30"/>
              <w:rPr/>
            </w:pPr>
            <w:r>
              <w:rPr/>
              <w:t> </w:t>
            </w:r>
          </w:p>
        </w:tc>
        <w:tc>
          <w:tcPr>
            <w:tcW w:w="11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(7,000</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(5,457</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130"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82"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(13,071</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0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Quarterly distribution to noncontrolling interest retained in OpCo by Westlake</w:t>
            </w:r>
          </w:p>
        </w:tc>
        <w:tc>
          <w:tcPr>
            <w:tcW w:w="90" w:type="dxa"/>
            <w:tcBorders/>
            <w:shd w:fill="auto" w:val="clear"/>
            <w:vAlign w:val="center"/>
          </w:tcPr>
          <w:p>
            <w:pPr>
              <w:pStyle w:val="TableContents"/>
              <w:spacing w:before="0" w:after="0"/>
              <w:ind w:left="0" w:right="0" w:firstLine="30"/>
              <w:rPr/>
            </w:pPr>
            <w:r>
              <w:rPr/>
              <w:t> </w:t>
            </w:r>
          </w:p>
        </w:tc>
        <w:tc>
          <w:tcPr>
            <w:tcW w:w="111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8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3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8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(91,148</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(91,148</w:t>
            </w:r>
          </w:p>
        </w:tc>
        <w:tc>
          <w:tcPr>
            <w:tcW w:w="12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052"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Balances at March 31, 2018</w:t>
            </w:r>
          </w:p>
        </w:tc>
        <w:tc>
          <w:tcPr>
            <w:tcW w:w="90" w:type="dxa"/>
            <w:tcBorders/>
            <w:shd w:fill="CCEEFF" w:val="clear"/>
            <w:vAlign w:val="center"/>
          </w:tcPr>
          <w:p>
            <w:pPr>
              <w:pStyle w:val="TableContents"/>
              <w:spacing w:before="0" w:after="0"/>
              <w:ind w:left="0" w:right="0" w:firstLine="30"/>
              <w:rPr/>
            </w:pPr>
            <w:r>
              <w:rPr/>
              <w:t> </w:t>
            </w:r>
          </w:p>
        </w:tc>
        <w:tc>
          <w:tcPr>
            <w:tcW w:w="17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4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410,786</w:t>
            </w:r>
          </w:p>
        </w:tc>
        <w:tc>
          <w:tcPr>
            <w:tcW w:w="14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49,872</w:t>
            </w:r>
          </w:p>
        </w:tc>
        <w:tc>
          <w:tcPr>
            <w:tcW w:w="14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(241,839</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0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298</w:t>
            </w:r>
          </w:p>
        </w:tc>
        <w:tc>
          <w:tcPr>
            <w:tcW w:w="7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3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756,206</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975,323</w:t>
            </w:r>
          </w:p>
        </w:tc>
        <w:tc>
          <w:tcPr>
            <w:tcW w:w="12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52"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6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9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0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1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48" w:type="dxa"/>
            <w:gridSpan w:val="3"/>
            <w:tcBorders/>
            <w:shd w:fill="auto" w:val="clear"/>
            <w:vAlign w:val="center"/>
          </w:tcPr>
          <w:p>
            <w:pPr>
              <w:pStyle w:val="TableContents"/>
              <w:spacing w:before="0" w:after="0"/>
              <w:ind w:left="0" w:right="0" w:firstLine="30"/>
              <w:rPr/>
            </w:pPr>
            <w:r>
              <w:rPr/>
              <w:t> </w:t>
            </w:r>
          </w:p>
        </w:tc>
      </w:tr>
      <w:tr>
        <w:trPr/>
        <w:tc>
          <w:tcPr>
            <w:tcW w:w="3052"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Balances at December 31, 2018</w:t>
            </w:r>
          </w:p>
        </w:tc>
        <w:tc>
          <w:tcPr>
            <w:tcW w:w="90" w:type="dxa"/>
            <w:tcBorders/>
            <w:shd w:fill="CCEEFF" w:val="clear"/>
            <w:vAlign w:val="center"/>
          </w:tcPr>
          <w:p>
            <w:pPr>
              <w:pStyle w:val="TableContents"/>
              <w:spacing w:before="0" w:after="0"/>
              <w:ind w:left="0" w:right="0" w:firstLine="30"/>
              <w:rPr/>
            </w:pPr>
            <w:r>
              <w:rPr/>
              <w:t> </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47" w:type="dxa"/>
            <w:tcBorders/>
            <w:shd w:fill="CCEEFF" w:val="clear"/>
            <w:vAlign w:val="center"/>
          </w:tcPr>
          <w:p>
            <w:pPr>
              <w:pStyle w:val="TableContents"/>
              <w:spacing w:before="0" w:after="0"/>
              <w:jc w:val="right"/>
              <w:rPr>
                <w:rFonts w:ascii="inherit" w:hAnsi="inherit"/>
                <w:sz w:val="17"/>
              </w:rPr>
            </w:pPr>
            <w:r>
              <w:rPr>
                <w:rFonts w:ascii="inherit" w:hAnsi="inherit"/>
                <w:sz w:val="17"/>
              </w:rPr>
              <w:t>409,608</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80" w:type="dxa"/>
            <w:tcBorders/>
            <w:shd w:fill="CCEEFF" w:val="clear"/>
            <w:vAlign w:val="center"/>
          </w:tcPr>
          <w:p>
            <w:pPr>
              <w:pStyle w:val="TableContents"/>
              <w:spacing w:before="0" w:after="0"/>
              <w:jc w:val="right"/>
              <w:rPr>
                <w:rFonts w:ascii="inherit" w:hAnsi="inherit"/>
                <w:sz w:val="17"/>
              </w:rPr>
            </w:pPr>
            <w:r>
              <w:rPr>
                <w:rFonts w:ascii="inherit" w:hAnsi="inherit"/>
                <w:sz w:val="17"/>
              </w:rPr>
              <w:t>48,774</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55" w:type="dxa"/>
            <w:tcBorders/>
            <w:shd w:fill="CCEEFF" w:val="clear"/>
            <w:vAlign w:val="center"/>
          </w:tcPr>
          <w:p>
            <w:pPr>
              <w:pStyle w:val="TableContents"/>
              <w:spacing w:before="0" w:after="0"/>
              <w:jc w:val="right"/>
              <w:rPr>
                <w:rFonts w:ascii="inherit" w:hAnsi="inherit"/>
                <w:sz w:val="17"/>
              </w:rPr>
            </w:pPr>
            <w:r>
              <w:rPr>
                <w:rFonts w:ascii="inherit" w:hAnsi="inherit"/>
                <w:sz w:val="17"/>
              </w:rPr>
              <w:t>(242,572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0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23"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33" w:type="dxa"/>
            <w:tcBorders/>
            <w:shd w:fill="CCEEFF" w:val="clear"/>
            <w:vAlign w:val="center"/>
          </w:tcPr>
          <w:p>
            <w:pPr>
              <w:pStyle w:val="TableContents"/>
              <w:spacing w:before="0" w:after="0"/>
              <w:jc w:val="right"/>
              <w:rPr>
                <w:rFonts w:ascii="inherit" w:hAnsi="inherit"/>
                <w:sz w:val="17"/>
              </w:rPr>
            </w:pPr>
            <w:r>
              <w:rPr>
                <w:rFonts w:ascii="inherit" w:hAnsi="inherit"/>
                <w:sz w:val="17"/>
              </w:rPr>
              <w:t>718,271</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934,081</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0" w:type="dxa"/>
            <w:tcBorders/>
            <w:shd w:fill="auto" w:val="clear"/>
            <w:vAlign w:val="center"/>
          </w:tcPr>
          <w:p>
            <w:pPr>
              <w:pStyle w:val="TableContents"/>
              <w:spacing w:before="0" w:after="0"/>
              <w:ind w:left="0" w:right="0" w:firstLine="30"/>
              <w:rPr/>
            </w:pPr>
            <w:r>
              <w:rPr/>
              <w:t> </w:t>
            </w:r>
          </w:p>
        </w:tc>
        <w:tc>
          <w:tcPr>
            <w:tcW w:w="11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8,422</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6,533</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8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30"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63,441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78,396</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private placement of common units</w:t>
            </w:r>
          </w:p>
        </w:tc>
        <w:tc>
          <w:tcPr>
            <w:tcW w:w="90" w:type="dxa"/>
            <w:tcBorders/>
            <w:shd w:fill="CCEEFF" w:val="clear"/>
            <w:vAlign w:val="center"/>
          </w:tcPr>
          <w:p>
            <w:pPr>
              <w:pStyle w:val="TableContents"/>
              <w:spacing w:before="0" w:after="0"/>
              <w:ind w:left="0" w:right="0" w:firstLine="30"/>
              <w:rPr/>
            </w:pPr>
            <w:r>
              <w:rPr/>
              <w:t> </w:t>
            </w:r>
          </w:p>
        </w:tc>
        <w:tc>
          <w:tcPr>
            <w:tcW w:w="11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62,934</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shd w:fill="CCEEFF" w:val="clear"/>
            <w:vAlign w:val="center"/>
          </w:tcPr>
          <w:p>
            <w:pPr>
              <w:pStyle w:val="TableContents"/>
              <w:spacing w:before="0" w:after="0"/>
              <w:jc w:val="right"/>
              <w:rPr/>
            </w:pPr>
            <w:r>
              <w:rPr/>
              <w:t>—</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8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30"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82" w:type="dxa"/>
            <w:gridSpan w:val="2"/>
            <w:tcBorders/>
            <w:shd w:fill="CCEEFF" w:val="clear"/>
            <w:vAlign w:val="center"/>
          </w:tcPr>
          <w:p>
            <w:pPr>
              <w:pStyle w:val="TableContents"/>
              <w:spacing w:before="0" w:after="0"/>
              <w:jc w:val="right"/>
              <w:rPr/>
            </w:pPr>
            <w:r>
              <w:rPr/>
              <w:t>—</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62,934</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Quarterly distributions to unitholders</w:t>
            </w:r>
          </w:p>
        </w:tc>
        <w:tc>
          <w:tcPr>
            <w:tcW w:w="90" w:type="dxa"/>
            <w:tcBorders/>
            <w:shd w:fill="auto" w:val="clear"/>
            <w:vAlign w:val="center"/>
          </w:tcPr>
          <w:p>
            <w:pPr>
              <w:pStyle w:val="TableContents"/>
              <w:spacing w:before="0" w:after="0"/>
              <w:ind w:left="0" w:right="0" w:firstLine="30"/>
              <w:rPr/>
            </w:pPr>
            <w:r>
              <w:rPr/>
              <w:t> </w:t>
            </w:r>
          </w:p>
        </w:tc>
        <w:tc>
          <w:tcPr>
            <w:tcW w:w="11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(7,845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(6,112</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8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30"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82" w:type="dxa"/>
            <w:gridSpan w:val="2"/>
            <w:tcBorders/>
            <w:shd w:fill="auto" w:val="clear"/>
            <w:vAlign w:val="center"/>
          </w:tcPr>
          <w:p>
            <w:pPr>
              <w:pStyle w:val="TableContents"/>
              <w:spacing w:before="0" w:after="0"/>
              <w:jc w:val="right"/>
              <w:rPr/>
            </w:pPr>
            <w:r>
              <w:rPr/>
              <w:t>—</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(13,957</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0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Quarterly distribution to noncontrolling interest retained in OpCo by Westlake</w:t>
            </w:r>
          </w:p>
        </w:tc>
        <w:tc>
          <w:tcPr>
            <w:tcW w:w="90" w:type="dxa"/>
            <w:tcBorders/>
            <w:shd w:fill="CCEEFF" w:val="clear"/>
            <w:vAlign w:val="center"/>
          </w:tcPr>
          <w:p>
            <w:pPr>
              <w:pStyle w:val="TableContents"/>
              <w:spacing w:before="0" w:after="0"/>
              <w:ind w:left="0" w:right="0" w:firstLine="30"/>
              <w:rPr/>
            </w:pPr>
            <w:r>
              <w:rPr/>
              <w:t> </w:t>
            </w:r>
          </w:p>
        </w:tc>
        <w:tc>
          <w:tcPr>
            <w:tcW w:w="111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8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3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(81,507</w:t>
            </w:r>
          </w:p>
        </w:tc>
        <w:tc>
          <w:tcPr>
            <w:tcW w:w="13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(81,507</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052"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Balances at March 31, 2019</w:t>
            </w:r>
          </w:p>
        </w:tc>
        <w:tc>
          <w:tcPr>
            <w:tcW w:w="90" w:type="dxa"/>
            <w:tcBorders/>
            <w:shd w:fill="auto" w:val="clear"/>
            <w:vAlign w:val="center"/>
          </w:tcPr>
          <w:p>
            <w:pPr>
              <w:pStyle w:val="TableContents"/>
              <w:spacing w:before="0" w:after="0"/>
              <w:ind w:left="0" w:right="0" w:firstLine="30"/>
              <w:rPr/>
            </w:pPr>
            <w:r>
              <w:rPr/>
              <w:t> </w:t>
            </w:r>
          </w:p>
        </w:tc>
        <w:tc>
          <w:tcPr>
            <w:tcW w:w="17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4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473,119</w:t>
            </w:r>
          </w:p>
        </w:tc>
        <w:tc>
          <w:tcPr>
            <w:tcW w:w="14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49,195</w:t>
            </w:r>
          </w:p>
        </w:tc>
        <w:tc>
          <w:tcPr>
            <w:tcW w:w="14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(242,572</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0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7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3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700,205</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979,947</w:t>
            </w:r>
          </w:p>
        </w:tc>
        <w:tc>
          <w:tcPr>
            <w:tcW w:w="12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t xml:space="preserve">The accompanying notes are an integral part of these consolidated financial statements.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rPr>
          <w:rFonts w:ascii="inherit" w:hAnsi="inherit"/>
          <w:sz w:val="17"/>
        </w:rPr>
      </w:pPr>
      <w:r>
        <w:rPr>
          <w:rFonts w:ascii="inherit" w:hAnsi="inherit"/>
          <w:sz w:val="17"/>
        </w:rPr>
      </w:r>
      <w:bookmarkStart w:id="13" w:name="s07D61D33B2F65015B038550668C8701C"/>
      <w:bookmarkStart w:id="14" w:name="s07D61D33B2F65015B038550668C8701C"/>
      <w:bookmarkEnd w:id="14"/>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 xml:space="preserve">WESTLAKE CHEMICAL PARTNERS LP </w:t>
      </w:r>
    </w:p>
    <w:p>
      <w:pPr>
        <w:pStyle w:val="TextBody"/>
        <w:spacing w:lineRule="auto" w:line="288" w:before="0" w:after="0"/>
        <w:jc w:val="center"/>
        <w:rPr>
          <w:rFonts w:ascii="inherit" w:hAnsi="inherit"/>
          <w:b/>
          <w:sz w:val="17"/>
        </w:rPr>
      </w:pPr>
      <w:r>
        <w:rPr>
          <w:rFonts w:ascii="inherit" w:hAnsi="inherit"/>
          <w:b/>
          <w:sz w:val="17"/>
        </w:rPr>
        <w:t>CONSOLIDATED STATEMENTS OF CASH FLOWS</w:t>
      </w:r>
    </w:p>
    <w:p>
      <w:pPr>
        <w:pStyle w:val="TextBody"/>
        <w:spacing w:lineRule="auto" w:line="288" w:before="0" w:after="0"/>
        <w:jc w:val="center"/>
        <w:rPr>
          <w:rFonts w:ascii="inherit" w:hAnsi="inherit"/>
          <w:b/>
          <w:sz w:val="17"/>
        </w:rPr>
      </w:pPr>
      <w:r>
        <w:rPr>
          <w:rFonts w:ascii="inherit" w:hAnsi="inherit"/>
          <w:b/>
          <w:sz w:val="17"/>
        </w:rPr>
        <w:t>(Unaudited)</w:t>
      </w:r>
    </w:p>
    <w:tbl>
      <w:tblPr>
        <w:tblW w:w="10030" w:type="dxa"/>
        <w:jc w:val="left"/>
        <w:tblInd w:w="0" w:type="dxa"/>
        <w:tblCellMar>
          <w:top w:w="0" w:type="dxa"/>
          <w:left w:w="0" w:type="dxa"/>
          <w:bottom w:w="0" w:type="dxa"/>
          <w:right w:w="0" w:type="dxa"/>
        </w:tblCellMar>
      </w:tblPr>
      <w:tblGrid>
        <w:gridCol w:w="7355"/>
        <w:gridCol w:w="90"/>
        <w:gridCol w:w="131"/>
        <w:gridCol w:w="624"/>
        <w:gridCol w:w="110"/>
        <w:gridCol w:w="90"/>
        <w:gridCol w:w="131"/>
        <w:gridCol w:w="624"/>
        <w:gridCol w:w="875"/>
      </w:tblGrid>
      <w:tr>
        <w:trPr/>
        <w:tc>
          <w:tcPr>
            <w:tcW w:w="10030" w:type="dxa"/>
            <w:gridSpan w:val="9"/>
            <w:tcBorders/>
            <w:shd w:fill="auto" w:val="clear"/>
            <w:vAlign w:val="center"/>
          </w:tcPr>
          <w:p>
            <w:pPr>
              <w:pStyle w:val="TableContents"/>
              <w:spacing w:before="0" w:after="283"/>
              <w:rPr>
                <w:sz w:val="4"/>
                <w:szCs w:val="4"/>
              </w:rPr>
            </w:pPr>
            <w:r>
              <w:rPr>
                <w:sz w:val="4"/>
                <w:szCs w:val="4"/>
              </w:rPr>
            </w:r>
          </w:p>
        </w:tc>
      </w:tr>
      <w:tr>
        <w:trPr/>
        <w:tc>
          <w:tcPr>
            <w:tcW w:w="73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58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r>
      <w:tr>
        <w:trPr/>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16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6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630" w:type="dxa"/>
            <w:gridSpan w:val="3"/>
            <w:tcBorders/>
            <w:shd w:fill="auto" w:val="clear"/>
            <w:vAlign w:val="center"/>
          </w:tcPr>
          <w:p>
            <w:pPr>
              <w:pStyle w:val="TableContents"/>
              <w:spacing w:before="0" w:after="0"/>
              <w:ind w:left="0" w:right="0" w:firstLine="30"/>
              <w:rPr/>
            </w:pPr>
            <w:r>
              <w:rPr/>
              <w:t> </w:t>
            </w:r>
          </w:p>
        </w:tc>
      </w:tr>
      <w:tr>
        <w:trPr/>
        <w:tc>
          <w:tcPr>
            <w:tcW w:w="73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585"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(in thousands of dollars)</w:t>
            </w:r>
          </w:p>
        </w:tc>
      </w:tr>
      <w:tr>
        <w:trPr/>
        <w:tc>
          <w:tcPr>
            <w:tcW w:w="735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Cash flows from operating activities</w:t>
            </w:r>
          </w:p>
        </w:tc>
        <w:tc>
          <w:tcPr>
            <w:tcW w:w="90" w:type="dxa"/>
            <w:tcBorders/>
            <w:shd w:fill="CCEEFF" w:val="clear"/>
            <w:vAlign w:val="center"/>
          </w:tcPr>
          <w:p>
            <w:pPr>
              <w:pStyle w:val="TableContents"/>
              <w:spacing w:before="0" w:after="0"/>
              <w:ind w:left="0" w:right="0" w:firstLine="30"/>
              <w:rPr/>
            </w:pPr>
            <w:r>
              <w:rPr/>
              <w:t> </w:t>
            </w:r>
          </w:p>
        </w:tc>
        <w:tc>
          <w:tcPr>
            <w:tcW w:w="8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630" w:type="dxa"/>
            <w:gridSpan w:val="3"/>
            <w:tcBorders/>
            <w:shd w:fill="CCEEFF" w:val="clear"/>
            <w:vAlign w:val="center"/>
          </w:tcPr>
          <w:p>
            <w:pPr>
              <w:pStyle w:val="TableContents"/>
              <w:spacing w:before="0" w:after="0"/>
              <w:ind w:left="0" w:right="0" w:firstLine="30"/>
              <w:rPr/>
            </w:pPr>
            <w:r>
              <w:rPr/>
              <w:t> </w:t>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0"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78,396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shd w:fill="auto" w:val="clear"/>
            <w:vAlign w:val="center"/>
          </w:tcPr>
          <w:p>
            <w:pPr>
              <w:pStyle w:val="TableContents"/>
              <w:spacing w:before="0" w:after="0"/>
              <w:jc w:val="right"/>
              <w:rPr>
                <w:rFonts w:ascii="inherit" w:hAnsi="inherit"/>
                <w:sz w:val="17"/>
              </w:rPr>
            </w:pPr>
            <w:r>
              <w:rPr>
                <w:rFonts w:ascii="inherit" w:hAnsi="inherit"/>
                <w:sz w:val="17"/>
              </w:rPr>
              <w:t>80,714</w:t>
            </w:r>
          </w:p>
        </w:tc>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Adjustments to reconcile net income to net cash provided by operating activities</w:t>
            </w:r>
          </w:p>
        </w:tc>
        <w:tc>
          <w:tcPr>
            <w:tcW w:w="90" w:type="dxa"/>
            <w:tcBorders/>
            <w:shd w:fill="CCEEFF" w:val="clear"/>
            <w:vAlign w:val="center"/>
          </w:tcPr>
          <w:p>
            <w:pPr>
              <w:pStyle w:val="TableContents"/>
              <w:spacing w:before="0" w:after="0"/>
              <w:ind w:left="0" w:right="0" w:firstLine="30"/>
              <w:rPr/>
            </w:pPr>
            <w:r>
              <w:rPr/>
              <w:t> </w:t>
            </w:r>
          </w:p>
        </w:tc>
        <w:tc>
          <w:tcPr>
            <w:tcW w:w="8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630" w:type="dxa"/>
            <w:gridSpan w:val="3"/>
            <w:tcBorders/>
            <w:shd w:fill="CCEEFF" w:val="clear"/>
            <w:vAlign w:val="center"/>
          </w:tcPr>
          <w:p>
            <w:pPr>
              <w:pStyle w:val="TableContents"/>
              <w:spacing w:before="0" w:after="0"/>
              <w:ind w:left="0" w:right="0" w:firstLine="420"/>
              <w:rPr/>
            </w:pPr>
            <w:r>
              <w:rPr/>
              <w:t> </w:t>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26,844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27,698</w:t>
            </w:r>
          </w:p>
        </w:tc>
        <w:tc>
          <w:tcPr>
            <w:tcW w:w="87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from disposition of property, plant and equipment</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567</w:t>
            </w:r>
          </w:p>
        </w:tc>
        <w:tc>
          <w:tcPr>
            <w:tcW w:w="87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losses (gains), net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357</w:t>
            </w:r>
          </w:p>
        </w:tc>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Changes in operating assets and liabilities</w:t>
            </w:r>
          </w:p>
        </w:tc>
        <w:tc>
          <w:tcPr>
            <w:tcW w:w="90" w:type="dxa"/>
            <w:tcBorders/>
            <w:shd w:fill="CCEEFF" w:val="clear"/>
            <w:vAlign w:val="center"/>
          </w:tcPr>
          <w:p>
            <w:pPr>
              <w:pStyle w:val="TableContents"/>
              <w:spacing w:before="0" w:after="0"/>
              <w:ind w:left="0" w:right="0" w:firstLine="30"/>
              <w:rPr/>
            </w:pPr>
            <w:r>
              <w:rPr/>
              <w:t> </w:t>
            </w:r>
          </w:p>
        </w:tc>
        <w:tc>
          <w:tcPr>
            <w:tcW w:w="8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630" w:type="dxa"/>
            <w:gridSpan w:val="3"/>
            <w:tcBorders/>
            <w:shd w:fill="CCEEFF" w:val="clear"/>
            <w:vAlign w:val="center"/>
          </w:tcPr>
          <w:p>
            <w:pPr>
              <w:pStyle w:val="TableContents"/>
              <w:spacing w:before="0" w:after="0"/>
              <w:ind w:left="0" w:right="0" w:firstLine="420"/>
              <w:rPr/>
            </w:pPr>
            <w:r>
              <w:rPr/>
              <w:t> </w:t>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receivable—third parties</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1,102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(1,239</w:t>
            </w:r>
          </w:p>
        </w:tc>
        <w:tc>
          <w:tcPr>
            <w:tcW w:w="87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accounts receivable—Westlake</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1,479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737</w:t>
            </w:r>
          </w:p>
        </w:tc>
        <w:tc>
          <w:tcPr>
            <w:tcW w:w="87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Inventories</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419</w:t>
            </w:r>
          </w:p>
        </w:tc>
        <w:tc>
          <w:tcPr>
            <w:tcW w:w="87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current assets</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153</w:t>
            </w:r>
          </w:p>
        </w:tc>
        <w:tc>
          <w:tcPr>
            <w:tcW w:w="87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2,497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(2,835</w:t>
            </w:r>
          </w:p>
        </w:tc>
        <w:tc>
          <w:tcPr>
            <w:tcW w:w="87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Accrued and other liabilities</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3,472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(487</w:t>
            </w:r>
          </w:p>
        </w:tc>
        <w:tc>
          <w:tcPr>
            <w:tcW w:w="87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net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(101</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138</w:t>
            </w:r>
          </w:p>
        </w:tc>
        <w:tc>
          <w:tcPr>
            <w:tcW w:w="87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operating activities</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113,499</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106,222</w:t>
            </w:r>
          </w:p>
        </w:tc>
        <w:tc>
          <w:tcPr>
            <w:tcW w:w="87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5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Cash flows from investing activities</w:t>
            </w:r>
          </w:p>
        </w:tc>
        <w:tc>
          <w:tcPr>
            <w:tcW w:w="90" w:type="dxa"/>
            <w:tcBorders/>
            <w:shd w:fill="auto" w:val="clear"/>
            <w:vAlign w:val="center"/>
          </w:tcPr>
          <w:p>
            <w:pPr>
              <w:pStyle w:val="TableContents"/>
              <w:spacing w:before="0" w:after="0"/>
              <w:ind w:left="0" w:right="0" w:firstLine="30"/>
              <w:rPr/>
            </w:pPr>
            <w:r>
              <w:rPr/>
              <w:t> </w:t>
            </w:r>
          </w:p>
        </w:tc>
        <w:tc>
          <w:tcPr>
            <w:tcW w:w="86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630" w:type="dxa"/>
            <w:gridSpan w:val="3"/>
            <w:tcBorders/>
            <w:shd w:fill="auto" w:val="clear"/>
            <w:vAlign w:val="center"/>
          </w:tcPr>
          <w:p>
            <w:pPr>
              <w:pStyle w:val="TableContents"/>
              <w:spacing w:before="0" w:after="0"/>
              <w:ind w:left="0" w:right="0" w:firstLine="30"/>
              <w:rPr/>
            </w:pPr>
            <w:r>
              <w:rPr/>
              <w:t> </w:t>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Additions to property, plant and equipment</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(12,144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(9,679</w:t>
            </w:r>
          </w:p>
        </w:tc>
        <w:tc>
          <w:tcPr>
            <w:tcW w:w="8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Maturities of investments with Westlake under the Investment Management Agreement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80,000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112,000</w:t>
            </w:r>
          </w:p>
        </w:tc>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Investments with Westlake under the Investment Management Agreement</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(207,512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(110,000</w:t>
            </w:r>
          </w:p>
        </w:tc>
        <w:tc>
          <w:tcPr>
            <w:tcW w:w="8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46</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7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used for investing activities</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(139,610</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(7,679</w:t>
            </w:r>
          </w:p>
        </w:tc>
        <w:tc>
          <w:tcPr>
            <w:tcW w:w="87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35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Cash flows from financing activities</w:t>
            </w:r>
          </w:p>
        </w:tc>
        <w:tc>
          <w:tcPr>
            <w:tcW w:w="90" w:type="dxa"/>
            <w:tcBorders/>
            <w:shd w:fill="auto" w:val="clear"/>
            <w:vAlign w:val="center"/>
          </w:tcPr>
          <w:p>
            <w:pPr>
              <w:pStyle w:val="TableContents"/>
              <w:spacing w:before="0" w:after="0"/>
              <w:ind w:left="0" w:right="0" w:firstLine="30"/>
              <w:rPr/>
            </w:pPr>
            <w:r>
              <w:rPr/>
              <w:t> </w:t>
            </w:r>
          </w:p>
        </w:tc>
        <w:tc>
          <w:tcPr>
            <w:tcW w:w="86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630" w:type="dxa"/>
            <w:gridSpan w:val="3"/>
            <w:tcBorders/>
            <w:shd w:fill="auto" w:val="clear"/>
            <w:vAlign w:val="center"/>
          </w:tcPr>
          <w:p>
            <w:pPr>
              <w:pStyle w:val="TableContents"/>
              <w:spacing w:before="0" w:after="0"/>
              <w:ind w:left="0" w:right="0" w:firstLine="30"/>
              <w:rPr/>
            </w:pPr>
            <w:r>
              <w:rPr/>
              <w:t> </w:t>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private placement of common units</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62,934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pPr>
            <w:r>
              <w:rPr/>
              <w:t>—</w:t>
            </w:r>
          </w:p>
        </w:tc>
        <w:tc>
          <w:tcPr>
            <w:tcW w:w="8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debt payable to Westlake</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123,512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3,648</w:t>
            </w:r>
          </w:p>
        </w:tc>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Quarterly distributions to noncontrolling interest retained in OpCo by Westlake</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(81,507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(91,148</w:t>
            </w:r>
          </w:p>
        </w:tc>
        <w:tc>
          <w:tcPr>
            <w:tcW w:w="8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Quarterly distributions to unitholders</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(13,957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(13,071</w:t>
            </w:r>
          </w:p>
        </w:tc>
        <w:tc>
          <w:tcPr>
            <w:tcW w:w="87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(used for) financing activities</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90,982</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(100,571</w:t>
            </w:r>
          </w:p>
        </w:tc>
        <w:tc>
          <w:tcPr>
            <w:tcW w:w="87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increase (decrease) in cash and cash equivalents</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64,871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(2,028</w:t>
            </w:r>
          </w:p>
        </w:tc>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3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beginning of period</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19,744</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27,008</w:t>
            </w:r>
          </w:p>
        </w:tc>
        <w:tc>
          <w:tcPr>
            <w:tcW w:w="87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end of period</w:t>
            </w:r>
          </w:p>
        </w:tc>
        <w:tc>
          <w:tcPr>
            <w:tcW w:w="90" w:type="dxa"/>
            <w:tcBorders/>
            <w:shd w:fill="auto" w:val="clear"/>
            <w:vAlign w:val="center"/>
          </w:tcPr>
          <w:p>
            <w:pPr>
              <w:pStyle w:val="TableContents"/>
              <w:spacing w:before="0" w:after="0"/>
              <w:ind w:left="0" w:right="0" w:firstLine="30"/>
              <w:rPr/>
            </w:pPr>
            <w:r>
              <w:rPr/>
              <w:t> </w:t>
            </w:r>
          </w:p>
        </w:tc>
        <w:tc>
          <w:tcPr>
            <w:tcW w:w="13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84,615</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2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24,980</w:t>
            </w:r>
          </w:p>
        </w:tc>
        <w:tc>
          <w:tcPr>
            <w:tcW w:w="875"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t>The accompanying notes are an integral part of these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jc w:val="left"/>
        <w:rPr/>
      </w:pPr>
      <w:hyperlink w:anchor="s57D9DAA9FEA85990A24D0CBB70729000">
        <w:bookmarkStart w:id="15" w:name="sB9A93EAFE5C95413A883BAE344F6326B"/>
        <w:bookmarkEnd w:id="15"/>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rFonts w:ascii="inherit" w:hAnsi="inherit"/>
          <w:b/>
          <w:sz w:val="17"/>
        </w:rPr>
      </w:pPr>
      <w:r>
        <w:rPr>
          <w:rFonts w:ascii="inherit" w:hAnsi="inherit"/>
          <w:b/>
          <w:sz w:val="17"/>
        </w:rPr>
        <w:t>NOTES TO CONSOLIDATED FINANCIAL STATEMENTS</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bookmarkStart w:id="16" w:name="s05008FD767A255D5BD69B2804F5B616C"/>
      <w:bookmarkEnd w:id="16"/>
      <w:r>
        <w:rPr>
          <w:rFonts w:ascii="inherit" w:hAnsi="inherit"/>
          <w:b/>
          <w:sz w:val="17"/>
        </w:rPr>
        <w:t>1.</w:t>
      </w:r>
      <w:r>
        <w:rPr>
          <w:sz w:val="17"/>
        </w:rPr>
        <w:t xml:space="preserve"> </w:t>
      </w:r>
      <w:r>
        <w:rPr>
          <w:rFonts w:ascii="inherit" w:hAnsi="inherit"/>
          <w:b/>
          <w:sz w:val="17"/>
        </w:rPr>
        <w:t>Description of Business and Basis of Presentation</w:t>
      </w:r>
      <w:r>
        <w:rPr>
          <w:sz w:val="17"/>
        </w:rPr>
        <w:t xml:space="preserve"> </w:t>
      </w:r>
    </w:p>
    <w:p>
      <w:pPr>
        <w:pStyle w:val="TextBody"/>
        <w:spacing w:lineRule="auto" w:line="288" w:before="0" w:after="0"/>
        <w:rPr>
          <w:rFonts w:ascii="inherit" w:hAnsi="inherit"/>
          <w:b/>
          <w:i/>
          <w:sz w:val="17"/>
        </w:rPr>
      </w:pPr>
      <w:r>
        <w:rPr>
          <w:rFonts w:ascii="inherit" w:hAnsi="inherit"/>
          <w:b/>
          <w:i/>
          <w:sz w:val="17"/>
        </w:rPr>
        <w:t>Description of Business</w:t>
      </w:r>
    </w:p>
    <w:p>
      <w:pPr>
        <w:pStyle w:val="TextBody"/>
        <w:spacing w:lineRule="auto" w:line="288" w:before="0" w:after="0"/>
        <w:ind w:left="0" w:right="0" w:firstLine="450"/>
        <w:jc w:val="left"/>
        <w:rPr>
          <w:sz w:val="17"/>
        </w:rPr>
      </w:pPr>
      <w:r>
        <w:rPr>
          <w:rFonts w:ascii="inherit" w:hAnsi="inherit"/>
          <w:sz w:val="17"/>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w:t>
      </w:r>
      <w:r>
        <w:rPr>
          <w:sz w:val="17"/>
        </w:rPr>
        <w:t xml:space="preserve"> </w:t>
      </w:r>
      <w:r>
        <w:rPr>
          <w:rFonts w:ascii="inherit" w:hAnsi="inherit"/>
          <w:sz w:val="17"/>
        </w:rPr>
        <w:t>common units representing limited partner interests. On September 29, 2017, the Partnership completed a secondary offering of 5,175,000</w:t>
      </w:r>
      <w:r>
        <w:rPr>
          <w:sz w:val="17"/>
        </w:rPr>
        <w:t xml:space="preserve"> </w:t>
      </w:r>
      <w:r>
        <w:rPr>
          <w:rFonts w:ascii="inherit" w:hAnsi="inherit"/>
          <w:sz w:val="17"/>
        </w:rPr>
        <w:t>common units at a price of $22.00</w:t>
      </w:r>
      <w:r>
        <w:rPr>
          <w:sz w:val="17"/>
        </w:rPr>
        <w:t xml:space="preserve"> </w:t>
      </w:r>
      <w:r>
        <w:rPr>
          <w:rFonts w:ascii="inherit" w:hAnsi="inherit"/>
          <w:sz w:val="17"/>
        </w:rPr>
        <w:t>per unit. On March 29, 2019, the Partnership completed the issuance and sale of 2,940,818</w:t>
      </w:r>
      <w:r>
        <w:rPr>
          <w:sz w:val="17"/>
        </w:rPr>
        <w:t xml:space="preserve"> </w:t>
      </w:r>
      <w:r>
        <w:rPr>
          <w:rFonts w:ascii="inherit" w:hAnsi="inherit"/>
          <w:sz w:val="17"/>
        </w:rPr>
        <w:t>common units at a price of $21.40</w:t>
      </w:r>
      <w:r>
        <w:rPr>
          <w:sz w:val="17"/>
        </w:rPr>
        <w:t xml:space="preserve"> </w:t>
      </w:r>
      <w:r>
        <w:rPr>
          <w:rFonts w:ascii="inherit" w:hAnsi="inherit"/>
          <w:sz w:val="17"/>
        </w:rPr>
        <w:t>per unit through a private placement. Proceeds to Westlake Partners from the sale of the units were approximately $62,934.</w:t>
      </w:r>
    </w:p>
    <w:p>
      <w:pPr>
        <w:pStyle w:val="TextBody"/>
        <w:spacing w:lineRule="auto" w:line="288" w:before="0" w:after="0"/>
        <w:ind w:left="0" w:right="0" w:firstLine="450"/>
        <w:jc w:val="left"/>
        <w:rPr>
          <w:sz w:val="17"/>
        </w:rPr>
      </w:pPr>
      <w:r>
        <w:rPr>
          <w:rFonts w:ascii="inherit" w:hAnsi="inherit"/>
          <w:sz w:val="17"/>
        </w:rPr>
        <w:t>In connection with the IPO, the Partnership acquired a 10.6%</w:t>
      </w:r>
      <w:r>
        <w:rPr>
          <w:sz w:val="17"/>
        </w:rPr>
        <w:t xml:space="preserve"> </w:t>
      </w:r>
      <w:r>
        <w:rPr>
          <w:rFonts w:ascii="inherit" w:hAnsi="inherit"/>
          <w:sz w:val="17"/>
        </w:rPr>
        <w:t>interest in Westlake Chemical OpCo LP ("OpCo") and a 100%</w:t>
      </w:r>
      <w:r>
        <w:rPr>
          <w:sz w:val="17"/>
        </w:rPr>
        <w:t xml:space="preserve"> </w:t>
      </w:r>
      <w:r>
        <w:rPr>
          <w:rFonts w:ascii="inherit" w:hAnsi="inherit"/>
          <w:sz w:val="17"/>
        </w:rPr>
        <w:t>interest in Westlake Chemical OpCo GP LLC ("OpCo GP"), which is the general partner of OpCo. On April 29, 2015, the Partnership purchased an additional 2.7%</w:t>
      </w:r>
      <w:r>
        <w:rPr>
          <w:sz w:val="17"/>
        </w:rPr>
        <w:t xml:space="preserve"> </w:t>
      </w:r>
      <w:r>
        <w:rPr>
          <w:rFonts w:ascii="inherit" w:hAnsi="inherit"/>
          <w:sz w:val="17"/>
        </w:rPr>
        <w:t>newly-issued limited partner interest in OpCo for approximately $135,341, resulting in an aggregate 13.3%</w:t>
      </w:r>
      <w:r>
        <w:rPr>
          <w:sz w:val="17"/>
        </w:rPr>
        <w:t xml:space="preserve"> </w:t>
      </w:r>
      <w:r>
        <w:rPr>
          <w:rFonts w:ascii="inherit" w:hAnsi="inherit"/>
          <w:sz w:val="17"/>
        </w:rPr>
        <w:t>limited partner interest in OpCo, effective April 1, 2015. On September 29, 2017, the Partnership purchased an additional 5.0%</w:t>
      </w:r>
      <w:r>
        <w:rPr>
          <w:sz w:val="17"/>
        </w:rPr>
        <w:t xml:space="preserve"> </w:t>
      </w:r>
      <w:r>
        <w:rPr>
          <w:rFonts w:ascii="inherit" w:hAnsi="inherit"/>
          <w:sz w:val="17"/>
        </w:rPr>
        <w:t>newly-issued limited partner interest in OpCo for approximately $229,207, resulting in an aggregate 18.3%</w:t>
      </w:r>
      <w:r>
        <w:rPr>
          <w:sz w:val="17"/>
        </w:rPr>
        <w:t xml:space="preserve"> </w:t>
      </w:r>
      <w:r>
        <w:rPr>
          <w:rFonts w:ascii="inherit" w:hAnsi="inherit"/>
          <w:sz w:val="17"/>
        </w:rPr>
        <w:t>limited partner interest in OpCo, effective as of July 1, 2017. On March 29, 2019, the Partnership purchased an additional 4.5%</w:t>
      </w:r>
      <w:r>
        <w:rPr>
          <w:sz w:val="17"/>
        </w:rPr>
        <w:t xml:space="preserve"> </w:t>
      </w:r>
      <w:r>
        <w:rPr>
          <w:rFonts w:ascii="inherit" w:hAnsi="inherit"/>
          <w:sz w:val="17"/>
        </w:rPr>
        <w:t>newly-issued limited partner interest in OpCo for approximately $201,445, resulting in an aggregate 22.8%</w:t>
      </w:r>
      <w:r>
        <w:rPr>
          <w:sz w:val="17"/>
        </w:rPr>
        <w:t xml:space="preserve"> </w:t>
      </w:r>
      <w:r>
        <w:rPr>
          <w:rFonts w:ascii="inherit" w:hAnsi="inherit"/>
          <w:sz w:val="17"/>
        </w:rPr>
        <w:t>limited partner interest in OpCo, effective January 1, 2019. The remaining 77.2%</w:t>
      </w:r>
      <w:r>
        <w:rPr>
          <w:sz w:val="17"/>
        </w:rPr>
        <w:t xml:space="preserve"> </w:t>
      </w:r>
      <w:r>
        <w:rPr>
          <w:rFonts w:ascii="inherit" w:hAnsi="inherit"/>
          <w:sz w:val="17"/>
        </w:rPr>
        <w:t>limited partner interest in OpCo is owned by Westlake Chemical Corporation.</w:t>
      </w:r>
    </w:p>
    <w:p>
      <w:pPr>
        <w:pStyle w:val="TextBody"/>
        <w:spacing w:lineRule="auto" w:line="288" w:before="0" w:after="0"/>
        <w:ind w:left="0" w:right="0" w:firstLine="450"/>
        <w:jc w:val="left"/>
        <w:rPr>
          <w:sz w:val="17"/>
        </w:rPr>
      </w:pPr>
      <w:r>
        <w:rPr>
          <w:rFonts w:ascii="inherit" w:hAnsi="inherit"/>
          <w:sz w:val="17"/>
        </w:rPr>
        <w:t>OpCo owns three</w:t>
      </w:r>
      <w:r>
        <w:rPr>
          <w:sz w:val="17"/>
        </w:rPr>
        <w:t xml:space="preserve"> </w:t>
      </w:r>
      <w:r>
        <w:rPr>
          <w:rFonts w:ascii="inherit" w:hAnsi="inherit"/>
          <w:sz w:val="17"/>
        </w:rPr>
        <w:t>ethylene production facilities and a</w:t>
      </w:r>
      <w:r>
        <w:rPr>
          <w:sz w:val="17"/>
        </w:rPr>
        <w:t xml:space="preserve"> </w:t>
      </w:r>
      <w:r>
        <w:rPr>
          <w:rFonts w:ascii="inherit" w:hAnsi="inherit"/>
          <w:sz w:val="17"/>
        </w:rPr>
        <w:t>common carrier ethylene pipeline.</w:t>
      </w:r>
    </w:p>
    <w:p>
      <w:pPr>
        <w:pStyle w:val="TextBody"/>
        <w:spacing w:lineRule="auto" w:line="288" w:before="0" w:after="0"/>
        <w:jc w:val="left"/>
        <w:rPr>
          <w:rFonts w:ascii="inherit" w:hAnsi="inherit"/>
          <w:b/>
          <w:i/>
          <w:sz w:val="17"/>
        </w:rPr>
      </w:pPr>
      <w:r>
        <w:rPr>
          <w:rFonts w:ascii="inherit" w:hAnsi="inherit"/>
          <w:b/>
          <w:i/>
          <w:sz w:val="17"/>
        </w:rPr>
        <w:t>Basis of Presentation</w:t>
      </w:r>
    </w:p>
    <w:p>
      <w:pPr>
        <w:pStyle w:val="TextBody"/>
        <w:spacing w:lineRule="auto" w:line="288" w:before="0" w:after="0"/>
        <w:ind w:left="0" w:right="0" w:firstLine="435"/>
        <w:jc w:val="left"/>
        <w:rPr>
          <w:sz w:val="17"/>
        </w:rPr>
      </w:pPr>
      <w:r>
        <w:rPr>
          <w:rFonts w:ascii="inherit" w:hAnsi="inherit"/>
          <w:sz w:val="17"/>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2018</w:t>
      </w:r>
      <w:r>
        <w:rPr>
          <w:sz w:val="17"/>
        </w:rPr>
        <w:t xml:space="preserve"> </w:t>
      </w:r>
      <w:r>
        <w:rPr>
          <w:rFonts w:ascii="inherit" w:hAnsi="inherit"/>
          <w:sz w:val="17"/>
        </w:rPr>
        <w:t>(the "2018</w:t>
      </w:r>
      <w:r>
        <w:rPr>
          <w:sz w:val="17"/>
        </w:rPr>
        <w:t xml:space="preserve"> </w:t>
      </w:r>
      <w:r>
        <w:rPr>
          <w:rFonts w:ascii="inherit" w:hAnsi="inherit"/>
          <w:sz w:val="17"/>
        </w:rPr>
        <w:t>Form 10-K"), filed with the SEC on March 1, 2019. These financial statements have been prepared in conformity with the accounting principles and practices as disclosed in the notes to the consolidated financial statements of the Partnership for the fiscal year ended December 31, 2018</w:t>
      </w:r>
      <w:r>
        <w:rPr>
          <w:sz w:val="17"/>
        </w:rPr>
        <w:t xml:space="preserve"> </w:t>
      </w:r>
      <w:r>
        <w:rPr>
          <w:rFonts w:ascii="inherit" w:hAnsi="inherit"/>
          <w:sz w:val="17"/>
        </w:rPr>
        <w:t>with the exceptions of those accounting standards adopted in 2019 as discussed in Note 1.</w:t>
      </w:r>
    </w:p>
    <w:p>
      <w:pPr>
        <w:pStyle w:val="TextBody"/>
        <w:spacing w:lineRule="auto" w:line="288" w:before="0" w:after="0"/>
        <w:ind w:left="0" w:right="0" w:firstLine="450"/>
        <w:jc w:val="left"/>
        <w:rPr>
          <w:rFonts w:ascii="inherit" w:hAnsi="inherit"/>
          <w:sz w:val="17"/>
        </w:rPr>
      </w:pPr>
      <w:r>
        <w:rPr>
          <w:rFonts w:ascii="inherit" w:hAnsi="inherit"/>
          <w:sz w:val="17"/>
        </w:rPr>
        <w:t>References to "Westlake" refer collectively to Westlake Chemical Corporation and its subsidiaries, other than the Partnership, OpCo and OpCo GP.</w:t>
      </w:r>
    </w:p>
    <w:p>
      <w:pPr>
        <w:pStyle w:val="TextBody"/>
        <w:spacing w:lineRule="auto" w:line="288" w:before="0" w:after="0"/>
        <w:ind w:left="0" w:right="0" w:firstLine="435"/>
        <w:jc w:val="left"/>
        <w:rPr>
          <w:sz w:val="17"/>
        </w:rPr>
      </w:pPr>
      <w:r>
        <w:rPr>
          <w:rFonts w:ascii="inherit" w:hAnsi="inherit"/>
          <w:sz w:val="17"/>
        </w:rPr>
        <w:t>The Partnership holds a 22.8%</w:t>
      </w:r>
      <w:r>
        <w:rPr>
          <w:sz w:val="17"/>
        </w:rPr>
        <w:t xml:space="preserve"> </w:t>
      </w:r>
      <w:r>
        <w:rPr>
          <w:rFonts w:ascii="inherit" w:hAnsi="inherit"/>
          <w:sz w:val="17"/>
        </w:rPr>
        <w:t>limited partner interest and the entire non-economic general partner interest in OpCo. The remaining 77.2%</w:t>
      </w:r>
      <w:r>
        <w:rPr>
          <w:sz w:val="17"/>
        </w:rPr>
        <w:t xml:space="preserve"> </w:t>
      </w:r>
      <w:r>
        <w:rPr>
          <w:rFonts w:ascii="inherit" w:hAnsi="inherit"/>
          <w:sz w:val="17"/>
        </w:rPr>
        <w:t>limited partner interest in OpCo is owned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w:t>
      </w:r>
      <w:r>
        <w:rPr>
          <w:sz w:val="17"/>
        </w:rPr>
        <w:t xml:space="preserve"> </w:t>
      </w:r>
      <w:r>
        <w:rPr>
          <w:rFonts w:ascii="inherit" w:hAnsi="inherit"/>
          <w:sz w:val="17"/>
        </w:rPr>
        <w:t>is recorded as noncontrolling interest in the Partnership's consolidated financial statements.</w:t>
      </w:r>
    </w:p>
    <w:p>
      <w:pPr>
        <w:pStyle w:val="TextBody"/>
        <w:spacing w:lineRule="auto" w:line="288" w:before="0" w:after="0"/>
        <w:ind w:left="0" w:right="0" w:firstLine="450"/>
        <w:jc w:val="left"/>
        <w:rPr>
          <w:sz w:val="17"/>
        </w:rPr>
      </w:pPr>
      <w:r>
        <w:rPr>
          <w:rFonts w:ascii="inherit" w:hAnsi="inherit"/>
          <w:sz w:val="17"/>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March 31, 2019, its results of operations for the three months ended March 31, 2019</w:t>
      </w:r>
      <w:r>
        <w:rPr>
          <w:sz w:val="17"/>
        </w:rPr>
        <w:t xml:space="preserve"> </w:t>
      </w:r>
      <w:r>
        <w:rPr>
          <w:rFonts w:ascii="inherit" w:hAnsi="inherit"/>
          <w:sz w:val="17"/>
        </w:rPr>
        <w:t>and 2018</w:t>
      </w:r>
      <w:r>
        <w:rPr>
          <w:sz w:val="17"/>
        </w:rPr>
        <w:t xml:space="preserve"> </w:t>
      </w:r>
      <w:r>
        <w:rPr>
          <w:rFonts w:ascii="inherit" w:hAnsi="inherit"/>
          <w:sz w:val="17"/>
        </w:rPr>
        <w:t>and the changes in its cash position for the three months ended March 31, 2019 and 2018.</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jc w:val="left"/>
        <w:rPr/>
      </w:pPr>
      <w:hyperlink w:anchor="s57D9DAA9FEA85990A24D0CBB70729000">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sz w:val="17"/>
        </w:rPr>
      </w:pPr>
      <w:r>
        <w:rPr>
          <w:rFonts w:ascii="inherit" w:hAnsi="inherit"/>
          <w:b/>
          <w:sz w:val="17"/>
        </w:rPr>
        <w:t>NOTES TO CONSOLIDATED FINANCIAL STATEMENTS</w:t>
      </w:r>
      <w:r>
        <w:rPr>
          <w:sz w:val="17"/>
        </w:rPr>
        <w:t>—</w:t>
      </w:r>
      <w:r>
        <w:rPr>
          <w:rFonts w:ascii="inherit" w:hAnsi="inherit"/>
          <w:b/>
          <w:sz w:val="17"/>
        </w:rPr>
        <w:t>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ind w:left="0" w:right="0" w:firstLine="450"/>
        <w:jc w:val="left"/>
        <w:rPr>
          <w:sz w:val="17"/>
        </w:rPr>
      </w:pPr>
      <w:r>
        <w:rPr>
          <w:rFonts w:ascii="inherit" w:hAnsi="inherit"/>
          <w:sz w:val="17"/>
        </w:rPr>
        <w:t>Results of operations and changes in cash position for the interim periods presented are not necessarily indicative of the results that will be realized for the fiscal year ending December 31, 2019</w:t>
      </w:r>
      <w:r>
        <w:rPr>
          <w:sz w:val="17"/>
        </w:rPr>
        <w:t xml:space="preserve"> </w:t>
      </w:r>
      <w:r>
        <w:rPr>
          <w:rFonts w:ascii="inherit" w:hAnsi="inherit"/>
          <w:sz w:val="17"/>
        </w:rPr>
        <w:t>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pStyle w:val="TextBody"/>
        <w:spacing w:lineRule="auto" w:line="288" w:before="0" w:after="0"/>
        <w:rPr>
          <w:rFonts w:ascii="inherit" w:hAnsi="inherit"/>
          <w:b/>
          <w:i/>
          <w:sz w:val="17"/>
        </w:rPr>
      </w:pPr>
      <w:r>
        <w:rPr>
          <w:rFonts w:ascii="inherit" w:hAnsi="inherit"/>
          <w:b/>
          <w:i/>
          <w:sz w:val="17"/>
        </w:rPr>
        <w:t>Recent Accounting Pronouncements</w:t>
      </w:r>
    </w:p>
    <w:p>
      <w:pPr>
        <w:pStyle w:val="TextBody"/>
        <w:spacing w:lineRule="auto" w:line="288" w:before="0" w:after="0"/>
        <w:jc w:val="left"/>
        <w:rPr>
          <w:rFonts w:ascii="inherit" w:hAnsi="inherit"/>
          <w:i/>
          <w:sz w:val="17"/>
        </w:rPr>
      </w:pPr>
      <w:r>
        <w:rPr>
          <w:rFonts w:ascii="inherit" w:hAnsi="inherit"/>
          <w:i/>
          <w:sz w:val="17"/>
        </w:rPr>
        <w:t>Credit Losses (ASU No. 2016-13)</w:t>
      </w:r>
    </w:p>
    <w:p>
      <w:pPr>
        <w:pStyle w:val="TextBody"/>
        <w:spacing w:lineRule="auto" w:line="288" w:before="0" w:after="0"/>
        <w:ind w:left="0" w:right="0" w:firstLine="480"/>
        <w:jc w:val="left"/>
        <w:rPr>
          <w:rFonts w:ascii="inherit" w:hAnsi="inherit"/>
          <w:sz w:val="17"/>
        </w:rPr>
      </w:pPr>
      <w:r>
        <w:rPr>
          <w:rFonts w:ascii="inherit" w:hAnsi="inherit"/>
          <w:sz w:val="17"/>
        </w:rPr>
        <w:t>In June 2016, the FASB issued an accounting standards update providing new guidance for the accounting for credit losses on loans and other financial instruments. The new guidance introduces an approach based on expected losses to estimate credit losses on certain types of financial instruments. The standard also modifies the impairment model for available-for-sale debt securities and provides for a simplified accounting model for purchased financial assets with credit deterioration since their origination. The accounting standard will be effective for reporting periods beginning after December 15, 2019 and is not expected to have a material impact on the Partnership's consolidated financial position, results of operations and cash flows.</w:t>
      </w:r>
    </w:p>
    <w:p>
      <w:pPr>
        <w:pStyle w:val="TextBody"/>
        <w:spacing w:lineRule="auto" w:line="288" w:before="0" w:after="0"/>
        <w:jc w:val="left"/>
        <w:rPr>
          <w:rFonts w:ascii="inherit" w:hAnsi="inherit"/>
          <w:i/>
          <w:sz w:val="17"/>
        </w:rPr>
      </w:pPr>
      <w:r>
        <w:rPr>
          <w:rFonts w:ascii="inherit" w:hAnsi="inherit"/>
          <w:i/>
          <w:sz w:val="17"/>
        </w:rPr>
        <w:t>Fair Value Measurement (ASU No. 2018-13)</w:t>
      </w:r>
    </w:p>
    <w:p>
      <w:pPr>
        <w:pStyle w:val="TextBody"/>
        <w:spacing w:lineRule="auto" w:line="288" w:before="0" w:after="0"/>
        <w:ind w:left="0" w:right="0" w:firstLine="480"/>
        <w:jc w:val="left"/>
        <w:rPr>
          <w:rFonts w:ascii="inherit" w:hAnsi="inherit"/>
          <w:sz w:val="17"/>
        </w:rPr>
      </w:pPr>
      <w:r>
        <w:rPr>
          <w:rFonts w:ascii="inherit" w:hAnsi="inherit"/>
          <w:sz w:val="17"/>
        </w:rPr>
        <w:t>In August 2018, the FASB issued an accounting standards update to modify the disclosure requirements on fair value measurements. The amendments are effective for reporting periods beginning after December 15, 2019. An entity is permitted to early adopt any removed or modified disclosures and delay adoption of the additional disclosures until the effective date. Most amendments should be applied retrospectively but certain amendments should be applied prospectively. The Partnership is in the process of evaluating the impact that the new accounting guidance will have on the Partnership's consolidated financial position, results of operations and cash flows.</w:t>
      </w:r>
    </w:p>
    <w:p>
      <w:pPr>
        <w:pStyle w:val="TextBody"/>
        <w:spacing w:lineRule="auto" w:line="288" w:before="0" w:after="0"/>
        <w:rPr>
          <w:rFonts w:ascii="inherit" w:hAnsi="inherit"/>
          <w:b/>
          <w:i/>
          <w:sz w:val="17"/>
        </w:rPr>
      </w:pPr>
      <w:r>
        <w:rPr>
          <w:rFonts w:ascii="inherit" w:hAnsi="inherit"/>
          <w:b/>
          <w:i/>
          <w:sz w:val="17"/>
        </w:rPr>
        <w:t>Recently Adopted Accounting Standards</w:t>
      </w:r>
    </w:p>
    <w:p>
      <w:pPr>
        <w:pStyle w:val="TextBody"/>
        <w:spacing w:lineRule="auto" w:line="288" w:before="0" w:after="0"/>
        <w:jc w:val="left"/>
        <w:rPr>
          <w:rFonts w:ascii="inherit" w:hAnsi="inherit"/>
          <w:i/>
          <w:sz w:val="17"/>
        </w:rPr>
      </w:pPr>
      <w:r>
        <w:rPr>
          <w:rFonts w:ascii="inherit" w:hAnsi="inherit"/>
          <w:i/>
          <w:sz w:val="17"/>
        </w:rPr>
        <w:t>Leases (ASU No. 2016-02)</w:t>
      </w:r>
    </w:p>
    <w:p>
      <w:pPr>
        <w:pStyle w:val="TextBody"/>
        <w:spacing w:lineRule="auto" w:line="288" w:before="0" w:after="0"/>
        <w:ind w:left="0" w:right="0" w:firstLine="480"/>
        <w:jc w:val="left"/>
        <w:rPr>
          <w:rFonts w:ascii="inherit" w:hAnsi="inherit"/>
          <w:sz w:val="17"/>
        </w:rPr>
      </w:pPr>
      <w:r>
        <w:rPr>
          <w:rFonts w:ascii="inherit" w:hAnsi="inherit"/>
          <w:sz w:val="17"/>
        </w:rPr>
        <w:t xml:space="preserve">In February 2016, the FASB issued an accounting standards update on lease accounting that supersedes the previously issued lease guidance. The new standard requires lessees to recognize assets and liabilities for all long-term operating leases. An asset is recognized for the right to use an underlying leased asset and a liability is recognized for the obligation to make payments over the lease term. The standard also requires expanded lease disclosures. The standard requires a modified retrospective adoption approach and allows for the election of certain transition expedients. </w:t>
      </w:r>
    </w:p>
    <w:p>
      <w:pPr>
        <w:pStyle w:val="TextBody"/>
        <w:spacing w:lineRule="auto" w:line="288" w:before="0" w:after="0"/>
        <w:ind w:left="0" w:right="0" w:firstLine="450"/>
        <w:jc w:val="left"/>
        <w:rPr>
          <w:rFonts w:ascii="inherit" w:hAnsi="inherit"/>
          <w:sz w:val="17"/>
        </w:rPr>
      </w:pPr>
      <w:r>
        <w:rPr>
          <w:rFonts w:ascii="inherit" w:hAnsi="inherit"/>
          <w:sz w:val="17"/>
        </w:rPr>
        <w:t>The Partnership adopted the standard effective January 1, 2019 using the optional transition method which allows entities to recognize a cumulative adjustment to the opening balance sheet in the period of adoption. The Partnership elected the package of optional transition expedients and was not required to reassess (1) whether any existing contracts are or contain leases, (2) classification of existing leases as operating or capital or (3) whether initial direct costs for existing leases qualify for capitalization under the new accounting standard. The Partnership did not elect the use of hindsight to determine the lease term when considering lease renewal or termination options. Adoption of the new standard did not have a material impact on the Partnership's consolidated financial position, results of operations and cash flows.</w:t>
      </w:r>
    </w:p>
    <w:p>
      <w:pPr>
        <w:pStyle w:val="TextBody"/>
        <w:spacing w:lineRule="auto" w:line="288" w:before="0" w:after="0"/>
        <w:rPr>
          <w:sz w:val="17"/>
        </w:rPr>
      </w:pPr>
      <w:bookmarkStart w:id="17" w:name="s8C9C73F9F5B55EFDA883B5D75C3B68A6"/>
      <w:bookmarkEnd w:id="17"/>
      <w:r>
        <w:rPr>
          <w:rFonts w:ascii="inherit" w:hAnsi="inherit"/>
          <w:b/>
          <w:sz w:val="17"/>
        </w:rPr>
        <w:t>2.</w:t>
      </w:r>
      <w:r>
        <w:rPr>
          <w:sz w:val="17"/>
        </w:rPr>
        <w:t xml:space="preserve"> </w:t>
      </w:r>
      <w:r>
        <w:rPr>
          <w:rFonts w:ascii="inherit" w:hAnsi="inherit"/>
          <w:b/>
          <w:sz w:val="17"/>
        </w:rPr>
        <w:t>Accounts Receivable—Third Parties</w:t>
      </w:r>
      <w:r>
        <w:rPr>
          <w:sz w:val="17"/>
        </w:rPr>
        <w:t xml:space="preserve"> </w:t>
      </w:r>
    </w:p>
    <w:p>
      <w:pPr>
        <w:pStyle w:val="TextBody"/>
        <w:spacing w:lineRule="auto" w:line="288" w:before="0" w:after="0"/>
        <w:ind w:left="0" w:right="0" w:firstLine="480"/>
        <w:rPr>
          <w:rFonts w:ascii="inherit" w:hAnsi="inherit"/>
          <w:sz w:val="17"/>
        </w:rPr>
      </w:pPr>
      <w:r>
        <w:rPr>
          <w:rFonts w:ascii="inherit" w:hAnsi="inherit"/>
          <w:sz w:val="17"/>
        </w:rPr>
        <w:t>Accounts receivable—third parties consist of the following:</w:t>
      </w:r>
    </w:p>
    <w:tbl>
      <w:tblPr>
        <w:tblW w:w="5423" w:type="dxa"/>
        <w:jc w:val="left"/>
        <w:tblInd w:w="0" w:type="dxa"/>
        <w:tblCellMar>
          <w:top w:w="0" w:type="dxa"/>
          <w:left w:w="0" w:type="dxa"/>
          <w:bottom w:w="0" w:type="dxa"/>
          <w:right w:w="0" w:type="dxa"/>
        </w:tblCellMar>
      </w:tblPr>
      <w:tblGrid>
        <w:gridCol w:w="3305"/>
        <w:gridCol w:w="90"/>
        <w:gridCol w:w="125"/>
        <w:gridCol w:w="590"/>
        <w:gridCol w:w="110"/>
        <w:gridCol w:w="90"/>
        <w:gridCol w:w="165"/>
        <w:gridCol w:w="782"/>
        <w:gridCol w:w="166"/>
      </w:tblGrid>
      <w:tr>
        <w:trPr/>
        <w:tc>
          <w:tcPr>
            <w:tcW w:w="5423" w:type="dxa"/>
            <w:gridSpan w:val="9"/>
            <w:tcBorders/>
            <w:shd w:fill="auto" w:val="clear"/>
            <w:vAlign w:val="center"/>
          </w:tcPr>
          <w:p>
            <w:pPr>
              <w:pStyle w:val="TableContents"/>
              <w:spacing w:before="0" w:after="283"/>
              <w:rPr>
                <w:sz w:val="4"/>
                <w:szCs w:val="4"/>
              </w:rPr>
            </w:pPr>
            <w:r>
              <w:rPr>
                <w:sz w:val="4"/>
                <w:szCs w:val="4"/>
              </w:rPr>
            </w:r>
          </w:p>
        </w:tc>
      </w:tr>
      <w:tr>
        <w:trPr/>
        <w:tc>
          <w:tcPr>
            <w:tcW w:w="33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March 31, </w:t>
              <w:br/>
              <w:t>2019</w:t>
            </w:r>
          </w:p>
        </w:tc>
        <w:tc>
          <w:tcPr>
            <w:tcW w:w="90" w:type="dxa"/>
            <w:tcBorders/>
            <w:shd w:fill="auto" w:val="clear"/>
            <w:vAlign w:val="center"/>
          </w:tcPr>
          <w:p>
            <w:pPr>
              <w:pStyle w:val="TableContents"/>
              <w:spacing w:before="0" w:after="0"/>
              <w:ind w:left="0" w:right="0" w:firstLine="30"/>
              <w:rPr/>
            </w:pPr>
            <w:r>
              <w:rPr/>
              <w:t> </w:t>
            </w:r>
          </w:p>
        </w:tc>
        <w:tc>
          <w:tcPr>
            <w:tcW w:w="111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2018</w:t>
            </w:r>
          </w:p>
        </w:tc>
      </w:tr>
      <w:tr>
        <w:trPr/>
        <w:tc>
          <w:tcPr>
            <w:tcW w:w="3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Trade customers</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14,455</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8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17,325</w:t>
            </w:r>
          </w:p>
        </w:tc>
        <w:tc>
          <w:tcPr>
            <w:tcW w:w="16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doubtful accounts</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(728</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(921</w:t>
            </w:r>
          </w:p>
        </w:tc>
        <w:tc>
          <w:tcPr>
            <w:tcW w:w="16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30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13,727</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16,404</w:t>
            </w:r>
          </w:p>
        </w:tc>
        <w:tc>
          <w:tcPr>
            <w:tcW w:w="16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1,768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 net—third parties</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15,495</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16,404</w:t>
            </w:r>
          </w:p>
        </w:tc>
        <w:tc>
          <w:tcPr>
            <w:tcW w:w="166"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jc w:val="left"/>
        <w:rPr/>
      </w:pPr>
      <w:hyperlink w:anchor="s57D9DAA9FEA85990A24D0CBB70729000">
        <w:bookmarkStart w:id="18" w:name="s51B24AB0555F5559A0C705D10C5EE495"/>
        <w:bookmarkEnd w:id="18"/>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sz w:val="17"/>
        </w:rPr>
      </w:pPr>
      <w:r>
        <w:rPr>
          <w:rFonts w:ascii="inherit" w:hAnsi="inherit"/>
          <w:b/>
          <w:sz w:val="17"/>
        </w:rPr>
        <w:t>NOTES TO CONSOLIDATED FINANCIAL STATEMENTS</w:t>
      </w:r>
      <w:r>
        <w:rPr>
          <w:sz w:val="17"/>
        </w:rPr>
        <w:t>—</w:t>
      </w:r>
      <w:r>
        <w:rPr>
          <w:rFonts w:ascii="inherit" w:hAnsi="inherit"/>
          <w:b/>
          <w:sz w:val="17"/>
        </w:rPr>
        <w:t>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rPr>
          <w:sz w:val="17"/>
        </w:rPr>
      </w:pPr>
      <w:r>
        <w:rPr>
          <w:rFonts w:ascii="inherit" w:hAnsi="inherit"/>
          <w:b/>
          <w:sz w:val="17"/>
        </w:rPr>
        <w:t>3.</w:t>
      </w:r>
      <w:r>
        <w:rPr>
          <w:sz w:val="17"/>
        </w:rPr>
        <w:t xml:space="preserve"> </w:t>
      </w:r>
      <w:r>
        <w:rPr>
          <w:rFonts w:ascii="inherit" w:hAnsi="inherit"/>
          <w:b/>
          <w:sz w:val="17"/>
        </w:rPr>
        <w:t>Inventories</w:t>
      </w:r>
      <w:r>
        <w:rPr>
          <w:sz w:val="17"/>
        </w:rPr>
        <w:t xml:space="preserve"> </w:t>
      </w:r>
    </w:p>
    <w:p>
      <w:pPr>
        <w:pStyle w:val="TextBody"/>
        <w:spacing w:lineRule="auto" w:line="288" w:before="0" w:after="0"/>
        <w:ind w:left="0" w:right="0" w:firstLine="480"/>
        <w:rPr>
          <w:rFonts w:ascii="inherit" w:hAnsi="inherit"/>
          <w:sz w:val="17"/>
        </w:rPr>
      </w:pPr>
      <w:r>
        <w:rPr>
          <w:rFonts w:ascii="inherit" w:hAnsi="inherit"/>
          <w:sz w:val="17"/>
        </w:rPr>
        <w:t>Inventories consist of the following:</w:t>
      </w:r>
    </w:p>
    <w:tbl>
      <w:tblPr>
        <w:tblW w:w="4993" w:type="dxa"/>
        <w:jc w:val="left"/>
        <w:tblInd w:w="0" w:type="dxa"/>
        <w:tblCellMar>
          <w:top w:w="0" w:type="dxa"/>
          <w:left w:w="0" w:type="dxa"/>
          <w:bottom w:w="0" w:type="dxa"/>
          <w:right w:w="0" w:type="dxa"/>
        </w:tblCellMar>
      </w:tblPr>
      <w:tblGrid>
        <w:gridCol w:w="3005"/>
        <w:gridCol w:w="30"/>
        <w:gridCol w:w="158"/>
        <w:gridCol w:w="617"/>
        <w:gridCol w:w="39"/>
        <w:gridCol w:w="30"/>
        <w:gridCol w:w="212"/>
        <w:gridCol w:w="825"/>
        <w:gridCol w:w="77"/>
      </w:tblGrid>
      <w:tr>
        <w:trPr/>
        <w:tc>
          <w:tcPr>
            <w:tcW w:w="4993" w:type="dxa"/>
            <w:gridSpan w:val="9"/>
            <w:tcBorders/>
            <w:shd w:fill="auto" w:val="clear"/>
            <w:vAlign w:val="center"/>
          </w:tcPr>
          <w:p>
            <w:pPr>
              <w:pStyle w:val="TableContents"/>
              <w:spacing w:before="0" w:after="283"/>
              <w:rPr>
                <w:sz w:val="4"/>
                <w:szCs w:val="4"/>
              </w:rPr>
            </w:pPr>
            <w:r>
              <w:rPr>
                <w:sz w:val="4"/>
                <w:szCs w:val="4"/>
              </w:rPr>
            </w:r>
          </w:p>
        </w:tc>
      </w:tr>
      <w:tr>
        <w:trPr/>
        <w:tc>
          <w:tcPr>
            <w:tcW w:w="300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39"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1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March 31, </w:t>
              <w:br/>
              <w:t>2019</w:t>
            </w:r>
          </w:p>
        </w:tc>
        <w:tc>
          <w:tcPr>
            <w:tcW w:w="3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11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2018</w:t>
            </w:r>
          </w:p>
        </w:tc>
      </w:tr>
      <w:tr>
        <w:trPr/>
        <w:tc>
          <w:tcPr>
            <w:tcW w:w="3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Finished products</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1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3,741</w:t>
            </w:r>
          </w:p>
        </w:tc>
        <w:tc>
          <w:tcPr>
            <w:tcW w:w="3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212"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2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3,876</w:t>
            </w:r>
          </w:p>
        </w:tc>
        <w:tc>
          <w:tcPr>
            <w:tcW w:w="7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Feedstock, additives and chemicals</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430</w:t>
            </w:r>
          </w:p>
        </w:tc>
        <w:tc>
          <w:tcPr>
            <w:tcW w:w="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03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512</w:t>
            </w:r>
          </w:p>
        </w:tc>
        <w:tc>
          <w:tcPr>
            <w:tcW w:w="7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Inventories</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4,171</w:t>
            </w:r>
          </w:p>
        </w:tc>
        <w:tc>
          <w:tcPr>
            <w:tcW w:w="3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21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4,388</w:t>
            </w:r>
          </w:p>
        </w:tc>
        <w:tc>
          <w:tcPr>
            <w:tcW w:w="7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bookmarkStart w:id="19" w:name="s172BC21830EC58EA9402F13186F1A01F"/>
      <w:bookmarkEnd w:id="19"/>
      <w:r>
        <w:rPr>
          <w:rFonts w:ascii="inherit" w:hAnsi="inherit"/>
          <w:b/>
          <w:sz w:val="17"/>
        </w:rPr>
        <w:t>4.</w:t>
      </w:r>
      <w:r>
        <w:rPr>
          <w:sz w:val="17"/>
        </w:rPr>
        <w:t xml:space="preserve"> </w:t>
      </w:r>
      <w:r>
        <w:rPr>
          <w:rFonts w:ascii="inherit" w:hAnsi="inherit"/>
          <w:b/>
          <w:sz w:val="17"/>
        </w:rPr>
        <w:t>Property, Plant and Equipment</w:t>
      </w:r>
      <w:r>
        <w:rPr>
          <w:sz w:val="17"/>
        </w:rPr>
        <w:t xml:space="preserve"> </w:t>
      </w:r>
    </w:p>
    <w:p>
      <w:pPr>
        <w:pStyle w:val="TextBody"/>
        <w:spacing w:lineRule="auto" w:line="288" w:before="0" w:after="0"/>
        <w:ind w:left="0" w:right="0" w:firstLine="480"/>
        <w:rPr>
          <w:sz w:val="17"/>
        </w:rPr>
      </w:pPr>
      <w:r>
        <w:rPr>
          <w:rFonts w:ascii="inherit" w:hAnsi="inherit"/>
          <w:sz w:val="17"/>
        </w:rPr>
        <w:t>Depreciation expense on property, plant and equipment of $22,214</w:t>
      </w:r>
      <w:r>
        <w:rPr>
          <w:sz w:val="17"/>
        </w:rPr>
        <w:t xml:space="preserve"> </w:t>
      </w:r>
      <w:r>
        <w:rPr>
          <w:rFonts w:ascii="inherit" w:hAnsi="inherit"/>
          <w:sz w:val="17"/>
        </w:rPr>
        <w:t>and $22,157</w:t>
      </w:r>
      <w:r>
        <w:rPr>
          <w:sz w:val="17"/>
        </w:rPr>
        <w:t xml:space="preserve"> </w:t>
      </w:r>
      <w:r>
        <w:rPr>
          <w:rFonts w:ascii="inherit" w:hAnsi="inherit"/>
          <w:sz w:val="17"/>
        </w:rPr>
        <w:t xml:space="preserve">is included in cost of sales in the consolidated statements of operations for the three months ended March 31, 2019 and 2018, respectively. </w:t>
      </w:r>
    </w:p>
    <w:p>
      <w:pPr>
        <w:pStyle w:val="TextBody"/>
        <w:spacing w:lineRule="auto" w:line="288" w:before="0" w:after="0"/>
        <w:rPr>
          <w:sz w:val="17"/>
        </w:rPr>
      </w:pPr>
      <w:bookmarkStart w:id="20" w:name="sFCDEED187B7D58408A52BC46EF48A3D1"/>
      <w:bookmarkEnd w:id="20"/>
      <w:r>
        <w:rPr>
          <w:rFonts w:ascii="inherit" w:hAnsi="inherit"/>
          <w:b/>
          <w:sz w:val="17"/>
        </w:rPr>
        <w:t>5.</w:t>
      </w:r>
      <w:r>
        <w:rPr>
          <w:sz w:val="17"/>
        </w:rPr>
        <w:t xml:space="preserve"> </w:t>
      </w:r>
      <w:r>
        <w:rPr>
          <w:rFonts w:ascii="inherit" w:hAnsi="inherit"/>
          <w:b/>
          <w:sz w:val="17"/>
        </w:rPr>
        <w:t>Deferred Charges and Other Assets</w:t>
      </w:r>
      <w:r>
        <w:rPr>
          <w:sz w:val="17"/>
        </w:rPr>
        <w:t xml:space="preserve"> </w:t>
      </w:r>
    </w:p>
    <w:p>
      <w:pPr>
        <w:pStyle w:val="TextBody"/>
        <w:spacing w:lineRule="auto" w:line="288" w:before="0" w:after="0"/>
        <w:ind w:left="0" w:right="0" w:firstLine="480"/>
        <w:rPr>
          <w:sz w:val="17"/>
        </w:rPr>
      </w:pPr>
      <w:r>
        <w:rPr>
          <w:rFonts w:ascii="inherit" w:hAnsi="inherit"/>
          <w:sz w:val="17"/>
        </w:rPr>
        <w:t>Amortization expense on other assets of $4,630</w:t>
      </w:r>
      <w:r>
        <w:rPr>
          <w:sz w:val="17"/>
        </w:rPr>
        <w:t xml:space="preserve"> </w:t>
      </w:r>
      <w:r>
        <w:rPr>
          <w:rFonts w:ascii="inherit" w:hAnsi="inherit"/>
          <w:sz w:val="17"/>
        </w:rPr>
        <w:t>and $5,541</w:t>
      </w:r>
      <w:r>
        <w:rPr>
          <w:sz w:val="17"/>
        </w:rPr>
        <w:t xml:space="preserve"> </w:t>
      </w:r>
      <w:r>
        <w:rPr>
          <w:rFonts w:ascii="inherit" w:hAnsi="inherit"/>
          <w:sz w:val="17"/>
        </w:rPr>
        <w:t>is included in costs of sales in the consolidated statements of operations for the three months ended March 31, 2019 and 2018, respectively.</w:t>
      </w:r>
    </w:p>
    <w:p>
      <w:pPr>
        <w:pStyle w:val="TextBody"/>
        <w:spacing w:lineRule="auto" w:line="288" w:before="0" w:after="0"/>
        <w:rPr>
          <w:sz w:val="17"/>
        </w:rPr>
      </w:pPr>
      <w:bookmarkStart w:id="21" w:name="s1B6860D8B7EF5F3DA5F56E487329E1E4"/>
      <w:bookmarkEnd w:id="21"/>
      <w:r>
        <w:rPr>
          <w:rFonts w:ascii="inherit" w:hAnsi="inherit"/>
          <w:b/>
          <w:sz w:val="17"/>
        </w:rPr>
        <w:t>6.</w:t>
      </w:r>
      <w:r>
        <w:rPr>
          <w:sz w:val="17"/>
        </w:rPr>
        <w:t xml:space="preserve"> </w:t>
      </w:r>
      <w:r>
        <w:rPr>
          <w:rFonts w:ascii="inherit" w:hAnsi="inherit"/>
          <w:b/>
          <w:sz w:val="17"/>
        </w:rPr>
        <w:t>Distributions and Net Income Per Limited Partner Unit</w:t>
      </w:r>
      <w:r>
        <w:rPr>
          <w:sz w:val="17"/>
        </w:rPr>
        <w:t xml:space="preserve"> </w:t>
      </w:r>
    </w:p>
    <w:p>
      <w:pPr>
        <w:pStyle w:val="TextBody"/>
        <w:spacing w:lineRule="auto" w:line="288" w:before="0" w:after="0"/>
        <w:ind w:left="0" w:right="0" w:firstLine="435"/>
        <w:jc w:val="left"/>
        <w:rPr>
          <w:sz w:val="17"/>
        </w:rPr>
      </w:pPr>
      <w:r>
        <w:rPr>
          <w:rFonts w:ascii="inherit" w:hAnsi="inherit"/>
          <w:sz w:val="17"/>
        </w:rPr>
        <w:t>On April 30, 2019, the board of directors of Westlake Chemical Partners GP LLC ("Westlake GP"), the Partnership's general partner, declared a quarterly cash distribution for the three months ended March 31, 2019</w:t>
      </w:r>
      <w:r>
        <w:rPr>
          <w:sz w:val="17"/>
        </w:rPr>
        <w:t xml:space="preserve"> </w:t>
      </w:r>
      <w:r>
        <w:rPr>
          <w:rFonts w:ascii="inherit" w:hAnsi="inherit"/>
          <w:sz w:val="17"/>
        </w:rPr>
        <w:t>of $0.4452</w:t>
      </w:r>
      <w:r>
        <w:rPr>
          <w:sz w:val="17"/>
        </w:rPr>
        <w:t xml:space="preserve"> </w:t>
      </w:r>
      <w:r>
        <w:rPr>
          <w:rFonts w:ascii="inherit" w:hAnsi="inherit"/>
          <w:sz w:val="17"/>
        </w:rPr>
        <w:t>per unit. This distribution is payable on May 28, 2019</w:t>
      </w:r>
      <w:r>
        <w:rPr>
          <w:sz w:val="17"/>
        </w:rPr>
        <w:t xml:space="preserve"> </w:t>
      </w:r>
      <w:r>
        <w:rPr>
          <w:rFonts w:ascii="inherit" w:hAnsi="inherit"/>
          <w:sz w:val="17"/>
        </w:rPr>
        <w:t>to the unitholders of record as of May 13, 2019.</w:t>
      </w:r>
    </w:p>
    <w:p>
      <w:pPr>
        <w:pStyle w:val="TextBody"/>
        <w:spacing w:lineRule="auto" w:line="288" w:before="0" w:after="0"/>
        <w:ind w:left="0" w:right="0" w:firstLine="435"/>
        <w:jc w:val="left"/>
        <w:rPr>
          <w:rFonts w:ascii="inherit" w:hAnsi="inherit"/>
          <w:sz w:val="17"/>
        </w:rPr>
      </w:pPr>
      <w:r>
        <w:rPr>
          <w:rFonts w:ascii="inherit" w:hAnsi="inherit"/>
          <w:sz w:val="17"/>
        </w:rPr>
        <w:t>The distributions are declared subsequent to quarter end; therefore, the table below represents total distributions declared from earnings of the related periods pertaining to such distributions.</w:t>
      </w:r>
    </w:p>
    <w:tbl>
      <w:tblPr>
        <w:tblW w:w="8617" w:type="dxa"/>
        <w:jc w:val="left"/>
        <w:tblInd w:w="0" w:type="dxa"/>
        <w:tblCellMar>
          <w:top w:w="0" w:type="dxa"/>
          <w:left w:w="0" w:type="dxa"/>
          <w:bottom w:w="0" w:type="dxa"/>
          <w:right w:w="0" w:type="dxa"/>
        </w:tblCellMar>
      </w:tblPr>
      <w:tblGrid>
        <w:gridCol w:w="6200"/>
        <w:gridCol w:w="90"/>
        <w:gridCol w:w="141"/>
        <w:gridCol w:w="665"/>
        <w:gridCol w:w="124"/>
        <w:gridCol w:w="101"/>
        <w:gridCol w:w="141"/>
        <w:gridCol w:w="665"/>
        <w:gridCol w:w="490"/>
      </w:tblGrid>
      <w:tr>
        <w:trPr/>
        <w:tc>
          <w:tcPr>
            <w:tcW w:w="8617" w:type="dxa"/>
            <w:gridSpan w:val="9"/>
            <w:tcBorders/>
            <w:shd w:fill="auto" w:val="clear"/>
            <w:vAlign w:val="center"/>
          </w:tcPr>
          <w:p>
            <w:pPr>
              <w:pStyle w:val="TableContents"/>
              <w:spacing w:before="0" w:after="283"/>
              <w:rPr>
                <w:sz w:val="4"/>
                <w:szCs w:val="4"/>
              </w:rPr>
            </w:pPr>
            <w:r>
              <w:rPr>
                <w:sz w:val="4"/>
                <w:szCs w:val="4"/>
              </w:rPr>
            </w:r>
          </w:p>
        </w:tc>
      </w:tr>
      <w:tr>
        <w:trPr/>
        <w:tc>
          <w:tcPr>
            <w:tcW w:w="6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0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232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r>
      <w:tr>
        <w:trPr/>
        <w:tc>
          <w:tcPr>
            <w:tcW w:w="62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3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01" w:type="dxa"/>
            <w:tcBorders/>
            <w:shd w:fill="auto" w:val="clear"/>
            <w:vAlign w:val="center"/>
          </w:tcPr>
          <w:p>
            <w:pPr>
              <w:pStyle w:val="TableContents"/>
              <w:spacing w:before="0" w:after="0"/>
              <w:ind w:left="0" w:right="0" w:firstLine="30"/>
              <w:rPr/>
            </w:pPr>
            <w:r>
              <w:rPr/>
              <w:t> </w:t>
            </w:r>
          </w:p>
        </w:tc>
        <w:tc>
          <w:tcPr>
            <w:tcW w:w="129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6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the Partnership</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6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14,955</w:t>
            </w:r>
          </w:p>
        </w:tc>
        <w:tc>
          <w:tcPr>
            <w:tcW w:w="12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4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6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12,295</w:t>
            </w:r>
          </w:p>
        </w:tc>
        <w:tc>
          <w:tcPr>
            <w:tcW w:w="49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Less:</w:t>
            </w:r>
          </w:p>
        </w:tc>
        <w:tc>
          <w:tcPr>
            <w:tcW w:w="90"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101" w:type="dxa"/>
            <w:tcBorders/>
            <w:shd w:fill="auto" w:val="clear"/>
            <w:vAlign w:val="center"/>
          </w:tcPr>
          <w:p>
            <w:pPr>
              <w:pStyle w:val="TableContents"/>
              <w:spacing w:before="0" w:after="0"/>
              <w:ind w:left="0" w:right="0" w:firstLine="30"/>
              <w:rPr/>
            </w:pPr>
            <w:r>
              <w:rPr/>
              <w:t> </w:t>
            </w:r>
          </w:p>
        </w:tc>
        <w:tc>
          <w:tcPr>
            <w:tcW w:w="1296" w:type="dxa"/>
            <w:gridSpan w:val="3"/>
            <w:tcBorders/>
            <w:shd w:fill="auto" w:val="clear"/>
            <w:vAlign w:val="center"/>
          </w:tcPr>
          <w:p>
            <w:pPr>
              <w:pStyle w:val="TableContents"/>
              <w:spacing w:before="0" w:after="0"/>
              <w:ind w:left="0" w:right="0" w:firstLine="420"/>
              <w:rPr/>
            </w:pPr>
            <w:r>
              <w:rPr/>
              <w:t> </w:t>
            </w:r>
          </w:p>
        </w:tc>
      </w:tr>
      <w:tr>
        <w:trPr/>
        <w:tc>
          <w:tcPr>
            <w:tcW w:w="6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Limited partners' distributions declared on common units</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0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15,666</w:t>
            </w:r>
          </w:p>
        </w:tc>
        <w:tc>
          <w:tcPr>
            <w:tcW w:w="1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80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12,814</w:t>
            </w:r>
          </w:p>
        </w:tc>
        <w:tc>
          <w:tcPr>
            <w:tcW w:w="49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Distributions declared with respect to the incentive distribution rights</w:t>
            </w:r>
          </w:p>
        </w:tc>
        <w:tc>
          <w:tcPr>
            <w:tcW w:w="90" w:type="dxa"/>
            <w:tcBorders/>
            <w:shd w:fill="auto" w:val="clear"/>
            <w:vAlign w:val="center"/>
          </w:tcPr>
          <w:p>
            <w:pPr>
              <w:pStyle w:val="TableContents"/>
              <w:spacing w:before="0" w:after="0"/>
              <w:ind w:left="0" w:right="0" w:firstLine="30"/>
              <w:rPr/>
            </w:pPr>
            <w:r>
              <w:rPr/>
              <w:t> </w:t>
            </w:r>
          </w:p>
        </w:tc>
        <w:tc>
          <w:tcPr>
            <w:tcW w:w="80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80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733</w:t>
            </w:r>
          </w:p>
        </w:tc>
        <w:tc>
          <w:tcPr>
            <w:tcW w:w="49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Net income in excess of distribution (distribution in excess of net income) </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6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(711</w:t>
            </w:r>
          </w:p>
        </w:tc>
        <w:tc>
          <w:tcPr>
            <w:tcW w:w="124"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1" w:type="dxa"/>
            <w:tcBorders/>
            <w:shd w:fill="CCEEFF" w:val="clear"/>
            <w:vAlign w:val="center"/>
          </w:tcPr>
          <w:p>
            <w:pPr>
              <w:pStyle w:val="TableContents"/>
              <w:spacing w:before="0" w:after="0"/>
              <w:ind w:left="0" w:right="0" w:firstLine="30"/>
              <w:rPr/>
            </w:pPr>
            <w:r>
              <w:rPr/>
              <w:t> </w:t>
            </w:r>
          </w:p>
        </w:tc>
        <w:tc>
          <w:tcPr>
            <w:tcW w:w="14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6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(1,252</w:t>
            </w:r>
          </w:p>
        </w:tc>
        <w:tc>
          <w:tcPr>
            <w:tcW w:w="49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ind w:left="0" w:right="0" w:firstLine="450"/>
        <w:rPr>
          <w:rFonts w:ascii="inherit" w:hAnsi="inherit"/>
          <w:sz w:val="17"/>
        </w:rPr>
      </w:pPr>
      <w:r>
        <w:rPr>
          <w:rFonts w:ascii="inherit" w:hAnsi="inherit"/>
          <w:sz w:val="17"/>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 of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jc w:val="left"/>
        <w:rPr/>
      </w:pPr>
      <w:hyperlink w:anchor="s57D9DAA9FEA85990A24D0CBB70729000">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sz w:val="17"/>
        </w:rPr>
      </w:pPr>
      <w:r>
        <w:rPr>
          <w:rFonts w:ascii="inherit" w:hAnsi="inherit"/>
          <w:b/>
          <w:sz w:val="17"/>
        </w:rPr>
        <w:t>NOTES TO CONSOLIDATED FINANCIAL STATEMENTS</w:t>
      </w:r>
      <w:r>
        <w:rPr>
          <w:sz w:val="17"/>
        </w:rPr>
        <w:t>—</w:t>
      </w:r>
      <w:r>
        <w:rPr>
          <w:rFonts w:ascii="inherit" w:hAnsi="inherit"/>
          <w:b/>
          <w:sz w:val="17"/>
        </w:rPr>
        <w:t>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589"/>
        <w:gridCol w:w="90"/>
        <w:gridCol w:w="367"/>
        <w:gridCol w:w="1720"/>
        <w:gridCol w:w="320"/>
        <w:gridCol w:w="90"/>
        <w:gridCol w:w="634"/>
        <w:gridCol w:w="1321"/>
        <w:gridCol w:w="156"/>
        <w:gridCol w:w="90"/>
        <w:gridCol w:w="166"/>
        <w:gridCol w:w="784"/>
        <w:gridCol w:w="878"/>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35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8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26"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2019</w:t>
            </w:r>
          </w:p>
        </w:tc>
      </w:tr>
      <w:tr>
        <w:trPr/>
        <w:tc>
          <w:tcPr>
            <w:tcW w:w="358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4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Limited Partners' Common Units</w:t>
            </w:r>
          </w:p>
        </w:tc>
        <w:tc>
          <w:tcPr>
            <w:tcW w:w="90" w:type="dxa"/>
            <w:tcBorders/>
            <w:shd w:fill="auto" w:val="clear"/>
            <w:vAlign w:val="center"/>
          </w:tcPr>
          <w:p>
            <w:pPr>
              <w:pStyle w:val="TableContents"/>
              <w:spacing w:before="0" w:after="0"/>
              <w:ind w:left="0" w:right="0" w:firstLine="30"/>
              <w:rPr/>
            </w:pPr>
            <w:r>
              <w:rPr/>
              <w:t> </w:t>
            </w:r>
          </w:p>
        </w:tc>
        <w:tc>
          <w:tcPr>
            <w:tcW w:w="21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Incentive Distribution Rights</w:t>
            </w:r>
          </w:p>
        </w:tc>
        <w:tc>
          <w:tcPr>
            <w:tcW w:w="90" w:type="dxa"/>
            <w:tcBorders/>
            <w:shd w:fill="auto" w:val="clear"/>
            <w:vAlign w:val="center"/>
          </w:tcPr>
          <w:p>
            <w:pPr>
              <w:pStyle w:val="TableContents"/>
              <w:spacing w:before="0" w:after="0"/>
              <w:ind w:left="0" w:right="0" w:firstLine="30"/>
              <w:rPr/>
            </w:pPr>
            <w:r>
              <w:rPr/>
              <w:t> </w:t>
            </w:r>
          </w:p>
        </w:tc>
        <w:tc>
          <w:tcPr>
            <w:tcW w:w="18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the Partnership:</w:t>
            </w:r>
          </w:p>
        </w:tc>
        <w:tc>
          <w:tcPr>
            <w:tcW w:w="90" w:type="dxa"/>
            <w:tcBorders/>
            <w:shd w:fill="CCEEFF" w:val="clear"/>
            <w:vAlign w:val="center"/>
          </w:tcPr>
          <w:p>
            <w:pPr>
              <w:pStyle w:val="TableContents"/>
              <w:spacing w:before="0" w:after="0"/>
              <w:ind w:left="0" w:right="0" w:firstLine="30"/>
              <w:rPr/>
            </w:pPr>
            <w:r>
              <w:rPr/>
              <w:t> </w:t>
            </w:r>
          </w:p>
        </w:tc>
        <w:tc>
          <w:tcPr>
            <w:tcW w:w="240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1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828" w:type="dxa"/>
            <w:gridSpan w:val="3"/>
            <w:tcBorders/>
            <w:shd w:fill="CCEEFF" w:val="clear"/>
            <w:vAlign w:val="center"/>
          </w:tcPr>
          <w:p>
            <w:pPr>
              <w:pStyle w:val="TableContents"/>
              <w:spacing w:before="0" w:after="0"/>
              <w:ind w:left="0" w:right="0" w:firstLine="420"/>
              <w:rPr/>
            </w:pPr>
            <w:r>
              <w:rPr/>
              <w:t> </w:t>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Distribution declared</w:t>
            </w:r>
          </w:p>
        </w:tc>
        <w:tc>
          <w:tcPr>
            <w:tcW w:w="90" w:type="dxa"/>
            <w:tcBorders/>
            <w:shd w:fill="auto" w:val="clear"/>
            <w:vAlign w:val="center"/>
          </w:tcPr>
          <w:p>
            <w:pPr>
              <w:pStyle w:val="TableContents"/>
              <w:spacing w:before="0" w:after="0"/>
              <w:ind w:left="0" w:right="0" w:firstLine="30"/>
              <w:rPr/>
            </w:pPr>
            <w:r>
              <w:rPr/>
              <w:t> </w:t>
            </w:r>
          </w:p>
        </w:tc>
        <w:tc>
          <w:tcPr>
            <w:tcW w:w="3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720" w:type="dxa"/>
            <w:tcBorders/>
            <w:shd w:fill="auto" w:val="clear"/>
            <w:vAlign w:val="center"/>
          </w:tcPr>
          <w:p>
            <w:pPr>
              <w:pStyle w:val="TableContents"/>
              <w:spacing w:before="0" w:after="0"/>
              <w:jc w:val="right"/>
              <w:rPr>
                <w:rFonts w:ascii="inherit" w:hAnsi="inherit"/>
                <w:sz w:val="17"/>
              </w:rPr>
            </w:pPr>
            <w:r>
              <w:rPr>
                <w:rFonts w:ascii="inherit" w:hAnsi="inherit"/>
                <w:sz w:val="17"/>
              </w:rPr>
              <w:t>15,666</w:t>
            </w:r>
          </w:p>
        </w:tc>
        <w:tc>
          <w:tcPr>
            <w:tcW w:w="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3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21" w:type="dxa"/>
            <w:tcBorders/>
            <w:shd w:fill="auto" w:val="clear"/>
            <w:vAlign w:val="center"/>
          </w:tcPr>
          <w:p>
            <w:pPr>
              <w:pStyle w:val="TableContents"/>
              <w:spacing w:before="0" w:after="0"/>
              <w:jc w:val="right"/>
              <w:rPr/>
            </w:pPr>
            <w:r>
              <w:rPr/>
              <w:t>—</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shd w:fill="auto" w:val="clear"/>
            <w:vAlign w:val="center"/>
          </w:tcPr>
          <w:p>
            <w:pPr>
              <w:pStyle w:val="TableContents"/>
              <w:spacing w:before="0" w:after="0"/>
              <w:jc w:val="right"/>
              <w:rPr>
                <w:rFonts w:ascii="inherit" w:hAnsi="inherit"/>
                <w:sz w:val="17"/>
              </w:rPr>
            </w:pPr>
            <w:r>
              <w:rPr>
                <w:rFonts w:ascii="inherit" w:hAnsi="inherit"/>
                <w:sz w:val="17"/>
              </w:rPr>
              <w:t>15,666</w:t>
            </w:r>
          </w:p>
        </w:tc>
        <w:tc>
          <w:tcPr>
            <w:tcW w:w="87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 in excess of net income</w:t>
            </w:r>
          </w:p>
        </w:tc>
        <w:tc>
          <w:tcPr>
            <w:tcW w:w="90" w:type="dxa"/>
            <w:tcBorders/>
            <w:shd w:fill="CCEEFF" w:val="clear"/>
            <w:vAlign w:val="center"/>
          </w:tcPr>
          <w:p>
            <w:pPr>
              <w:pStyle w:val="TableContents"/>
              <w:spacing w:before="0" w:after="0"/>
              <w:ind w:left="0" w:right="0" w:firstLine="30"/>
              <w:rPr/>
            </w:pPr>
            <w:r>
              <w:rPr/>
              <w:t> </w:t>
            </w:r>
          </w:p>
        </w:tc>
        <w:tc>
          <w:tcPr>
            <w:tcW w:w="208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(711</w:t>
            </w:r>
          </w:p>
        </w:tc>
        <w:tc>
          <w:tcPr>
            <w:tcW w:w="32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95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(711</w:t>
            </w:r>
          </w:p>
        </w:tc>
        <w:tc>
          <w:tcPr>
            <w:tcW w:w="878" w:type="dxa"/>
            <w:tcBorders>
              <w:bottom w:val="single" w:sz="2" w:space="0" w:color="000000"/>
            </w:tcBorders>
            <w:shd w:fill="CCEEFF"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0" w:type="dxa"/>
            <w:tcBorders/>
            <w:shd w:fill="auto" w:val="clear"/>
            <w:vAlign w:val="center"/>
          </w:tcPr>
          <w:p>
            <w:pPr>
              <w:pStyle w:val="TableContents"/>
              <w:spacing w:before="0" w:after="0"/>
              <w:ind w:left="0" w:right="0" w:firstLine="30"/>
              <w:rPr/>
            </w:pPr>
            <w:r>
              <w:rPr/>
              <w:t> </w:t>
            </w:r>
          </w:p>
        </w:tc>
        <w:tc>
          <w:tcPr>
            <w:tcW w:w="3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72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14,955</w:t>
            </w:r>
          </w:p>
        </w:tc>
        <w:tc>
          <w:tcPr>
            <w:tcW w:w="32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3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2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14,955</w:t>
            </w:r>
          </w:p>
        </w:tc>
        <w:tc>
          <w:tcPr>
            <w:tcW w:w="87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units outstanding:</w:t>
            </w:r>
          </w:p>
        </w:tc>
        <w:tc>
          <w:tcPr>
            <w:tcW w:w="90" w:type="dxa"/>
            <w:tcBorders/>
            <w:shd w:fill="CCEEFF" w:val="clear"/>
            <w:vAlign w:val="center"/>
          </w:tcPr>
          <w:p>
            <w:pPr>
              <w:pStyle w:val="TableContents"/>
              <w:spacing w:before="0" w:after="0"/>
              <w:ind w:left="0" w:right="0" w:firstLine="30"/>
              <w:rPr/>
            </w:pPr>
            <w:r>
              <w:rPr/>
              <w:t> </w:t>
            </w:r>
          </w:p>
        </w:tc>
        <w:tc>
          <w:tcPr>
            <w:tcW w:w="240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1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828" w:type="dxa"/>
            <w:gridSpan w:val="3"/>
            <w:tcBorders/>
            <w:shd w:fill="CCEEFF" w:val="clear"/>
            <w:vAlign w:val="center"/>
          </w:tcPr>
          <w:p>
            <w:pPr>
              <w:pStyle w:val="TableContents"/>
              <w:spacing w:before="0" w:after="0"/>
              <w:ind w:left="0" w:right="0" w:firstLine="420"/>
              <w:rPr/>
            </w:pPr>
            <w:r>
              <w:rPr/>
              <w:t> </w:t>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Basic and diluted</w:t>
            </w:r>
          </w:p>
        </w:tc>
        <w:tc>
          <w:tcPr>
            <w:tcW w:w="90" w:type="dxa"/>
            <w:tcBorders/>
            <w:shd w:fill="auto" w:val="clear"/>
            <w:vAlign w:val="center"/>
          </w:tcPr>
          <w:p>
            <w:pPr>
              <w:pStyle w:val="TableContents"/>
              <w:spacing w:before="0" w:after="0"/>
              <w:ind w:left="0" w:right="0" w:firstLine="30"/>
              <w:rPr/>
            </w:pPr>
            <w:r>
              <w:rPr/>
              <w:t> </w:t>
            </w:r>
          </w:p>
        </w:tc>
        <w:tc>
          <w:tcPr>
            <w:tcW w:w="2087"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32,345,398</w:t>
            </w:r>
          </w:p>
        </w:tc>
        <w:tc>
          <w:tcPr>
            <w:tcW w:w="32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0"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32,345,398</w:t>
            </w:r>
          </w:p>
        </w:tc>
        <w:tc>
          <w:tcPr>
            <w:tcW w:w="87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per limited partner unit:</w:t>
            </w:r>
          </w:p>
        </w:tc>
        <w:tc>
          <w:tcPr>
            <w:tcW w:w="90" w:type="dxa"/>
            <w:tcBorders/>
            <w:shd w:fill="CCEEFF" w:val="clear"/>
            <w:vAlign w:val="center"/>
          </w:tcPr>
          <w:p>
            <w:pPr>
              <w:pStyle w:val="TableContents"/>
              <w:spacing w:before="0" w:after="0"/>
              <w:ind w:left="0" w:right="0" w:firstLine="30"/>
              <w:rPr/>
            </w:pPr>
            <w:r>
              <w:rPr/>
              <w:t> </w:t>
            </w:r>
          </w:p>
        </w:tc>
        <w:tc>
          <w:tcPr>
            <w:tcW w:w="240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11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828" w:type="dxa"/>
            <w:gridSpan w:val="3"/>
            <w:tcBorders/>
            <w:shd w:fill="CCEEFF" w:val="clear"/>
            <w:vAlign w:val="center"/>
          </w:tcPr>
          <w:p>
            <w:pPr>
              <w:pStyle w:val="TableContents"/>
              <w:spacing w:before="0" w:after="0"/>
              <w:ind w:left="0" w:right="0" w:firstLine="420"/>
              <w:rPr/>
            </w:pPr>
            <w:r>
              <w:rPr/>
              <w:t> </w:t>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Basic and diluted</w:t>
            </w:r>
          </w:p>
        </w:tc>
        <w:tc>
          <w:tcPr>
            <w:tcW w:w="90" w:type="dxa"/>
            <w:tcBorders/>
            <w:shd w:fill="auto" w:val="clear"/>
            <w:vAlign w:val="center"/>
          </w:tcPr>
          <w:p>
            <w:pPr>
              <w:pStyle w:val="TableContents"/>
              <w:spacing w:before="0" w:after="0"/>
              <w:ind w:left="0" w:right="0" w:firstLine="30"/>
              <w:rPr/>
            </w:pPr>
            <w:r>
              <w:rPr/>
              <w:t> </w:t>
            </w:r>
          </w:p>
        </w:tc>
        <w:tc>
          <w:tcPr>
            <w:tcW w:w="36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72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0.46</w:t>
            </w:r>
          </w:p>
        </w:tc>
        <w:tc>
          <w:tcPr>
            <w:tcW w:w="32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1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828" w:type="dxa"/>
            <w:gridSpan w:val="3"/>
            <w:tcBorders/>
            <w:shd w:fill="auto" w:val="cle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3589"/>
        <w:gridCol w:w="90"/>
        <w:gridCol w:w="367"/>
        <w:gridCol w:w="1720"/>
        <w:gridCol w:w="320"/>
        <w:gridCol w:w="90"/>
        <w:gridCol w:w="536"/>
        <w:gridCol w:w="1442"/>
        <w:gridCol w:w="132"/>
        <w:gridCol w:w="90"/>
        <w:gridCol w:w="166"/>
        <w:gridCol w:w="784"/>
        <w:gridCol w:w="879"/>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35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8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26"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2018</w:t>
            </w:r>
          </w:p>
        </w:tc>
      </w:tr>
      <w:tr>
        <w:trPr/>
        <w:tc>
          <w:tcPr>
            <w:tcW w:w="358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40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Limited Partners' Common Units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211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Incentive Distribution Rights</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82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the Partnership:</w:t>
            </w:r>
          </w:p>
        </w:tc>
        <w:tc>
          <w:tcPr>
            <w:tcW w:w="90" w:type="dxa"/>
            <w:tcBorders/>
            <w:shd w:fill="CCEEFF" w:val="clear"/>
            <w:vAlign w:val="center"/>
          </w:tcPr>
          <w:p>
            <w:pPr>
              <w:pStyle w:val="TableContents"/>
              <w:spacing w:before="0" w:after="0"/>
              <w:ind w:left="0" w:right="0" w:firstLine="30"/>
              <w:rPr/>
            </w:pPr>
            <w:r>
              <w:rPr/>
              <w:t> </w:t>
            </w:r>
          </w:p>
        </w:tc>
        <w:tc>
          <w:tcPr>
            <w:tcW w:w="2407"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110"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829" w:type="dxa"/>
            <w:gridSpan w:val="3"/>
            <w:tcBorders>
              <w:top w:val="single" w:sz="2" w:space="0" w:color="000000"/>
            </w:tcBorders>
            <w:shd w:fill="CCEEFF" w:val="clear"/>
            <w:tcMar>
              <w:top w:w="30" w:type="dxa"/>
            </w:tcMar>
            <w:vAlign w:val="center"/>
          </w:tcPr>
          <w:p>
            <w:pPr>
              <w:pStyle w:val="TableContents"/>
              <w:spacing w:before="0" w:after="0"/>
              <w:ind w:left="0" w:right="0" w:firstLine="420"/>
              <w:rPr/>
            </w:pPr>
            <w:r>
              <w:rPr/>
              <w:t> </w:t>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Distribution declared</w:t>
            </w:r>
          </w:p>
        </w:tc>
        <w:tc>
          <w:tcPr>
            <w:tcW w:w="90" w:type="dxa"/>
            <w:tcBorders/>
            <w:shd w:fill="auto" w:val="clear"/>
            <w:vAlign w:val="center"/>
          </w:tcPr>
          <w:p>
            <w:pPr>
              <w:pStyle w:val="TableContents"/>
              <w:spacing w:before="0" w:after="0"/>
              <w:ind w:left="0" w:right="0" w:firstLine="30"/>
              <w:rPr/>
            </w:pPr>
            <w:r>
              <w:rPr/>
              <w:t> </w:t>
            </w:r>
          </w:p>
        </w:tc>
        <w:tc>
          <w:tcPr>
            <w:tcW w:w="3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720" w:type="dxa"/>
            <w:tcBorders/>
            <w:shd w:fill="auto" w:val="clear"/>
            <w:vAlign w:val="center"/>
          </w:tcPr>
          <w:p>
            <w:pPr>
              <w:pStyle w:val="TableContents"/>
              <w:spacing w:before="0" w:after="0"/>
              <w:jc w:val="right"/>
              <w:rPr>
                <w:rFonts w:ascii="inherit" w:hAnsi="inherit"/>
                <w:sz w:val="17"/>
              </w:rPr>
            </w:pPr>
            <w:r>
              <w:rPr>
                <w:rFonts w:ascii="inherit" w:hAnsi="inherit"/>
                <w:sz w:val="17"/>
              </w:rPr>
              <w:t>12,814</w:t>
            </w:r>
          </w:p>
        </w:tc>
        <w:tc>
          <w:tcPr>
            <w:tcW w:w="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3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42" w:type="dxa"/>
            <w:tcBorders/>
            <w:shd w:fill="auto" w:val="clear"/>
            <w:vAlign w:val="center"/>
          </w:tcPr>
          <w:p>
            <w:pPr>
              <w:pStyle w:val="TableContents"/>
              <w:spacing w:before="0" w:after="0"/>
              <w:jc w:val="right"/>
              <w:rPr>
                <w:rFonts w:ascii="inherit" w:hAnsi="inherit"/>
                <w:sz w:val="17"/>
              </w:rPr>
            </w:pPr>
            <w:r>
              <w:rPr>
                <w:rFonts w:ascii="inherit" w:hAnsi="inherit"/>
                <w:sz w:val="17"/>
              </w:rPr>
              <w:t>733</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shd w:fill="auto" w:val="clear"/>
            <w:vAlign w:val="center"/>
          </w:tcPr>
          <w:p>
            <w:pPr>
              <w:pStyle w:val="TableContents"/>
              <w:spacing w:before="0" w:after="0"/>
              <w:jc w:val="right"/>
              <w:rPr>
                <w:rFonts w:ascii="inherit" w:hAnsi="inherit"/>
                <w:sz w:val="17"/>
              </w:rPr>
            </w:pPr>
            <w:r>
              <w:rPr>
                <w:rFonts w:ascii="inherit" w:hAnsi="inherit"/>
                <w:sz w:val="17"/>
              </w:rPr>
              <w:t>13,547</w:t>
            </w:r>
          </w:p>
        </w:tc>
        <w:tc>
          <w:tcPr>
            <w:tcW w:w="87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 in excess of net income</w:t>
            </w:r>
          </w:p>
        </w:tc>
        <w:tc>
          <w:tcPr>
            <w:tcW w:w="90" w:type="dxa"/>
            <w:tcBorders/>
            <w:shd w:fill="CCEEFF" w:val="clear"/>
            <w:vAlign w:val="center"/>
          </w:tcPr>
          <w:p>
            <w:pPr>
              <w:pStyle w:val="TableContents"/>
              <w:spacing w:before="0" w:after="0"/>
              <w:ind w:left="0" w:right="0" w:firstLine="30"/>
              <w:rPr/>
            </w:pPr>
            <w:r>
              <w:rPr/>
              <w:t> </w:t>
            </w:r>
          </w:p>
        </w:tc>
        <w:tc>
          <w:tcPr>
            <w:tcW w:w="208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(1,252</w:t>
            </w:r>
          </w:p>
        </w:tc>
        <w:tc>
          <w:tcPr>
            <w:tcW w:w="32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97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5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(1,252</w:t>
            </w:r>
          </w:p>
        </w:tc>
        <w:tc>
          <w:tcPr>
            <w:tcW w:w="879" w:type="dxa"/>
            <w:tcBorders>
              <w:bottom w:val="single" w:sz="2" w:space="0" w:color="000000"/>
            </w:tcBorders>
            <w:shd w:fill="CCEEFF"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0" w:type="dxa"/>
            <w:tcBorders/>
            <w:shd w:fill="auto" w:val="clear"/>
            <w:vAlign w:val="center"/>
          </w:tcPr>
          <w:p>
            <w:pPr>
              <w:pStyle w:val="TableContents"/>
              <w:spacing w:before="0" w:after="0"/>
              <w:ind w:left="0" w:right="0" w:firstLine="30"/>
              <w:rPr/>
            </w:pPr>
            <w:r>
              <w:rPr/>
              <w:t> </w:t>
            </w:r>
          </w:p>
        </w:tc>
        <w:tc>
          <w:tcPr>
            <w:tcW w:w="36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72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11,562</w:t>
            </w:r>
          </w:p>
        </w:tc>
        <w:tc>
          <w:tcPr>
            <w:tcW w:w="32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3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4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733</w:t>
            </w:r>
          </w:p>
        </w:tc>
        <w:tc>
          <w:tcPr>
            <w:tcW w:w="13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12,295</w:t>
            </w:r>
          </w:p>
        </w:tc>
        <w:tc>
          <w:tcPr>
            <w:tcW w:w="87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units outstanding:</w:t>
            </w:r>
          </w:p>
        </w:tc>
        <w:tc>
          <w:tcPr>
            <w:tcW w:w="90" w:type="dxa"/>
            <w:tcBorders/>
            <w:shd w:fill="CCEEFF" w:val="clear"/>
            <w:vAlign w:val="center"/>
          </w:tcPr>
          <w:p>
            <w:pPr>
              <w:pStyle w:val="TableContents"/>
              <w:spacing w:before="0" w:after="0"/>
              <w:ind w:left="0" w:right="0" w:firstLine="30"/>
              <w:rPr/>
            </w:pPr>
            <w:r>
              <w:rPr/>
              <w:t> </w:t>
            </w:r>
          </w:p>
        </w:tc>
        <w:tc>
          <w:tcPr>
            <w:tcW w:w="240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11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829" w:type="dxa"/>
            <w:gridSpan w:val="3"/>
            <w:tcBorders/>
            <w:shd w:fill="CCEEFF" w:val="clear"/>
            <w:vAlign w:val="center"/>
          </w:tcPr>
          <w:p>
            <w:pPr>
              <w:pStyle w:val="TableContents"/>
              <w:spacing w:before="0" w:after="0"/>
              <w:ind w:left="0" w:right="0" w:firstLine="420"/>
              <w:rPr/>
            </w:pPr>
            <w:r>
              <w:rPr/>
              <w:t> </w:t>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Basic and diluted</w:t>
            </w:r>
          </w:p>
        </w:tc>
        <w:tc>
          <w:tcPr>
            <w:tcW w:w="90" w:type="dxa"/>
            <w:tcBorders/>
            <w:shd w:fill="auto" w:val="clear"/>
            <w:vAlign w:val="center"/>
          </w:tcPr>
          <w:p>
            <w:pPr>
              <w:pStyle w:val="TableContents"/>
              <w:spacing w:before="0" w:after="0"/>
              <w:ind w:left="0" w:right="0" w:firstLine="30"/>
              <w:rPr/>
            </w:pPr>
            <w:r>
              <w:rPr/>
              <w:t> </w:t>
            </w:r>
          </w:p>
        </w:tc>
        <w:tc>
          <w:tcPr>
            <w:tcW w:w="2087"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32,236,449</w:t>
            </w:r>
          </w:p>
        </w:tc>
        <w:tc>
          <w:tcPr>
            <w:tcW w:w="32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1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0"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32,236,449</w:t>
            </w:r>
          </w:p>
        </w:tc>
        <w:tc>
          <w:tcPr>
            <w:tcW w:w="87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per limited partner unit:</w:t>
            </w:r>
          </w:p>
        </w:tc>
        <w:tc>
          <w:tcPr>
            <w:tcW w:w="90" w:type="dxa"/>
            <w:tcBorders/>
            <w:shd w:fill="CCEEFF" w:val="clear"/>
            <w:vAlign w:val="center"/>
          </w:tcPr>
          <w:p>
            <w:pPr>
              <w:pStyle w:val="TableContents"/>
              <w:spacing w:before="0" w:after="0"/>
              <w:ind w:left="0" w:right="0" w:firstLine="30"/>
              <w:rPr/>
            </w:pPr>
            <w:r>
              <w:rPr/>
              <w:t> </w:t>
            </w:r>
          </w:p>
        </w:tc>
        <w:tc>
          <w:tcPr>
            <w:tcW w:w="2407" w:type="dxa"/>
            <w:gridSpan w:val="3"/>
            <w:tcBorders>
              <w:top w:val="double" w:sz="6"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11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829" w:type="dxa"/>
            <w:gridSpan w:val="3"/>
            <w:tcBorders>
              <w:top w:val="double" w:sz="6" w:space="0" w:color="000000"/>
            </w:tcBorders>
            <w:shd w:fill="CCEEFF" w:val="clear"/>
            <w:tcMar>
              <w:top w:w="30" w:type="dxa"/>
            </w:tcMar>
            <w:vAlign w:val="center"/>
          </w:tcPr>
          <w:p>
            <w:pPr>
              <w:pStyle w:val="TableContents"/>
              <w:spacing w:before="0" w:after="0"/>
              <w:ind w:left="0" w:right="0" w:firstLine="420"/>
              <w:rPr/>
            </w:pPr>
            <w:r>
              <w:rPr/>
              <w:t> </w:t>
            </w:r>
          </w:p>
        </w:tc>
      </w:tr>
      <w:tr>
        <w:trPr/>
        <w:tc>
          <w:tcPr>
            <w:tcW w:w="3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Basic and diluted</w:t>
            </w:r>
          </w:p>
        </w:tc>
        <w:tc>
          <w:tcPr>
            <w:tcW w:w="90" w:type="dxa"/>
            <w:tcBorders/>
            <w:shd w:fill="auto" w:val="clear"/>
            <w:vAlign w:val="center"/>
          </w:tcPr>
          <w:p>
            <w:pPr>
              <w:pStyle w:val="TableContents"/>
              <w:spacing w:before="0" w:after="0"/>
              <w:ind w:left="0" w:right="0" w:firstLine="30"/>
              <w:rPr/>
            </w:pPr>
            <w:r>
              <w:rPr/>
              <w:t> </w:t>
            </w:r>
          </w:p>
        </w:tc>
        <w:tc>
          <w:tcPr>
            <w:tcW w:w="36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72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0.36</w:t>
            </w:r>
          </w:p>
        </w:tc>
        <w:tc>
          <w:tcPr>
            <w:tcW w:w="32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1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829" w:type="dxa"/>
            <w:gridSpan w:val="3"/>
            <w:tcBorders/>
            <w:shd w:fill="auto" w:val="clear"/>
            <w:vAlign w:val="center"/>
          </w:tcPr>
          <w:p>
            <w:pPr>
              <w:pStyle w:val="TableContents"/>
              <w:spacing w:before="0" w:after="0"/>
              <w:rPr/>
            </w:pPr>
            <w:r>
              <w:rPr/>
              <w:t> </w:t>
            </w:r>
          </w:p>
        </w:tc>
      </w:tr>
    </w:tbl>
    <w:tbl>
      <w:tblPr>
        <w:tblW w:w="630" w:type="dxa"/>
        <w:jc w:val="left"/>
        <w:tblInd w:w="0" w:type="dxa"/>
        <w:tblCellMar>
          <w:top w:w="0" w:type="dxa"/>
          <w:left w:w="0" w:type="dxa"/>
          <w:bottom w:w="0" w:type="dxa"/>
          <w:right w:w="0" w:type="dxa"/>
        </w:tblCellMar>
      </w:tblPr>
      <w:tblGrid>
        <w:gridCol w:w="105"/>
        <w:gridCol w:w="90"/>
        <w:gridCol w:w="90"/>
        <w:gridCol w:w="90"/>
        <w:gridCol w:w="90"/>
        <w:gridCol w:w="90"/>
        <w:gridCol w:w="75"/>
      </w:tblGrid>
      <w:tr>
        <w:trPr/>
        <w:tc>
          <w:tcPr>
            <w:tcW w:w="630" w:type="dxa"/>
            <w:gridSpan w:val="7"/>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tbl>
      <w:tblPr>
        <w:tblW w:w="810" w:type="dxa"/>
        <w:jc w:val="left"/>
        <w:tblInd w:w="0" w:type="dxa"/>
        <w:tblCellMar>
          <w:top w:w="0" w:type="dxa"/>
          <w:left w:w="0" w:type="dxa"/>
          <w:bottom w:w="0" w:type="dxa"/>
          <w:right w:w="0" w:type="dxa"/>
        </w:tblCellMar>
      </w:tblPr>
      <w:tblGrid>
        <w:gridCol w:w="105"/>
        <w:gridCol w:w="90"/>
        <w:gridCol w:w="90"/>
        <w:gridCol w:w="90"/>
        <w:gridCol w:w="90"/>
        <w:gridCol w:w="90"/>
        <w:gridCol w:w="90"/>
        <w:gridCol w:w="90"/>
        <w:gridCol w:w="75"/>
      </w:tblGrid>
      <w:tr>
        <w:trPr/>
        <w:tc>
          <w:tcPr>
            <w:tcW w:w="810" w:type="dxa"/>
            <w:gridSpan w:val="9"/>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5" w:type="dxa"/>
            <w:tcBorders/>
            <w:shd w:fill="auto" w:val="clear"/>
            <w:vAlign w:val="center"/>
          </w:tcPr>
          <w:p>
            <w:pPr>
              <w:pStyle w:val="TableContents"/>
              <w:spacing w:before="0" w:after="0"/>
              <w:rPr/>
            </w:pPr>
            <w:r>
              <w:rPr/>
              <w:t> </w:t>
            </w:r>
          </w:p>
        </w:tc>
      </w:tr>
    </w:tbl>
    <w:p>
      <w:pPr>
        <w:pStyle w:val="TextBody"/>
        <w:spacing w:lineRule="auto" w:line="288" w:before="0" w:after="0"/>
        <w:ind w:left="0" w:right="0" w:firstLine="435"/>
        <w:jc w:val="left"/>
        <w:rPr>
          <w:sz w:val="17"/>
        </w:rPr>
      </w:pPr>
      <w:r>
        <w:rPr>
          <w:rFonts w:ascii="inherit" w:hAnsi="inherit"/>
          <w:sz w:val="17"/>
        </w:rPr>
        <w:t>The amended Partnership Agreement provides that the Partnership will distribute cash each quarter to all the unitholders, pro rata, until each unit has received a distribution of $1.2938. If cash distributions to the Partnership's unitholders exceed $1.2938</w:t>
      </w:r>
      <w:r>
        <w:rPr>
          <w:sz w:val="17"/>
        </w:rPr>
        <w:t xml:space="preserve"> </w:t>
      </w:r>
      <w:r>
        <w:rPr>
          <w:rFonts w:ascii="inherit" w:hAnsi="inherit"/>
          <w:sz w:val="17"/>
        </w:rPr>
        <w:t>per unit in any quarter, the Partnership's unitholders and Westlake, as the holder of the Partnership's incentive distribution rights, will receive distributions according to the following percentage allocations:</w:t>
      </w:r>
    </w:p>
    <w:tbl>
      <w:tblPr>
        <w:tblW w:w="6187" w:type="dxa"/>
        <w:jc w:val="left"/>
        <w:tblInd w:w="0" w:type="dxa"/>
        <w:tblCellMar>
          <w:top w:w="0" w:type="dxa"/>
          <w:left w:w="0" w:type="dxa"/>
          <w:bottom w:w="0" w:type="dxa"/>
          <w:right w:w="0" w:type="dxa"/>
        </w:tblCellMar>
      </w:tblPr>
      <w:tblGrid>
        <w:gridCol w:w="2735"/>
        <w:gridCol w:w="90"/>
        <w:gridCol w:w="1010"/>
        <w:gridCol w:w="532"/>
        <w:gridCol w:w="239"/>
        <w:gridCol w:w="1010"/>
        <w:gridCol w:w="571"/>
      </w:tblGrid>
      <w:tr>
        <w:trPr/>
        <w:tc>
          <w:tcPr>
            <w:tcW w:w="6187" w:type="dxa"/>
            <w:gridSpan w:val="7"/>
            <w:tcBorders/>
            <w:shd w:fill="auto" w:val="clear"/>
            <w:vAlign w:val="center"/>
          </w:tcPr>
          <w:p>
            <w:pPr>
              <w:pStyle w:val="TableContents"/>
              <w:spacing w:before="0" w:after="283"/>
              <w:rPr>
                <w:sz w:val="4"/>
                <w:szCs w:val="4"/>
              </w:rPr>
            </w:pPr>
            <w:r>
              <w:rPr>
                <w:sz w:val="4"/>
                <w:szCs w:val="4"/>
              </w:rPr>
            </w:r>
          </w:p>
        </w:tc>
      </w:tr>
      <w:tr>
        <w:trPr/>
        <w:tc>
          <w:tcPr>
            <w:tcW w:w="27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62" w:type="dxa"/>
            <w:gridSpan w:val="5"/>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Marginal Percentage Interest in Distributions</w:t>
            </w:r>
          </w:p>
        </w:tc>
      </w:tr>
      <w:tr>
        <w:trPr/>
        <w:tc>
          <w:tcPr>
            <w:tcW w:w="27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Total Quarterly Distribution Per Unit</w:t>
            </w:r>
          </w:p>
        </w:tc>
        <w:tc>
          <w:tcPr>
            <w:tcW w:w="90" w:type="dxa"/>
            <w:tcBorders/>
            <w:shd w:fill="auto" w:val="clear"/>
            <w:vAlign w:val="center"/>
          </w:tcPr>
          <w:p>
            <w:pPr>
              <w:pStyle w:val="TableContents"/>
              <w:spacing w:before="0" w:after="0"/>
              <w:ind w:left="0" w:right="0" w:firstLine="30"/>
              <w:rPr/>
            </w:pPr>
            <w:r>
              <w:rPr/>
              <w:t> </w:t>
            </w:r>
          </w:p>
        </w:tc>
        <w:tc>
          <w:tcPr>
            <w:tcW w:w="154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Unitholders</w:t>
            </w:r>
          </w:p>
        </w:tc>
        <w:tc>
          <w:tcPr>
            <w:tcW w:w="239"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581"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IDR Holders</w:t>
            </w:r>
          </w:p>
        </w:tc>
      </w:tr>
      <w:tr>
        <w:trPr/>
        <w:tc>
          <w:tcPr>
            <w:tcW w:w="27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Above $1.2938 up to $1.4063</w:t>
            </w:r>
          </w:p>
        </w:tc>
        <w:tc>
          <w:tcPr>
            <w:tcW w:w="90" w:type="dxa"/>
            <w:tcBorders/>
            <w:shd w:fill="CCEEFF" w:val="clear"/>
            <w:vAlign w:val="center"/>
          </w:tcPr>
          <w:p>
            <w:pPr>
              <w:pStyle w:val="TableContents"/>
              <w:spacing w:before="0" w:after="0"/>
              <w:ind w:left="0" w:right="0" w:firstLine="30"/>
              <w:rPr/>
            </w:pPr>
            <w:r>
              <w:rPr/>
              <w:t> </w:t>
            </w:r>
          </w:p>
        </w:tc>
        <w:tc>
          <w:tcPr>
            <w:tcW w:w="101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85.0</w:t>
            </w:r>
          </w:p>
        </w:tc>
        <w:tc>
          <w:tcPr>
            <w:tcW w:w="532"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39" w:type="dxa"/>
            <w:tcBorders/>
            <w:shd w:fill="CCEEFF" w:val="clear"/>
            <w:vAlign w:val="center"/>
          </w:tcPr>
          <w:p>
            <w:pPr>
              <w:pStyle w:val="TableContents"/>
              <w:spacing w:before="0" w:after="0"/>
              <w:ind w:left="0" w:right="0" w:firstLine="30"/>
              <w:rPr/>
            </w:pPr>
            <w:r>
              <w:rPr/>
              <w:t> </w:t>
            </w:r>
          </w:p>
        </w:tc>
        <w:tc>
          <w:tcPr>
            <w:tcW w:w="101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15.0</w:t>
            </w:r>
          </w:p>
        </w:tc>
        <w:tc>
          <w:tcPr>
            <w:tcW w:w="571"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Above $1.4063 up to $1.6875</w:t>
            </w:r>
          </w:p>
        </w:tc>
        <w:tc>
          <w:tcPr>
            <w:tcW w:w="90" w:type="dxa"/>
            <w:tcBorders/>
            <w:shd w:fill="auto" w:val="clear"/>
            <w:vAlign w:val="center"/>
          </w:tcPr>
          <w:p>
            <w:pPr>
              <w:pStyle w:val="TableContents"/>
              <w:spacing w:before="0" w:after="0"/>
              <w:ind w:left="0" w:right="0" w:firstLine="30"/>
              <w:rPr/>
            </w:pPr>
            <w:r>
              <w:rPr/>
              <w:t> </w:t>
            </w:r>
          </w:p>
        </w:tc>
        <w:tc>
          <w:tcPr>
            <w:tcW w:w="1010" w:type="dxa"/>
            <w:tcBorders/>
            <w:shd w:fill="auto" w:val="clear"/>
            <w:vAlign w:val="center"/>
          </w:tcPr>
          <w:p>
            <w:pPr>
              <w:pStyle w:val="TableContents"/>
              <w:spacing w:before="0" w:after="0"/>
              <w:jc w:val="right"/>
              <w:rPr>
                <w:rFonts w:ascii="inherit" w:hAnsi="inherit"/>
                <w:sz w:val="17"/>
              </w:rPr>
            </w:pPr>
            <w:r>
              <w:rPr>
                <w:rFonts w:ascii="inherit" w:hAnsi="inherit"/>
                <w:sz w:val="17"/>
              </w:rPr>
              <w:t>75.0</w:t>
            </w:r>
          </w:p>
        </w:tc>
        <w:tc>
          <w:tcPr>
            <w:tcW w:w="5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39" w:type="dxa"/>
            <w:tcBorders/>
            <w:shd w:fill="auto" w:val="clear"/>
            <w:vAlign w:val="center"/>
          </w:tcPr>
          <w:p>
            <w:pPr>
              <w:pStyle w:val="TableContents"/>
              <w:spacing w:before="0" w:after="0"/>
              <w:ind w:left="0" w:right="0" w:firstLine="30"/>
              <w:rPr/>
            </w:pPr>
            <w:r>
              <w:rPr/>
              <w:t> </w:t>
            </w:r>
          </w:p>
        </w:tc>
        <w:tc>
          <w:tcPr>
            <w:tcW w:w="1010" w:type="dxa"/>
            <w:tcBorders/>
            <w:shd w:fill="auto" w:val="clear"/>
            <w:vAlign w:val="center"/>
          </w:tcPr>
          <w:p>
            <w:pPr>
              <w:pStyle w:val="TableContents"/>
              <w:spacing w:before="0" w:after="0"/>
              <w:jc w:val="right"/>
              <w:rPr>
                <w:rFonts w:ascii="inherit" w:hAnsi="inherit"/>
                <w:sz w:val="17"/>
              </w:rPr>
            </w:pPr>
            <w:r>
              <w:rPr>
                <w:rFonts w:ascii="inherit" w:hAnsi="inherit"/>
                <w:sz w:val="17"/>
              </w:rPr>
              <w:t>25.0</w:t>
            </w:r>
          </w:p>
        </w:tc>
        <w:tc>
          <w:tcPr>
            <w:tcW w:w="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Above $1.6875</w:t>
            </w:r>
          </w:p>
        </w:tc>
        <w:tc>
          <w:tcPr>
            <w:tcW w:w="90" w:type="dxa"/>
            <w:tcBorders/>
            <w:shd w:fill="CCEEFF" w:val="clear"/>
            <w:vAlign w:val="center"/>
          </w:tcPr>
          <w:p>
            <w:pPr>
              <w:pStyle w:val="TableContents"/>
              <w:spacing w:before="0" w:after="0"/>
              <w:ind w:left="0" w:right="0" w:firstLine="30"/>
              <w:rPr/>
            </w:pPr>
            <w:r>
              <w:rPr/>
              <w:t> </w:t>
            </w:r>
          </w:p>
        </w:tc>
        <w:tc>
          <w:tcPr>
            <w:tcW w:w="1010" w:type="dxa"/>
            <w:tcBorders/>
            <w:shd w:fill="CCEEFF" w:val="clear"/>
            <w:vAlign w:val="center"/>
          </w:tcPr>
          <w:p>
            <w:pPr>
              <w:pStyle w:val="TableContents"/>
              <w:spacing w:before="0" w:after="0"/>
              <w:jc w:val="right"/>
              <w:rPr>
                <w:rFonts w:ascii="inherit" w:hAnsi="inherit"/>
                <w:sz w:val="17"/>
              </w:rPr>
            </w:pPr>
            <w:r>
              <w:rPr>
                <w:rFonts w:ascii="inherit" w:hAnsi="inherit"/>
                <w:sz w:val="17"/>
              </w:rPr>
              <w:t>50.0</w:t>
            </w:r>
          </w:p>
        </w:tc>
        <w:tc>
          <w:tcPr>
            <w:tcW w:w="5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39" w:type="dxa"/>
            <w:tcBorders/>
            <w:shd w:fill="CCEEFF" w:val="clear"/>
            <w:vAlign w:val="center"/>
          </w:tcPr>
          <w:p>
            <w:pPr>
              <w:pStyle w:val="TableContents"/>
              <w:spacing w:before="0" w:after="0"/>
              <w:ind w:left="0" w:right="0" w:firstLine="30"/>
              <w:rPr/>
            </w:pPr>
            <w:r>
              <w:rPr/>
              <w:t> </w:t>
            </w:r>
          </w:p>
        </w:tc>
        <w:tc>
          <w:tcPr>
            <w:tcW w:w="1010" w:type="dxa"/>
            <w:tcBorders/>
            <w:shd w:fill="CCEEFF" w:val="clear"/>
            <w:vAlign w:val="center"/>
          </w:tcPr>
          <w:p>
            <w:pPr>
              <w:pStyle w:val="TableContents"/>
              <w:spacing w:before="0" w:after="0"/>
              <w:jc w:val="right"/>
              <w:rPr>
                <w:rFonts w:ascii="inherit" w:hAnsi="inherit"/>
                <w:sz w:val="17"/>
              </w:rPr>
            </w:pPr>
            <w:r>
              <w:rPr>
                <w:rFonts w:ascii="inherit" w:hAnsi="inherit"/>
                <w:sz w:val="17"/>
              </w:rPr>
              <w:t>50.0</w:t>
            </w:r>
          </w:p>
        </w:tc>
        <w:tc>
          <w:tcPr>
            <w:tcW w:w="5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ind w:left="0" w:right="0" w:firstLine="450"/>
        <w:rPr>
          <w:sz w:val="17"/>
        </w:rPr>
      </w:pPr>
      <w:r>
        <w:rPr>
          <w:rFonts w:ascii="inherit" w:hAnsi="inherit"/>
          <w:sz w:val="17"/>
        </w:rPr>
        <w:t>The Partnership's distribution for the three months ended March 31, 2019</w:t>
      </w:r>
      <w:r>
        <w:rPr>
          <w:sz w:val="17"/>
        </w:rPr>
        <w:t xml:space="preserve"> </w:t>
      </w:r>
      <w:r>
        <w:rPr>
          <w:rFonts w:ascii="inherit" w:hAnsi="inherit"/>
          <w:sz w:val="17"/>
        </w:rPr>
        <w:t>did not exceed the $1.2938</w:t>
      </w:r>
      <w:r>
        <w:rPr>
          <w:sz w:val="17"/>
        </w:rPr>
        <w:t xml:space="preserve"> </w:t>
      </w:r>
      <w:r>
        <w:rPr>
          <w:rFonts w:ascii="inherit" w:hAnsi="inherit"/>
          <w:sz w:val="17"/>
        </w:rPr>
        <w:t>per unit threshold, and, as a result, no distribution was made with respect to the Partnership's incentive distribution rights to Westlake, as the holder of the Partnership's incentive distribution rights.</w:t>
      </w:r>
    </w:p>
    <w:p>
      <w:pPr>
        <w:pStyle w:val="TextBody"/>
        <w:spacing w:lineRule="auto" w:line="288" w:before="0" w:after="0"/>
        <w:jc w:val="left"/>
        <w:rPr>
          <w:rFonts w:ascii="inherit" w:hAnsi="inherit"/>
          <w:b/>
          <w:i/>
          <w:sz w:val="17"/>
        </w:rPr>
      </w:pPr>
      <w:r>
        <w:rPr>
          <w:rFonts w:ascii="inherit" w:hAnsi="inherit"/>
          <w:b/>
          <w:i/>
          <w:sz w:val="17"/>
        </w:rPr>
        <w:t xml:space="preserve">Distribution Per Common Unit </w:t>
      </w:r>
    </w:p>
    <w:p>
      <w:pPr>
        <w:pStyle w:val="TextBody"/>
        <w:spacing w:lineRule="auto" w:line="288" w:before="0" w:after="0"/>
        <w:ind w:left="0" w:right="0" w:firstLine="450"/>
        <w:jc w:val="left"/>
        <w:rPr>
          <w:sz w:val="17"/>
        </w:rPr>
      </w:pPr>
      <w:r>
        <w:rPr>
          <w:rFonts w:ascii="inherit" w:hAnsi="inherit"/>
          <w:sz w:val="17"/>
        </w:rPr>
        <w:t>Distributions per common unit for the three months ended March 31, 2019</w:t>
      </w:r>
      <w:r>
        <w:rPr>
          <w:sz w:val="17"/>
        </w:rPr>
        <w:t xml:space="preserve"> </w:t>
      </w:r>
      <w:r>
        <w:rPr>
          <w:rFonts w:ascii="inherit" w:hAnsi="inherit"/>
          <w:sz w:val="17"/>
        </w:rPr>
        <w:t>and 2018</w:t>
      </w:r>
      <w:r>
        <w:rPr>
          <w:sz w:val="17"/>
        </w:rPr>
        <w:t xml:space="preserve"> </w:t>
      </w:r>
      <w:r>
        <w:rPr>
          <w:rFonts w:ascii="inherit" w:hAnsi="inherit"/>
          <w:sz w:val="17"/>
        </w:rPr>
        <w:t xml:space="preserve">were as follows: </w:t>
      </w:r>
    </w:p>
    <w:tbl>
      <w:tblPr>
        <w:tblW w:w="5000" w:type="dxa"/>
        <w:jc w:val="center"/>
        <w:tblInd w:w="0" w:type="dxa"/>
        <w:tblCellMar>
          <w:top w:w="0" w:type="dxa"/>
          <w:left w:w="0" w:type="dxa"/>
          <w:bottom w:w="0" w:type="dxa"/>
          <w:right w:w="0" w:type="dxa"/>
        </w:tblCellMar>
      </w:tblPr>
      <w:tblGrid>
        <w:gridCol w:w="2585"/>
        <w:gridCol w:w="90"/>
        <w:gridCol w:w="182"/>
        <w:gridCol w:w="861"/>
        <w:gridCol w:w="43"/>
        <w:gridCol w:w="131"/>
        <w:gridCol w:w="182"/>
        <w:gridCol w:w="861"/>
        <w:gridCol w:w="65"/>
      </w:tblGrid>
      <w:tr>
        <w:trPr/>
        <w:tc>
          <w:tcPr>
            <w:tcW w:w="5000" w:type="dxa"/>
            <w:gridSpan w:val="9"/>
            <w:tcBorders/>
            <w:shd w:fill="auto" w:val="clear"/>
            <w:vAlign w:val="center"/>
          </w:tcPr>
          <w:p>
            <w:pPr>
              <w:pStyle w:val="TableContents"/>
              <w:spacing w:before="0" w:after="283"/>
              <w:rPr>
                <w:sz w:val="4"/>
                <w:szCs w:val="4"/>
              </w:rPr>
            </w:pPr>
            <w:r>
              <w:rPr>
                <w:sz w:val="4"/>
                <w:szCs w:val="4"/>
              </w:rPr>
            </w:r>
          </w:p>
        </w:tc>
      </w:tr>
      <w:tr>
        <w:trPr/>
        <w:tc>
          <w:tcPr>
            <w:tcW w:w="258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4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58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2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r>
      <w:tr>
        <w:trPr/>
        <w:tc>
          <w:tcPr>
            <w:tcW w:w="258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8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31" w:type="dxa"/>
            <w:tcBorders/>
            <w:shd w:fill="auto" w:val="clear"/>
            <w:vAlign w:val="center"/>
          </w:tcPr>
          <w:p>
            <w:pPr>
              <w:pStyle w:val="TableContents"/>
              <w:spacing w:before="0" w:after="0"/>
              <w:ind w:left="0" w:right="0" w:firstLine="30"/>
              <w:rPr/>
            </w:pPr>
            <w:r>
              <w:rPr/>
              <w:t> </w:t>
            </w:r>
          </w:p>
        </w:tc>
        <w:tc>
          <w:tcPr>
            <w:tcW w:w="110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25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Distributions per common unit</w:t>
            </w:r>
          </w:p>
        </w:tc>
        <w:tc>
          <w:tcPr>
            <w:tcW w:w="90" w:type="dxa"/>
            <w:tcBorders/>
            <w:shd w:fill="CCEEFF" w:val="clear"/>
            <w:vAlign w:val="center"/>
          </w:tcPr>
          <w:p>
            <w:pPr>
              <w:pStyle w:val="TableContents"/>
              <w:spacing w:before="0" w:after="0"/>
              <w:ind w:left="0" w:right="0" w:firstLine="30"/>
              <w:rPr/>
            </w:pPr>
            <w:r>
              <w:rPr/>
              <w:t> </w:t>
            </w:r>
          </w:p>
        </w:tc>
        <w:tc>
          <w:tcPr>
            <w:tcW w:w="18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0.4328</w:t>
            </w:r>
          </w:p>
        </w:tc>
        <w:tc>
          <w:tcPr>
            <w:tcW w:w="4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8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0.3864</w:t>
            </w:r>
          </w:p>
        </w:tc>
        <w:tc>
          <w:tcPr>
            <w:tcW w:w="6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jc w:val="left"/>
        <w:rPr/>
      </w:pPr>
      <w:hyperlink w:anchor="s57D9DAA9FEA85990A24D0CBB70729000">
        <w:bookmarkStart w:id="22" w:name="s3BAADC4E151957F098C755DE61E517E7"/>
        <w:bookmarkEnd w:id="22"/>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sz w:val="17"/>
        </w:rPr>
      </w:pPr>
      <w:r>
        <w:rPr>
          <w:rFonts w:ascii="inherit" w:hAnsi="inherit"/>
          <w:b/>
          <w:sz w:val="17"/>
        </w:rPr>
        <w:t>NOTES TO CONSOLIDATED FINANCIAL STATEMENTS</w:t>
      </w:r>
      <w:r>
        <w:rPr>
          <w:sz w:val="17"/>
        </w:rPr>
        <w:t>—</w:t>
      </w:r>
      <w:r>
        <w:rPr>
          <w:rFonts w:ascii="inherit" w:hAnsi="inherit"/>
          <w:b/>
          <w:sz w:val="17"/>
        </w:rPr>
        <w:t>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jc w:val="left"/>
        <w:rPr>
          <w:sz w:val="17"/>
        </w:rPr>
      </w:pPr>
      <w:r>
        <w:rPr>
          <w:rFonts w:ascii="inherit" w:hAnsi="inherit"/>
          <w:b/>
          <w:sz w:val="17"/>
        </w:rPr>
        <w:t>7.</w:t>
      </w:r>
      <w:r>
        <w:rPr>
          <w:sz w:val="17"/>
        </w:rPr>
        <w:t xml:space="preserve"> </w:t>
      </w:r>
      <w:r>
        <w:rPr>
          <w:rFonts w:ascii="inherit" w:hAnsi="inherit"/>
          <w:b/>
          <w:sz w:val="17"/>
        </w:rPr>
        <w:t>Partners' Equity</w:t>
      </w:r>
      <w:r>
        <w:rPr>
          <w:sz w:val="17"/>
        </w:rPr>
        <w:t xml:space="preserve"> </w:t>
      </w:r>
    </w:p>
    <w:p>
      <w:pPr>
        <w:pStyle w:val="TextBody"/>
        <w:spacing w:lineRule="auto" w:line="288" w:before="0" w:after="0"/>
        <w:ind w:left="0" w:right="0" w:firstLine="450"/>
        <w:jc w:val="left"/>
        <w:rPr>
          <w:rFonts w:ascii="inherit" w:hAnsi="inherit"/>
          <w:sz w:val="17"/>
        </w:rPr>
      </w:pPr>
      <w:r>
        <w:rPr>
          <w:rFonts w:ascii="inherit" w:hAnsi="inherit"/>
          <w:sz w:val="17"/>
        </w:rPr>
        <w:t>On October 4, 2018, the Partnership and Westlake GP,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No common units had been issued under this program as of March 31, 2019.</w:t>
      </w:r>
    </w:p>
    <w:p>
      <w:pPr>
        <w:pStyle w:val="TextBody"/>
        <w:spacing w:lineRule="auto" w:line="288" w:before="0" w:after="0"/>
        <w:ind w:left="0" w:right="0" w:firstLine="450"/>
        <w:jc w:val="left"/>
        <w:rPr>
          <w:sz w:val="17"/>
        </w:rPr>
      </w:pPr>
      <w:r>
        <w:rPr>
          <w:rFonts w:ascii="inherit" w:hAnsi="inherit"/>
          <w:sz w:val="17"/>
        </w:rPr>
        <w:t>On March 29, 2019, the Partnership completed the issuance and sale of 2,940,818</w:t>
      </w:r>
      <w:r>
        <w:rPr>
          <w:sz w:val="17"/>
        </w:rPr>
        <w:t xml:space="preserve"> </w:t>
      </w:r>
      <w:r>
        <w:rPr>
          <w:rFonts w:ascii="inherit" w:hAnsi="inherit"/>
          <w:sz w:val="17"/>
        </w:rPr>
        <w:t>common units at a price of $21.40</w:t>
      </w:r>
      <w:r>
        <w:rPr>
          <w:sz w:val="17"/>
        </w:rPr>
        <w:t xml:space="preserve"> </w:t>
      </w:r>
      <w:r>
        <w:rPr>
          <w:rFonts w:ascii="inherit" w:hAnsi="inherit"/>
          <w:sz w:val="17"/>
        </w:rPr>
        <w:t>per unit through a private placement. Proceeds to the Partnership from the sale of the units were approximately $62,934. TTWF LP, Westlake's principal stockholder and a related party, acquired 1,401,869</w:t>
      </w:r>
      <w:r>
        <w:rPr>
          <w:sz w:val="17"/>
        </w:rPr>
        <w:t xml:space="preserve"> </w:t>
      </w:r>
      <w:r>
        <w:rPr>
          <w:rFonts w:ascii="inherit" w:hAnsi="inherit"/>
          <w:sz w:val="17"/>
        </w:rPr>
        <w:t>common units out of 2,940,818</w:t>
      </w:r>
      <w:r>
        <w:rPr>
          <w:sz w:val="17"/>
        </w:rPr>
        <w:t xml:space="preserve"> </w:t>
      </w:r>
      <w:r>
        <w:rPr>
          <w:rFonts w:ascii="inherit" w:hAnsi="inherit"/>
          <w:sz w:val="17"/>
        </w:rPr>
        <w:t>common units issued in the private placement.</w:t>
      </w:r>
    </w:p>
    <w:p>
      <w:pPr>
        <w:pStyle w:val="TextBody"/>
        <w:spacing w:lineRule="auto" w:line="288" w:before="0" w:after="0"/>
        <w:jc w:val="left"/>
        <w:rPr>
          <w:sz w:val="17"/>
        </w:rPr>
      </w:pPr>
      <w:bookmarkStart w:id="23" w:name="sCBD75B554B6F5547B26299E612C9C521"/>
      <w:bookmarkEnd w:id="23"/>
      <w:r>
        <w:rPr>
          <w:rFonts w:ascii="inherit" w:hAnsi="inherit"/>
          <w:b/>
          <w:sz w:val="17"/>
        </w:rPr>
        <w:t>8.</w:t>
      </w:r>
      <w:r>
        <w:rPr>
          <w:sz w:val="17"/>
        </w:rPr>
        <w:t xml:space="preserve"> </w:t>
      </w:r>
      <w:r>
        <w:rPr>
          <w:rFonts w:ascii="inherit" w:hAnsi="inherit"/>
          <w:b/>
          <w:sz w:val="17"/>
        </w:rPr>
        <w:t>Related Party Transactions</w:t>
      </w:r>
      <w:r>
        <w:rPr>
          <w:sz w:val="17"/>
        </w:rPr>
        <w:t xml:space="preserve"> </w:t>
      </w:r>
    </w:p>
    <w:p>
      <w:pPr>
        <w:pStyle w:val="TextBody"/>
        <w:spacing w:lineRule="auto" w:line="288" w:before="0" w:after="0"/>
        <w:ind w:left="0" w:right="0" w:firstLine="450"/>
        <w:jc w:val="left"/>
        <w:rPr>
          <w:rFonts w:ascii="inherit" w:hAnsi="inherit"/>
          <w:sz w:val="17"/>
        </w:rPr>
      </w:pPr>
      <w:r>
        <w:rPr>
          <w:rFonts w:ascii="inherit" w:hAnsi="inherit"/>
          <w:sz w:val="17"/>
        </w:rPr>
        <w:t>The Partnership and OpCo regularly enter into related party transactions with Westlake. See below for a description of transactions with related parties.</w:t>
      </w:r>
    </w:p>
    <w:p>
      <w:pPr>
        <w:pStyle w:val="TextBody"/>
        <w:spacing w:lineRule="auto" w:line="288" w:before="0" w:after="0"/>
        <w:jc w:val="left"/>
        <w:rPr>
          <w:rFonts w:ascii="inherit" w:hAnsi="inherit"/>
          <w:b/>
          <w:i/>
          <w:sz w:val="17"/>
        </w:rPr>
      </w:pPr>
      <w:r>
        <w:rPr>
          <w:rFonts w:ascii="inherit" w:hAnsi="inherit"/>
          <w:b/>
          <w:i/>
          <w:sz w:val="17"/>
        </w:rPr>
        <w:t>Sales to Related Parties</w:t>
      </w:r>
    </w:p>
    <w:p>
      <w:pPr>
        <w:pStyle w:val="TextBody"/>
        <w:spacing w:lineRule="auto" w:line="288" w:before="0" w:after="0"/>
        <w:ind w:left="0" w:right="0" w:firstLine="450"/>
        <w:jc w:val="left"/>
        <w:rPr>
          <w:rFonts w:ascii="inherit" w:hAnsi="inherit"/>
          <w:sz w:val="17"/>
        </w:rPr>
      </w:pPr>
      <w:r>
        <w:rPr>
          <w:rFonts w:ascii="inherit" w:hAnsi="inherit"/>
          <w:sz w:val="17"/>
        </w:rPr>
        <w:t>OpCo sells ethylene to Westlake under the Ethylene Sales Agreement. Additionally, the Partnership and OpCo from time to time provide other services or products for which each charges Westlake a fee.</w:t>
      </w:r>
    </w:p>
    <w:p>
      <w:pPr>
        <w:pStyle w:val="TextBody"/>
        <w:spacing w:lineRule="auto" w:line="288" w:before="0" w:after="0"/>
        <w:ind w:left="0" w:right="0" w:firstLine="450"/>
        <w:jc w:val="left"/>
        <w:rPr>
          <w:rFonts w:ascii="inherit" w:hAnsi="inherit"/>
          <w:sz w:val="17"/>
        </w:rPr>
      </w:pPr>
      <w:r>
        <w:rPr>
          <w:rFonts w:ascii="inherit" w:hAnsi="inherit"/>
          <w:sz w:val="17"/>
        </w:rPr>
        <w:t>Sales to related parties were as follows:</w:t>
      </w:r>
    </w:p>
    <w:tbl>
      <w:tblPr>
        <w:tblW w:w="4178" w:type="dxa"/>
        <w:jc w:val="left"/>
        <w:tblInd w:w="0" w:type="dxa"/>
        <w:tblCellMar>
          <w:top w:w="0" w:type="dxa"/>
          <w:left w:w="0" w:type="dxa"/>
          <w:bottom w:w="0" w:type="dxa"/>
          <w:right w:w="0" w:type="dxa"/>
        </w:tblCellMar>
      </w:tblPr>
      <w:tblGrid>
        <w:gridCol w:w="1760"/>
        <w:gridCol w:w="90"/>
        <w:gridCol w:w="161"/>
        <w:gridCol w:w="897"/>
        <w:gridCol w:w="38"/>
        <w:gridCol w:w="116"/>
        <w:gridCol w:w="161"/>
        <w:gridCol w:w="897"/>
        <w:gridCol w:w="58"/>
      </w:tblGrid>
      <w:tr>
        <w:trPr/>
        <w:tc>
          <w:tcPr>
            <w:tcW w:w="4178" w:type="dxa"/>
            <w:gridSpan w:val="9"/>
            <w:tcBorders/>
            <w:shd w:fill="auto" w:val="clear"/>
            <w:vAlign w:val="center"/>
          </w:tcPr>
          <w:p>
            <w:pPr>
              <w:pStyle w:val="TableContents"/>
              <w:spacing w:before="0" w:after="283"/>
              <w:rPr>
                <w:sz w:val="4"/>
                <w:szCs w:val="4"/>
              </w:rPr>
            </w:pPr>
            <w:r>
              <w:rPr>
                <w:sz w:val="4"/>
                <w:szCs w:val="4"/>
              </w:rPr>
            </w:r>
          </w:p>
        </w:tc>
      </w:tr>
      <w:tr>
        <w:trPr/>
        <w:tc>
          <w:tcPr>
            <w:tcW w:w="17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2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r>
      <w:tr>
        <w:trPr/>
        <w:tc>
          <w:tcPr>
            <w:tcW w:w="17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9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16" w:type="dxa"/>
            <w:tcBorders/>
            <w:shd w:fill="auto" w:val="clear"/>
            <w:vAlign w:val="center"/>
          </w:tcPr>
          <w:p>
            <w:pPr>
              <w:pStyle w:val="TableContents"/>
              <w:spacing w:before="0" w:after="0"/>
              <w:ind w:left="0" w:right="0" w:firstLine="30"/>
              <w:rPr/>
            </w:pPr>
            <w:r>
              <w:rPr/>
              <w:t> </w:t>
            </w:r>
          </w:p>
        </w:tc>
        <w:tc>
          <w:tcPr>
            <w:tcW w:w="111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17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sales—Westlake</w:t>
            </w:r>
          </w:p>
        </w:tc>
        <w:tc>
          <w:tcPr>
            <w:tcW w:w="90" w:type="dxa"/>
            <w:tcBorders/>
            <w:shd w:fill="CCEEFF" w:val="clear"/>
            <w:vAlign w:val="center"/>
          </w:tcPr>
          <w:p>
            <w:pPr>
              <w:pStyle w:val="TableContents"/>
              <w:spacing w:before="0" w:after="0"/>
              <w:ind w:left="0" w:right="0" w:firstLine="30"/>
              <w:rPr/>
            </w:pPr>
            <w:r>
              <w:rPr/>
              <w:t> </w:t>
            </w:r>
          </w:p>
        </w:tc>
        <w:tc>
          <w:tcPr>
            <w:tcW w:w="16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257,040</w:t>
            </w:r>
          </w:p>
        </w:tc>
        <w:tc>
          <w:tcPr>
            <w:tcW w:w="3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6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235,031</w:t>
            </w:r>
          </w:p>
        </w:tc>
        <w:tc>
          <w:tcPr>
            <w:tcW w:w="5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i/>
          <w:sz w:val="17"/>
        </w:rPr>
      </w:pPr>
      <w:r>
        <w:rPr>
          <w:rFonts w:ascii="inherit" w:hAnsi="inherit"/>
          <w:b/>
          <w:i/>
          <w:sz w:val="17"/>
        </w:rPr>
        <w:t>Cost of Sales from Related Parties</w:t>
      </w:r>
    </w:p>
    <w:p>
      <w:pPr>
        <w:pStyle w:val="TextBody"/>
        <w:spacing w:lineRule="auto" w:line="288" w:before="0" w:after="0"/>
        <w:ind w:left="0" w:right="0" w:firstLine="450"/>
        <w:jc w:val="left"/>
        <w:rPr>
          <w:rFonts w:ascii="inherit" w:hAnsi="inherit"/>
          <w:sz w:val="17"/>
        </w:rPr>
      </w:pPr>
      <w:r>
        <w:rPr>
          <w:rFonts w:ascii="inherit" w:hAnsi="inherit"/>
          <w:sz w:val="17"/>
        </w:rPr>
        <w:t xml:space="preserve">Charges for goods and services purchased by the Partnership and OpCo from Westlake and included in cost of sales relate primarily to feedstock purchased under the Feedstock Supply Agreement and services provided under the Services and Secondment Agreement. </w:t>
      </w:r>
    </w:p>
    <w:p>
      <w:pPr>
        <w:pStyle w:val="TextBody"/>
        <w:spacing w:lineRule="auto" w:line="288" w:before="0" w:after="0"/>
        <w:ind w:left="0" w:right="0" w:firstLine="450"/>
        <w:jc w:val="left"/>
        <w:rPr>
          <w:rFonts w:ascii="inherit" w:hAnsi="inherit"/>
          <w:sz w:val="17"/>
        </w:rPr>
      </w:pPr>
      <w:r>
        <w:rPr>
          <w:rFonts w:ascii="inherit" w:hAnsi="inherit"/>
          <w:sz w:val="17"/>
        </w:rPr>
        <w:t>Charges from related parties in cost of sales were as follows:</w:t>
      </w:r>
    </w:p>
    <w:tbl>
      <w:tblPr>
        <w:tblW w:w="7898" w:type="dxa"/>
        <w:jc w:val="left"/>
        <w:tblInd w:w="0" w:type="dxa"/>
        <w:tblCellMar>
          <w:top w:w="0" w:type="dxa"/>
          <w:left w:w="0" w:type="dxa"/>
          <w:bottom w:w="0" w:type="dxa"/>
          <w:right w:w="0" w:type="dxa"/>
        </w:tblCellMar>
      </w:tblPr>
      <w:tblGrid>
        <w:gridCol w:w="5480"/>
        <w:gridCol w:w="90"/>
        <w:gridCol w:w="161"/>
        <w:gridCol w:w="897"/>
        <w:gridCol w:w="38"/>
        <w:gridCol w:w="116"/>
        <w:gridCol w:w="161"/>
        <w:gridCol w:w="897"/>
        <w:gridCol w:w="58"/>
      </w:tblGrid>
      <w:tr>
        <w:trPr/>
        <w:tc>
          <w:tcPr>
            <w:tcW w:w="7898" w:type="dxa"/>
            <w:gridSpan w:val="9"/>
            <w:tcBorders/>
            <w:shd w:fill="auto" w:val="clear"/>
            <w:vAlign w:val="center"/>
          </w:tcPr>
          <w:p>
            <w:pPr>
              <w:pStyle w:val="TableContents"/>
              <w:spacing w:before="0" w:after="283"/>
              <w:rPr>
                <w:sz w:val="4"/>
                <w:szCs w:val="4"/>
              </w:rPr>
            </w:pPr>
            <w:r>
              <w:rPr>
                <w:sz w:val="4"/>
                <w:szCs w:val="4"/>
              </w:rPr>
            </w:r>
          </w:p>
        </w:tc>
      </w:tr>
      <w:tr>
        <w:trPr/>
        <w:tc>
          <w:tcPr>
            <w:tcW w:w="54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2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r>
      <w:tr>
        <w:trPr/>
        <w:tc>
          <w:tcPr>
            <w:tcW w:w="54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9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16" w:type="dxa"/>
            <w:tcBorders/>
            <w:shd w:fill="auto" w:val="clear"/>
            <w:vAlign w:val="center"/>
          </w:tcPr>
          <w:p>
            <w:pPr>
              <w:pStyle w:val="TableContents"/>
              <w:spacing w:before="0" w:after="0"/>
              <w:ind w:left="0" w:right="0" w:firstLine="30"/>
              <w:rPr/>
            </w:pPr>
            <w:r>
              <w:rPr/>
              <w:t> </w:t>
            </w:r>
          </w:p>
        </w:tc>
        <w:tc>
          <w:tcPr>
            <w:tcW w:w="111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54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Feedstock purchased from Westlake and included in cost of sales</w:t>
            </w:r>
          </w:p>
        </w:tc>
        <w:tc>
          <w:tcPr>
            <w:tcW w:w="90" w:type="dxa"/>
            <w:tcBorders/>
            <w:shd w:fill="CCEEFF" w:val="clear"/>
            <w:vAlign w:val="center"/>
          </w:tcPr>
          <w:p>
            <w:pPr>
              <w:pStyle w:val="TableContents"/>
              <w:spacing w:before="0" w:after="0"/>
              <w:ind w:left="0" w:right="0" w:firstLine="30"/>
              <w:rPr/>
            </w:pPr>
            <w:r>
              <w:rPr/>
              <w:t> </w:t>
            </w:r>
          </w:p>
        </w:tc>
        <w:tc>
          <w:tcPr>
            <w:tcW w:w="16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9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122,155</w:t>
            </w:r>
          </w:p>
        </w:tc>
        <w:tc>
          <w:tcPr>
            <w:tcW w:w="3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7" w:type="dxa"/>
            <w:tcBorders/>
            <w:shd w:fill="CCEEFF" w:val="clear"/>
            <w:vAlign w:val="center"/>
          </w:tcPr>
          <w:p>
            <w:pPr>
              <w:pStyle w:val="TableContents"/>
              <w:spacing w:before="0" w:after="0"/>
              <w:jc w:val="right"/>
              <w:rPr>
                <w:rFonts w:ascii="inherit" w:hAnsi="inherit"/>
                <w:sz w:val="17"/>
              </w:rPr>
            </w:pPr>
            <w:r>
              <w:rPr>
                <w:rFonts w:ascii="inherit" w:hAnsi="inherit"/>
                <w:sz w:val="17"/>
              </w:rPr>
              <w:t>105,415</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charges from Westlake and included in cost of sales</w:t>
            </w:r>
          </w:p>
        </w:tc>
        <w:tc>
          <w:tcPr>
            <w:tcW w:w="90" w:type="dxa"/>
            <w:tcBorders/>
            <w:shd w:fill="auto" w:val="clear"/>
            <w:vAlign w:val="center"/>
          </w:tcPr>
          <w:p>
            <w:pPr>
              <w:pStyle w:val="TableContents"/>
              <w:spacing w:before="0" w:after="0"/>
              <w:ind w:left="0" w:right="0" w:firstLine="30"/>
              <w:rPr/>
            </w:pPr>
            <w:r>
              <w:rPr/>
              <w:t> </w:t>
            </w:r>
          </w:p>
        </w:tc>
        <w:tc>
          <w:tcPr>
            <w:tcW w:w="105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27,572</w:t>
            </w:r>
          </w:p>
        </w:tc>
        <w:tc>
          <w:tcPr>
            <w:tcW w:w="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28,406</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90" w:type="dxa"/>
            <w:tcBorders/>
            <w:shd w:fill="CCEEFF" w:val="clear"/>
            <w:vAlign w:val="center"/>
          </w:tcPr>
          <w:p>
            <w:pPr>
              <w:pStyle w:val="TableContents"/>
              <w:spacing w:before="0" w:after="0"/>
              <w:ind w:left="0" w:right="0" w:firstLine="30"/>
              <w:rPr/>
            </w:pPr>
            <w:r>
              <w:rPr/>
              <w:t> </w:t>
            </w:r>
          </w:p>
        </w:tc>
        <w:tc>
          <w:tcPr>
            <w:tcW w:w="16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149,727</w:t>
            </w:r>
          </w:p>
        </w:tc>
        <w:tc>
          <w:tcPr>
            <w:tcW w:w="3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6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133,821</w:t>
            </w:r>
          </w:p>
        </w:tc>
        <w:tc>
          <w:tcPr>
            <w:tcW w:w="5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88" w:before="0" w:after="0"/>
        <w:jc w:val="left"/>
        <w:rPr/>
      </w:pPr>
      <w:hyperlink w:anchor="s57D9DAA9FEA85990A24D0CBB70729000">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sz w:val="17"/>
        </w:rPr>
      </w:pPr>
      <w:r>
        <w:rPr>
          <w:rFonts w:ascii="inherit" w:hAnsi="inherit"/>
          <w:b/>
          <w:sz w:val="17"/>
        </w:rPr>
        <w:t>NOTES TO CONSOLIDATED FINANCIAL STATEMENTS</w:t>
      </w:r>
      <w:r>
        <w:rPr>
          <w:sz w:val="17"/>
        </w:rPr>
        <w:t>—</w:t>
      </w:r>
      <w:r>
        <w:rPr>
          <w:rFonts w:ascii="inherit" w:hAnsi="inherit"/>
          <w:b/>
          <w:sz w:val="17"/>
        </w:rPr>
        <w:t>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Services from Related Parties Included in Selling, General and Administrative Expenses</w:t>
      </w:r>
    </w:p>
    <w:p>
      <w:pPr>
        <w:pStyle w:val="TextBody"/>
        <w:spacing w:lineRule="auto" w:line="288" w:before="0" w:after="0"/>
        <w:ind w:left="0" w:right="0" w:firstLine="450"/>
        <w:jc w:val="left"/>
        <w:rPr>
          <w:rFonts w:ascii="inherit" w:hAnsi="inherit"/>
          <w:sz w:val="17"/>
        </w:rPr>
      </w:pPr>
      <w:r>
        <w:rPr>
          <w:rFonts w:ascii="inherit" w:hAnsi="inherit"/>
          <w:sz w:val="17"/>
        </w:rPr>
        <w:t xml:space="preserve">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 </w:t>
      </w:r>
    </w:p>
    <w:p>
      <w:pPr>
        <w:pStyle w:val="TextBody"/>
        <w:spacing w:lineRule="auto" w:line="288" w:before="0" w:after="0"/>
        <w:ind w:left="0" w:right="0" w:firstLine="450"/>
        <w:jc w:val="left"/>
        <w:rPr>
          <w:rFonts w:ascii="inherit" w:hAnsi="inherit"/>
          <w:sz w:val="17"/>
        </w:rPr>
      </w:pPr>
      <w:r>
        <w:rPr>
          <w:rFonts w:ascii="inherit" w:hAnsi="inherit"/>
          <w:sz w:val="17"/>
        </w:rPr>
        <w:t>Charges from related parties included within selling, general and administrative expenses were as follows:</w:t>
      </w:r>
    </w:p>
    <w:tbl>
      <w:tblPr>
        <w:tblW w:w="9501" w:type="dxa"/>
        <w:jc w:val="left"/>
        <w:tblInd w:w="0" w:type="dxa"/>
        <w:tblCellMar>
          <w:top w:w="0" w:type="dxa"/>
          <w:left w:w="0" w:type="dxa"/>
          <w:bottom w:w="0" w:type="dxa"/>
          <w:right w:w="0" w:type="dxa"/>
        </w:tblCellMar>
      </w:tblPr>
      <w:tblGrid>
        <w:gridCol w:w="7085"/>
        <w:gridCol w:w="90"/>
        <w:gridCol w:w="210"/>
        <w:gridCol w:w="815"/>
        <w:gridCol w:w="50"/>
        <w:gridCol w:w="151"/>
        <w:gridCol w:w="210"/>
        <w:gridCol w:w="815"/>
        <w:gridCol w:w="75"/>
      </w:tblGrid>
      <w:tr>
        <w:trPr/>
        <w:tc>
          <w:tcPr>
            <w:tcW w:w="9501" w:type="dxa"/>
            <w:gridSpan w:val="9"/>
            <w:tcBorders/>
            <w:shd w:fill="auto" w:val="clear"/>
            <w:vAlign w:val="center"/>
          </w:tcPr>
          <w:p>
            <w:pPr>
              <w:pStyle w:val="TableContents"/>
              <w:spacing w:before="0" w:after="283"/>
              <w:rPr>
                <w:sz w:val="4"/>
                <w:szCs w:val="4"/>
              </w:rPr>
            </w:pPr>
            <w:r>
              <w:rPr>
                <w:sz w:val="4"/>
                <w:szCs w:val="4"/>
              </w:rPr>
            </w:r>
          </w:p>
        </w:tc>
      </w:tr>
      <w:tr>
        <w:trPr/>
        <w:tc>
          <w:tcPr>
            <w:tcW w:w="708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08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2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r>
      <w:tr>
        <w:trPr/>
        <w:tc>
          <w:tcPr>
            <w:tcW w:w="708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51" w:type="dxa"/>
            <w:tcBorders/>
            <w:shd w:fill="auto" w:val="clear"/>
            <w:vAlign w:val="center"/>
          </w:tcPr>
          <w:p>
            <w:pPr>
              <w:pStyle w:val="TableContents"/>
              <w:spacing w:before="0" w:after="0"/>
              <w:ind w:left="0" w:right="0" w:firstLine="30"/>
              <w:rPr/>
            </w:pPr>
            <w:r>
              <w:rPr/>
              <w:t> </w:t>
            </w:r>
          </w:p>
        </w:tc>
        <w:tc>
          <w:tcPr>
            <w:tcW w:w="11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7085" w:type="dxa"/>
            <w:tcBorders/>
            <w:shd w:fill="CCEEFF" w:val="clear"/>
            <w:vAlign w:val="center"/>
          </w:tcPr>
          <w:p>
            <w:pPr>
              <w:pStyle w:val="TableContents"/>
              <w:spacing w:before="0" w:after="0"/>
              <w:rPr>
                <w:rFonts w:ascii="inherit" w:hAnsi="inherit"/>
                <w:sz w:val="17"/>
              </w:rPr>
            </w:pPr>
            <w:r>
              <w:rPr>
                <w:rFonts w:ascii="inherit" w:hAnsi="inherit"/>
                <w:sz w:val="17"/>
              </w:rPr>
              <w:t xml:space="preserve">Services received from Westlake and included in selling, general and administrative </w:t>
            </w:r>
          </w:p>
          <w:p>
            <w:pPr>
              <w:pStyle w:val="TableContents"/>
              <w:spacing w:before="0" w:after="0"/>
              <w:ind w:left="0" w:right="0" w:firstLine="30"/>
              <w:rPr/>
            </w:pPr>
            <w:r>
              <w:rPr/>
              <w:t>   </w:t>
            </w:r>
            <w:r>
              <w:rPr>
                <w:rFonts w:ascii="inherit" w:hAnsi="inherit"/>
                <w:sz w:val="17"/>
              </w:rPr>
              <w:t>expenses</w:t>
            </w:r>
          </w:p>
        </w:tc>
        <w:tc>
          <w:tcPr>
            <w:tcW w:w="90" w:type="dxa"/>
            <w:tcBorders/>
            <w:shd w:fill="CCEEFF" w:val="clear"/>
            <w:vAlign w:val="center"/>
          </w:tcPr>
          <w:p>
            <w:pPr>
              <w:pStyle w:val="TableContents"/>
              <w:spacing w:before="0" w:after="0"/>
              <w:ind w:left="0" w:right="0" w:firstLine="30"/>
              <w:rPr/>
            </w:pPr>
            <w:r>
              <w:rPr/>
              <w:t> </w:t>
            </w:r>
          </w:p>
        </w:tc>
        <w:tc>
          <w:tcPr>
            <w:tcW w:w="2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6,603</w:t>
            </w:r>
          </w:p>
        </w:tc>
        <w:tc>
          <w:tcPr>
            <w:tcW w:w="5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21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1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6,251</w:t>
            </w:r>
          </w:p>
        </w:tc>
        <w:tc>
          <w:tcPr>
            <w:tcW w:w="75"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i/>
          <w:sz w:val="17"/>
        </w:rPr>
      </w:pPr>
      <w:r>
        <w:rPr>
          <w:rFonts w:ascii="inherit" w:hAnsi="inherit"/>
          <w:b/>
          <w:i/>
          <w:sz w:val="17"/>
        </w:rPr>
        <w:t>Goods and Services from Related Parties Capitalized as Assets</w:t>
      </w:r>
    </w:p>
    <w:p>
      <w:pPr>
        <w:pStyle w:val="TextBody"/>
        <w:spacing w:lineRule="auto" w:line="288" w:before="0" w:after="0"/>
        <w:ind w:left="0" w:right="0" w:firstLine="450"/>
        <w:rPr>
          <w:rFonts w:ascii="inherit" w:hAnsi="inherit"/>
          <w:sz w:val="17"/>
        </w:rPr>
      </w:pPr>
      <w:r>
        <w:rPr>
          <w:rFonts w:ascii="inherit" w:hAnsi="inherit"/>
          <w:sz w:val="17"/>
        </w:rPr>
        <w:t xml:space="preserve">Charges for goods and services purchased by the Partnership and OpCo from Westlake which were capitalized as assets relate primarily to the services of Westlake employees under the Services and Secondment Agreement. </w:t>
      </w:r>
    </w:p>
    <w:p>
      <w:pPr>
        <w:pStyle w:val="TextBody"/>
        <w:spacing w:lineRule="auto" w:line="288" w:before="0" w:after="0"/>
        <w:ind w:left="0" w:right="0" w:firstLine="450"/>
        <w:rPr>
          <w:rFonts w:ascii="inherit" w:hAnsi="inherit"/>
          <w:sz w:val="17"/>
        </w:rPr>
      </w:pPr>
      <w:r>
        <w:rPr>
          <w:rFonts w:ascii="inherit" w:hAnsi="inherit"/>
          <w:sz w:val="17"/>
        </w:rPr>
        <w:t>Charges from related parties for goods and services capitalized as assets were as follows:</w:t>
      </w:r>
    </w:p>
    <w:tbl>
      <w:tblPr>
        <w:tblW w:w="8452" w:type="dxa"/>
        <w:jc w:val="left"/>
        <w:tblInd w:w="0" w:type="dxa"/>
        <w:tblCellMar>
          <w:top w:w="0" w:type="dxa"/>
          <w:left w:w="0" w:type="dxa"/>
          <w:bottom w:w="0" w:type="dxa"/>
          <w:right w:w="0" w:type="dxa"/>
        </w:tblCellMar>
      </w:tblPr>
      <w:tblGrid>
        <w:gridCol w:w="6035"/>
        <w:gridCol w:w="90"/>
        <w:gridCol w:w="268"/>
        <w:gridCol w:w="719"/>
        <w:gridCol w:w="64"/>
        <w:gridCol w:w="193"/>
        <w:gridCol w:w="268"/>
        <w:gridCol w:w="719"/>
        <w:gridCol w:w="96"/>
      </w:tblGrid>
      <w:tr>
        <w:trPr/>
        <w:tc>
          <w:tcPr>
            <w:tcW w:w="8452" w:type="dxa"/>
            <w:gridSpan w:val="9"/>
            <w:tcBorders/>
            <w:shd w:fill="auto" w:val="clear"/>
            <w:vAlign w:val="center"/>
          </w:tcPr>
          <w:p>
            <w:pPr>
              <w:pStyle w:val="TableContents"/>
              <w:spacing w:before="0" w:after="283"/>
              <w:rPr>
                <w:sz w:val="4"/>
                <w:szCs w:val="4"/>
              </w:rPr>
            </w:pPr>
            <w:r>
              <w:rPr>
                <w:sz w:val="4"/>
                <w:szCs w:val="4"/>
              </w:rPr>
            </w:r>
          </w:p>
        </w:tc>
      </w:tr>
      <w:tr>
        <w:trPr/>
        <w:tc>
          <w:tcPr>
            <w:tcW w:w="60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2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r>
      <w:tr>
        <w:trPr/>
        <w:tc>
          <w:tcPr>
            <w:tcW w:w="60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93" w:type="dxa"/>
            <w:tcBorders/>
            <w:shd w:fill="auto" w:val="clear"/>
            <w:vAlign w:val="center"/>
          </w:tcPr>
          <w:p>
            <w:pPr>
              <w:pStyle w:val="TableContents"/>
              <w:spacing w:before="0" w:after="0"/>
              <w:ind w:left="0" w:right="0" w:firstLine="30"/>
              <w:rPr/>
            </w:pPr>
            <w:r>
              <w:rPr/>
              <w:t> </w:t>
            </w:r>
          </w:p>
        </w:tc>
        <w:tc>
          <w:tcPr>
            <w:tcW w:w="108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60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Goods and services purchased from Westlake and capitalized as assets</w:t>
            </w:r>
          </w:p>
        </w:tc>
        <w:tc>
          <w:tcPr>
            <w:tcW w:w="90" w:type="dxa"/>
            <w:tcBorders/>
            <w:shd w:fill="CCEEFF" w:val="clear"/>
            <w:vAlign w:val="center"/>
          </w:tcPr>
          <w:p>
            <w:pPr>
              <w:pStyle w:val="TableContents"/>
              <w:spacing w:before="0" w:after="0"/>
              <w:ind w:left="0" w:right="0" w:firstLine="30"/>
              <w:rPr/>
            </w:pPr>
            <w:r>
              <w:rPr/>
              <w:t> </w:t>
            </w:r>
          </w:p>
        </w:tc>
        <w:tc>
          <w:tcPr>
            <w:tcW w:w="26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1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643</w:t>
            </w:r>
          </w:p>
        </w:tc>
        <w:tc>
          <w:tcPr>
            <w:tcW w:w="6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3" w:type="dxa"/>
            <w:tcBorders/>
            <w:shd w:fill="CCEEFF" w:val="clear"/>
            <w:vAlign w:val="center"/>
          </w:tcPr>
          <w:p>
            <w:pPr>
              <w:pStyle w:val="TableContents"/>
              <w:spacing w:before="0" w:after="0"/>
              <w:ind w:left="0" w:right="0" w:firstLine="30"/>
              <w:rPr/>
            </w:pPr>
            <w:r>
              <w:rPr/>
              <w:t> </w:t>
            </w:r>
          </w:p>
        </w:tc>
        <w:tc>
          <w:tcPr>
            <w:tcW w:w="26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1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351</w:t>
            </w:r>
          </w:p>
        </w:tc>
        <w:tc>
          <w:tcPr>
            <w:tcW w:w="96"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b/>
          <w:i/>
          <w:sz w:val="17"/>
        </w:rPr>
      </w:pPr>
      <w:r>
        <w:rPr>
          <w:rFonts w:ascii="inherit" w:hAnsi="inherit"/>
          <w:b/>
          <w:i/>
          <w:sz w:val="17"/>
        </w:rPr>
        <w:t>Receivable under the Investment Management Agreement</w:t>
      </w:r>
    </w:p>
    <w:p>
      <w:pPr>
        <w:pStyle w:val="TextBody"/>
        <w:spacing w:lineRule="auto" w:line="288" w:before="0" w:after="0"/>
        <w:ind w:left="0" w:right="0" w:firstLine="450"/>
        <w:rPr>
          <w:sz w:val="17"/>
        </w:rPr>
      </w:pPr>
      <w:r>
        <w:rPr>
          <w:rFonts w:ascii="inherit" w:hAnsi="inherit"/>
          <w:sz w:val="17"/>
        </w:rPr>
        <w:t>On August 1, 2017, the Partnership, OpCo and Westlake executed an investment management agreement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$34</w:t>
      </w:r>
      <w:r>
        <w:rPr>
          <w:sz w:val="17"/>
        </w:rPr>
        <w:t xml:space="preserve"> </w:t>
      </w:r>
      <w:r>
        <w:rPr>
          <w:rFonts w:ascii="inherit" w:hAnsi="inherit"/>
          <w:sz w:val="17"/>
        </w:rPr>
        <w:t>and $496</w:t>
      </w:r>
      <w:r>
        <w:rPr>
          <w:sz w:val="17"/>
        </w:rPr>
        <w:t xml:space="preserve"> </w:t>
      </w:r>
      <w:r>
        <w:rPr>
          <w:rFonts w:ascii="inherit" w:hAnsi="inherit"/>
          <w:sz w:val="17"/>
        </w:rPr>
        <w:t>was included in the receivable under the Investment Management Agreement balance at March 31, 2019</w:t>
      </w:r>
      <w:r>
        <w:rPr>
          <w:sz w:val="17"/>
        </w:rPr>
        <w:t xml:space="preserve"> </w:t>
      </w:r>
      <w:r>
        <w:rPr>
          <w:rFonts w:ascii="inherit" w:hAnsi="inherit"/>
          <w:sz w:val="17"/>
        </w:rPr>
        <w:t>and December 31, 2018, respectively. Total interest earned related to the Investment Management Agreement was $818</w:t>
      </w:r>
      <w:r>
        <w:rPr>
          <w:sz w:val="17"/>
        </w:rPr>
        <w:t xml:space="preserve"> </w:t>
      </w:r>
      <w:r>
        <w:rPr>
          <w:rFonts w:ascii="inherit" w:hAnsi="inherit"/>
          <w:sz w:val="17"/>
        </w:rPr>
        <w:t>and $540</w:t>
      </w:r>
      <w:r>
        <w:rPr>
          <w:sz w:val="17"/>
        </w:rPr>
        <w:t xml:space="preserve"> </w:t>
      </w:r>
      <w:r>
        <w:rPr>
          <w:rFonts w:ascii="inherit" w:hAnsi="inherit"/>
          <w:sz w:val="17"/>
        </w:rPr>
        <w:t>for the three months ended March 31, 2019</w:t>
      </w:r>
      <w:r>
        <w:rPr>
          <w:sz w:val="17"/>
        </w:rPr>
        <w:t xml:space="preserve"> </w:t>
      </w:r>
      <w:r>
        <w:rPr>
          <w:rFonts w:ascii="inherit" w:hAnsi="inherit"/>
          <w:sz w:val="17"/>
        </w:rPr>
        <w:t xml:space="preserve">and 2018, respectively. </w:t>
      </w:r>
    </w:p>
    <w:p>
      <w:pPr>
        <w:pStyle w:val="TextBody"/>
        <w:spacing w:lineRule="auto" w:line="288" w:before="0" w:after="0"/>
        <w:ind w:left="0" w:right="0" w:firstLine="435"/>
        <w:jc w:val="left"/>
        <w:rPr>
          <w:rFonts w:ascii="inherit" w:hAnsi="inherit"/>
          <w:sz w:val="17"/>
        </w:rPr>
      </w:pPr>
      <w:r>
        <w:rPr>
          <w:rFonts w:ascii="inherit" w:hAnsi="inherit"/>
          <w:sz w:val="17"/>
        </w:rPr>
        <w:t>The Partnership's receivable under the Investment Management Agreement was as follows:</w:t>
      </w:r>
    </w:p>
    <w:tbl>
      <w:tblPr>
        <w:tblW w:w="7114" w:type="dxa"/>
        <w:jc w:val="left"/>
        <w:tblInd w:w="0" w:type="dxa"/>
        <w:tblCellMar>
          <w:top w:w="0" w:type="dxa"/>
          <w:left w:w="0" w:type="dxa"/>
          <w:bottom w:w="0" w:type="dxa"/>
          <w:right w:w="0" w:type="dxa"/>
        </w:tblCellMar>
      </w:tblPr>
      <w:tblGrid>
        <w:gridCol w:w="4970"/>
        <w:gridCol w:w="90"/>
        <w:gridCol w:w="125"/>
        <w:gridCol w:w="695"/>
        <w:gridCol w:w="30"/>
        <w:gridCol w:w="90"/>
        <w:gridCol w:w="160"/>
        <w:gridCol w:w="895"/>
        <w:gridCol w:w="59"/>
      </w:tblGrid>
      <w:tr>
        <w:trPr/>
        <w:tc>
          <w:tcPr>
            <w:tcW w:w="7114" w:type="dxa"/>
            <w:gridSpan w:val="9"/>
            <w:tcBorders/>
            <w:shd w:fill="auto" w:val="clear"/>
            <w:vAlign w:val="center"/>
          </w:tcPr>
          <w:p>
            <w:pPr>
              <w:pStyle w:val="TableContents"/>
              <w:spacing w:before="0" w:after="283"/>
              <w:rPr>
                <w:sz w:val="4"/>
                <w:szCs w:val="4"/>
              </w:rPr>
            </w:pPr>
            <w:r>
              <w:rPr>
                <w:sz w:val="4"/>
                <w:szCs w:val="4"/>
              </w:rPr>
            </w:r>
          </w:p>
        </w:tc>
      </w:tr>
      <w:tr>
        <w:trPr/>
        <w:tc>
          <w:tcPr>
            <w:tcW w:w="49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7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March 31, </w:t>
              <w:br/>
              <w:t>2019</w:t>
            </w:r>
          </w:p>
        </w:tc>
        <w:tc>
          <w:tcPr>
            <w:tcW w:w="90" w:type="dxa"/>
            <w:tcBorders/>
            <w:shd w:fill="auto" w:val="clear"/>
            <w:vAlign w:val="center"/>
          </w:tcPr>
          <w:p>
            <w:pPr>
              <w:pStyle w:val="TableContents"/>
              <w:spacing w:before="0" w:after="0"/>
              <w:ind w:left="0" w:right="0" w:firstLine="30"/>
              <w:rPr/>
            </w:pPr>
            <w:r>
              <w:rPr/>
              <w:t> </w:t>
            </w:r>
          </w:p>
        </w:tc>
        <w:tc>
          <w:tcPr>
            <w:tcW w:w="111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2018</w:t>
            </w:r>
          </w:p>
        </w:tc>
      </w:tr>
      <w:tr>
        <w:trPr/>
        <w:tc>
          <w:tcPr>
            <w:tcW w:w="49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Receivable under the Investment Management Agreement</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276,501</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148,956</w:t>
            </w:r>
          </w:p>
        </w:tc>
        <w:tc>
          <w:tcPr>
            <w:tcW w:w="5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w:t>
      </w:r>
      <w:r>
        <w:br w:type="page"/>
      </w:r>
    </w:p>
    <w:p>
      <w:pPr>
        <w:pStyle w:val="TextBody"/>
        <w:spacing w:lineRule="auto" w:line="288" w:before="0" w:after="0"/>
        <w:jc w:val="left"/>
        <w:rPr/>
      </w:pPr>
      <w:hyperlink w:anchor="s57D9DAA9FEA85990A24D0CBB70729000">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sz w:val="17"/>
        </w:rPr>
      </w:pPr>
      <w:r>
        <w:rPr>
          <w:rFonts w:ascii="inherit" w:hAnsi="inherit"/>
          <w:b/>
          <w:sz w:val="17"/>
        </w:rPr>
        <w:t>NOTES TO CONSOLIDATED FINANCIAL STATEMENTS</w:t>
      </w:r>
      <w:r>
        <w:rPr>
          <w:sz w:val="17"/>
        </w:rPr>
        <w:t>—</w:t>
      </w:r>
      <w:r>
        <w:rPr>
          <w:rFonts w:ascii="inherit" w:hAnsi="inherit"/>
          <w:b/>
          <w:sz w:val="17"/>
        </w:rPr>
        <w:t>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 xml:space="preserve">Accounts Receivables </w:t>
      </w:r>
    </w:p>
    <w:p>
      <w:pPr>
        <w:pStyle w:val="TextBody"/>
        <w:spacing w:lineRule="auto" w:line="288" w:before="0" w:after="0"/>
        <w:ind w:left="0" w:right="0" w:firstLine="450"/>
        <w:rPr>
          <w:rFonts w:ascii="inherit" w:hAnsi="inherit"/>
          <w:sz w:val="17"/>
        </w:rPr>
      </w:pPr>
      <w:r>
        <w:rPr>
          <w:rFonts w:ascii="inherit" w:hAnsi="inherit"/>
          <w:sz w:val="17"/>
        </w:rPr>
        <w:t xml:space="preserve">The Partnership's accounts receivable from Westlake result primarily from ethylene sales to Westlake under the Ethylene Sales Agreement. </w:t>
      </w:r>
    </w:p>
    <w:p>
      <w:pPr>
        <w:pStyle w:val="TextBody"/>
        <w:spacing w:lineRule="auto" w:line="288" w:before="0" w:after="0"/>
        <w:ind w:left="0" w:right="0" w:firstLine="435"/>
        <w:jc w:val="left"/>
        <w:rPr>
          <w:rFonts w:ascii="inherit" w:hAnsi="inherit"/>
          <w:sz w:val="17"/>
        </w:rPr>
      </w:pPr>
      <w:r>
        <w:rPr>
          <w:rFonts w:ascii="inherit" w:hAnsi="inherit"/>
          <w:sz w:val="17"/>
        </w:rPr>
        <w:t>The Partnership's accounts receivable from Westlake were as follows:</w:t>
      </w:r>
    </w:p>
    <w:tbl>
      <w:tblPr>
        <w:tblW w:w="4796" w:type="dxa"/>
        <w:jc w:val="center"/>
        <w:tblInd w:w="0" w:type="dxa"/>
        <w:tblCellMar>
          <w:top w:w="0" w:type="dxa"/>
          <w:left w:w="0" w:type="dxa"/>
          <w:bottom w:w="0" w:type="dxa"/>
          <w:right w:w="0" w:type="dxa"/>
        </w:tblCellMar>
      </w:tblPr>
      <w:tblGrid>
        <w:gridCol w:w="2690"/>
        <w:gridCol w:w="90"/>
        <w:gridCol w:w="136"/>
        <w:gridCol w:w="644"/>
        <w:gridCol w:w="33"/>
        <w:gridCol w:w="90"/>
        <w:gridCol w:w="182"/>
        <w:gridCol w:w="864"/>
        <w:gridCol w:w="67"/>
      </w:tblGrid>
      <w:tr>
        <w:trPr/>
        <w:tc>
          <w:tcPr>
            <w:tcW w:w="4796" w:type="dxa"/>
            <w:gridSpan w:val="9"/>
            <w:tcBorders/>
            <w:shd w:fill="auto" w:val="clear"/>
            <w:vAlign w:val="center"/>
          </w:tcPr>
          <w:p>
            <w:pPr>
              <w:pStyle w:val="TableContents"/>
              <w:spacing w:before="0" w:after="283"/>
              <w:rPr>
                <w:sz w:val="4"/>
                <w:szCs w:val="4"/>
              </w:rPr>
            </w:pPr>
            <w:r>
              <w:rPr>
                <w:sz w:val="4"/>
                <w:szCs w:val="4"/>
              </w:rPr>
            </w:r>
          </w:p>
        </w:tc>
      </w:tr>
      <w:tr>
        <w:trPr/>
        <w:tc>
          <w:tcPr>
            <w:tcW w:w="26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1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March 31, </w:t>
              <w:br/>
              <w:t>2019</w:t>
            </w:r>
          </w:p>
        </w:tc>
        <w:tc>
          <w:tcPr>
            <w:tcW w:w="90" w:type="dxa"/>
            <w:tcBorders/>
            <w:shd w:fill="auto" w:val="clear"/>
            <w:vAlign w:val="center"/>
          </w:tcPr>
          <w:p>
            <w:pPr>
              <w:pStyle w:val="TableContents"/>
              <w:spacing w:before="0" w:after="0"/>
              <w:ind w:left="0" w:right="0" w:firstLine="30"/>
              <w:rPr/>
            </w:pPr>
            <w:r>
              <w:rPr/>
              <w:t> </w:t>
            </w:r>
          </w:p>
        </w:tc>
        <w:tc>
          <w:tcPr>
            <w:tcW w:w="111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2018</w:t>
            </w:r>
          </w:p>
        </w:tc>
      </w:tr>
      <w:tr>
        <w:trPr/>
        <w:tc>
          <w:tcPr>
            <w:tcW w:w="26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receivable—Westlake</w:t>
            </w:r>
          </w:p>
        </w:tc>
        <w:tc>
          <w:tcPr>
            <w:tcW w:w="90" w:type="dxa"/>
            <w:tcBorders/>
            <w:shd w:fill="CCEEFF" w:val="clear"/>
            <w:vAlign w:val="center"/>
          </w:tcPr>
          <w:p>
            <w:pPr>
              <w:pStyle w:val="TableContents"/>
              <w:spacing w:before="0" w:after="0"/>
              <w:ind w:left="0" w:right="0" w:firstLine="30"/>
              <w:rPr/>
            </w:pPr>
            <w:r>
              <w:rPr/>
              <w:t> </w:t>
            </w:r>
          </w:p>
        </w:tc>
        <w:tc>
          <w:tcPr>
            <w:tcW w:w="13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4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47,626</w:t>
            </w:r>
          </w:p>
        </w:tc>
        <w:tc>
          <w:tcPr>
            <w:tcW w:w="3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57,280</w:t>
            </w:r>
          </w:p>
        </w:tc>
        <w:tc>
          <w:tcPr>
            <w:tcW w:w="6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i/>
          <w:sz w:val="17"/>
        </w:rPr>
      </w:pPr>
      <w:r>
        <w:rPr>
          <w:rFonts w:ascii="inherit" w:hAnsi="inherit"/>
          <w:b/>
          <w:i/>
          <w:sz w:val="17"/>
        </w:rPr>
        <w:t>Accounts Payable to Related Parties</w:t>
      </w:r>
    </w:p>
    <w:p>
      <w:pPr>
        <w:pStyle w:val="TextBody"/>
        <w:spacing w:lineRule="auto" w:line="288" w:before="0" w:after="0"/>
        <w:ind w:left="0" w:right="0" w:firstLine="450"/>
        <w:rPr>
          <w:rFonts w:ascii="inherit" w:hAnsi="inherit"/>
          <w:sz w:val="17"/>
        </w:rPr>
      </w:pPr>
      <w:r>
        <w:rPr>
          <w:rFonts w:ascii="inherit" w:hAnsi="inherit"/>
          <w:sz w:val="17"/>
        </w:rPr>
        <w:t xml:space="preserve">The Partnership's accounts payable to Westlake result primarily from feedstock purchases under the Feedstock Supply Agreement and services provided under the Services and Secondment Agreement and the Omnibus Agreement. </w:t>
      </w:r>
    </w:p>
    <w:p>
      <w:pPr>
        <w:pStyle w:val="TextBody"/>
        <w:spacing w:lineRule="auto" w:line="288" w:before="0" w:after="0"/>
        <w:ind w:left="0" w:right="0" w:firstLine="435"/>
        <w:jc w:val="left"/>
        <w:rPr>
          <w:rFonts w:ascii="inherit" w:hAnsi="inherit"/>
          <w:sz w:val="17"/>
        </w:rPr>
      </w:pPr>
      <w:r>
        <w:rPr>
          <w:rFonts w:ascii="inherit" w:hAnsi="inherit"/>
          <w:sz w:val="17"/>
        </w:rPr>
        <w:t>The related party accounts payable balances were as follows:</w:t>
      </w:r>
    </w:p>
    <w:tbl>
      <w:tblPr>
        <w:tblW w:w="4526" w:type="dxa"/>
        <w:jc w:val="left"/>
        <w:tblInd w:w="0" w:type="dxa"/>
        <w:tblCellMar>
          <w:top w:w="0" w:type="dxa"/>
          <w:left w:w="0" w:type="dxa"/>
          <w:bottom w:w="0" w:type="dxa"/>
          <w:right w:w="0" w:type="dxa"/>
        </w:tblCellMar>
      </w:tblPr>
      <w:tblGrid>
        <w:gridCol w:w="2480"/>
        <w:gridCol w:w="30"/>
        <w:gridCol w:w="136"/>
        <w:gridCol w:w="644"/>
        <w:gridCol w:w="33"/>
        <w:gridCol w:w="90"/>
        <w:gridCol w:w="182"/>
        <w:gridCol w:w="864"/>
        <w:gridCol w:w="67"/>
      </w:tblGrid>
      <w:tr>
        <w:trPr/>
        <w:tc>
          <w:tcPr>
            <w:tcW w:w="4526" w:type="dxa"/>
            <w:gridSpan w:val="9"/>
            <w:tcBorders/>
            <w:shd w:fill="auto" w:val="clear"/>
            <w:vAlign w:val="center"/>
          </w:tcPr>
          <w:p>
            <w:pPr>
              <w:pStyle w:val="TableContents"/>
              <w:spacing w:before="0" w:after="283"/>
              <w:rPr>
                <w:sz w:val="4"/>
                <w:szCs w:val="4"/>
              </w:rPr>
            </w:pPr>
            <w:r>
              <w:rPr>
                <w:sz w:val="4"/>
                <w:szCs w:val="4"/>
              </w:rPr>
            </w:r>
          </w:p>
        </w:tc>
      </w:tr>
      <w:tr>
        <w:trPr/>
        <w:tc>
          <w:tcPr>
            <w:tcW w:w="24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8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3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81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March 31, </w:t>
              <w:br/>
              <w:t>2019</w:t>
            </w:r>
          </w:p>
        </w:tc>
        <w:tc>
          <w:tcPr>
            <w:tcW w:w="90"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r>
          </w:p>
        </w:tc>
        <w:tc>
          <w:tcPr>
            <w:tcW w:w="111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2018</w:t>
            </w:r>
          </w:p>
        </w:tc>
      </w:tr>
      <w:tr>
        <w:trPr/>
        <w:tc>
          <w:tcPr>
            <w:tcW w:w="24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payable—Westlake</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4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19,344</w:t>
            </w:r>
          </w:p>
        </w:tc>
        <w:tc>
          <w:tcPr>
            <w:tcW w:w="3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27,477</w:t>
            </w:r>
          </w:p>
        </w:tc>
        <w:tc>
          <w:tcPr>
            <w:tcW w:w="6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i/>
          <w:sz w:val="17"/>
        </w:rPr>
      </w:pPr>
      <w:r>
        <w:rPr>
          <w:rFonts w:ascii="inherit" w:hAnsi="inherit"/>
          <w:b/>
          <w:i/>
          <w:sz w:val="17"/>
        </w:rPr>
        <w:t>Related Party Leases</w:t>
      </w:r>
    </w:p>
    <w:p>
      <w:pPr>
        <w:pStyle w:val="TextBody"/>
        <w:spacing w:lineRule="auto" w:line="288" w:before="0" w:after="0"/>
        <w:ind w:left="0" w:right="0" w:firstLine="450"/>
        <w:jc w:val="left"/>
        <w:rPr>
          <w:sz w:val="17"/>
        </w:rPr>
      </w:pPr>
      <w:r>
        <w:rPr>
          <w:rFonts w:ascii="inherit" w:hAnsi="inherit"/>
          <w:sz w:val="17"/>
        </w:rPr>
        <w:t>OpCo is obligated to Westlake under various rail cars leases. Operating lease rentals paid to Westlake for such leases were $514</w:t>
      </w:r>
      <w:r>
        <w:rPr>
          <w:sz w:val="17"/>
        </w:rPr>
        <w:t xml:space="preserve"> </w:t>
      </w:r>
      <w:r>
        <w:rPr>
          <w:rFonts w:ascii="inherit" w:hAnsi="inherit"/>
          <w:sz w:val="17"/>
        </w:rPr>
        <w:t>and $318</w:t>
      </w:r>
      <w:r>
        <w:rPr>
          <w:sz w:val="17"/>
        </w:rPr>
        <w:t xml:space="preserve"> </w:t>
      </w:r>
      <w:r>
        <w:rPr>
          <w:rFonts w:ascii="inherit" w:hAnsi="inherit"/>
          <w:sz w:val="17"/>
        </w:rPr>
        <w:t>for the three months ended March 31, 2019</w:t>
      </w:r>
      <w:r>
        <w:rPr>
          <w:sz w:val="17"/>
        </w:rPr>
        <w:t xml:space="preserve"> </w:t>
      </w:r>
      <w:r>
        <w:rPr>
          <w:rFonts w:ascii="inherit" w:hAnsi="inherit"/>
          <w:sz w:val="17"/>
        </w:rPr>
        <w:t>and 2018, respectively, and reflected in other charges from Westlake that are included in cost of sales.</w:t>
      </w:r>
    </w:p>
    <w:p>
      <w:pPr>
        <w:pStyle w:val="TextBody"/>
        <w:spacing w:lineRule="auto" w:line="288" w:before="0" w:after="0"/>
        <w:ind w:left="0" w:right="0" w:firstLine="450"/>
        <w:jc w:val="left"/>
        <w:rPr>
          <w:sz w:val="17"/>
        </w:rPr>
      </w:pPr>
      <w:r>
        <w:rPr>
          <w:rFonts w:ascii="inherit" w:hAnsi="inherit"/>
          <w:sz w:val="17"/>
        </w:rPr>
        <w:t>OpCo has two</w:t>
      </w:r>
      <w:r>
        <w:rPr>
          <w:sz w:val="17"/>
        </w:rPr>
        <w:t xml:space="preserve"> </w:t>
      </w:r>
      <w:r>
        <w:rPr>
          <w:rFonts w:ascii="inherit" w:hAnsi="inherit"/>
          <w:sz w:val="17"/>
        </w:rPr>
        <w:t>site lease agreements with Westlake, each of which has a term of 50</w:t>
      </w:r>
      <w:r>
        <w:rPr>
          <w:sz w:val="17"/>
        </w:rPr>
        <w:t xml:space="preserve"> </w:t>
      </w:r>
      <w:r>
        <w:rPr>
          <w:rFonts w:ascii="inherit" w:hAnsi="inherit"/>
          <w:sz w:val="17"/>
        </w:rPr>
        <w:t>years. Pursuant to the site lease agreements, OpCo pays Westlake one dollar</w:t>
      </w:r>
      <w:r>
        <w:rPr>
          <w:sz w:val="17"/>
        </w:rPr>
        <w:t xml:space="preserve"> </w:t>
      </w:r>
      <w:r>
        <w:rPr>
          <w:rFonts w:ascii="inherit" w:hAnsi="inherit"/>
          <w:sz w:val="17"/>
        </w:rPr>
        <w:t xml:space="preserve">per site per year. </w:t>
      </w:r>
    </w:p>
    <w:p>
      <w:pPr>
        <w:pStyle w:val="TextBody"/>
        <w:spacing w:lineRule="auto" w:line="288" w:before="0" w:after="0"/>
        <w:jc w:val="left"/>
        <w:rPr>
          <w:rFonts w:ascii="inherit" w:hAnsi="inherit"/>
          <w:b/>
          <w:i/>
          <w:sz w:val="17"/>
        </w:rPr>
      </w:pPr>
      <w:r>
        <w:rPr>
          <w:rFonts w:ascii="inherit" w:hAnsi="inherit"/>
          <w:b/>
          <w:i/>
          <w:sz w:val="17"/>
        </w:rPr>
        <w:t>Debt Payable to Related Parties</w:t>
      </w:r>
    </w:p>
    <w:p>
      <w:pPr>
        <w:pStyle w:val="TextBody"/>
        <w:spacing w:lineRule="auto" w:line="288" w:before="0" w:after="0"/>
        <w:ind w:left="0" w:right="0" w:firstLine="450"/>
        <w:jc w:val="left"/>
        <w:rPr>
          <w:sz w:val="17"/>
        </w:rPr>
      </w:pPr>
      <w:r>
        <w:rPr>
          <w:rFonts w:ascii="inherit" w:hAnsi="inherit"/>
          <w:sz w:val="17"/>
        </w:rPr>
        <w:t>See Note 9</w:t>
      </w:r>
      <w:r>
        <w:rPr>
          <w:sz w:val="17"/>
        </w:rPr>
        <w:t xml:space="preserve"> </w:t>
      </w:r>
      <w:r>
        <w:rPr>
          <w:rFonts w:ascii="inherit" w:hAnsi="inherit"/>
          <w:sz w:val="17"/>
        </w:rPr>
        <w:t>for a description of related party debt payable balances. Interest on related party debt payable balances for the three months ended March 31, 2019</w:t>
      </w:r>
      <w:r>
        <w:rPr>
          <w:sz w:val="17"/>
        </w:rPr>
        <w:t xml:space="preserve"> </w:t>
      </w:r>
      <w:r>
        <w:rPr>
          <w:rFonts w:ascii="inherit" w:hAnsi="inherit"/>
          <w:sz w:val="17"/>
        </w:rPr>
        <w:t>and 2018</w:t>
      </w:r>
      <w:r>
        <w:rPr>
          <w:sz w:val="17"/>
        </w:rPr>
        <w:t xml:space="preserve"> </w:t>
      </w:r>
      <w:r>
        <w:rPr>
          <w:rFonts w:ascii="inherit" w:hAnsi="inherit"/>
          <w:sz w:val="17"/>
        </w:rPr>
        <w:t>was $5,900</w:t>
      </w:r>
      <w:r>
        <w:rPr>
          <w:sz w:val="17"/>
        </w:rPr>
        <w:t xml:space="preserve"> </w:t>
      </w:r>
      <w:r>
        <w:rPr>
          <w:rFonts w:ascii="inherit" w:hAnsi="inherit"/>
          <w:sz w:val="17"/>
        </w:rPr>
        <w:t>and $4,866, respectively. Interest on related party debt payable is presented as interest expense—Westlake in the consolidated statements of operations. Interest capitalized as a component of property, plant and equipment on related party debt was zero</w:t>
      </w:r>
      <w:r>
        <w:rPr>
          <w:sz w:val="17"/>
        </w:rPr>
        <w:t xml:space="preserve"> </w:t>
      </w:r>
      <w:r>
        <w:rPr>
          <w:rFonts w:ascii="inherit" w:hAnsi="inherit"/>
          <w:sz w:val="17"/>
        </w:rPr>
        <w:t>and $15</w:t>
      </w:r>
      <w:r>
        <w:rPr>
          <w:sz w:val="17"/>
        </w:rPr>
        <w:t xml:space="preserve"> </w:t>
      </w:r>
      <w:r>
        <w:rPr>
          <w:rFonts w:ascii="inherit" w:hAnsi="inherit"/>
          <w:sz w:val="17"/>
        </w:rPr>
        <w:t>for the three months ended March 31, 2019</w:t>
      </w:r>
      <w:r>
        <w:rPr>
          <w:sz w:val="17"/>
        </w:rPr>
        <w:t xml:space="preserve"> </w:t>
      </w:r>
      <w:r>
        <w:rPr>
          <w:rFonts w:ascii="inherit" w:hAnsi="inherit"/>
          <w:sz w:val="17"/>
        </w:rPr>
        <w:t>and 2018, respectively. At March 31, 2019</w:t>
      </w:r>
      <w:r>
        <w:rPr>
          <w:sz w:val="17"/>
        </w:rPr>
        <w:t xml:space="preserve"> </w:t>
      </w:r>
      <w:r>
        <w:rPr>
          <w:rFonts w:ascii="inherit" w:hAnsi="inherit"/>
          <w:sz w:val="17"/>
        </w:rPr>
        <w:t>and December 31, 2018, accrued interest on related party debt was $5,852</w:t>
      </w:r>
      <w:r>
        <w:rPr>
          <w:sz w:val="17"/>
        </w:rPr>
        <w:t xml:space="preserve"> </w:t>
      </w:r>
      <w:r>
        <w:rPr>
          <w:rFonts w:ascii="inherit" w:hAnsi="inherit"/>
          <w:sz w:val="17"/>
        </w:rPr>
        <w:t>and $5,448, respectively, and is reflected as a component of accrued liabilities in the consolidated balance sheets.</w:t>
      </w:r>
    </w:p>
    <w:p>
      <w:pPr>
        <w:pStyle w:val="TextBody"/>
        <w:spacing w:lineRule="auto" w:line="288" w:before="0" w:after="0"/>
        <w:ind w:left="0" w:right="0" w:firstLine="450"/>
        <w:jc w:val="left"/>
        <w:rPr>
          <w:rFonts w:ascii="inherit" w:hAnsi="inherit"/>
          <w:sz w:val="17"/>
        </w:rPr>
      </w:pPr>
      <w:r>
        <w:rPr>
          <w:rFonts w:ascii="inherit" w:hAnsi="inherit"/>
          <w:sz w:val="17"/>
        </w:rPr>
        <w:t>Debt payable to related parties was as follows:</w:t>
      </w:r>
    </w:p>
    <w:tbl>
      <w:tblPr>
        <w:tblW w:w="5239" w:type="dxa"/>
        <w:jc w:val="left"/>
        <w:tblInd w:w="0" w:type="dxa"/>
        <w:tblCellMar>
          <w:top w:w="0" w:type="dxa"/>
          <w:left w:w="0" w:type="dxa"/>
          <w:bottom w:w="0" w:type="dxa"/>
          <w:right w:w="0" w:type="dxa"/>
        </w:tblCellMar>
      </w:tblPr>
      <w:tblGrid>
        <w:gridCol w:w="3095"/>
        <w:gridCol w:w="90"/>
        <w:gridCol w:w="125"/>
        <w:gridCol w:w="695"/>
        <w:gridCol w:w="30"/>
        <w:gridCol w:w="90"/>
        <w:gridCol w:w="160"/>
        <w:gridCol w:w="895"/>
        <w:gridCol w:w="59"/>
      </w:tblGrid>
      <w:tr>
        <w:trPr/>
        <w:tc>
          <w:tcPr>
            <w:tcW w:w="5239" w:type="dxa"/>
            <w:gridSpan w:val="9"/>
            <w:tcBorders/>
            <w:shd w:fill="auto" w:val="clear"/>
            <w:vAlign w:val="center"/>
          </w:tcPr>
          <w:p>
            <w:pPr>
              <w:pStyle w:val="TableContents"/>
              <w:spacing w:before="0" w:after="283"/>
              <w:rPr>
                <w:sz w:val="4"/>
                <w:szCs w:val="4"/>
              </w:rPr>
            </w:pPr>
            <w:r>
              <w:rPr>
                <w:sz w:val="4"/>
                <w:szCs w:val="4"/>
              </w:rPr>
            </w:r>
          </w:p>
        </w:tc>
      </w:tr>
      <w:tr>
        <w:trPr/>
        <w:tc>
          <w:tcPr>
            <w:tcW w:w="30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0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March 31, </w:t>
              <w:br/>
              <w:t>2019</w:t>
            </w:r>
          </w:p>
        </w:tc>
        <w:tc>
          <w:tcPr>
            <w:tcW w:w="90" w:type="dxa"/>
            <w:tcBorders/>
            <w:shd w:fill="auto" w:val="clear"/>
            <w:vAlign w:val="center"/>
          </w:tcPr>
          <w:p>
            <w:pPr>
              <w:pStyle w:val="TableContents"/>
              <w:spacing w:before="0" w:after="0"/>
              <w:ind w:left="0" w:right="0" w:firstLine="30"/>
              <w:rPr/>
            </w:pPr>
            <w:r>
              <w:rPr/>
              <w:t> </w:t>
            </w:r>
          </w:p>
        </w:tc>
        <w:tc>
          <w:tcPr>
            <w:tcW w:w="1114"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2018</w:t>
            </w:r>
          </w:p>
        </w:tc>
      </w:tr>
      <w:tr>
        <w:trPr/>
        <w:tc>
          <w:tcPr>
            <w:tcW w:w="30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payable to Westlake</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601,119</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477,608</w:t>
            </w:r>
          </w:p>
        </w:tc>
        <w:tc>
          <w:tcPr>
            <w:tcW w:w="5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i/>
          <w:sz w:val="17"/>
        </w:rPr>
      </w:pPr>
      <w:r>
        <w:rPr>
          <w:rFonts w:ascii="inherit" w:hAnsi="inherit"/>
          <w:b/>
          <w:i/>
          <w:sz w:val="17"/>
        </w:rPr>
        <w:t>Major Customer and Concentration of Credit Risk</w:t>
      </w:r>
    </w:p>
    <w:p>
      <w:pPr>
        <w:pStyle w:val="TextBody"/>
        <w:spacing w:lineRule="auto" w:line="288" w:before="0" w:after="0"/>
        <w:ind w:left="0" w:right="0" w:firstLine="450"/>
        <w:jc w:val="left"/>
        <w:rPr>
          <w:sz w:val="17"/>
        </w:rPr>
      </w:pPr>
      <w:r>
        <w:rPr>
          <w:rFonts w:ascii="inherit" w:hAnsi="inherit"/>
          <w:sz w:val="17"/>
        </w:rPr>
        <w:t>During the three months ended March 31, 2019 and 2018, Westlake accounted for approximately 85.9%</w:t>
      </w:r>
      <w:r>
        <w:rPr>
          <w:sz w:val="17"/>
        </w:rPr>
        <w:t xml:space="preserve"> </w:t>
      </w:r>
      <w:r>
        <w:rPr>
          <w:rFonts w:ascii="inherit" w:hAnsi="inherit"/>
          <w:sz w:val="17"/>
        </w:rPr>
        <w:t xml:space="preserve">and 82.7%, respectively, of the Partnership's net sales. </w:t>
      </w:r>
    </w:p>
    <w:p>
      <w:pPr>
        <w:pStyle w:val="TextBody"/>
        <w:spacing w:lineRule="auto" w:line="288" w:before="0" w:after="0"/>
        <w:jc w:val="left"/>
        <w:rPr>
          <w:rFonts w:ascii="inherit" w:hAnsi="inherit"/>
          <w:b/>
          <w:i/>
          <w:sz w:val="17"/>
        </w:rPr>
      </w:pPr>
      <w:r>
        <w:rPr>
          <w:rFonts w:ascii="inherit" w:hAnsi="inherit"/>
          <w:b/>
          <w:i/>
          <w:sz w:val="17"/>
        </w:rPr>
        <w:t>Other</w:t>
      </w:r>
    </w:p>
    <w:p>
      <w:pPr>
        <w:pStyle w:val="TextBody"/>
        <w:spacing w:lineRule="auto" w:line="288" w:before="0" w:after="0"/>
        <w:ind w:left="0" w:right="0" w:firstLine="450"/>
        <w:jc w:val="left"/>
        <w:rPr>
          <w:sz w:val="17"/>
        </w:rPr>
      </w:pPr>
      <w:r>
        <w:rPr>
          <w:rFonts w:ascii="inherit" w:hAnsi="inherit"/>
          <w:sz w:val="17"/>
        </w:rPr>
        <w:t>See Note 7</w:t>
      </w:r>
      <w:r>
        <w:rPr>
          <w:sz w:val="17"/>
        </w:rPr>
        <w:t xml:space="preserve"> </w:t>
      </w:r>
      <w:r>
        <w:rPr>
          <w:rFonts w:ascii="inherit" w:hAnsi="inherit"/>
          <w:sz w:val="17"/>
        </w:rPr>
        <w:t>above for an additional related party transaction.</w:t>
      </w:r>
    </w:p>
    <w:p>
      <w:pPr>
        <w:pStyle w:val="TextBody"/>
        <w:spacing w:lineRule="auto" w:line="288" w:before="0" w:after="0"/>
        <w:ind w:left="0" w:right="0" w:firstLine="45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w:t>
      </w:r>
      <w:r>
        <w:br w:type="page"/>
      </w:r>
    </w:p>
    <w:p>
      <w:pPr>
        <w:pStyle w:val="TextBody"/>
        <w:spacing w:lineRule="auto" w:line="288" w:before="0" w:after="0"/>
        <w:jc w:val="left"/>
        <w:rPr/>
      </w:pPr>
      <w:hyperlink w:anchor="s57D9DAA9FEA85990A24D0CBB70729000">
        <w:bookmarkStart w:id="24" w:name="s8A2AC239A29C51B58021C74FC5699FA3"/>
        <w:bookmarkEnd w:id="24"/>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sz w:val="17"/>
        </w:rPr>
      </w:pPr>
      <w:r>
        <w:rPr>
          <w:rFonts w:ascii="inherit" w:hAnsi="inherit"/>
          <w:b/>
          <w:sz w:val="17"/>
        </w:rPr>
        <w:t>NOTES TO CONSOLIDATED FINANCIAL STATEMENTS</w:t>
      </w:r>
      <w:r>
        <w:rPr>
          <w:sz w:val="17"/>
        </w:rPr>
        <w:t>—</w:t>
      </w:r>
      <w:r>
        <w:rPr>
          <w:rFonts w:ascii="inherit" w:hAnsi="inherit"/>
          <w:b/>
          <w:sz w:val="17"/>
        </w:rPr>
        <w:t>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jc w:val="left"/>
        <w:rPr>
          <w:sz w:val="17"/>
        </w:rPr>
      </w:pPr>
      <w:r>
        <w:rPr>
          <w:rFonts w:ascii="inherit" w:hAnsi="inherit"/>
          <w:b/>
          <w:sz w:val="17"/>
        </w:rPr>
        <w:t>9.</w:t>
      </w:r>
      <w:r>
        <w:rPr>
          <w:sz w:val="17"/>
        </w:rPr>
        <w:t xml:space="preserve"> </w:t>
      </w:r>
      <w:r>
        <w:rPr>
          <w:rFonts w:ascii="inherit" w:hAnsi="inherit"/>
          <w:b/>
          <w:sz w:val="17"/>
        </w:rPr>
        <w:t>Long-term Debt Payable to Westlake</w:t>
      </w:r>
      <w:r>
        <w:rPr>
          <w:sz w:val="17"/>
        </w:rPr>
        <w:t xml:space="preserve"> </w:t>
      </w:r>
    </w:p>
    <w:p>
      <w:pPr>
        <w:pStyle w:val="TextBody"/>
        <w:spacing w:lineRule="auto" w:line="288" w:before="0" w:after="0"/>
        <w:ind w:left="0" w:right="0" w:firstLine="450"/>
        <w:jc w:val="left"/>
        <w:rPr>
          <w:rFonts w:ascii="inherit" w:hAnsi="inherit"/>
          <w:sz w:val="17"/>
        </w:rPr>
      </w:pPr>
      <w:r>
        <w:rPr>
          <w:rFonts w:ascii="inherit" w:hAnsi="inherit"/>
          <w:sz w:val="17"/>
        </w:rPr>
        <w:t>Long-term debt payable to Westlake consists of the following:</w:t>
      </w:r>
    </w:p>
    <w:tbl>
      <w:tblPr>
        <w:tblW w:w="8899" w:type="dxa"/>
        <w:jc w:val="left"/>
        <w:tblInd w:w="0" w:type="dxa"/>
        <w:tblCellMar>
          <w:top w:w="0" w:type="dxa"/>
          <w:left w:w="0" w:type="dxa"/>
          <w:bottom w:w="0" w:type="dxa"/>
          <w:right w:w="0" w:type="dxa"/>
        </w:tblCellMar>
      </w:tblPr>
      <w:tblGrid>
        <w:gridCol w:w="6755"/>
        <w:gridCol w:w="90"/>
        <w:gridCol w:w="125"/>
        <w:gridCol w:w="695"/>
        <w:gridCol w:w="30"/>
        <w:gridCol w:w="90"/>
        <w:gridCol w:w="160"/>
        <w:gridCol w:w="895"/>
        <w:gridCol w:w="59"/>
      </w:tblGrid>
      <w:tr>
        <w:trPr/>
        <w:tc>
          <w:tcPr>
            <w:tcW w:w="8899" w:type="dxa"/>
            <w:gridSpan w:val="9"/>
            <w:tcBorders/>
            <w:shd w:fill="auto" w:val="clear"/>
            <w:vAlign w:val="center"/>
          </w:tcPr>
          <w:p>
            <w:pPr>
              <w:pStyle w:val="TableContents"/>
              <w:spacing w:before="0" w:after="283"/>
              <w:rPr>
                <w:sz w:val="4"/>
                <w:szCs w:val="4"/>
              </w:rPr>
            </w:pPr>
            <w:r>
              <w:rPr>
                <w:sz w:val="4"/>
                <w:szCs w:val="4"/>
              </w:rPr>
            </w:r>
          </w:p>
        </w:tc>
      </w:tr>
      <w:tr>
        <w:trPr/>
        <w:tc>
          <w:tcPr>
            <w:tcW w:w="67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7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March 31, </w:t>
              <w:br/>
              <w:t>2019</w:t>
            </w:r>
          </w:p>
        </w:tc>
        <w:tc>
          <w:tcPr>
            <w:tcW w:w="90" w:type="dxa"/>
            <w:tcBorders/>
            <w:shd w:fill="auto" w:val="clear"/>
            <w:vAlign w:val="center"/>
          </w:tcPr>
          <w:p>
            <w:pPr>
              <w:pStyle w:val="TableContents"/>
              <w:spacing w:before="0" w:after="0"/>
              <w:ind w:left="0" w:right="0" w:firstLine="30"/>
              <w:rPr/>
            </w:pPr>
            <w:r>
              <w:rPr/>
              <w:t> </w:t>
            </w:r>
          </w:p>
        </w:tc>
        <w:tc>
          <w:tcPr>
            <w:tcW w:w="111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December 31, </w:t>
              <w:br/>
              <w:t>2018</w:t>
            </w:r>
          </w:p>
        </w:tc>
      </w:tr>
      <w:tr>
        <w:trPr/>
        <w:tc>
          <w:tcPr>
            <w:tcW w:w="6755" w:type="dxa"/>
            <w:tcBorders/>
            <w:shd w:fill="CCEEFF" w:val="clear"/>
            <w:vAlign w:val="center"/>
          </w:tcPr>
          <w:p>
            <w:pPr>
              <w:pStyle w:val="TableContents"/>
              <w:spacing w:before="0" w:after="0"/>
              <w:rPr>
                <w:rFonts w:ascii="inherit" w:hAnsi="inherit"/>
                <w:sz w:val="17"/>
              </w:rPr>
            </w:pPr>
            <w:r>
              <w:rPr>
                <w:rFonts w:ascii="inherit" w:hAnsi="inherit"/>
                <w:sz w:val="17"/>
              </w:rPr>
              <w:t xml:space="preserve">OpCo Revolver (variable interest rate of LIBOR plus 2.0%, scheduled maturity of </w:t>
            </w:r>
          </w:p>
          <w:p>
            <w:pPr>
              <w:pStyle w:val="TableContents"/>
              <w:spacing w:before="0" w:after="0"/>
              <w:ind w:left="0" w:right="0" w:firstLine="30"/>
              <w:rPr>
                <w:rFonts w:ascii="inherit" w:hAnsi="inherit"/>
                <w:sz w:val="17"/>
              </w:rPr>
            </w:pPr>
            <w:r>
              <w:rPr>
                <w:rFonts w:ascii="inherit" w:hAnsi="inherit"/>
                <w:sz w:val="17"/>
              </w:rPr>
              <w:t>September 25, 2023)</w:t>
            </w:r>
          </w:p>
        </w:tc>
        <w:tc>
          <w:tcPr>
            <w:tcW w:w="9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224,064</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5" w:type="dxa"/>
            <w:tcBorders/>
            <w:shd w:fill="CCEEFF" w:val="clear"/>
            <w:vAlign w:val="center"/>
          </w:tcPr>
          <w:p>
            <w:pPr>
              <w:pStyle w:val="TableContents"/>
              <w:spacing w:before="0" w:after="0"/>
              <w:jc w:val="right"/>
              <w:rPr>
                <w:rFonts w:ascii="inherit" w:hAnsi="inherit"/>
                <w:sz w:val="17"/>
              </w:rPr>
            </w:pPr>
            <w:r>
              <w:rPr>
                <w:rFonts w:ascii="inherit" w:hAnsi="inherit"/>
                <w:sz w:val="17"/>
              </w:rPr>
              <w:t>224,064</w:t>
            </w:r>
          </w:p>
        </w:tc>
        <w:tc>
          <w:tcPr>
            <w:tcW w:w="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55" w:type="dxa"/>
            <w:tcBorders/>
            <w:shd w:fill="auto" w:val="clear"/>
            <w:vAlign w:val="center"/>
          </w:tcPr>
          <w:p>
            <w:pPr>
              <w:pStyle w:val="TableContents"/>
              <w:spacing w:before="0" w:after="0"/>
              <w:rPr>
                <w:rFonts w:ascii="inherit" w:hAnsi="inherit"/>
                <w:sz w:val="17"/>
              </w:rPr>
            </w:pPr>
            <w:r>
              <w:rPr>
                <w:rFonts w:ascii="inherit" w:hAnsi="inherit"/>
                <w:sz w:val="17"/>
              </w:rPr>
              <w:t xml:space="preserve">MLP Revolver (variable interest rate of LIBOR plus 2.0%, scheduled maturity of </w:t>
            </w:r>
          </w:p>
          <w:p>
            <w:pPr>
              <w:pStyle w:val="TableContents"/>
              <w:spacing w:before="0" w:after="0"/>
              <w:ind w:left="0" w:right="0" w:firstLine="30"/>
              <w:rPr>
                <w:rFonts w:ascii="inherit" w:hAnsi="inherit"/>
                <w:sz w:val="17"/>
              </w:rPr>
            </w:pPr>
            <w:r>
              <w:rPr>
                <w:rFonts w:ascii="inherit" w:hAnsi="inherit"/>
                <w:sz w:val="17"/>
              </w:rPr>
              <w:t>April 29, 2021)</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377,055</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253,544</w:t>
            </w:r>
          </w:p>
        </w:tc>
        <w:tc>
          <w:tcPr>
            <w:tcW w:w="5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5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601,119</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477,608</w:t>
            </w:r>
          </w:p>
        </w:tc>
        <w:tc>
          <w:tcPr>
            <w:tcW w:w="59"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435"/>
        <w:jc w:val="left"/>
        <w:rPr>
          <w:sz w:val="17"/>
        </w:rPr>
      </w:pPr>
      <w:r>
        <w:rPr>
          <w:rFonts w:ascii="inherit" w:hAnsi="inherit"/>
          <w:sz w:val="17"/>
        </w:rPr>
        <w:t>On March 29, 2019, the Partnership borrowed $123,512</w:t>
      </w:r>
      <w:r>
        <w:rPr>
          <w:sz w:val="17"/>
        </w:rPr>
        <w:t xml:space="preserve"> </w:t>
      </w:r>
      <w:r>
        <w:rPr>
          <w:rFonts w:ascii="inherit" w:hAnsi="inherit"/>
          <w:sz w:val="17"/>
        </w:rPr>
        <w:t>under the MLP Revolver to partially fund the purchase of the additional 4.5%</w:t>
      </w:r>
      <w:r>
        <w:rPr>
          <w:sz w:val="17"/>
        </w:rPr>
        <w:t xml:space="preserve"> </w:t>
      </w:r>
      <w:r>
        <w:rPr>
          <w:rFonts w:ascii="inherit" w:hAnsi="inherit"/>
          <w:sz w:val="17"/>
        </w:rPr>
        <w:t xml:space="preserve">interest in OpCo. </w:t>
      </w:r>
    </w:p>
    <w:p>
      <w:pPr>
        <w:pStyle w:val="TextBody"/>
        <w:spacing w:lineRule="auto" w:line="288" w:before="0" w:after="0"/>
        <w:ind w:left="0" w:right="0" w:firstLine="435"/>
        <w:jc w:val="left"/>
        <w:rPr>
          <w:sz w:val="17"/>
        </w:rPr>
      </w:pPr>
      <w:r>
        <w:rPr>
          <w:rFonts w:ascii="inherit" w:hAnsi="inherit"/>
          <w:sz w:val="17"/>
        </w:rPr>
        <w:t>The weighted average interest rate on all long-term debt was 4.8%</w:t>
      </w:r>
      <w:r>
        <w:rPr>
          <w:sz w:val="17"/>
        </w:rPr>
        <w:t xml:space="preserve"> </w:t>
      </w:r>
      <w:r>
        <w:rPr>
          <w:rFonts w:ascii="inherit" w:hAnsi="inherit"/>
          <w:sz w:val="17"/>
        </w:rPr>
        <w:t>and 4.4%, respectively, at March 31, 2019</w:t>
      </w:r>
      <w:r>
        <w:rPr>
          <w:sz w:val="17"/>
        </w:rPr>
        <w:t xml:space="preserve"> </w:t>
      </w:r>
      <w:r>
        <w:rPr>
          <w:rFonts w:ascii="inherit" w:hAnsi="inherit"/>
          <w:sz w:val="17"/>
        </w:rPr>
        <w:t>and December 31, 2018.</w:t>
      </w:r>
    </w:p>
    <w:p>
      <w:pPr>
        <w:pStyle w:val="TextBody"/>
        <w:spacing w:lineRule="auto" w:line="288" w:before="0" w:after="0"/>
        <w:ind w:left="0" w:right="0" w:firstLine="450"/>
        <w:rPr>
          <w:rFonts w:ascii="inherit" w:hAnsi="inherit"/>
          <w:sz w:val="17"/>
        </w:rPr>
      </w:pPr>
      <w:r>
        <w:rPr>
          <w:rFonts w:ascii="inherit" w:hAnsi="inherit"/>
          <w:sz w:val="17"/>
        </w:rPr>
        <w:t xml:space="preserve">As of March 31, 2019, the Partnership was in compliance with all of the covenants under the OpCo Revolver and the MLP Revolver. </w:t>
      </w:r>
    </w:p>
    <w:p>
      <w:pPr>
        <w:pStyle w:val="TextBody"/>
        <w:spacing w:lineRule="auto" w:line="288" w:before="0" w:after="0"/>
        <w:rPr>
          <w:sz w:val="17"/>
        </w:rPr>
      </w:pPr>
      <w:bookmarkStart w:id="25" w:name="s193B105A527D55269B6A6AA6C4DD54B1"/>
      <w:bookmarkEnd w:id="25"/>
      <w:r>
        <w:rPr>
          <w:rFonts w:ascii="inherit" w:hAnsi="inherit"/>
          <w:b/>
          <w:sz w:val="17"/>
        </w:rPr>
        <w:t>10.</w:t>
      </w:r>
      <w:r>
        <w:rPr>
          <w:sz w:val="17"/>
        </w:rPr>
        <w:t xml:space="preserve"> </w:t>
      </w:r>
      <w:r>
        <w:rPr>
          <w:rFonts w:ascii="inherit" w:hAnsi="inherit"/>
          <w:b/>
          <w:sz w:val="17"/>
        </w:rPr>
        <w:t>Fair Value Measurements</w:t>
      </w:r>
      <w:r>
        <w:rPr>
          <w:sz w:val="17"/>
        </w:rPr>
        <w:t xml:space="preserve"> </w:t>
      </w:r>
    </w:p>
    <w:p>
      <w:pPr>
        <w:pStyle w:val="TextBody"/>
        <w:spacing w:lineRule="auto" w:line="288" w:before="0" w:after="0"/>
        <w:ind w:left="0" w:right="0" w:firstLine="480"/>
        <w:rPr>
          <w:rFonts w:ascii="inherit" w:hAnsi="inherit"/>
          <w:sz w:val="17"/>
        </w:rPr>
      </w:pPr>
      <w:r>
        <w:rPr>
          <w:rFonts w:ascii="inherit" w:hAnsi="inherit"/>
          <w:sz w:val="17"/>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pStyle w:val="TextBody"/>
        <w:spacing w:lineRule="auto" w:line="288" w:before="0" w:after="0"/>
        <w:ind w:left="0" w:right="0" w:firstLine="480"/>
        <w:rPr>
          <w:rFonts w:ascii="inherit" w:hAnsi="inherit"/>
          <w:sz w:val="17"/>
        </w:rPr>
      </w:pPr>
      <w:r>
        <w:rPr>
          <w:rFonts w:ascii="inherit" w:hAnsi="inherit"/>
          <w:sz w:val="17"/>
        </w:rPr>
        <w:t>Level 1: Quoted market prices in active markets for identical assets or liabilities.</w:t>
      </w:r>
    </w:p>
    <w:p>
      <w:pPr>
        <w:pStyle w:val="TextBody"/>
        <w:spacing w:lineRule="auto" w:line="288" w:before="0" w:after="0"/>
        <w:ind w:left="0" w:right="0" w:firstLine="480"/>
        <w:rPr>
          <w:rFonts w:ascii="inherit" w:hAnsi="inherit"/>
          <w:sz w:val="17"/>
        </w:rPr>
      </w:pPr>
      <w:r>
        <w:rPr>
          <w:rFonts w:ascii="inherit" w:hAnsi="inherit"/>
          <w:sz w:val="17"/>
        </w:rPr>
        <w:t>Level 2: Observable market-based inputs or unobservable inputs that are corroborated by market data.</w:t>
      </w:r>
    </w:p>
    <w:p>
      <w:pPr>
        <w:pStyle w:val="TextBody"/>
        <w:spacing w:lineRule="auto" w:line="288" w:before="0" w:after="0"/>
        <w:ind w:left="0" w:right="0" w:firstLine="480"/>
        <w:rPr>
          <w:rFonts w:ascii="inherit" w:hAnsi="inherit"/>
          <w:sz w:val="17"/>
        </w:rPr>
      </w:pPr>
      <w:r>
        <w:rPr>
          <w:rFonts w:ascii="inherit" w:hAnsi="inherit"/>
          <w:sz w:val="17"/>
        </w:rPr>
        <w:t>Level 3: Unobservable inputs that are not corroborated by market data.</w:t>
      </w:r>
    </w:p>
    <w:p>
      <w:pPr>
        <w:pStyle w:val="TextBody"/>
        <w:spacing w:lineRule="auto" w:line="288" w:before="0" w:after="0"/>
        <w:ind w:left="0" w:right="0" w:firstLine="480"/>
        <w:rPr>
          <w:sz w:val="17"/>
        </w:rPr>
      </w:pPr>
      <w:r>
        <w:rPr>
          <w:rFonts w:ascii="inherit" w:hAnsi="inherit"/>
          <w:sz w:val="17"/>
        </w:rPr>
        <w:t>The Partnership has financial assets and liabilities subject to fair value measures. These financial assets and liabilities include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March 31, 2019</w:t>
      </w:r>
      <w:r>
        <w:rPr>
          <w:sz w:val="17"/>
        </w:rPr>
        <w:t xml:space="preserve"> </w:t>
      </w:r>
      <w:r>
        <w:rPr>
          <w:rFonts w:ascii="inherit" w:hAnsi="inherit"/>
          <w:sz w:val="17"/>
        </w:rPr>
        <w:t>and December 31, 2018</w:t>
      </w:r>
      <w:r>
        <w:rPr>
          <w:sz w:val="17"/>
        </w:rPr>
        <w:t xml:space="preserve"> </w:t>
      </w:r>
      <w:r>
        <w:rPr>
          <w:rFonts w:ascii="inherit" w:hAnsi="inherit"/>
          <w:sz w:val="17"/>
        </w:rPr>
        <w:t>are summarized in the table below. The Partnership's long-term debt includes the OpCo Revolver and the MLP Revolver at March 31, 2019.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tbl>
      <w:tblPr>
        <w:tblW w:w="5115" w:type="dxa"/>
        <w:jc w:val="left"/>
        <w:tblInd w:w="0" w:type="dxa"/>
        <w:tblCellMar>
          <w:top w:w="0" w:type="dxa"/>
          <w:left w:w="0" w:type="dxa"/>
          <w:bottom w:w="0" w:type="dxa"/>
          <w:right w:w="0" w:type="dxa"/>
        </w:tblCellMar>
      </w:tblPr>
      <w:tblGrid>
        <w:gridCol w:w="1340"/>
        <w:gridCol w:w="90"/>
        <w:gridCol w:w="125"/>
        <w:gridCol w:w="695"/>
        <w:gridCol w:w="30"/>
        <w:gridCol w:w="90"/>
        <w:gridCol w:w="125"/>
        <w:gridCol w:w="695"/>
        <w:gridCol w:w="30"/>
        <w:gridCol w:w="90"/>
        <w:gridCol w:w="125"/>
        <w:gridCol w:w="695"/>
        <w:gridCol w:w="30"/>
        <w:gridCol w:w="90"/>
        <w:gridCol w:w="125"/>
        <w:gridCol w:w="695"/>
        <w:gridCol w:w="45"/>
      </w:tblGrid>
      <w:tr>
        <w:trPr/>
        <w:tc>
          <w:tcPr>
            <w:tcW w:w="5115" w:type="dxa"/>
            <w:gridSpan w:val="17"/>
            <w:tcBorders/>
            <w:shd w:fill="auto" w:val="clear"/>
            <w:vAlign w:val="center"/>
          </w:tcPr>
          <w:p>
            <w:pPr>
              <w:pStyle w:val="TableContents"/>
              <w:spacing w:before="0" w:after="283"/>
              <w:rPr>
                <w:sz w:val="4"/>
                <w:szCs w:val="4"/>
              </w:rPr>
            </w:pPr>
            <w:r>
              <w:rPr>
                <w:sz w:val="4"/>
                <w:szCs w:val="4"/>
              </w:rPr>
            </w:r>
          </w:p>
        </w:tc>
      </w:tr>
      <w:tr>
        <w:trPr/>
        <w:tc>
          <w:tcPr>
            <w:tcW w:w="134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4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9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2019</w:t>
            </w:r>
          </w:p>
        </w:tc>
        <w:tc>
          <w:tcPr>
            <w:tcW w:w="90" w:type="dxa"/>
            <w:tcBorders/>
            <w:shd w:fill="auto" w:val="clear"/>
            <w:vAlign w:val="center"/>
          </w:tcPr>
          <w:p>
            <w:pPr>
              <w:pStyle w:val="TableContents"/>
              <w:spacing w:before="0" w:after="0"/>
              <w:ind w:left="0" w:right="0" w:firstLine="30"/>
              <w:rPr/>
            </w:pPr>
            <w:r>
              <w:rPr/>
              <w:t> </w:t>
            </w:r>
          </w:p>
        </w:tc>
        <w:tc>
          <w:tcPr>
            <w:tcW w:w="180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 2018</w:t>
            </w:r>
          </w:p>
        </w:tc>
      </w:tr>
      <w:tr>
        <w:trPr/>
        <w:tc>
          <w:tcPr>
            <w:tcW w:w="134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Value</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Fair</w:t>
            </w:r>
          </w:p>
          <w:p>
            <w:pPr>
              <w:pStyle w:val="TableContents"/>
              <w:spacing w:before="0" w:after="0"/>
              <w:ind w:left="0" w:right="0" w:firstLine="30"/>
              <w:jc w:val="center"/>
              <w:rPr>
                <w:rFonts w:ascii="inherit" w:hAnsi="inherit"/>
                <w:b/>
                <w:sz w:val="13"/>
              </w:rPr>
            </w:pPr>
            <w:r>
              <w:rPr>
                <w:rFonts w:ascii="inherit" w:hAnsi="inherit"/>
                <w:b/>
                <w:sz w:val="13"/>
              </w:rPr>
              <w:t>Value</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Value</w:t>
            </w:r>
          </w:p>
        </w:tc>
        <w:tc>
          <w:tcPr>
            <w:tcW w:w="90" w:type="dxa"/>
            <w:tcBorders/>
            <w:shd w:fill="auto" w:val="clear"/>
            <w:vAlign w:val="center"/>
          </w:tcPr>
          <w:p>
            <w:pPr>
              <w:pStyle w:val="TableContents"/>
              <w:spacing w:before="0" w:after="0"/>
              <w:ind w:left="0" w:right="0" w:firstLine="30"/>
              <w:rPr/>
            </w:pPr>
            <w:r>
              <w:rPr/>
              <w:t> </w:t>
            </w:r>
          </w:p>
        </w:tc>
        <w:tc>
          <w:tcPr>
            <w:tcW w:w="86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Fair</w:t>
            </w:r>
          </w:p>
          <w:p>
            <w:pPr>
              <w:pStyle w:val="TableContents"/>
              <w:spacing w:before="0" w:after="0"/>
              <w:ind w:left="0" w:right="0" w:firstLine="30"/>
              <w:jc w:val="center"/>
              <w:rPr>
                <w:rFonts w:ascii="inherit" w:hAnsi="inherit"/>
                <w:b/>
                <w:sz w:val="13"/>
              </w:rPr>
            </w:pPr>
            <w:r>
              <w:rPr>
                <w:rFonts w:ascii="inherit" w:hAnsi="inherit"/>
                <w:b/>
                <w:sz w:val="13"/>
              </w:rPr>
              <w:t>Value</w:t>
            </w:r>
          </w:p>
        </w:tc>
      </w:tr>
      <w:tr>
        <w:trPr/>
        <w:tc>
          <w:tcPr>
            <w:tcW w:w="13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OpCo Revolver</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224,064</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225,253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224,064</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221,002</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3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MLP Revolver</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377,055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375,365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253,544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249,747</w:t>
            </w:r>
          </w:p>
        </w:tc>
        <w:tc>
          <w:tcPr>
            <w:tcW w:w="4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sz w:val="17"/>
        </w:rPr>
      </w:pPr>
      <w:bookmarkStart w:id="26" w:name="s7C09544867AA5C1D87ABBDFDD2577770"/>
      <w:bookmarkEnd w:id="26"/>
      <w:r>
        <w:rPr>
          <w:rFonts w:ascii="inherit" w:hAnsi="inherit"/>
          <w:b/>
          <w:sz w:val="17"/>
        </w:rPr>
        <w:t>11.</w:t>
      </w:r>
      <w:r>
        <w:rPr>
          <w:sz w:val="17"/>
        </w:rPr>
        <w:t xml:space="preserve"> </w:t>
      </w:r>
      <w:r>
        <w:rPr>
          <w:rFonts w:ascii="inherit" w:hAnsi="inherit"/>
          <w:b/>
          <w:sz w:val="17"/>
        </w:rPr>
        <w:t>Supplemental Information</w:t>
      </w:r>
      <w:r>
        <w:rPr>
          <w:sz w:val="17"/>
        </w:rPr>
        <w:t xml:space="preserve"> </w:t>
      </w:r>
    </w:p>
    <w:p>
      <w:pPr>
        <w:pStyle w:val="TextBody"/>
        <w:spacing w:lineRule="auto" w:line="288" w:before="0" w:after="0"/>
        <w:jc w:val="left"/>
        <w:rPr>
          <w:rFonts w:ascii="inherit" w:hAnsi="inherit"/>
          <w:b/>
          <w:i/>
          <w:sz w:val="17"/>
        </w:rPr>
      </w:pPr>
      <w:r>
        <w:rPr>
          <w:rFonts w:ascii="inherit" w:hAnsi="inherit"/>
          <w:b/>
          <w:i/>
          <w:sz w:val="17"/>
        </w:rPr>
        <w:t>Accrued Liabilities</w:t>
      </w:r>
    </w:p>
    <w:p>
      <w:pPr>
        <w:pStyle w:val="TextBody"/>
        <w:spacing w:lineRule="auto" w:line="288" w:before="0" w:after="0"/>
        <w:ind w:left="0" w:right="0" w:firstLine="450"/>
        <w:jc w:val="left"/>
        <w:rPr>
          <w:sz w:val="17"/>
        </w:rPr>
      </w:pPr>
      <w:r>
        <w:rPr>
          <w:rFonts w:ascii="inherit" w:hAnsi="inherit"/>
          <w:sz w:val="17"/>
        </w:rPr>
        <w:t>Accrued liabilities were $20,433</w:t>
      </w:r>
      <w:r>
        <w:rPr>
          <w:sz w:val="17"/>
        </w:rPr>
        <w:t xml:space="preserve"> </w:t>
      </w:r>
      <w:r>
        <w:rPr>
          <w:rFonts w:ascii="inherit" w:hAnsi="inherit"/>
          <w:sz w:val="17"/>
        </w:rPr>
        <w:t>and $16,250</w:t>
      </w:r>
      <w:r>
        <w:rPr>
          <w:sz w:val="17"/>
        </w:rPr>
        <w:t xml:space="preserve"> </w:t>
      </w:r>
      <w:r>
        <w:rPr>
          <w:rFonts w:ascii="inherit" w:hAnsi="inherit"/>
          <w:sz w:val="17"/>
        </w:rPr>
        <w:t>at March 31, 2019</w:t>
      </w:r>
      <w:r>
        <w:rPr>
          <w:sz w:val="17"/>
        </w:rPr>
        <w:t xml:space="preserve"> </w:t>
      </w:r>
      <w:r>
        <w:rPr>
          <w:rFonts w:ascii="inherit" w:hAnsi="inherit"/>
          <w:sz w:val="17"/>
        </w:rPr>
        <w:t>and December 31, 2018, respectively. Accrued interest, accrued maintenance, capital expenditures and accrued taxes, which are components of accrued liabilities, were $5,852, $3,850, $2,827</w:t>
      </w:r>
      <w:r>
        <w:rPr>
          <w:sz w:val="17"/>
        </w:rPr>
        <w:t xml:space="preserve"> </w:t>
      </w:r>
      <w:r>
        <w:rPr>
          <w:rFonts w:ascii="inherit" w:hAnsi="inherit"/>
          <w:sz w:val="17"/>
        </w:rPr>
        <w:t>and $2,931, respectively, at March 31, 2019, and $5,448, $2,688, $2,818</w:t>
      </w:r>
      <w:r>
        <w:rPr>
          <w:sz w:val="17"/>
        </w:rPr>
        <w:t xml:space="preserve"> </w:t>
      </w:r>
      <w:r>
        <w:rPr>
          <w:rFonts w:ascii="inherit" w:hAnsi="inherit"/>
          <w:sz w:val="17"/>
        </w:rPr>
        <w:t>and $1,564, respectively, at December 31, 2018. No other component of accrued liabilities was more than five percent of total current liabilities.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w:t>
      </w:r>
      <w:r>
        <w:br w:type="page"/>
      </w:r>
    </w:p>
    <w:p>
      <w:pPr>
        <w:pStyle w:val="TextBody"/>
        <w:spacing w:lineRule="auto" w:line="288" w:before="0" w:after="0"/>
        <w:jc w:val="left"/>
        <w:rPr/>
      </w:pPr>
      <w:hyperlink w:anchor="s57D9DAA9FEA85990A24D0CBB70729000">
        <w:r>
          <w:rPr>
            <w:rStyle w:val="InternetLink"/>
            <w:rFonts w:ascii="inherit" w:hAnsi="inherit"/>
            <w:sz w:val="17"/>
          </w:rPr>
          <w:t>Table of Contents</w:t>
        </w:r>
      </w:hyperlink>
    </w:p>
    <w:p>
      <w:pPr>
        <w:pStyle w:val="TextBody"/>
        <w:spacing w:lineRule="auto" w:line="288" w:before="0" w:after="0"/>
        <w:jc w:val="center"/>
        <w:rPr>
          <w:rFonts w:ascii="inherit" w:hAnsi="inherit"/>
          <w:b/>
          <w:sz w:val="17"/>
        </w:rPr>
      </w:pPr>
      <w:r>
        <w:rPr>
          <w:rFonts w:ascii="inherit" w:hAnsi="inherit"/>
          <w:b/>
          <w:sz w:val="17"/>
        </w:rPr>
        <w:t>WESTLAKE CHEMICAL PARTNERS LP</w:t>
      </w:r>
    </w:p>
    <w:p>
      <w:pPr>
        <w:pStyle w:val="TextBody"/>
        <w:spacing w:lineRule="auto" w:line="288" w:before="0" w:after="0"/>
        <w:jc w:val="center"/>
        <w:rPr>
          <w:sz w:val="17"/>
        </w:rPr>
      </w:pPr>
      <w:r>
        <w:rPr>
          <w:rFonts w:ascii="inherit" w:hAnsi="inherit"/>
          <w:b/>
          <w:sz w:val="17"/>
        </w:rPr>
        <w:t>NOTES TO CONSOLIDATED FINANCIAL STATEMENTS</w:t>
      </w:r>
      <w:r>
        <w:rPr>
          <w:sz w:val="17"/>
        </w:rPr>
        <w:t>—</w:t>
      </w:r>
      <w:r>
        <w:rPr>
          <w:rFonts w:ascii="inherit" w:hAnsi="inherit"/>
          <w:b/>
          <w:sz w:val="17"/>
        </w:rPr>
        <w:t>Continued</w:t>
      </w:r>
    </w:p>
    <w:p>
      <w:pPr>
        <w:pStyle w:val="TextBody"/>
        <w:spacing w:lineRule="auto" w:line="288" w:before="0" w:after="0"/>
        <w:jc w:val="center"/>
        <w:rPr>
          <w:rFonts w:ascii="inherit" w:hAnsi="inherit"/>
          <w:b/>
          <w:sz w:val="17"/>
        </w:rPr>
      </w:pPr>
      <w:r>
        <w:rPr>
          <w:rFonts w:ascii="inherit" w:hAnsi="inherit"/>
          <w:b/>
          <w:sz w:val="17"/>
        </w:rPr>
        <w:t>(Unaudited)</w:t>
      </w:r>
    </w:p>
    <w:p>
      <w:pPr>
        <w:pStyle w:val="TextBody"/>
        <w:spacing w:lineRule="auto" w:line="288" w:before="0" w:after="0"/>
        <w:jc w:val="center"/>
        <w:rPr>
          <w:rFonts w:ascii="inherit" w:hAnsi="inherit"/>
          <w:b/>
          <w:sz w:val="17"/>
        </w:rPr>
      </w:pPr>
      <w:r>
        <w:rPr>
          <w:rFonts w:ascii="inherit" w:hAnsi="inherit"/>
          <w:b/>
          <w:sz w:val="17"/>
        </w:rPr>
        <w:t>(in thousands of dollars, except unit amounts and per unit data)</w:t>
      </w:r>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Non-cash Investing Activity</w:t>
      </w:r>
    </w:p>
    <w:p>
      <w:pPr>
        <w:pStyle w:val="TextBody"/>
        <w:spacing w:lineRule="auto" w:line="288" w:before="0" w:after="0"/>
        <w:ind w:left="0" w:right="0" w:firstLine="450"/>
        <w:jc w:val="left"/>
        <w:rPr>
          <w:sz w:val="17"/>
        </w:rPr>
      </w:pPr>
      <w:r>
        <w:rPr>
          <w:rFonts w:ascii="inherit" w:hAnsi="inherit"/>
          <w:sz w:val="17"/>
        </w:rPr>
        <w:t>The change in capital expenditure accrual resulted in an increase</w:t>
      </w:r>
      <w:r>
        <w:rPr>
          <w:sz w:val="17"/>
        </w:rPr>
        <w:t xml:space="preserve"> </w:t>
      </w:r>
      <w:r>
        <w:rPr>
          <w:rFonts w:ascii="inherit" w:hAnsi="inherit"/>
          <w:sz w:val="17"/>
        </w:rPr>
        <w:t>in additions to property, plant and equipment by $52</w:t>
      </w:r>
      <w:r>
        <w:rPr>
          <w:sz w:val="17"/>
        </w:rPr>
        <w:t xml:space="preserve"> </w:t>
      </w:r>
      <w:r>
        <w:rPr>
          <w:rFonts w:ascii="inherit" w:hAnsi="inherit"/>
          <w:sz w:val="17"/>
        </w:rPr>
        <w:t>for the three months ended March 31, 2019. The change in capital expenditure accrual resulted in a decrease</w:t>
      </w:r>
      <w:r>
        <w:rPr>
          <w:sz w:val="17"/>
        </w:rPr>
        <w:t xml:space="preserve"> </w:t>
      </w:r>
      <w:r>
        <w:rPr>
          <w:rFonts w:ascii="inherit" w:hAnsi="inherit"/>
          <w:sz w:val="17"/>
        </w:rPr>
        <w:t>in additions to property, plant and equipment by $117</w:t>
      </w:r>
      <w:r>
        <w:rPr>
          <w:sz w:val="17"/>
        </w:rPr>
        <w:t xml:space="preserve"> </w:t>
      </w:r>
      <w:r>
        <w:rPr>
          <w:rFonts w:ascii="inherit" w:hAnsi="inherit"/>
          <w:sz w:val="17"/>
        </w:rPr>
        <w:t>for the three months ended March 31, 2018.</w:t>
      </w:r>
    </w:p>
    <w:p>
      <w:pPr>
        <w:pStyle w:val="TextBody"/>
        <w:spacing w:lineRule="auto" w:line="288" w:before="0" w:after="0"/>
        <w:rPr>
          <w:sz w:val="17"/>
        </w:rPr>
      </w:pPr>
      <w:bookmarkStart w:id="27" w:name="sEAE7DF423E015D518E9175F450710B1F"/>
      <w:bookmarkEnd w:id="27"/>
      <w:r>
        <w:rPr>
          <w:rFonts w:ascii="inherit" w:hAnsi="inherit"/>
          <w:b/>
          <w:sz w:val="17"/>
        </w:rPr>
        <w:t>12.</w:t>
      </w:r>
      <w:r>
        <w:rPr>
          <w:sz w:val="17"/>
        </w:rPr>
        <w:t xml:space="preserve"> </w:t>
      </w:r>
      <w:r>
        <w:rPr>
          <w:rFonts w:ascii="inherit" w:hAnsi="inherit"/>
          <w:b/>
          <w:sz w:val="17"/>
        </w:rPr>
        <w:t>Commitments and Contingencies</w:t>
      </w:r>
      <w:r>
        <w:rPr>
          <w:sz w:val="17"/>
        </w:rPr>
        <w:t xml:space="preserve"> </w:t>
      </w:r>
    </w:p>
    <w:p>
      <w:pPr>
        <w:pStyle w:val="TextBody"/>
        <w:spacing w:lineRule="auto" w:line="288" w:before="0" w:after="0"/>
        <w:ind w:left="0" w:right="0" w:firstLine="450"/>
        <w:jc w:val="left"/>
        <w:rPr>
          <w:rFonts w:ascii="inherit" w:hAnsi="inherit"/>
          <w:sz w:val="17"/>
        </w:rPr>
      </w:pPr>
      <w:r>
        <w:rPr>
          <w:rFonts w:ascii="inherit" w:hAnsi="inherit"/>
          <w:sz w:val="17"/>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pStyle w:val="TextBody"/>
        <w:spacing w:lineRule="auto" w:line="288" w:before="0" w:after="0"/>
        <w:ind w:left="0" w:right="0" w:firstLine="450"/>
        <w:rPr>
          <w:rFonts w:ascii="inherit" w:hAnsi="inherit"/>
          <w:sz w:val="17"/>
        </w:rPr>
      </w:pPr>
      <w:r>
        <w:rPr>
          <w:rFonts w:ascii="inherit" w:hAnsi="inherit"/>
          <w:sz w:val="17"/>
        </w:rPr>
        <w:t>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pStyle w:val="TextBody"/>
        <w:spacing w:lineRule="auto" w:line="288" w:before="0" w:after="0"/>
        <w:rPr>
          <w:sz w:val="17"/>
        </w:rPr>
      </w:pPr>
      <w:bookmarkStart w:id="28" w:name="s83CDBA4630D8512E938D67D985BF995E"/>
      <w:bookmarkEnd w:id="28"/>
      <w:r>
        <w:rPr>
          <w:rFonts w:ascii="inherit" w:hAnsi="inherit"/>
          <w:b/>
          <w:sz w:val="17"/>
        </w:rPr>
        <w:t>13.</w:t>
      </w:r>
      <w:r>
        <w:rPr>
          <w:sz w:val="17"/>
        </w:rPr>
        <w:t xml:space="preserve"> </w:t>
      </w:r>
      <w:r>
        <w:rPr>
          <w:rFonts w:ascii="inherit" w:hAnsi="inherit"/>
          <w:b/>
          <w:sz w:val="17"/>
        </w:rPr>
        <w:t>Subsequent Events</w:t>
      </w:r>
    </w:p>
    <w:p>
      <w:pPr>
        <w:pStyle w:val="TextBody"/>
        <w:spacing w:lineRule="auto" w:line="288" w:before="0" w:after="0"/>
        <w:ind w:left="0" w:right="0" w:firstLine="450"/>
        <w:jc w:val="left"/>
        <w:rPr>
          <w:sz w:val="17"/>
        </w:rPr>
      </w:pPr>
      <w:r>
        <w:rPr>
          <w:rFonts w:ascii="inherit" w:hAnsi="inherit"/>
          <w:sz w:val="17"/>
        </w:rPr>
        <w:t>In April 2019, the Partnership repaid $201,445</w:t>
      </w:r>
      <w:r>
        <w:rPr>
          <w:sz w:val="17"/>
        </w:rPr>
        <w:t xml:space="preserve"> </w:t>
      </w:r>
      <w:r>
        <w:rPr>
          <w:rFonts w:ascii="inherit" w:hAnsi="inherit"/>
          <w:sz w:val="17"/>
        </w:rPr>
        <w:t>of borrowings under the OpCo Revolver.</w:t>
      </w:r>
    </w:p>
    <w:p>
      <w:pPr>
        <w:pStyle w:val="TextBody"/>
        <w:spacing w:lineRule="auto" w:line="288" w:before="0" w:after="0"/>
        <w:jc w:val="left"/>
        <w:rPr>
          <w:rFonts w:ascii="inherit" w:hAnsi="inherit"/>
          <w:b/>
          <w:sz w:val="17"/>
        </w:rPr>
      </w:pPr>
      <w:bookmarkStart w:id="29" w:name="sCFCD96EB807059E69ED7270A16F4326F"/>
      <w:bookmarkEnd w:id="29"/>
      <w:r>
        <w:rPr>
          <w:rFonts w:ascii="inherit" w:hAnsi="inherit"/>
          <w:b/>
          <w:sz w:val="17"/>
        </w:rPr>
        <w:t xml:space="preserve">Item 2. Management's Discussion and Analysis of Financial Condition and Results of Operations </w:t>
      </w:r>
    </w:p>
    <w:p>
      <w:pPr>
        <w:pStyle w:val="TextBody"/>
        <w:spacing w:lineRule="auto" w:line="288" w:before="0" w:after="0"/>
        <w:ind w:left="0" w:right="0" w:firstLine="450"/>
        <w:jc w:val="left"/>
        <w:rPr>
          <w:sz w:val="17"/>
        </w:rPr>
      </w:pPr>
      <w:r>
        <w:rPr>
          <w:rFonts w:ascii="inherit" w:hAnsi="inherit"/>
          <w:sz w:val="17"/>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2018</w:t>
      </w:r>
      <w:r>
        <w:rPr>
          <w:sz w:val="17"/>
        </w:rPr>
        <w:t xml:space="preserve"> </w:t>
      </w:r>
      <w:r>
        <w:rPr>
          <w:rFonts w:ascii="inherit" w:hAnsi="inherit"/>
          <w:sz w:val="17"/>
        </w:rPr>
        <w:t>(the "2018</w:t>
      </w:r>
      <w:r>
        <w:rPr>
          <w:sz w:val="17"/>
        </w:rPr>
        <w:t xml:space="preserve"> </w:t>
      </w:r>
      <w:r>
        <w:rPr>
          <w:rFonts w:ascii="inherit" w:hAnsi="inherit"/>
          <w:sz w:val="17"/>
        </w:rPr>
        <w:t>Form 10-K"), as filed with the SEC on March 1, 2019. Unless otherwise indicated, references in this report to "we," "our," "us" or like terms, refer to Westlake Chemical Partners LP (the "Partnership"), Westlake Chemical OpCo LP ("OpCo") and Westlake Chemical OpCo GP LLC ("OpCo GP"). References to "Westlake" refer to Westlake Chemical Corporation and its consolidated subsidiaries other than the Partnership, OpCo GP and OpCo. The following discussion contains forward-looking statements. Please read "Forward-Looking Statements" for a discussion of limitations inherent in such statements.</w:t>
      </w:r>
    </w:p>
    <w:p>
      <w:pPr>
        <w:pStyle w:val="TextBody"/>
        <w:spacing w:lineRule="auto" w:line="288" w:before="0" w:after="0"/>
        <w:jc w:val="left"/>
        <w:rPr>
          <w:rFonts w:ascii="inherit" w:hAnsi="inherit"/>
          <w:b/>
          <w:sz w:val="17"/>
        </w:rPr>
      </w:pPr>
      <w:r>
        <w:rPr>
          <w:rFonts w:ascii="inherit" w:hAnsi="inherit"/>
          <w:b/>
          <w:sz w:val="17"/>
        </w:rPr>
        <w:t>Partnership Overview</w:t>
      </w:r>
    </w:p>
    <w:p>
      <w:pPr>
        <w:pStyle w:val="TextBody"/>
        <w:spacing w:lineRule="auto" w:line="288" w:before="0" w:after="0"/>
        <w:ind w:left="0" w:right="0" w:firstLine="450"/>
        <w:jc w:val="left"/>
        <w:rPr>
          <w:sz w:val="17"/>
        </w:rPr>
      </w:pPr>
      <w:r>
        <w:rPr>
          <w:rFonts w:ascii="inherit" w:hAnsi="inherit"/>
          <w:sz w:val="17"/>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proceeds to purchase an additional 4.5%</w:t>
      </w:r>
      <w:r>
        <w:rPr>
          <w:sz w:val="17"/>
        </w:rPr>
        <w:t xml:space="preserve"> </w:t>
      </w:r>
      <w:r>
        <w:rPr>
          <w:rFonts w:ascii="inherit" w:hAnsi="inherit"/>
          <w:sz w:val="17"/>
        </w:rPr>
        <w:t>interest in OpCo, effective January 1, 2019, resulting in us owning an aggregate 22.8%</w:t>
      </w:r>
      <w:r>
        <w:rPr>
          <w:sz w:val="17"/>
        </w:rPr>
        <w:t xml:space="preserve"> </w:t>
      </w:r>
      <w:r>
        <w:rPr>
          <w:rFonts w:ascii="inherit" w:hAnsi="inherit"/>
          <w:sz w:val="17"/>
        </w:rPr>
        <w:t xml:space="preserve">limited partner interest in OpCo.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450"/>
        <w:jc w:val="left"/>
        <w:rPr>
          <w:sz w:val="17"/>
        </w:rPr>
      </w:pPr>
      <w:r>
        <w:rPr>
          <w:rFonts w:ascii="inherit" w:hAnsi="inherit"/>
          <w:sz w:val="17"/>
        </w:rPr>
        <w:t>Currently, our sole revenue generating asset is our 22.8%</w:t>
      </w:r>
      <w:r>
        <w:rPr>
          <w:sz w:val="17"/>
        </w:rPr>
        <w:t xml:space="preserve"> </w:t>
      </w:r>
      <w:r>
        <w:rPr>
          <w:rFonts w:ascii="inherit" w:hAnsi="inherit"/>
          <w:sz w:val="17"/>
        </w:rPr>
        <w:t>limited partner interest in OpCo, a limited partnership formed by Westlake and us in anticipation of the IPO to own and operate an ethylene production business. We control OpCo through our ownership of its general partner. Westlake retains the remaining 77.2%</w:t>
      </w:r>
      <w:r>
        <w:rPr>
          <w:sz w:val="17"/>
        </w:rPr>
        <w:t xml:space="preserve"> </w:t>
      </w:r>
      <w:r>
        <w:rPr>
          <w:rFonts w:ascii="inherit" w:hAnsi="inherit"/>
          <w:sz w:val="17"/>
        </w:rPr>
        <w:t>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pStyle w:val="TextBody"/>
        <w:spacing w:lineRule="auto" w:line="288" w:before="0" w:after="0"/>
        <w:jc w:val="left"/>
        <w:rPr>
          <w:rFonts w:ascii="inherit" w:hAnsi="inherit"/>
          <w:b/>
          <w:sz w:val="17"/>
        </w:rPr>
      </w:pPr>
      <w:r>
        <w:rPr>
          <w:rFonts w:ascii="inherit" w:hAnsi="inherit"/>
          <w:b/>
          <w:sz w:val="17"/>
        </w:rPr>
        <w:t>How We Generate Revenue</w:t>
      </w:r>
    </w:p>
    <w:p>
      <w:pPr>
        <w:pStyle w:val="TextBody"/>
        <w:spacing w:lineRule="auto" w:line="288" w:before="0" w:after="0"/>
        <w:ind w:left="0" w:right="0" w:firstLine="480"/>
        <w:jc w:val="left"/>
        <w:rPr>
          <w:rFonts w:ascii="inherit" w:hAnsi="inherit"/>
          <w:sz w:val="17"/>
        </w:rPr>
      </w:pPr>
      <w:r>
        <w:rPr>
          <w:rFonts w:ascii="inherit" w:hAnsi="inherit"/>
          <w:sz w:val="17"/>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at the end of the year, is generally not reduced for the first 45 days of a force majeure event, but is reduced for the portion of a force majeure event extending beyond the 45th day.</w:t>
      </w:r>
    </w:p>
    <w:p>
      <w:pPr>
        <w:pStyle w:val="TextBody"/>
        <w:spacing w:lineRule="auto" w:line="288" w:before="0" w:after="0"/>
        <w:ind w:left="0" w:right="0" w:firstLine="480"/>
        <w:jc w:val="left"/>
        <w:rPr>
          <w:rFonts w:ascii="inherit" w:hAnsi="inherit"/>
          <w:sz w:val="17"/>
        </w:rPr>
      </w:pPr>
      <w:r>
        <w:rPr>
          <w:rFonts w:ascii="inherit" w:hAnsi="inherit"/>
          <w:sz w:val="17"/>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recognized during the period in which the related operating, maintenance or turnaround activities occur.</w:t>
      </w:r>
    </w:p>
    <w:p>
      <w:pPr>
        <w:pStyle w:val="TextBody"/>
        <w:spacing w:lineRule="auto" w:line="288" w:before="0" w:after="0"/>
        <w:jc w:val="left"/>
        <w:rPr>
          <w:rFonts w:ascii="inherit" w:hAnsi="inherit"/>
          <w:b/>
          <w:sz w:val="17"/>
        </w:rPr>
      </w:pPr>
      <w:r>
        <w:rPr>
          <w:rFonts w:ascii="inherit" w:hAnsi="inherit"/>
          <w:b/>
          <w:sz w:val="17"/>
        </w:rPr>
        <w:t>Operating Expenses, Maintenance Capital Expenditures and Turnaround Costs</w:t>
      </w:r>
    </w:p>
    <w:p>
      <w:pPr>
        <w:pStyle w:val="TextBody"/>
        <w:spacing w:lineRule="auto" w:line="288" w:before="0" w:after="0"/>
        <w:ind w:left="0" w:right="0" w:firstLine="480"/>
        <w:jc w:val="left"/>
        <w:rPr>
          <w:rFonts w:ascii="inherit" w:hAnsi="inherit"/>
          <w:sz w:val="17"/>
        </w:rPr>
      </w:pPr>
      <w:r>
        <w:rPr>
          <w:rFonts w:ascii="inherit" w:hAnsi="inherit"/>
          <w:sz w:val="17"/>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pStyle w:val="TextBody"/>
        <w:spacing w:lineRule="auto" w:line="288" w:before="0" w:after="0"/>
        <w:ind w:left="0" w:right="0" w:firstLine="480"/>
        <w:jc w:val="left"/>
        <w:rPr>
          <w:rFonts w:ascii="inherit" w:hAnsi="inherit"/>
          <w:sz w:val="17"/>
        </w:rPr>
      </w:pPr>
      <w:r>
        <w:rPr>
          <w:rFonts w:ascii="inherit" w:hAnsi="inherit"/>
          <w:sz w:val="17"/>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MLP Distributable Cash Flow and EBITDA</w:t>
      </w:r>
    </w:p>
    <w:p>
      <w:pPr>
        <w:pStyle w:val="TextBody"/>
        <w:spacing w:lineRule="auto" w:line="288" w:before="0" w:after="0"/>
        <w:ind w:left="0" w:right="0" w:firstLine="450"/>
        <w:rPr>
          <w:rFonts w:ascii="inherit" w:hAnsi="inherit"/>
          <w:sz w:val="17"/>
        </w:rPr>
      </w:pPr>
      <w:r>
        <w:rPr>
          <w:rFonts w:ascii="inherit" w:hAnsi="inherit"/>
          <w:sz w:val="17"/>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The non-GAAP financial measures described in this Form 10-Q are not substitutes for the GAAP measures of earnings and cash flows. We use each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MLP distributable cash flow and EBITDA are non-GAAP supplemental financial measures that management and external users of our consolidated financial statements, such as industry analysts, investors, lenders and rating agencies, may use to assess:</w:t>
      </w:r>
    </w:p>
    <w:tbl>
      <w:tblPr>
        <w:tblW w:w="7105" w:type="dxa"/>
        <w:jc w:val="left"/>
        <w:tblInd w:w="0" w:type="dxa"/>
        <w:tblCellMar>
          <w:top w:w="0" w:type="dxa"/>
          <w:left w:w="0" w:type="dxa"/>
          <w:bottom w:w="0" w:type="dxa"/>
          <w:right w:w="0" w:type="dxa"/>
        </w:tblCellMar>
      </w:tblPr>
      <w:tblGrid>
        <w:gridCol w:w="485"/>
        <w:gridCol w:w="6620"/>
      </w:tblGrid>
      <w:tr>
        <w:trPr/>
        <w:tc>
          <w:tcPr>
            <w:tcW w:w="485" w:type="dxa"/>
            <w:tcBorders/>
            <w:shd w:fill="auto" w:val="clear"/>
            <w:vAlign w:val="center"/>
          </w:tcPr>
          <w:p>
            <w:pPr>
              <w:pStyle w:val="TableContents"/>
              <w:spacing w:before="0" w:after="283"/>
              <w:rPr>
                <w:sz w:val="4"/>
                <w:szCs w:val="4"/>
              </w:rPr>
            </w:pPr>
            <w:r>
              <w:rPr>
                <w:sz w:val="4"/>
                <w:szCs w:val="4"/>
              </w:rPr>
            </w:r>
          </w:p>
        </w:tc>
        <w:tc>
          <w:tcPr>
            <w:tcW w:w="66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6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operating performance as compared to other publicly traded partnerships;</w:t>
            </w:r>
          </w:p>
        </w:tc>
      </w:tr>
    </w:tbl>
    <w:tbl>
      <w:tblPr>
        <w:tblW w:w="6430" w:type="dxa"/>
        <w:jc w:val="left"/>
        <w:tblInd w:w="0" w:type="dxa"/>
        <w:tblCellMar>
          <w:top w:w="0" w:type="dxa"/>
          <w:left w:w="0" w:type="dxa"/>
          <w:bottom w:w="0" w:type="dxa"/>
          <w:right w:w="0" w:type="dxa"/>
        </w:tblCellMar>
      </w:tblPr>
      <w:tblGrid>
        <w:gridCol w:w="485"/>
        <w:gridCol w:w="5945"/>
      </w:tblGrid>
      <w:tr>
        <w:trPr/>
        <w:tc>
          <w:tcPr>
            <w:tcW w:w="485" w:type="dxa"/>
            <w:tcBorders/>
            <w:shd w:fill="auto" w:val="clear"/>
            <w:vAlign w:val="center"/>
          </w:tcPr>
          <w:p>
            <w:pPr>
              <w:pStyle w:val="TableContents"/>
              <w:spacing w:before="0" w:after="283"/>
              <w:rPr>
                <w:sz w:val="4"/>
                <w:szCs w:val="4"/>
              </w:rPr>
            </w:pPr>
            <w:r>
              <w:rPr>
                <w:sz w:val="4"/>
                <w:szCs w:val="4"/>
              </w:rPr>
            </w:r>
          </w:p>
        </w:tc>
        <w:tc>
          <w:tcPr>
            <w:tcW w:w="594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94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ability to incur and service debt and fund capital expenditures; and</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viability of acquisitions and other capital expenditure projects and the returns on investment of various investment opportunities.</w:t>
            </w:r>
          </w:p>
        </w:tc>
      </w:tr>
    </w:tbl>
    <w:p>
      <w:pPr>
        <w:pStyle w:val="TextBody"/>
        <w:spacing w:lineRule="auto" w:line="288" w:before="0" w:after="0"/>
        <w:ind w:left="0" w:right="0" w:firstLine="450"/>
        <w:rPr>
          <w:rFonts w:ascii="inherit" w:hAnsi="inherit"/>
          <w:sz w:val="17"/>
        </w:rPr>
      </w:pPr>
      <w:r>
        <w:rPr>
          <w:rFonts w:ascii="inherit" w:hAnsi="inherit"/>
          <w:sz w:val="17"/>
        </w:rPr>
        <w:t>We believe that the presentation of MLP distributable cash flow and EBITDA provides useful information to investors in assessing our financial condition and results of operations. The GAAP measures most directly comparable to MLP distributable cash flow are net income and net cash provided by operating activities. MLP distributable cash flow should not be considered as an alternative to GAAP net income or net cash provided by operating activities. MLP distributable cash flow has important limitations as an analytical tool because it excludes some but not all items that affect net income and net cash provided by operating activities. The GAAP measures most directly comparable to EBITDA are net income, income from operations and net cash provided by operating activities, but EBITDA should not be considered 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is a necessary element of our operations in the jurisdictions we operate in. MLP distributable cash flow and EBITDA should not be considered in isolation or as a substitute for analysis of our results as reported under GAAP. See reconciliations for each of MLP distributable cash flow and EBITDA under "Results of Operations" below.</w:t>
      </w:r>
    </w:p>
    <w:p>
      <w:pPr>
        <w:pStyle w:val="TextBody"/>
        <w:spacing w:lineRule="auto" w:line="288" w:before="0" w:after="0"/>
        <w:jc w:val="left"/>
        <w:rPr>
          <w:rFonts w:ascii="inherit" w:hAnsi="inherit"/>
          <w:b/>
          <w:sz w:val="17"/>
        </w:rPr>
      </w:pPr>
      <w:r>
        <w:rPr>
          <w:rFonts w:ascii="inherit" w:hAnsi="inherit"/>
          <w:b/>
          <w:sz w:val="17"/>
        </w:rPr>
        <w:t>Recent Developments</w:t>
      </w:r>
    </w:p>
    <w:p>
      <w:pPr>
        <w:pStyle w:val="TextBody"/>
        <w:spacing w:lineRule="auto" w:line="288" w:before="0" w:after="0"/>
        <w:ind w:left="0" w:right="0" w:firstLine="450"/>
        <w:jc w:val="left"/>
        <w:rPr>
          <w:rFonts w:ascii="inherit" w:hAnsi="inherit"/>
          <w:sz w:val="17"/>
        </w:rPr>
      </w:pPr>
      <w:r>
        <w:rPr>
          <w:rFonts w:ascii="inherit" w:hAnsi="inherit"/>
          <w:sz w:val="17"/>
        </w:rPr>
        <w:t>In April 2019, the Partnership repaid $201.4 million of borrowings under the OpCo Revolver.</w:t>
      </w:r>
    </w:p>
    <w:p>
      <w:pPr>
        <w:pStyle w:val="TextBody"/>
        <w:spacing w:lineRule="auto" w:line="288" w:before="0" w:after="0"/>
        <w:ind w:left="0" w:right="0" w:firstLine="450"/>
        <w:jc w:val="left"/>
        <w:rPr>
          <w:rFonts w:ascii="inherit" w:hAnsi="inherit"/>
          <w:sz w:val="17"/>
        </w:rPr>
      </w:pPr>
      <w:r>
        <w:rPr>
          <w:rFonts w:ascii="inherit" w:hAnsi="inherit"/>
          <w:sz w:val="17"/>
        </w:rPr>
        <w:t>In March 29, 2019, we completed a private placement of 2,940,818 common units at a price of $21.40 per unit, resulting in aggregate proceeds to the Partnership of approximately $62.9 million. We used these net proceeds, along with borrowings under the MLP Revolver, to purchase an additional 4.5% limited partner interest in OpCo for approximately $201.4 million, effective January 1, 2019, resulting in us owning an aggregate 22.8% limited partner interest in OpCo.</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15</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Results of Operations</w:t>
      </w:r>
    </w:p>
    <w:tbl>
      <w:tblPr>
        <w:tblW w:w="10205" w:type="dxa"/>
        <w:jc w:val="center"/>
        <w:tblInd w:w="0" w:type="dxa"/>
        <w:tblCellMar>
          <w:top w:w="0" w:type="dxa"/>
          <w:left w:w="0" w:type="dxa"/>
          <w:bottom w:w="0" w:type="dxa"/>
          <w:right w:w="0" w:type="dxa"/>
        </w:tblCellMar>
      </w:tblPr>
      <w:tblGrid>
        <w:gridCol w:w="7017"/>
        <w:gridCol w:w="117"/>
        <w:gridCol w:w="170"/>
        <w:gridCol w:w="957"/>
        <w:gridCol w:w="150"/>
        <w:gridCol w:w="121"/>
        <w:gridCol w:w="170"/>
        <w:gridCol w:w="957"/>
        <w:gridCol w:w="546"/>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70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017" w:type="dxa"/>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307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r>
      <w:tr>
        <w:trPr/>
        <w:tc>
          <w:tcPr>
            <w:tcW w:w="7017" w:type="dxa"/>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1277"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21" w:type="dxa"/>
            <w:tcBorders/>
            <w:shd w:fill="auto" w:val="clear"/>
            <w:vAlign w:val="center"/>
          </w:tcPr>
          <w:p>
            <w:pPr>
              <w:pStyle w:val="TableContents"/>
              <w:spacing w:before="0" w:after="0"/>
              <w:ind w:left="0" w:right="0" w:firstLine="30"/>
              <w:rPr/>
            </w:pPr>
            <w:r>
              <w:rPr/>
              <w:t> </w:t>
            </w:r>
          </w:p>
        </w:tc>
        <w:tc>
          <w:tcPr>
            <w:tcW w:w="16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7017" w:type="dxa"/>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1277"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673" w:type="dxa"/>
            <w:gridSpan w:val="3"/>
            <w:tcBorders/>
            <w:shd w:fill="auto" w:val="clear"/>
            <w:vAlign w:val="center"/>
          </w:tcPr>
          <w:p>
            <w:pPr>
              <w:pStyle w:val="TableContents"/>
              <w:spacing w:before="0" w:after="0"/>
              <w:ind w:left="0" w:right="0" w:firstLine="30"/>
              <w:rPr/>
            </w:pPr>
            <w:r>
              <w:rPr/>
              <w:t> </w:t>
            </w:r>
          </w:p>
        </w:tc>
      </w:tr>
      <w:tr>
        <w:trPr/>
        <w:tc>
          <w:tcPr>
            <w:tcW w:w="7017" w:type="dxa"/>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3071"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(dollars in thousands)</w:t>
            </w:r>
          </w:p>
        </w:tc>
      </w:tr>
      <w:tr>
        <w:trPr/>
        <w:tc>
          <w:tcPr>
            <w:tcW w:w="7017"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Revenue</w:t>
            </w:r>
          </w:p>
        </w:tc>
        <w:tc>
          <w:tcPr>
            <w:tcW w:w="117" w:type="dxa"/>
            <w:tcBorders/>
            <w:shd w:fill="CCEEFF" w:val="clear"/>
            <w:vAlign w:val="center"/>
          </w:tcPr>
          <w:p>
            <w:pPr>
              <w:pStyle w:val="TableContents"/>
              <w:spacing w:before="0" w:after="0"/>
              <w:ind w:left="0" w:right="0" w:firstLine="30"/>
              <w:rPr/>
            </w:pPr>
            <w:r>
              <w:rPr/>
              <w:t> </w:t>
            </w:r>
          </w:p>
        </w:tc>
        <w:tc>
          <w:tcPr>
            <w:tcW w:w="1277"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673" w:type="dxa"/>
            <w:gridSpan w:val="3"/>
            <w:tcBorders/>
            <w:shd w:fill="CCEEFF" w:val="clear"/>
            <w:vAlign w:val="center"/>
          </w:tcPr>
          <w:p>
            <w:pPr>
              <w:pStyle w:val="TableContents"/>
              <w:spacing w:before="0" w:after="0"/>
              <w:ind w:left="0" w:right="0" w:firstLine="300"/>
              <w:rPr/>
            </w:pPr>
            <w:r>
              <w:rPr/>
              <w:t> </w:t>
            </w:r>
          </w:p>
        </w:tc>
      </w:tr>
      <w:tr>
        <w:trPr/>
        <w:tc>
          <w:tcPr>
            <w:tcW w:w="70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sales—Westlake</w:t>
            </w:r>
          </w:p>
        </w:tc>
        <w:tc>
          <w:tcPr>
            <w:tcW w:w="117" w:type="dxa"/>
            <w:tcBorders/>
            <w:shd w:fill="auto" w:val="clear"/>
            <w:vAlign w:val="center"/>
          </w:tcPr>
          <w:p>
            <w:pPr>
              <w:pStyle w:val="TableContents"/>
              <w:spacing w:before="0" w:after="0"/>
              <w:ind w:left="0" w:right="0" w:firstLine="30"/>
              <w:rPr/>
            </w:pPr>
            <w:r>
              <w:rPr/>
              <w:t> </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57" w:type="dxa"/>
            <w:tcBorders/>
            <w:shd w:fill="auto" w:val="clear"/>
            <w:vAlign w:val="center"/>
          </w:tcPr>
          <w:p>
            <w:pPr>
              <w:pStyle w:val="TableContents"/>
              <w:spacing w:before="0" w:after="0"/>
              <w:jc w:val="right"/>
              <w:rPr>
                <w:rFonts w:ascii="inherit" w:hAnsi="inherit"/>
                <w:sz w:val="17"/>
              </w:rPr>
            </w:pPr>
            <w:r>
              <w:rPr>
                <w:rFonts w:ascii="inherit" w:hAnsi="inherit"/>
                <w:sz w:val="17"/>
              </w:rPr>
              <w:t>257,040</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57" w:type="dxa"/>
            <w:tcBorders/>
            <w:shd w:fill="auto" w:val="clear"/>
            <w:vAlign w:val="center"/>
          </w:tcPr>
          <w:p>
            <w:pPr>
              <w:pStyle w:val="TableContents"/>
              <w:spacing w:before="0" w:after="0"/>
              <w:jc w:val="right"/>
              <w:rPr>
                <w:rFonts w:ascii="inherit" w:hAnsi="inherit"/>
                <w:sz w:val="17"/>
              </w:rPr>
            </w:pPr>
            <w:r>
              <w:rPr>
                <w:rFonts w:ascii="inherit" w:hAnsi="inherit"/>
                <w:sz w:val="17"/>
              </w:rPr>
              <w:t>235,031</w:t>
            </w:r>
          </w:p>
        </w:tc>
        <w:tc>
          <w:tcPr>
            <w:tcW w:w="54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0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co-product, ethylene and other sales—third parties</w:t>
            </w:r>
          </w:p>
        </w:tc>
        <w:tc>
          <w:tcPr>
            <w:tcW w:w="117" w:type="dxa"/>
            <w:tcBorders/>
            <w:shd w:fill="CCEEFF" w:val="clear"/>
            <w:vAlign w:val="center"/>
          </w:tcPr>
          <w:p>
            <w:pPr>
              <w:pStyle w:val="TableContents"/>
              <w:spacing w:before="0" w:after="0"/>
              <w:ind w:left="0" w:right="0" w:firstLine="30"/>
              <w:rPr/>
            </w:pPr>
            <w:r>
              <w:rPr/>
              <w:t> </w:t>
            </w:r>
          </w:p>
        </w:tc>
        <w:tc>
          <w:tcPr>
            <w:tcW w:w="112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42,046</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49,241</w:t>
            </w:r>
          </w:p>
        </w:tc>
        <w:tc>
          <w:tcPr>
            <w:tcW w:w="5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117" w:type="dxa"/>
            <w:tcBorders/>
            <w:shd w:fill="auto" w:val="clear"/>
            <w:vAlign w:val="center"/>
          </w:tcPr>
          <w:p>
            <w:pPr>
              <w:pStyle w:val="TableContents"/>
              <w:spacing w:before="0" w:after="0"/>
              <w:ind w:left="0" w:right="0" w:firstLine="30"/>
              <w:rPr/>
            </w:pPr>
            <w:r>
              <w:rPr/>
              <w:t> </w:t>
            </w:r>
          </w:p>
        </w:tc>
        <w:tc>
          <w:tcPr>
            <w:tcW w:w="11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299,086</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284,272</w:t>
            </w:r>
          </w:p>
        </w:tc>
        <w:tc>
          <w:tcPr>
            <w:tcW w:w="54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sales</w:t>
            </w:r>
          </w:p>
        </w:tc>
        <w:tc>
          <w:tcPr>
            <w:tcW w:w="117"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208,432</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191,767</w:t>
            </w:r>
          </w:p>
        </w:tc>
        <w:tc>
          <w:tcPr>
            <w:tcW w:w="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117" w:type="dxa"/>
            <w:tcBorders/>
            <w:shd w:fill="auto" w:val="clear"/>
            <w:vAlign w:val="center"/>
          </w:tcPr>
          <w:p>
            <w:pPr>
              <w:pStyle w:val="TableContents"/>
              <w:spacing w:before="0" w:after="0"/>
              <w:ind w:left="0" w:right="0" w:firstLine="30"/>
              <w:rPr/>
            </w:pPr>
            <w:r>
              <w:rPr/>
              <w:t> </w:t>
            </w:r>
          </w:p>
        </w:tc>
        <w:tc>
          <w:tcPr>
            <w:tcW w:w="112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90,654</w:t>
            </w:r>
          </w:p>
        </w:tc>
        <w:tc>
          <w:tcPr>
            <w:tcW w:w="15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92,505</w:t>
            </w:r>
          </w:p>
        </w:tc>
        <w:tc>
          <w:tcPr>
            <w:tcW w:w="54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Selling, general and administrative expenses</w:t>
            </w:r>
          </w:p>
        </w:tc>
        <w:tc>
          <w:tcPr>
            <w:tcW w:w="117"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6,973</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7,133</w:t>
            </w:r>
          </w:p>
        </w:tc>
        <w:tc>
          <w:tcPr>
            <w:tcW w:w="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from operations</w:t>
            </w:r>
          </w:p>
        </w:tc>
        <w:tc>
          <w:tcPr>
            <w:tcW w:w="117" w:type="dxa"/>
            <w:tcBorders/>
            <w:shd w:fill="auto" w:val="clear"/>
            <w:vAlign w:val="center"/>
          </w:tcPr>
          <w:p>
            <w:pPr>
              <w:pStyle w:val="TableContents"/>
              <w:spacing w:before="0" w:after="0"/>
              <w:ind w:left="0" w:right="0" w:firstLine="30"/>
              <w:rPr/>
            </w:pPr>
            <w:r>
              <w:rPr/>
              <w:t> </w:t>
            </w:r>
          </w:p>
        </w:tc>
        <w:tc>
          <w:tcPr>
            <w:tcW w:w="112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83,681</w:t>
            </w:r>
          </w:p>
        </w:tc>
        <w:tc>
          <w:tcPr>
            <w:tcW w:w="15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85,372</w:t>
            </w:r>
          </w:p>
        </w:tc>
        <w:tc>
          <w:tcPr>
            <w:tcW w:w="54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17"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Other income (expense)</w:t>
            </w:r>
          </w:p>
        </w:tc>
        <w:tc>
          <w:tcPr>
            <w:tcW w:w="117" w:type="dxa"/>
            <w:tcBorders/>
            <w:shd w:fill="CCEEFF" w:val="clear"/>
            <w:vAlign w:val="center"/>
          </w:tcPr>
          <w:p>
            <w:pPr>
              <w:pStyle w:val="TableContents"/>
              <w:spacing w:before="0" w:after="0"/>
              <w:ind w:left="0" w:right="0" w:firstLine="30"/>
              <w:rPr/>
            </w:pPr>
            <w:r>
              <w:rPr/>
              <w:t> </w:t>
            </w:r>
          </w:p>
        </w:tc>
        <w:tc>
          <w:tcPr>
            <w:tcW w:w="1277"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673" w:type="dxa"/>
            <w:gridSpan w:val="3"/>
            <w:tcBorders/>
            <w:shd w:fill="CCEEFF" w:val="clear"/>
            <w:vAlign w:val="center"/>
          </w:tcPr>
          <w:p>
            <w:pPr>
              <w:pStyle w:val="TableContents"/>
              <w:spacing w:before="0" w:after="0"/>
              <w:ind w:left="0" w:right="0" w:firstLine="300"/>
              <w:rPr/>
            </w:pPr>
            <w:r>
              <w:rPr/>
              <w:t> </w:t>
            </w:r>
          </w:p>
        </w:tc>
      </w:tr>
      <w:tr>
        <w:trPr/>
        <w:tc>
          <w:tcPr>
            <w:tcW w:w="70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expense—Westlake</w:t>
            </w:r>
          </w:p>
        </w:tc>
        <w:tc>
          <w:tcPr>
            <w:tcW w:w="117" w:type="dxa"/>
            <w:tcBorders/>
            <w:shd w:fill="auto" w:val="clear"/>
            <w:vAlign w:val="center"/>
          </w:tcPr>
          <w:p>
            <w:pPr>
              <w:pStyle w:val="TableContents"/>
              <w:spacing w:before="0" w:after="0"/>
              <w:ind w:left="0" w:right="0" w:firstLine="30"/>
              <w:rPr/>
            </w:pPr>
            <w:r>
              <w:rPr/>
              <w:t> </w:t>
            </w:r>
          </w:p>
        </w:tc>
        <w:tc>
          <w:tcPr>
            <w:tcW w:w="11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(5,900</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(4,866</w:t>
            </w:r>
          </w:p>
        </w:tc>
        <w:tc>
          <w:tcPr>
            <w:tcW w:w="54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70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 net</w:t>
            </w:r>
          </w:p>
        </w:tc>
        <w:tc>
          <w:tcPr>
            <w:tcW w:w="117"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815</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491</w:t>
            </w:r>
          </w:p>
        </w:tc>
        <w:tc>
          <w:tcPr>
            <w:tcW w:w="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income taxes</w:t>
            </w:r>
          </w:p>
        </w:tc>
        <w:tc>
          <w:tcPr>
            <w:tcW w:w="117" w:type="dxa"/>
            <w:tcBorders/>
            <w:shd w:fill="auto" w:val="clear"/>
            <w:vAlign w:val="center"/>
          </w:tcPr>
          <w:p>
            <w:pPr>
              <w:pStyle w:val="TableContents"/>
              <w:spacing w:before="0" w:after="0"/>
              <w:ind w:left="0" w:right="0" w:firstLine="30"/>
              <w:rPr/>
            </w:pPr>
            <w:r>
              <w:rPr/>
              <w:t> </w:t>
            </w:r>
          </w:p>
        </w:tc>
        <w:tc>
          <w:tcPr>
            <w:tcW w:w="112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78,596</w:t>
            </w:r>
          </w:p>
        </w:tc>
        <w:tc>
          <w:tcPr>
            <w:tcW w:w="15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80,997</w:t>
            </w:r>
          </w:p>
        </w:tc>
        <w:tc>
          <w:tcPr>
            <w:tcW w:w="546" w:type="dxa"/>
            <w:tcBorders>
              <w:top w:val="single" w:sz="2" w:space="0" w:color="000000"/>
            </w:tcBorders>
            <w:shd w:fill="auto" w:val="clear"/>
            <w:tcMar>
              <w:top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0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provision</w:t>
            </w:r>
          </w:p>
        </w:tc>
        <w:tc>
          <w:tcPr>
            <w:tcW w:w="117"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200</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283</w:t>
            </w:r>
          </w:p>
        </w:tc>
        <w:tc>
          <w:tcPr>
            <w:tcW w:w="5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17" w:type="dxa"/>
            <w:tcBorders/>
            <w:shd w:fill="auto" w:val="clear"/>
            <w:vAlign w:val="center"/>
          </w:tcPr>
          <w:p>
            <w:pPr>
              <w:pStyle w:val="TableContents"/>
              <w:spacing w:before="0" w:after="0"/>
              <w:ind w:left="0" w:right="0" w:firstLine="30"/>
              <w:rPr/>
            </w:pPr>
            <w:r>
              <w:rPr/>
              <w:t> </w:t>
            </w:r>
          </w:p>
        </w:tc>
        <w:tc>
          <w:tcPr>
            <w:tcW w:w="112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78,396</w:t>
            </w:r>
          </w:p>
        </w:tc>
        <w:tc>
          <w:tcPr>
            <w:tcW w:w="15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80,714</w:t>
            </w:r>
          </w:p>
        </w:tc>
        <w:tc>
          <w:tcPr>
            <w:tcW w:w="54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0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Less: Net income attributable to noncontrolling interest in OpCo</w:t>
            </w:r>
          </w:p>
        </w:tc>
        <w:tc>
          <w:tcPr>
            <w:tcW w:w="117"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63,441</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68,419</w:t>
            </w:r>
          </w:p>
        </w:tc>
        <w:tc>
          <w:tcPr>
            <w:tcW w:w="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17"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 xml:space="preserve">Net income attributable to Westlake Chemical Partners LP </w:t>
            </w:r>
          </w:p>
        </w:tc>
        <w:tc>
          <w:tcPr>
            <w:tcW w:w="117" w:type="dxa"/>
            <w:tcBorders/>
            <w:shd w:fill="auto" w:val="clear"/>
            <w:vAlign w:val="center"/>
          </w:tcPr>
          <w:p>
            <w:pPr>
              <w:pStyle w:val="TableContents"/>
              <w:spacing w:before="0" w:after="0"/>
              <w:ind w:left="0" w:right="0" w:firstLine="30"/>
              <w:rPr/>
            </w:pPr>
            <w:r>
              <w:rPr/>
              <w:t> </w:t>
            </w:r>
          </w:p>
        </w:tc>
        <w:tc>
          <w:tcPr>
            <w:tcW w:w="17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14,955</w:t>
            </w:r>
          </w:p>
        </w:tc>
        <w:tc>
          <w:tcPr>
            <w:tcW w:w="15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7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12,295</w:t>
            </w:r>
          </w:p>
        </w:tc>
        <w:tc>
          <w:tcPr>
            <w:tcW w:w="54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17"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MLP distributable cash flow </w:t>
            </w:r>
            <w:r>
              <w:rPr>
                <w:rFonts w:ascii="inherit" w:hAnsi="inherit"/>
                <w:sz w:val="12"/>
              </w:rPr>
              <w:t>(1)</w:t>
            </w:r>
          </w:p>
        </w:tc>
        <w:tc>
          <w:tcPr>
            <w:tcW w:w="117" w:type="dxa"/>
            <w:tcBorders/>
            <w:shd w:fill="CCEEFF" w:val="clear"/>
            <w:vAlign w:val="center"/>
          </w:tcPr>
          <w:p>
            <w:pPr>
              <w:pStyle w:val="TableContents"/>
              <w:spacing w:before="0" w:after="0"/>
              <w:ind w:left="0" w:right="0" w:firstLine="30"/>
              <w:rPr/>
            </w:pPr>
            <w:r>
              <w:rPr/>
              <w:t> </w:t>
            </w:r>
          </w:p>
        </w:tc>
        <w:tc>
          <w:tcPr>
            <w:tcW w:w="170" w:type="dxa"/>
            <w:tcBorders>
              <w:top w:val="double" w:sz="6"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57" w:type="dxa"/>
            <w:tcBorders>
              <w:top w:val="double" w:sz="6"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17,555</w:t>
            </w:r>
          </w:p>
        </w:tc>
        <w:tc>
          <w:tcPr>
            <w:tcW w:w="150" w:type="dxa"/>
            <w:tcBorders>
              <w:top w:val="double" w:sz="6"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70" w:type="dxa"/>
            <w:tcBorders>
              <w:top w:val="double" w:sz="6"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57" w:type="dxa"/>
            <w:tcBorders>
              <w:top w:val="double" w:sz="6"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14,510</w:t>
            </w:r>
          </w:p>
        </w:tc>
        <w:tc>
          <w:tcPr>
            <w:tcW w:w="546" w:type="dxa"/>
            <w:tcBorders>
              <w:top w:val="double" w:sz="6"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17"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EBITDA </w:t>
            </w:r>
            <w:r>
              <w:rPr>
                <w:rFonts w:ascii="inherit" w:hAnsi="inherit"/>
                <w:sz w:val="12"/>
              </w:rPr>
              <w:t>(2)</w:t>
            </w:r>
          </w:p>
        </w:tc>
        <w:tc>
          <w:tcPr>
            <w:tcW w:w="117" w:type="dxa"/>
            <w:tcBorders/>
            <w:shd w:fill="auto" w:val="clear"/>
            <w:vAlign w:val="center"/>
          </w:tcPr>
          <w:p>
            <w:pPr>
              <w:pStyle w:val="TableContents"/>
              <w:spacing w:before="0" w:after="0"/>
              <w:ind w:left="0" w:right="0" w:firstLine="30"/>
              <w:rPr/>
            </w:pPr>
            <w:r>
              <w:rPr/>
              <w:t> </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57" w:type="dxa"/>
            <w:tcBorders/>
            <w:shd w:fill="auto" w:val="clear"/>
            <w:vAlign w:val="center"/>
          </w:tcPr>
          <w:p>
            <w:pPr>
              <w:pStyle w:val="TableContents"/>
              <w:spacing w:before="0" w:after="0"/>
              <w:jc w:val="right"/>
              <w:rPr>
                <w:rFonts w:ascii="inherit" w:hAnsi="inherit"/>
                <w:sz w:val="17"/>
              </w:rPr>
            </w:pPr>
            <w:r>
              <w:rPr>
                <w:rFonts w:ascii="inherit" w:hAnsi="inherit"/>
                <w:sz w:val="17"/>
              </w:rPr>
              <w:t>111,340</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57" w:type="dxa"/>
            <w:tcBorders/>
            <w:shd w:fill="auto" w:val="clear"/>
            <w:vAlign w:val="center"/>
          </w:tcPr>
          <w:p>
            <w:pPr>
              <w:pStyle w:val="TableContents"/>
              <w:spacing w:before="0" w:after="0"/>
              <w:jc w:val="right"/>
              <w:rPr>
                <w:rFonts w:ascii="inherit" w:hAnsi="inherit"/>
                <w:sz w:val="17"/>
              </w:rPr>
            </w:pPr>
            <w:r>
              <w:rPr>
                <w:rFonts w:ascii="inherit" w:hAnsi="inherit"/>
                <w:sz w:val="17"/>
              </w:rPr>
              <w:t>113,561</w:t>
            </w:r>
          </w:p>
        </w:tc>
        <w:tc>
          <w:tcPr>
            <w:tcW w:w="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0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____________</w:t>
            </w:r>
          </w:p>
        </w:tc>
        <w:tc>
          <w:tcPr>
            <w:tcW w:w="117" w:type="dxa"/>
            <w:tcBorders/>
            <w:shd w:fill="auto" w:val="clear"/>
            <w:vAlign w:val="center"/>
          </w:tcPr>
          <w:p>
            <w:pPr>
              <w:pStyle w:val="TableContents"/>
              <w:spacing w:before="0" w:after="0"/>
              <w:ind w:left="0" w:right="0" w:firstLine="30"/>
              <w:rPr/>
            </w:pPr>
            <w:r>
              <w:rPr/>
              <w:t> </w:t>
            </w:r>
          </w:p>
        </w:tc>
        <w:tc>
          <w:tcPr>
            <w:tcW w:w="1277"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673" w:type="dxa"/>
            <w:gridSpan w:val="3"/>
            <w:tcBorders/>
            <w:shd w:fill="auto" w:val="clear"/>
            <w:vAlign w:val="center"/>
          </w:tcPr>
          <w:p>
            <w:pPr>
              <w:pStyle w:val="TableContents"/>
              <w:spacing w:before="0" w:after="0"/>
              <w:ind w:left="0" w:right="0" w:firstLine="30"/>
              <w:rPr/>
            </w:pPr>
            <w:r>
              <w:rPr/>
              <w:t> </w:t>
            </w:r>
          </w:p>
        </w:tc>
      </w:tr>
      <w:tr>
        <w:trPr/>
        <w:tc>
          <w:tcPr>
            <w:tcW w:w="10205" w:type="dxa"/>
            <w:gridSpan w:val="9"/>
            <w:tcBorders/>
            <w:shd w:fill="auto" w:val="clear"/>
            <w:vAlign w:val="center"/>
          </w:tcPr>
          <w:p>
            <w:pPr>
              <w:pStyle w:val="TableContents"/>
              <w:spacing w:before="0" w:after="0"/>
              <w:ind w:left="0" w:right="0" w:firstLine="30"/>
              <w:rPr/>
            </w:pPr>
            <w:r>
              <w:rPr/>
              <w:t> </w:t>
            </w:r>
          </w:p>
        </w:tc>
      </w:tr>
      <w:tr>
        <w:trPr/>
        <w:tc>
          <w:tcPr>
            <w:tcW w:w="10205" w:type="dxa"/>
            <w:gridSpan w:val="9"/>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 See "Reconciliation of MLP Distributable Cash Flow to Net Income and Net Cash Provided by Operating Activities" below.</w:t>
            </w:r>
          </w:p>
        </w:tc>
      </w:tr>
      <w:tr>
        <w:trPr/>
        <w:tc>
          <w:tcPr>
            <w:tcW w:w="10205" w:type="dxa"/>
            <w:gridSpan w:val="9"/>
            <w:tcBorders/>
            <w:shd w:fill="auto" w:val="clear"/>
            <w:vAlign w:val="center"/>
          </w:tcPr>
          <w:p>
            <w:pPr>
              <w:pStyle w:val="TableContents"/>
              <w:spacing w:before="0" w:after="0"/>
              <w:ind w:left="0" w:right="0" w:hanging="540"/>
              <w:jc w:val="left"/>
              <w:rPr>
                <w:rFonts w:ascii="inherit" w:hAnsi="inherit"/>
                <w:sz w:val="17"/>
              </w:rPr>
            </w:pPr>
            <w:r>
              <w:rPr>
                <w:rFonts w:ascii="inherit" w:hAnsi="inherit"/>
                <w:sz w:val="17"/>
              </w:rPr>
              <w:t>(2) See "Reconciliation of EBITDA to Net Income, Income from Operations and Net Cash Provided by Operating Activities" below.</w:t>
            </w:r>
          </w:p>
        </w:tc>
      </w:tr>
    </w:tbl>
    <w:tbl>
      <w:tblPr>
        <w:tblW w:w="9202" w:type="dxa"/>
        <w:jc w:val="left"/>
        <w:tblInd w:w="0" w:type="dxa"/>
        <w:tblCellMar>
          <w:top w:w="0" w:type="dxa"/>
          <w:left w:w="0" w:type="dxa"/>
          <w:bottom w:w="0" w:type="dxa"/>
          <w:right w:w="0" w:type="dxa"/>
        </w:tblCellMar>
      </w:tblPr>
      <w:tblGrid>
        <w:gridCol w:w="6380"/>
        <w:gridCol w:w="90"/>
        <w:gridCol w:w="846"/>
        <w:gridCol w:w="412"/>
        <w:gridCol w:w="185"/>
        <w:gridCol w:w="846"/>
        <w:gridCol w:w="443"/>
      </w:tblGrid>
      <w:tr>
        <w:trPr/>
        <w:tc>
          <w:tcPr>
            <w:tcW w:w="9202" w:type="dxa"/>
            <w:gridSpan w:val="7"/>
            <w:tcBorders/>
            <w:shd w:fill="auto" w:val="clear"/>
            <w:vAlign w:val="center"/>
          </w:tcPr>
          <w:p>
            <w:pPr>
              <w:pStyle w:val="TableContents"/>
              <w:spacing w:before="0" w:after="283"/>
              <w:rPr>
                <w:sz w:val="4"/>
                <w:szCs w:val="4"/>
              </w:rPr>
            </w:pPr>
            <w:r>
              <w:rPr>
                <w:sz w:val="4"/>
                <w:szCs w:val="4"/>
              </w:rPr>
            </w:r>
          </w:p>
        </w:tc>
      </w:tr>
      <w:tr>
        <w:trPr/>
        <w:tc>
          <w:tcPr>
            <w:tcW w:w="63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3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732"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2019</w:t>
            </w:r>
          </w:p>
        </w:tc>
      </w:tr>
      <w:tr>
        <w:trPr/>
        <w:tc>
          <w:tcPr>
            <w:tcW w:w="63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5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Average</w:t>
              <w:br/>
              <w:t>Sales Price</w:t>
            </w:r>
          </w:p>
        </w:tc>
        <w:tc>
          <w:tcPr>
            <w:tcW w:w="185" w:type="dxa"/>
            <w:tcBorders/>
            <w:shd w:fill="auto" w:val="clear"/>
            <w:vAlign w:val="center"/>
          </w:tcPr>
          <w:p>
            <w:pPr>
              <w:pStyle w:val="TableContents"/>
              <w:spacing w:before="0" w:after="0"/>
              <w:ind w:left="0" w:right="0" w:firstLine="30"/>
              <w:rPr/>
            </w:pPr>
            <w:r>
              <w:rPr/>
              <w:t> </w:t>
            </w:r>
          </w:p>
        </w:tc>
        <w:tc>
          <w:tcPr>
            <w:tcW w:w="128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Volume</w:t>
            </w:r>
          </w:p>
        </w:tc>
      </w:tr>
      <w:tr>
        <w:trPr/>
        <w:tc>
          <w:tcPr>
            <w:tcW w:w="63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Product sales prices and volume percentage change from prior-year period</w:t>
            </w:r>
          </w:p>
        </w:tc>
        <w:tc>
          <w:tcPr>
            <w:tcW w:w="90" w:type="dxa"/>
            <w:tcBorders/>
            <w:shd w:fill="CCEEFF" w:val="clear"/>
            <w:vAlign w:val="center"/>
          </w:tcPr>
          <w:p>
            <w:pPr>
              <w:pStyle w:val="TableContents"/>
              <w:spacing w:before="0" w:after="0"/>
              <w:ind w:left="0" w:right="0" w:firstLine="30"/>
              <w:rPr/>
            </w:pPr>
            <w:r>
              <w:rPr/>
              <w:t> </w:t>
            </w:r>
          </w:p>
        </w:tc>
        <w:tc>
          <w:tcPr>
            <w:tcW w:w="84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+4.6</w:t>
            </w:r>
          </w:p>
        </w:tc>
        <w:tc>
          <w:tcPr>
            <w:tcW w:w="412"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85" w:type="dxa"/>
            <w:tcBorders/>
            <w:shd w:fill="CCEEFF" w:val="clear"/>
            <w:vAlign w:val="center"/>
          </w:tcPr>
          <w:p>
            <w:pPr>
              <w:pStyle w:val="TableContents"/>
              <w:spacing w:before="0" w:after="0"/>
              <w:ind w:left="0" w:right="0" w:firstLine="30"/>
              <w:rPr/>
            </w:pPr>
            <w:r>
              <w:rPr/>
              <w:t> </w:t>
            </w:r>
          </w:p>
        </w:tc>
        <w:tc>
          <w:tcPr>
            <w:tcW w:w="84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+0.6</w:t>
            </w:r>
          </w:p>
        </w:tc>
        <w:tc>
          <w:tcPr>
            <w:tcW w:w="443"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3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58" w:type="dxa"/>
            <w:gridSpan w:val="2"/>
            <w:tcBorders/>
            <w:shd w:fill="auto" w:val="clear"/>
            <w:vAlign w:val="center"/>
          </w:tcPr>
          <w:p>
            <w:pPr>
              <w:pStyle w:val="TableContents"/>
              <w:spacing w:before="0" w:after="0"/>
              <w:ind w:left="0" w:right="0" w:firstLine="30"/>
              <w:rPr/>
            </w:pPr>
            <w:r>
              <w:rPr/>
              <w:t> </w:t>
            </w:r>
          </w:p>
        </w:tc>
        <w:tc>
          <w:tcPr>
            <w:tcW w:w="185" w:type="dxa"/>
            <w:tcBorders/>
            <w:shd w:fill="auto" w:val="clear"/>
            <w:vAlign w:val="center"/>
          </w:tcPr>
          <w:p>
            <w:pPr>
              <w:pStyle w:val="TableContents"/>
              <w:spacing w:before="0" w:after="0"/>
              <w:ind w:left="0" w:right="0" w:firstLine="30"/>
              <w:rPr/>
            </w:pPr>
            <w:r>
              <w:rPr/>
              <w:t> </w:t>
            </w:r>
          </w:p>
        </w:tc>
        <w:tc>
          <w:tcPr>
            <w:tcW w:w="1289" w:type="dxa"/>
            <w:gridSpan w:val="2"/>
            <w:tcBorders/>
            <w:shd w:fill="auto" w:val="clear"/>
            <w:vAlign w:val="center"/>
          </w:tcPr>
          <w:p>
            <w:pPr>
              <w:pStyle w:val="TableContents"/>
              <w:spacing w:before="0" w:after="0"/>
              <w:ind w:left="0" w:right="0" w:firstLine="30"/>
              <w:rPr/>
            </w:pPr>
            <w:r>
              <w:rPr/>
              <w:t> </w:t>
            </w:r>
          </w:p>
        </w:tc>
      </w:tr>
      <w:tr>
        <w:trPr/>
        <w:tc>
          <w:tcPr>
            <w:tcW w:w="63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732"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r>
      <w:tr>
        <w:trPr/>
        <w:tc>
          <w:tcPr>
            <w:tcW w:w="63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5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85" w:type="dxa"/>
            <w:tcBorders/>
            <w:shd w:fill="auto" w:val="clear"/>
            <w:vAlign w:val="center"/>
          </w:tcPr>
          <w:p>
            <w:pPr>
              <w:pStyle w:val="TableContents"/>
              <w:spacing w:before="0" w:after="0"/>
              <w:ind w:left="0" w:right="0" w:firstLine="30"/>
              <w:rPr/>
            </w:pPr>
            <w:r>
              <w:rPr/>
              <w:t> </w:t>
            </w:r>
          </w:p>
        </w:tc>
        <w:tc>
          <w:tcPr>
            <w:tcW w:w="128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6380" w:type="dxa"/>
            <w:tcBorders/>
            <w:shd w:fill="CCEEFF" w:val="clear"/>
            <w:vAlign w:val="center"/>
          </w:tcPr>
          <w:p>
            <w:pPr>
              <w:pStyle w:val="TableContents"/>
              <w:spacing w:lineRule="auto" w:line="288" w:before="0" w:after="0"/>
              <w:ind w:left="0" w:right="0" w:firstLine="30"/>
              <w:rPr>
                <w:sz w:val="17"/>
              </w:rPr>
            </w:pPr>
            <w:r>
              <w:rPr>
                <w:rFonts w:ascii="inherit" w:hAnsi="inherit"/>
                <w:b/>
                <w:sz w:val="17"/>
              </w:rPr>
              <w:t xml:space="preserve">Average industry prices </w:t>
            </w:r>
            <w:r>
              <w:rPr>
                <w:rFonts w:ascii="inherit" w:hAnsi="inherit"/>
                <w:b/>
                <w:sz w:val="12"/>
              </w:rPr>
              <w:t>(1)</w:t>
            </w:r>
          </w:p>
        </w:tc>
        <w:tc>
          <w:tcPr>
            <w:tcW w:w="90" w:type="dxa"/>
            <w:tcBorders/>
            <w:shd w:fill="CCEEFF" w:val="clear"/>
            <w:vAlign w:val="center"/>
          </w:tcPr>
          <w:p>
            <w:pPr>
              <w:pStyle w:val="TableContents"/>
              <w:spacing w:before="0" w:after="0"/>
              <w:ind w:left="0" w:right="0" w:firstLine="30"/>
              <w:rPr/>
            </w:pPr>
            <w:r>
              <w:rPr/>
              <w:t> </w:t>
            </w:r>
          </w:p>
        </w:tc>
        <w:tc>
          <w:tcPr>
            <w:tcW w:w="1258" w:type="dxa"/>
            <w:gridSpan w:val="2"/>
            <w:tcBorders/>
            <w:shd w:fill="CCEEFF" w:val="clear"/>
            <w:vAlign w:val="center"/>
          </w:tcPr>
          <w:p>
            <w:pPr>
              <w:pStyle w:val="TableContents"/>
              <w:spacing w:before="0" w:after="0"/>
              <w:ind w:left="0" w:right="0" w:firstLine="30"/>
              <w:rPr/>
            </w:pPr>
            <w:r>
              <w:rPr/>
              <w:t> </w:t>
            </w:r>
          </w:p>
        </w:tc>
        <w:tc>
          <w:tcPr>
            <w:tcW w:w="185" w:type="dxa"/>
            <w:tcBorders/>
            <w:shd w:fill="CCEEFF" w:val="clear"/>
            <w:vAlign w:val="center"/>
          </w:tcPr>
          <w:p>
            <w:pPr>
              <w:pStyle w:val="TableContents"/>
              <w:spacing w:before="0" w:after="0"/>
              <w:ind w:left="0" w:right="0" w:firstLine="30"/>
              <w:rPr/>
            </w:pPr>
            <w:r>
              <w:rPr/>
              <w:t> </w:t>
            </w:r>
          </w:p>
        </w:tc>
        <w:tc>
          <w:tcPr>
            <w:tcW w:w="1289" w:type="dxa"/>
            <w:gridSpan w:val="2"/>
            <w:tcBorders/>
            <w:shd w:fill="CCEEFF" w:val="clear"/>
            <w:vAlign w:val="center"/>
          </w:tcPr>
          <w:p>
            <w:pPr>
              <w:pStyle w:val="TableContents"/>
              <w:spacing w:before="0" w:after="0"/>
              <w:ind w:left="0" w:right="0" w:firstLine="30"/>
              <w:rPr/>
            </w:pPr>
            <w:r>
              <w:rPr/>
              <w:t> </w:t>
            </w:r>
          </w:p>
        </w:tc>
      </w:tr>
      <w:tr>
        <w:trPr/>
        <w:tc>
          <w:tcPr>
            <w:tcW w:w="63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Ethane (cents/lb)</w:t>
            </w:r>
          </w:p>
        </w:tc>
        <w:tc>
          <w:tcPr>
            <w:tcW w:w="90" w:type="dxa"/>
            <w:tcBorders/>
            <w:shd w:fill="auto" w:val="clear"/>
            <w:vAlign w:val="center"/>
          </w:tcPr>
          <w:p>
            <w:pPr>
              <w:pStyle w:val="TableContents"/>
              <w:spacing w:before="0" w:after="0"/>
              <w:ind w:left="0" w:right="0" w:firstLine="30"/>
              <w:rPr/>
            </w:pPr>
            <w:r>
              <w:rPr/>
              <w:t> </w:t>
            </w:r>
          </w:p>
        </w:tc>
        <w:tc>
          <w:tcPr>
            <w:tcW w:w="846" w:type="dxa"/>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4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5" w:type="dxa"/>
            <w:tcBorders/>
            <w:shd w:fill="auto" w:val="clear"/>
            <w:vAlign w:val="center"/>
          </w:tcPr>
          <w:p>
            <w:pPr>
              <w:pStyle w:val="TableContents"/>
              <w:spacing w:before="0" w:after="0"/>
              <w:ind w:left="0" w:right="0" w:firstLine="30"/>
              <w:rPr/>
            </w:pPr>
            <w:r>
              <w:rPr/>
              <w:t> </w:t>
            </w:r>
          </w:p>
        </w:tc>
        <w:tc>
          <w:tcPr>
            <w:tcW w:w="846" w:type="dxa"/>
            <w:tcBorders/>
            <w:shd w:fill="auto" w:val="clear"/>
            <w:vAlign w:val="center"/>
          </w:tcPr>
          <w:p>
            <w:pPr>
              <w:pStyle w:val="TableContents"/>
              <w:spacing w:before="0" w:after="0"/>
              <w:jc w:val="right"/>
              <w:rPr>
                <w:rFonts w:ascii="inherit" w:hAnsi="inherit"/>
                <w:sz w:val="17"/>
              </w:rPr>
            </w:pPr>
            <w:r>
              <w:rPr>
                <w:rFonts w:ascii="inherit" w:hAnsi="inherit"/>
                <w:sz w:val="17"/>
              </w:rPr>
              <w:t>8.5</w:t>
            </w:r>
          </w:p>
        </w:tc>
        <w:tc>
          <w:tcPr>
            <w:tcW w:w="4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Propane (cents/lb)</w:t>
            </w:r>
          </w:p>
        </w:tc>
        <w:tc>
          <w:tcPr>
            <w:tcW w:w="90" w:type="dxa"/>
            <w:tcBorders/>
            <w:shd w:fill="CCEEFF" w:val="clear"/>
            <w:vAlign w:val="center"/>
          </w:tcPr>
          <w:p>
            <w:pPr>
              <w:pStyle w:val="TableContents"/>
              <w:spacing w:before="0" w:after="0"/>
              <w:ind w:left="0" w:right="0" w:firstLine="30"/>
              <w:rPr/>
            </w:pPr>
            <w:r>
              <w:rPr/>
              <w:t> </w:t>
            </w:r>
          </w:p>
        </w:tc>
        <w:tc>
          <w:tcPr>
            <w:tcW w:w="846" w:type="dxa"/>
            <w:tcBorders/>
            <w:shd w:fill="CCEEFF" w:val="clear"/>
            <w:vAlign w:val="center"/>
          </w:tcPr>
          <w:p>
            <w:pPr>
              <w:pStyle w:val="TableContents"/>
              <w:spacing w:before="0" w:after="0"/>
              <w:jc w:val="right"/>
              <w:rPr>
                <w:rFonts w:ascii="inherit" w:hAnsi="inherit"/>
                <w:sz w:val="17"/>
              </w:rPr>
            </w:pPr>
            <w:r>
              <w:rPr>
                <w:rFonts w:ascii="inherit" w:hAnsi="inherit"/>
                <w:sz w:val="17"/>
              </w:rPr>
              <w:t>15.7</w:t>
            </w:r>
          </w:p>
        </w:tc>
        <w:tc>
          <w:tcPr>
            <w:tcW w:w="4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5" w:type="dxa"/>
            <w:tcBorders/>
            <w:shd w:fill="CCEEFF" w:val="clear"/>
            <w:vAlign w:val="center"/>
          </w:tcPr>
          <w:p>
            <w:pPr>
              <w:pStyle w:val="TableContents"/>
              <w:spacing w:before="0" w:after="0"/>
              <w:ind w:left="0" w:right="0" w:firstLine="30"/>
              <w:rPr/>
            </w:pPr>
            <w:r>
              <w:rPr/>
              <w:t> </w:t>
            </w:r>
          </w:p>
        </w:tc>
        <w:tc>
          <w:tcPr>
            <w:tcW w:w="846" w:type="dxa"/>
            <w:tcBorders/>
            <w:shd w:fill="CCEEFF" w:val="clear"/>
            <w:vAlign w:val="center"/>
          </w:tcPr>
          <w:p>
            <w:pPr>
              <w:pStyle w:val="TableContents"/>
              <w:spacing w:before="0" w:after="0"/>
              <w:jc w:val="right"/>
              <w:rPr>
                <w:rFonts w:ascii="inherit" w:hAnsi="inherit"/>
                <w:sz w:val="17"/>
              </w:rPr>
            </w:pPr>
            <w:r>
              <w:rPr>
                <w:rFonts w:ascii="inherit" w:hAnsi="inherit"/>
                <w:sz w:val="17"/>
              </w:rPr>
              <w:t>20.2</w:t>
            </w:r>
          </w:p>
        </w:tc>
        <w:tc>
          <w:tcPr>
            <w:tcW w:w="4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80"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Ethylene (cents/lb) </w:t>
            </w:r>
            <w:r>
              <w:rPr>
                <w:rFonts w:ascii="inherit" w:hAnsi="inherit"/>
                <w:sz w:val="12"/>
              </w:rPr>
              <w:t>(2)</w:t>
            </w:r>
          </w:p>
        </w:tc>
        <w:tc>
          <w:tcPr>
            <w:tcW w:w="90" w:type="dxa"/>
            <w:tcBorders/>
            <w:shd w:fill="auto" w:val="clear"/>
            <w:vAlign w:val="center"/>
          </w:tcPr>
          <w:p>
            <w:pPr>
              <w:pStyle w:val="TableContents"/>
              <w:spacing w:before="0" w:after="0"/>
              <w:ind w:left="0" w:right="0" w:firstLine="30"/>
              <w:rPr/>
            </w:pPr>
            <w:r>
              <w:rPr/>
              <w:t> </w:t>
            </w:r>
          </w:p>
        </w:tc>
        <w:tc>
          <w:tcPr>
            <w:tcW w:w="846" w:type="dxa"/>
            <w:tcBorders/>
            <w:shd w:fill="auto" w:val="clear"/>
            <w:vAlign w:val="center"/>
          </w:tcPr>
          <w:p>
            <w:pPr>
              <w:pStyle w:val="TableContents"/>
              <w:spacing w:before="0" w:after="0"/>
              <w:jc w:val="right"/>
              <w:rPr>
                <w:rFonts w:ascii="inherit" w:hAnsi="inherit"/>
                <w:sz w:val="17"/>
              </w:rPr>
            </w:pPr>
            <w:r>
              <w:rPr>
                <w:rFonts w:ascii="inherit" w:hAnsi="inherit"/>
                <w:sz w:val="17"/>
              </w:rPr>
              <w:t>17.0</w:t>
            </w:r>
          </w:p>
        </w:tc>
        <w:tc>
          <w:tcPr>
            <w:tcW w:w="4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5" w:type="dxa"/>
            <w:tcBorders/>
            <w:shd w:fill="auto" w:val="clear"/>
            <w:vAlign w:val="center"/>
          </w:tcPr>
          <w:p>
            <w:pPr>
              <w:pStyle w:val="TableContents"/>
              <w:spacing w:before="0" w:after="0"/>
              <w:ind w:left="0" w:right="0" w:firstLine="30"/>
              <w:rPr/>
            </w:pPr>
            <w:r>
              <w:rPr/>
              <w:t> </w:t>
            </w:r>
          </w:p>
        </w:tc>
        <w:tc>
          <w:tcPr>
            <w:tcW w:w="846" w:type="dxa"/>
            <w:tcBorders/>
            <w:shd w:fill="auto" w:val="clear"/>
            <w:vAlign w:val="center"/>
          </w:tcPr>
          <w:p>
            <w:pPr>
              <w:pStyle w:val="TableContents"/>
              <w:spacing w:before="0" w:after="0"/>
              <w:jc w:val="right"/>
              <w:rPr>
                <w:rFonts w:ascii="inherit" w:hAnsi="inherit"/>
                <w:sz w:val="17"/>
              </w:rPr>
            </w:pPr>
            <w:r>
              <w:rPr>
                <w:rFonts w:ascii="inherit" w:hAnsi="inherit"/>
                <w:sz w:val="17"/>
              </w:rPr>
              <w:t>23.6</w:t>
            </w:r>
          </w:p>
        </w:tc>
        <w:tc>
          <w:tcPr>
            <w:tcW w:w="443"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t>_____________</w:t>
      </w:r>
    </w:p>
    <w:tbl>
      <w:tblPr>
        <w:tblW w:w="9190" w:type="dxa"/>
        <w:jc w:val="left"/>
        <w:tblInd w:w="0" w:type="dxa"/>
        <w:tblCellMar>
          <w:top w:w="0" w:type="dxa"/>
          <w:left w:w="0" w:type="dxa"/>
          <w:bottom w:w="0" w:type="dxa"/>
          <w:right w:w="0" w:type="dxa"/>
        </w:tblCellMar>
      </w:tblPr>
      <w:tblGrid>
        <w:gridCol w:w="260"/>
        <w:gridCol w:w="8930"/>
      </w:tblGrid>
      <w:tr>
        <w:trPr/>
        <w:tc>
          <w:tcPr>
            <w:tcW w:w="260" w:type="dxa"/>
            <w:tcBorders/>
            <w:shd w:fill="auto" w:val="clear"/>
            <w:vAlign w:val="center"/>
          </w:tcPr>
          <w:p>
            <w:pPr>
              <w:pStyle w:val="TableContents"/>
              <w:spacing w:before="0" w:after="283"/>
              <w:rPr>
                <w:sz w:val="4"/>
                <w:szCs w:val="4"/>
              </w:rPr>
            </w:pPr>
            <w:r>
              <w:rPr>
                <w:sz w:val="4"/>
                <w:szCs w:val="4"/>
              </w:rPr>
            </w:r>
          </w:p>
        </w:tc>
        <w:tc>
          <w:tcPr>
            <w:tcW w:w="8930"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(1)</w:t>
            </w:r>
          </w:p>
        </w:tc>
        <w:tc>
          <w:tcPr>
            <w:tcW w:w="89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Industry pricing data was obtained through IHS Markit ("IHS"). We have not independently verified the data.</w:t>
            </w:r>
          </w:p>
        </w:tc>
      </w:tr>
    </w:tbl>
    <w:tbl>
      <w:tblPr>
        <w:tblW w:w="8290" w:type="dxa"/>
        <w:jc w:val="left"/>
        <w:tblInd w:w="0" w:type="dxa"/>
        <w:tblCellMar>
          <w:top w:w="0" w:type="dxa"/>
          <w:left w:w="0" w:type="dxa"/>
          <w:bottom w:w="0" w:type="dxa"/>
          <w:right w:w="0" w:type="dxa"/>
        </w:tblCellMar>
      </w:tblPr>
      <w:tblGrid>
        <w:gridCol w:w="260"/>
        <w:gridCol w:w="8030"/>
      </w:tblGrid>
      <w:tr>
        <w:trPr/>
        <w:tc>
          <w:tcPr>
            <w:tcW w:w="260" w:type="dxa"/>
            <w:tcBorders/>
            <w:shd w:fill="auto" w:val="clear"/>
            <w:vAlign w:val="center"/>
          </w:tcPr>
          <w:p>
            <w:pPr>
              <w:pStyle w:val="TableContents"/>
              <w:spacing w:before="0" w:after="283"/>
              <w:rPr>
                <w:sz w:val="4"/>
                <w:szCs w:val="4"/>
              </w:rPr>
            </w:pPr>
            <w:r>
              <w:rPr>
                <w:sz w:val="4"/>
                <w:szCs w:val="4"/>
              </w:rPr>
            </w:r>
          </w:p>
        </w:tc>
        <w:tc>
          <w:tcPr>
            <w:tcW w:w="8030"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(2)</w:t>
            </w:r>
          </w:p>
        </w:tc>
        <w:tc>
          <w:tcPr>
            <w:tcW w:w="80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Represents average North American spot prices of ethylene over the period as reported by IHS.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16</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Reconciliation of MLP Distributable Cash Flow to Net Income and Net Cash Provided by Operating Activities</w:t>
      </w:r>
    </w:p>
    <w:p>
      <w:pPr>
        <w:pStyle w:val="TextBody"/>
        <w:spacing w:lineRule="auto" w:line="288" w:before="0" w:after="0"/>
        <w:ind w:left="0" w:right="0" w:firstLine="450"/>
        <w:jc w:val="left"/>
        <w:rPr>
          <w:rFonts w:ascii="inherit" w:hAnsi="inherit"/>
          <w:sz w:val="17"/>
        </w:rPr>
      </w:pPr>
      <w:r>
        <w:rPr>
          <w:rFonts w:ascii="inherit" w:hAnsi="inherit"/>
          <w:sz w:val="17"/>
        </w:rPr>
        <w:t>The following table presents reconciliations of MLP distributable cash flow to net income and net cash provided by operating activities, the most directly comparable GAAP financial measures, for each of the periods indicated.</w:t>
      </w:r>
    </w:p>
    <w:tbl>
      <w:tblPr>
        <w:tblW w:w="8840" w:type="dxa"/>
        <w:jc w:val="center"/>
        <w:tblInd w:w="0" w:type="dxa"/>
        <w:tblCellMar>
          <w:top w:w="0" w:type="dxa"/>
          <w:left w:w="0" w:type="dxa"/>
          <w:bottom w:w="0" w:type="dxa"/>
          <w:right w:w="0" w:type="dxa"/>
        </w:tblCellMar>
      </w:tblPr>
      <w:tblGrid>
        <w:gridCol w:w="6395"/>
        <w:gridCol w:w="90"/>
        <w:gridCol w:w="125"/>
        <w:gridCol w:w="695"/>
        <w:gridCol w:w="110"/>
        <w:gridCol w:w="90"/>
        <w:gridCol w:w="125"/>
        <w:gridCol w:w="695"/>
        <w:gridCol w:w="515"/>
      </w:tblGrid>
      <w:tr>
        <w:trPr/>
        <w:tc>
          <w:tcPr>
            <w:tcW w:w="8840" w:type="dxa"/>
            <w:gridSpan w:val="9"/>
            <w:tcBorders/>
            <w:shd w:fill="auto" w:val="clear"/>
            <w:vAlign w:val="center"/>
          </w:tcPr>
          <w:p>
            <w:pPr>
              <w:pStyle w:val="TableContents"/>
              <w:spacing w:before="0" w:after="283"/>
              <w:rPr>
                <w:sz w:val="4"/>
                <w:szCs w:val="4"/>
              </w:rPr>
            </w:pPr>
            <w:r>
              <w:rPr>
                <w:sz w:val="4"/>
                <w:szCs w:val="4"/>
              </w:rPr>
            </w:r>
          </w:p>
        </w:tc>
      </w:tr>
      <w:tr>
        <w:trPr/>
        <w:tc>
          <w:tcPr>
            <w:tcW w:w="63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3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5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r>
      <w:tr>
        <w:trPr/>
        <w:tc>
          <w:tcPr>
            <w:tcW w:w="63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133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639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55"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(dollars in thousands)</w:t>
            </w:r>
          </w:p>
        </w:tc>
      </w:tr>
      <w:tr>
        <w:trPr/>
        <w:tc>
          <w:tcPr>
            <w:tcW w:w="6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operating activities</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113,499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106,222</w:t>
            </w:r>
          </w:p>
        </w:tc>
        <w:tc>
          <w:tcPr>
            <w:tcW w:w="5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disposition of fixed assets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(567</w:t>
            </w:r>
          </w:p>
        </w:tc>
        <w:tc>
          <w:tcPr>
            <w:tcW w:w="5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Changes in operating assets and liabilities and other</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(34,645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(24,941</w:t>
            </w:r>
          </w:p>
        </w:tc>
        <w:tc>
          <w:tcPr>
            <w:tcW w:w="5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78,396</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80,714</w:t>
            </w:r>
          </w:p>
        </w:tc>
        <w:tc>
          <w:tcPr>
            <w:tcW w:w="51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Add:</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5" w:type="dxa"/>
            <w:gridSpan w:val="3"/>
            <w:tcBorders/>
            <w:shd w:fill="CCEEFF" w:val="clear"/>
            <w:vAlign w:val="center"/>
          </w:tcPr>
          <w:p>
            <w:pPr>
              <w:pStyle w:val="TableContents"/>
              <w:spacing w:before="0" w:after="0"/>
              <w:ind w:left="0" w:right="0" w:firstLine="420"/>
              <w:rPr/>
            </w:pPr>
            <w:r>
              <w:rPr/>
              <w:t> </w:t>
            </w:r>
          </w:p>
        </w:tc>
      </w:tr>
      <w:tr>
        <w:trPr/>
        <w:tc>
          <w:tcPr>
            <w:tcW w:w="6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amortization and disposition of property, plant and equipment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27,302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28,265</w:t>
            </w:r>
          </w:p>
        </w:tc>
        <w:tc>
          <w:tcPr>
            <w:tcW w:w="5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Mark-to-market adjustment gain on derivative contracts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5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Less:</w:t>
            </w:r>
          </w:p>
        </w:tc>
        <w:tc>
          <w:tcPr>
            <w:tcW w:w="90"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35" w:type="dxa"/>
            <w:gridSpan w:val="3"/>
            <w:tcBorders/>
            <w:shd w:fill="auto" w:val="clear"/>
            <w:vAlign w:val="center"/>
          </w:tcPr>
          <w:p>
            <w:pPr>
              <w:pStyle w:val="TableContents"/>
              <w:spacing w:before="0" w:after="0"/>
              <w:ind w:left="0" w:right="0" w:firstLine="420"/>
              <w:rPr/>
            </w:pPr>
            <w:r>
              <w:rPr/>
              <w:t> </w:t>
            </w:r>
          </w:p>
        </w:tc>
      </w:tr>
      <w:tr>
        <w:trPr/>
        <w:tc>
          <w:tcPr>
            <w:tcW w:w="6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Contribution to turnaround reserves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(3,848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(4,148</w:t>
            </w:r>
          </w:p>
        </w:tc>
        <w:tc>
          <w:tcPr>
            <w:tcW w:w="5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Maintenance capital expenditures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(11,320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(7,979</w:t>
            </w:r>
          </w:p>
        </w:tc>
        <w:tc>
          <w:tcPr>
            <w:tcW w:w="5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Incentive distribution rights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(733</w:t>
            </w:r>
          </w:p>
        </w:tc>
        <w:tc>
          <w:tcPr>
            <w:tcW w:w="5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Distributable cash flow attributable to noncontrolling interest in OpCo</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(72,260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(81,609</w:t>
            </w:r>
          </w:p>
        </w:tc>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MLP distributable cash flow</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17,555</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14,510</w:t>
            </w:r>
          </w:p>
        </w:tc>
        <w:tc>
          <w:tcPr>
            <w:tcW w:w="51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b/>
          <w:sz w:val="17"/>
        </w:rPr>
      </w:pPr>
      <w:r>
        <w:rPr>
          <w:rFonts w:ascii="inherit" w:hAnsi="inherit"/>
          <w:b/>
          <w:sz w:val="17"/>
        </w:rPr>
        <w:t>Reconciliation of EBITDA to Net Income, Income from Operations and Net Cash Provided by Operating Activities</w:t>
      </w:r>
    </w:p>
    <w:p>
      <w:pPr>
        <w:pStyle w:val="TextBody"/>
        <w:spacing w:lineRule="auto" w:line="288" w:before="0" w:after="0"/>
        <w:ind w:left="0" w:right="0" w:firstLine="450"/>
        <w:rPr>
          <w:rFonts w:ascii="inherit" w:hAnsi="inherit"/>
          <w:sz w:val="17"/>
        </w:rPr>
      </w:pPr>
      <w:r>
        <w:rPr>
          <w:rFonts w:ascii="inherit" w:hAnsi="inherit"/>
          <w:sz w:val="17"/>
        </w:rPr>
        <w:t>The following table presents reconciliations of EBITDA to net income, income from operations and net cash provided by operating activities, the most directly comparable GAAP financial measures, for each of the periods indicated.</w:t>
      </w:r>
    </w:p>
    <w:tbl>
      <w:tblPr>
        <w:tblW w:w="6875" w:type="dxa"/>
        <w:jc w:val="center"/>
        <w:tblInd w:w="0" w:type="dxa"/>
        <w:tblCellMar>
          <w:top w:w="0" w:type="dxa"/>
          <w:left w:w="0" w:type="dxa"/>
          <w:bottom w:w="0" w:type="dxa"/>
          <w:right w:w="0" w:type="dxa"/>
        </w:tblCellMar>
      </w:tblPr>
      <w:tblGrid>
        <w:gridCol w:w="4430"/>
        <w:gridCol w:w="90"/>
        <w:gridCol w:w="125"/>
        <w:gridCol w:w="695"/>
        <w:gridCol w:w="110"/>
        <w:gridCol w:w="90"/>
        <w:gridCol w:w="125"/>
        <w:gridCol w:w="695"/>
        <w:gridCol w:w="515"/>
      </w:tblGrid>
      <w:tr>
        <w:trPr/>
        <w:tc>
          <w:tcPr>
            <w:tcW w:w="6875" w:type="dxa"/>
            <w:gridSpan w:val="9"/>
            <w:tcBorders/>
            <w:shd w:fill="auto" w:val="clear"/>
            <w:vAlign w:val="center"/>
          </w:tcPr>
          <w:p>
            <w:pPr>
              <w:pStyle w:val="TableContents"/>
              <w:spacing w:before="0" w:after="283"/>
              <w:rPr>
                <w:sz w:val="4"/>
                <w:szCs w:val="4"/>
              </w:rPr>
            </w:pPr>
            <w:r>
              <w:rPr>
                <w:sz w:val="4"/>
                <w:szCs w:val="4"/>
              </w:rPr>
            </w:r>
          </w:p>
        </w:tc>
      </w:tr>
      <w:tr>
        <w:trPr/>
        <w:tc>
          <w:tcPr>
            <w:tcW w:w="44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5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r>
      <w:tr>
        <w:trPr/>
        <w:tc>
          <w:tcPr>
            <w:tcW w:w="44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3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44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355"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(dollars in thousands)</w:t>
            </w:r>
          </w:p>
        </w:tc>
      </w:tr>
      <w:tr>
        <w:trPr/>
        <w:tc>
          <w:tcPr>
            <w:tcW w:w="4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operating activities</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113,499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CCEEFF" w:val="clear"/>
            <w:vAlign w:val="center"/>
          </w:tcPr>
          <w:p>
            <w:pPr>
              <w:pStyle w:val="TableContents"/>
              <w:spacing w:before="0" w:after="0"/>
              <w:jc w:val="right"/>
              <w:rPr>
                <w:rFonts w:ascii="inherit" w:hAnsi="inherit"/>
                <w:sz w:val="17"/>
              </w:rPr>
            </w:pPr>
            <w:r>
              <w:rPr>
                <w:rFonts w:ascii="inherit" w:hAnsi="inherit"/>
                <w:sz w:val="17"/>
              </w:rPr>
              <w:t>106,222</w:t>
            </w:r>
          </w:p>
        </w:tc>
        <w:tc>
          <w:tcPr>
            <w:tcW w:w="5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4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from disposition of fixed assets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(567</w:t>
            </w:r>
          </w:p>
        </w:tc>
        <w:tc>
          <w:tcPr>
            <w:tcW w:w="5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Changes in operating assets and liabilities and other</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(34,645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(24,941</w:t>
            </w:r>
          </w:p>
        </w:tc>
        <w:tc>
          <w:tcPr>
            <w:tcW w:w="5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78,396</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80,714</w:t>
            </w:r>
          </w:p>
        </w:tc>
        <w:tc>
          <w:tcPr>
            <w:tcW w:w="51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Less:</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35" w:type="dxa"/>
            <w:gridSpan w:val="3"/>
            <w:tcBorders/>
            <w:shd w:fill="CCEEFF" w:val="clear"/>
            <w:vAlign w:val="center"/>
          </w:tcPr>
          <w:p>
            <w:pPr>
              <w:pStyle w:val="TableContents"/>
              <w:spacing w:before="0" w:after="0"/>
              <w:ind w:left="0" w:right="0" w:firstLine="420"/>
              <w:rPr/>
            </w:pPr>
            <w:r>
              <w:rPr/>
              <w:t> </w:t>
            </w:r>
          </w:p>
        </w:tc>
      </w:tr>
      <w:tr>
        <w:trPr/>
        <w:tc>
          <w:tcPr>
            <w:tcW w:w="44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 net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491</w:t>
            </w:r>
          </w:p>
        </w:tc>
        <w:tc>
          <w:tcPr>
            <w:tcW w:w="5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(5,900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(4,866</w:t>
            </w:r>
          </w:p>
        </w:tc>
        <w:tc>
          <w:tcPr>
            <w:tcW w:w="5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4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Provision for income taxes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(283</w:t>
            </w:r>
          </w:p>
        </w:tc>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operations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83,681</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85,372</w:t>
            </w:r>
          </w:p>
        </w:tc>
        <w:tc>
          <w:tcPr>
            <w:tcW w:w="51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Add:</w:t>
            </w:r>
          </w:p>
        </w:tc>
        <w:tc>
          <w:tcPr>
            <w:tcW w:w="90"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35" w:type="dxa"/>
            <w:gridSpan w:val="3"/>
            <w:tcBorders/>
            <w:shd w:fill="auto" w:val="clear"/>
            <w:vAlign w:val="center"/>
          </w:tcPr>
          <w:p>
            <w:pPr>
              <w:pStyle w:val="TableContents"/>
              <w:spacing w:before="0" w:after="0"/>
              <w:ind w:left="0" w:right="0" w:firstLine="420"/>
              <w:rPr/>
            </w:pPr>
            <w:r>
              <w:rPr/>
              <w:t> </w:t>
            </w:r>
          </w:p>
        </w:tc>
      </w:tr>
      <w:tr>
        <w:trPr/>
        <w:tc>
          <w:tcPr>
            <w:tcW w:w="4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26,844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27,698</w:t>
            </w:r>
          </w:p>
        </w:tc>
        <w:tc>
          <w:tcPr>
            <w:tcW w:w="5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4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 net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815</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491</w:t>
            </w:r>
          </w:p>
        </w:tc>
        <w:tc>
          <w:tcPr>
            <w:tcW w:w="51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EBITDA</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111,340</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113,561</w:t>
            </w:r>
          </w:p>
        </w:tc>
        <w:tc>
          <w:tcPr>
            <w:tcW w:w="51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17</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 xml:space="preserve">Summary </w:t>
      </w:r>
    </w:p>
    <w:p>
      <w:pPr>
        <w:pStyle w:val="TextBody"/>
        <w:spacing w:lineRule="auto" w:line="288" w:before="0" w:after="0"/>
        <w:ind w:left="0" w:right="0" w:firstLine="480"/>
        <w:jc w:val="left"/>
        <w:rPr>
          <w:sz w:val="17"/>
        </w:rPr>
      </w:pPr>
      <w:r>
        <w:rPr>
          <w:rFonts w:ascii="inherit" w:hAnsi="inherit"/>
          <w:sz w:val="17"/>
        </w:rPr>
        <w:t>For the quarter ended March 31, 2019, net income was $78.4 million</w:t>
      </w:r>
      <w:r>
        <w:rPr>
          <w:sz w:val="17"/>
        </w:rPr>
        <w:t xml:space="preserve"> </w:t>
      </w:r>
      <w:r>
        <w:rPr>
          <w:rFonts w:ascii="inherit" w:hAnsi="inherit"/>
          <w:sz w:val="17"/>
        </w:rPr>
        <w:t>on net sales of $299.1 million. This represents a decrease</w:t>
      </w:r>
      <w:r>
        <w:rPr>
          <w:sz w:val="17"/>
        </w:rPr>
        <w:t xml:space="preserve"> </w:t>
      </w:r>
      <w:r>
        <w:rPr>
          <w:rFonts w:ascii="inherit" w:hAnsi="inherit"/>
          <w:sz w:val="17"/>
        </w:rPr>
        <w:t>in net income of $2.3 million</w:t>
      </w:r>
      <w:r>
        <w:rPr>
          <w:sz w:val="17"/>
        </w:rPr>
        <w:t xml:space="preserve"> </w:t>
      </w:r>
      <w:r>
        <w:rPr>
          <w:rFonts w:ascii="inherit" w:hAnsi="inherit"/>
          <w:sz w:val="17"/>
        </w:rPr>
        <w:t>as compared to the quarter ended March 31, 2018</w:t>
      </w:r>
      <w:r>
        <w:rPr>
          <w:sz w:val="17"/>
        </w:rPr>
        <w:t xml:space="preserve"> </w:t>
      </w:r>
      <w:r>
        <w:rPr>
          <w:rFonts w:ascii="inherit" w:hAnsi="inherit"/>
          <w:sz w:val="17"/>
        </w:rPr>
        <w:t>net income of $80.7 million</w:t>
      </w:r>
      <w:r>
        <w:rPr>
          <w:sz w:val="17"/>
        </w:rPr>
        <w:t xml:space="preserve"> </w:t>
      </w:r>
      <w:r>
        <w:rPr>
          <w:rFonts w:ascii="inherit" w:hAnsi="inherit"/>
          <w:sz w:val="17"/>
        </w:rPr>
        <w:t>on net sales of $284.3 million. Net income for the first quarter of 2019</w:t>
      </w:r>
      <w:r>
        <w:rPr>
          <w:sz w:val="17"/>
        </w:rPr>
        <w:t xml:space="preserve"> </w:t>
      </w:r>
      <w:r>
        <w:rPr>
          <w:rFonts w:ascii="inherit" w:hAnsi="inherit"/>
          <w:sz w:val="17"/>
        </w:rPr>
        <w:t>as compared to the first quarter of 2018</w:t>
      </w:r>
      <w:r>
        <w:rPr>
          <w:sz w:val="17"/>
        </w:rPr>
        <w:t xml:space="preserve"> </w:t>
      </w:r>
      <w:r>
        <w:rPr>
          <w:rFonts w:ascii="inherit" w:hAnsi="inherit"/>
          <w:sz w:val="17"/>
        </w:rPr>
        <w:t>was lower</w:t>
      </w:r>
      <w:r>
        <w:rPr>
          <w:sz w:val="17"/>
        </w:rPr>
        <w:t xml:space="preserve"> </w:t>
      </w:r>
      <w:r>
        <w:rPr>
          <w:rFonts w:ascii="inherit" w:hAnsi="inherit"/>
          <w:sz w:val="17"/>
        </w:rPr>
        <w:t>primarily as a result of lower margins on third party ethylene sales resulting from lower ethylene sales prices and higher feedstock costs. Net income attributable to Westlake Chemical Partners LP for the quarter ended March 31, 2019</w:t>
      </w:r>
      <w:r>
        <w:rPr>
          <w:sz w:val="17"/>
        </w:rPr>
        <w:t xml:space="preserve"> </w:t>
      </w:r>
      <w:r>
        <w:rPr>
          <w:rFonts w:ascii="inherit" w:hAnsi="inherit"/>
          <w:sz w:val="17"/>
        </w:rPr>
        <w:t>was $15.0 million</w:t>
      </w:r>
      <w:r>
        <w:rPr>
          <w:sz w:val="17"/>
        </w:rPr>
        <w:t xml:space="preserve"> </w:t>
      </w:r>
      <w:r>
        <w:rPr>
          <w:rFonts w:ascii="inherit" w:hAnsi="inherit"/>
          <w:sz w:val="17"/>
        </w:rPr>
        <w:t>as compared to $12.3 million</w:t>
      </w:r>
      <w:r>
        <w:rPr>
          <w:sz w:val="17"/>
        </w:rPr>
        <w:t xml:space="preserve"> </w:t>
      </w:r>
      <w:r>
        <w:rPr>
          <w:rFonts w:ascii="inherit" w:hAnsi="inherit"/>
          <w:sz w:val="17"/>
        </w:rPr>
        <w:t>for the quarter ended March 31, 2018, an increase</w:t>
      </w:r>
      <w:r>
        <w:rPr>
          <w:sz w:val="17"/>
        </w:rPr>
        <w:t xml:space="preserve"> </w:t>
      </w:r>
      <w:r>
        <w:rPr>
          <w:rFonts w:ascii="inherit" w:hAnsi="inherit"/>
          <w:sz w:val="17"/>
        </w:rPr>
        <w:t>of $2.7 million, which was primarily due to a 4.5% increase in the Partnership's interest in OpCo, effective as of January 1, 2019, partially offset by lower margins on third party sales. Net sales for the first quarter of 2019</w:t>
      </w:r>
      <w:r>
        <w:rPr>
          <w:sz w:val="17"/>
        </w:rPr>
        <w:t xml:space="preserve"> </w:t>
      </w:r>
      <w:r>
        <w:rPr>
          <w:rFonts w:ascii="inherit" w:hAnsi="inherit"/>
          <w:sz w:val="17"/>
        </w:rPr>
        <w:t>increased</w:t>
      </w:r>
      <w:r>
        <w:rPr>
          <w:sz w:val="17"/>
        </w:rPr>
        <w:t xml:space="preserve"> </w:t>
      </w:r>
      <w:r>
        <w:rPr>
          <w:rFonts w:ascii="inherit" w:hAnsi="inherit"/>
          <w:sz w:val="17"/>
        </w:rPr>
        <w:t>by $14.8 million</w:t>
      </w:r>
      <w:r>
        <w:rPr>
          <w:sz w:val="17"/>
        </w:rPr>
        <w:t xml:space="preserve"> </w:t>
      </w:r>
      <w:r>
        <w:rPr>
          <w:rFonts w:ascii="inherit" w:hAnsi="inherit"/>
          <w:sz w:val="17"/>
        </w:rPr>
        <w:t>as compared to net sales for the first quarter of 2018</w:t>
      </w:r>
      <w:r>
        <w:rPr>
          <w:sz w:val="17"/>
        </w:rPr>
        <w:t xml:space="preserve"> </w:t>
      </w:r>
      <w:r>
        <w:rPr>
          <w:rFonts w:ascii="inherit" w:hAnsi="inherit"/>
          <w:sz w:val="17"/>
        </w:rPr>
        <w:t>mainly due to increased sales prices for ethylene to Westlake per the terms of the Ethylene Sales Agreement and higher third party sales volume, partially offset by lower sales price to third parties. Income from operations was $83.7 million</w:t>
      </w:r>
      <w:r>
        <w:rPr>
          <w:sz w:val="17"/>
        </w:rPr>
        <w:t xml:space="preserve"> </w:t>
      </w:r>
      <w:r>
        <w:rPr>
          <w:rFonts w:ascii="inherit" w:hAnsi="inherit"/>
          <w:sz w:val="17"/>
        </w:rPr>
        <w:t>for the first quarter of 2019</w:t>
      </w:r>
      <w:r>
        <w:rPr>
          <w:sz w:val="17"/>
        </w:rPr>
        <w:t xml:space="preserve"> </w:t>
      </w:r>
      <w:r>
        <w:rPr>
          <w:rFonts w:ascii="inherit" w:hAnsi="inherit"/>
          <w:sz w:val="17"/>
        </w:rPr>
        <w:t>as compared to $85.4 million</w:t>
      </w:r>
      <w:r>
        <w:rPr>
          <w:sz w:val="17"/>
        </w:rPr>
        <w:t xml:space="preserve"> </w:t>
      </w:r>
      <w:r>
        <w:rPr>
          <w:rFonts w:ascii="inherit" w:hAnsi="inherit"/>
          <w:sz w:val="17"/>
        </w:rPr>
        <w:t>for the first quarter of 2018. Income from operations for the first quarter of 2019</w:t>
      </w:r>
      <w:r>
        <w:rPr>
          <w:sz w:val="17"/>
        </w:rPr>
        <w:t xml:space="preserve"> </w:t>
      </w:r>
      <w:r>
        <w:rPr>
          <w:rFonts w:ascii="inherit" w:hAnsi="inherit"/>
          <w:sz w:val="17"/>
        </w:rPr>
        <w:t>decreased</w:t>
      </w:r>
      <w:r>
        <w:rPr>
          <w:sz w:val="17"/>
        </w:rPr>
        <w:t xml:space="preserve"> </w:t>
      </w:r>
      <w:r>
        <w:rPr>
          <w:rFonts w:ascii="inherit" w:hAnsi="inherit"/>
          <w:sz w:val="17"/>
        </w:rPr>
        <w:t xml:space="preserve">mainly as a result of lower third party ethylene sales margins as compared to the first quarter of 2018. </w:t>
      </w:r>
    </w:p>
    <w:p>
      <w:pPr>
        <w:pStyle w:val="TextBody"/>
        <w:spacing w:lineRule="auto" w:line="288" w:before="0" w:after="0"/>
        <w:jc w:val="left"/>
        <w:rPr>
          <w:rFonts w:ascii="inherit" w:hAnsi="inherit"/>
          <w:b/>
          <w:sz w:val="17"/>
        </w:rPr>
      </w:pPr>
      <w:r>
        <w:rPr>
          <w:rFonts w:ascii="inherit" w:hAnsi="inherit"/>
          <w:b/>
          <w:sz w:val="17"/>
        </w:rPr>
        <w:t>RESULTS OF OPERATIONS</w:t>
      </w:r>
    </w:p>
    <w:p>
      <w:pPr>
        <w:pStyle w:val="TextBody"/>
        <w:spacing w:lineRule="auto" w:line="288" w:before="0" w:after="0"/>
        <w:jc w:val="left"/>
        <w:rPr>
          <w:sz w:val="17"/>
        </w:rPr>
      </w:pPr>
      <w:r>
        <w:rPr>
          <w:rFonts w:ascii="inherit" w:hAnsi="inherit"/>
          <w:b/>
          <w:i/>
          <w:sz w:val="17"/>
        </w:rPr>
        <w:t>First Quarter 2019</w:t>
      </w:r>
      <w:r>
        <w:rPr>
          <w:sz w:val="17"/>
        </w:rPr>
        <w:t> </w:t>
      </w:r>
      <w:r>
        <w:rPr>
          <w:rFonts w:ascii="inherit" w:hAnsi="inherit"/>
          <w:b/>
          <w:i/>
          <w:sz w:val="17"/>
        </w:rPr>
        <w:t>Compared with First Quarter 2018</w:t>
      </w:r>
    </w:p>
    <w:p>
      <w:pPr>
        <w:pStyle w:val="TextBody"/>
        <w:spacing w:lineRule="auto" w:line="288" w:before="0" w:after="0"/>
        <w:ind w:left="0" w:right="0" w:firstLine="480"/>
        <w:jc w:val="left"/>
        <w:rPr>
          <w:sz w:val="17"/>
        </w:rPr>
      </w:pPr>
      <w:r>
        <w:rPr>
          <w:rFonts w:ascii="inherit" w:hAnsi="inherit"/>
          <w:i/>
          <w:sz w:val="17"/>
        </w:rPr>
        <w:t>Net Sales.</w:t>
      </w:r>
      <w:r>
        <w:rPr>
          <w:sz w:val="17"/>
        </w:rPr>
        <w:t> </w:t>
      </w:r>
      <w:r>
        <w:rPr>
          <w:rFonts w:ascii="inherit" w:hAnsi="inherit"/>
          <w:sz w:val="17"/>
        </w:rPr>
        <w:t>Total net sales increased</w:t>
      </w:r>
      <w:r>
        <w:rPr>
          <w:sz w:val="17"/>
        </w:rPr>
        <w:t xml:space="preserve"> </w:t>
      </w:r>
      <w:r>
        <w:rPr>
          <w:rFonts w:ascii="inherit" w:hAnsi="inherit"/>
          <w:sz w:val="17"/>
        </w:rPr>
        <w:t>by $14.8 million, or 5.2%, to $299.1 million</w:t>
      </w:r>
      <w:r>
        <w:rPr>
          <w:sz w:val="17"/>
        </w:rPr>
        <w:t xml:space="preserve"> </w:t>
      </w:r>
      <w:r>
        <w:rPr>
          <w:rFonts w:ascii="inherit" w:hAnsi="inherit"/>
          <w:sz w:val="17"/>
        </w:rPr>
        <w:t>in the first quarter of 2019</w:t>
      </w:r>
      <w:r>
        <w:rPr>
          <w:sz w:val="17"/>
        </w:rPr>
        <w:t xml:space="preserve"> </w:t>
      </w:r>
      <w:r>
        <w:rPr>
          <w:rFonts w:ascii="inherit" w:hAnsi="inherit"/>
          <w:sz w:val="17"/>
        </w:rPr>
        <w:t>from $284.3 million</w:t>
      </w:r>
      <w:r>
        <w:rPr>
          <w:sz w:val="17"/>
        </w:rPr>
        <w:t xml:space="preserve"> </w:t>
      </w:r>
      <w:r>
        <w:rPr>
          <w:rFonts w:ascii="inherit" w:hAnsi="inherit"/>
          <w:sz w:val="17"/>
        </w:rPr>
        <w:t>in the first quarter of 2018. The overall average sales price in the first quarter of 2019</w:t>
      </w:r>
      <w:r>
        <w:rPr>
          <w:sz w:val="17"/>
        </w:rPr>
        <w:t xml:space="preserve"> </w:t>
      </w:r>
      <w:r>
        <w:rPr>
          <w:rFonts w:ascii="inherit" w:hAnsi="inherit"/>
          <w:sz w:val="17"/>
        </w:rPr>
        <w:t>contributed to a 4.6%</w:t>
      </w:r>
      <w:r>
        <w:rPr>
          <w:sz w:val="17"/>
        </w:rPr>
        <w:t xml:space="preserve"> </w:t>
      </w:r>
      <w:r>
        <w:rPr>
          <w:rFonts w:ascii="inherit" w:hAnsi="inherit"/>
          <w:sz w:val="17"/>
        </w:rPr>
        <w:t xml:space="preserve">increase in net sales, due to increased ethylene sales prices to Westlake per the terms of the Ethylene Sales Agreement, partially offset by lower third party sales prices, compared to the first quarter of 2018. The overall increase in sales volumes was a result of higher sales to third parties for the first quarter of 2019, as compared to the first quarter of 2018. </w:t>
      </w:r>
    </w:p>
    <w:p>
      <w:pPr>
        <w:pStyle w:val="TextBody"/>
        <w:spacing w:lineRule="auto" w:line="288" w:before="0" w:after="0"/>
        <w:ind w:left="0" w:right="0" w:firstLine="480"/>
        <w:jc w:val="left"/>
        <w:rPr>
          <w:sz w:val="17"/>
        </w:rPr>
      </w:pPr>
      <w:r>
        <w:rPr>
          <w:rFonts w:ascii="inherit" w:hAnsi="inherit"/>
          <w:i/>
          <w:sz w:val="17"/>
        </w:rPr>
        <w:t>Gross Profit.</w:t>
      </w:r>
      <w:r>
        <w:rPr>
          <w:sz w:val="17"/>
        </w:rPr>
        <w:t> </w:t>
      </w:r>
      <w:r>
        <w:rPr>
          <w:rFonts w:ascii="inherit" w:hAnsi="inherit"/>
          <w:sz w:val="17"/>
        </w:rPr>
        <w:t>Gross profit decreased</w:t>
      </w:r>
      <w:r>
        <w:rPr>
          <w:sz w:val="17"/>
        </w:rPr>
        <w:t xml:space="preserve"> </w:t>
      </w:r>
      <w:r>
        <w:rPr>
          <w:rFonts w:ascii="inherit" w:hAnsi="inherit"/>
          <w:sz w:val="17"/>
        </w:rPr>
        <w:t>to $90.7 million</w:t>
      </w:r>
      <w:r>
        <w:rPr>
          <w:sz w:val="17"/>
        </w:rPr>
        <w:t xml:space="preserve"> </w:t>
      </w:r>
      <w:r>
        <w:rPr>
          <w:rFonts w:ascii="inherit" w:hAnsi="inherit"/>
          <w:sz w:val="17"/>
        </w:rPr>
        <w:t>for the first quarter of 2019</w:t>
      </w:r>
      <w:r>
        <w:rPr>
          <w:sz w:val="17"/>
        </w:rPr>
        <w:t xml:space="preserve"> </w:t>
      </w:r>
      <w:r>
        <w:rPr>
          <w:rFonts w:ascii="inherit" w:hAnsi="inherit"/>
          <w:sz w:val="17"/>
        </w:rPr>
        <w:t>from $92.5 million</w:t>
      </w:r>
      <w:r>
        <w:rPr>
          <w:sz w:val="17"/>
        </w:rPr>
        <w:t xml:space="preserve"> </w:t>
      </w:r>
      <w:r>
        <w:rPr>
          <w:rFonts w:ascii="inherit" w:hAnsi="inherit"/>
          <w:sz w:val="17"/>
        </w:rPr>
        <w:t>for the first quarter of 2018. The gross profit margin in the first quarter of 2019</w:t>
      </w:r>
      <w:r>
        <w:rPr>
          <w:sz w:val="17"/>
        </w:rPr>
        <w:t xml:space="preserve"> </w:t>
      </w:r>
      <w:r>
        <w:rPr>
          <w:rFonts w:ascii="inherit" w:hAnsi="inherit"/>
          <w:sz w:val="17"/>
        </w:rPr>
        <w:t>was 30.3%, as compared to 32.5%</w:t>
      </w:r>
      <w:r>
        <w:rPr>
          <w:sz w:val="17"/>
        </w:rPr>
        <w:t xml:space="preserve"> </w:t>
      </w:r>
      <w:r>
        <w:rPr>
          <w:rFonts w:ascii="inherit" w:hAnsi="inherit"/>
          <w:sz w:val="17"/>
        </w:rPr>
        <w:t>for the first quarter of 2018. The first quarter of 2019</w:t>
      </w:r>
      <w:r>
        <w:rPr>
          <w:sz w:val="17"/>
        </w:rPr>
        <w:t xml:space="preserve"> </w:t>
      </w:r>
      <w:r>
        <w:rPr>
          <w:rFonts w:ascii="inherit" w:hAnsi="inherit"/>
          <w:sz w:val="17"/>
        </w:rPr>
        <w:t xml:space="preserve">gross profit margin was lower mainly due to lower third party sales prices and higher feedstock costs, as compared to the first quarter of 2018. </w:t>
      </w:r>
    </w:p>
    <w:p>
      <w:pPr>
        <w:pStyle w:val="TextBody"/>
        <w:spacing w:lineRule="auto" w:line="288" w:before="0" w:after="0"/>
        <w:ind w:left="0" w:right="0" w:firstLine="480"/>
        <w:jc w:val="left"/>
        <w:rPr>
          <w:sz w:val="17"/>
        </w:rPr>
      </w:pPr>
      <w:r>
        <w:rPr>
          <w:rFonts w:ascii="inherit" w:hAnsi="inherit"/>
          <w:i/>
          <w:sz w:val="17"/>
        </w:rPr>
        <w:t>Selling, General and Administrative Expenses.</w:t>
      </w:r>
      <w:r>
        <w:rPr>
          <w:sz w:val="17"/>
        </w:rPr>
        <w:t> </w:t>
      </w:r>
      <w:r>
        <w:rPr>
          <w:rFonts w:ascii="inherit" w:hAnsi="inherit"/>
          <w:sz w:val="17"/>
        </w:rPr>
        <w:t>Selling, general and administrative expenses decreased</w:t>
      </w:r>
      <w:r>
        <w:rPr>
          <w:sz w:val="17"/>
        </w:rPr>
        <w:t xml:space="preserve"> </w:t>
      </w:r>
      <w:r>
        <w:rPr>
          <w:rFonts w:ascii="inherit" w:hAnsi="inherit"/>
          <w:sz w:val="17"/>
        </w:rPr>
        <w:t>by $0.1 million, or 1.4%, to $7.0 million</w:t>
      </w:r>
      <w:r>
        <w:rPr>
          <w:sz w:val="17"/>
        </w:rPr>
        <w:t xml:space="preserve"> </w:t>
      </w:r>
      <w:r>
        <w:rPr>
          <w:rFonts w:ascii="inherit" w:hAnsi="inherit"/>
          <w:sz w:val="17"/>
        </w:rPr>
        <w:t>in the first quarter of 2019</w:t>
      </w:r>
      <w:r>
        <w:rPr>
          <w:sz w:val="17"/>
        </w:rPr>
        <w:t xml:space="preserve"> </w:t>
      </w:r>
      <w:r>
        <w:rPr>
          <w:rFonts w:ascii="inherit" w:hAnsi="inherit"/>
          <w:sz w:val="17"/>
        </w:rPr>
        <w:t>as compared to $7.1 million</w:t>
      </w:r>
      <w:r>
        <w:rPr>
          <w:sz w:val="17"/>
        </w:rPr>
        <w:t xml:space="preserve"> </w:t>
      </w:r>
      <w:r>
        <w:rPr>
          <w:rFonts w:ascii="inherit" w:hAnsi="inherit"/>
          <w:sz w:val="17"/>
        </w:rPr>
        <w:t>in the first quarter of 2018. The decrease in the first quarter of 2019</w:t>
      </w:r>
      <w:r>
        <w:rPr>
          <w:sz w:val="17"/>
        </w:rPr>
        <w:t xml:space="preserve"> </w:t>
      </w:r>
      <w:r>
        <w:rPr>
          <w:rFonts w:ascii="inherit" w:hAnsi="inherit"/>
          <w:sz w:val="17"/>
        </w:rPr>
        <w:t>was mainly attributable to a decrease in allowance for doubtful accounts as compared to the first quarter of 2018.</w:t>
      </w:r>
    </w:p>
    <w:p>
      <w:pPr>
        <w:pStyle w:val="TextBody"/>
        <w:spacing w:lineRule="auto" w:line="288" w:before="0" w:after="0"/>
        <w:ind w:left="0" w:right="0" w:firstLine="480"/>
        <w:jc w:val="left"/>
        <w:rPr>
          <w:sz w:val="17"/>
        </w:rPr>
      </w:pPr>
      <w:r>
        <w:rPr>
          <w:rFonts w:ascii="inherit" w:hAnsi="inherit"/>
          <w:i/>
          <w:sz w:val="17"/>
        </w:rPr>
        <w:t>Interest Expense.</w:t>
      </w:r>
      <w:r>
        <w:rPr>
          <w:sz w:val="17"/>
        </w:rPr>
        <w:t> </w:t>
      </w:r>
      <w:r>
        <w:rPr>
          <w:rFonts w:ascii="inherit" w:hAnsi="inherit"/>
          <w:sz w:val="17"/>
        </w:rPr>
        <w:t>Interest expense increased</w:t>
      </w:r>
      <w:r>
        <w:rPr>
          <w:sz w:val="17"/>
        </w:rPr>
        <w:t xml:space="preserve"> </w:t>
      </w:r>
      <w:r>
        <w:rPr>
          <w:rFonts w:ascii="inherit" w:hAnsi="inherit"/>
          <w:sz w:val="17"/>
        </w:rPr>
        <w:t>by $1.0 million</w:t>
      </w:r>
      <w:r>
        <w:rPr>
          <w:sz w:val="17"/>
        </w:rPr>
        <w:t xml:space="preserve"> </w:t>
      </w:r>
      <w:r>
        <w:rPr>
          <w:rFonts w:ascii="inherit" w:hAnsi="inherit"/>
          <w:sz w:val="17"/>
        </w:rPr>
        <w:t>to $5.9 million</w:t>
      </w:r>
      <w:r>
        <w:rPr>
          <w:sz w:val="17"/>
        </w:rPr>
        <w:t xml:space="preserve"> </w:t>
      </w:r>
      <w:r>
        <w:rPr>
          <w:rFonts w:ascii="inherit" w:hAnsi="inherit"/>
          <w:sz w:val="17"/>
        </w:rPr>
        <w:t>in the first quarter of 2019</w:t>
      </w:r>
      <w:r>
        <w:rPr>
          <w:sz w:val="17"/>
        </w:rPr>
        <w:t xml:space="preserve"> </w:t>
      </w:r>
      <w:r>
        <w:rPr>
          <w:rFonts w:ascii="inherit" w:hAnsi="inherit"/>
          <w:sz w:val="17"/>
        </w:rPr>
        <w:t>from $4.9 million</w:t>
      </w:r>
      <w:r>
        <w:rPr>
          <w:sz w:val="17"/>
        </w:rPr>
        <w:t xml:space="preserve"> </w:t>
      </w:r>
      <w:r>
        <w:rPr>
          <w:rFonts w:ascii="inherit" w:hAnsi="inherit"/>
          <w:sz w:val="17"/>
        </w:rPr>
        <w:t>in the first quarter of 2018, largely due to a higher interest rate on debt due to an increase in the London Interbank Offered Rate ("LIBOR"), partially offset by a decrease in the applicable margin on the OpCo Revolver from 3% to 2% effective September 25, 2018.</w:t>
      </w:r>
    </w:p>
    <w:p>
      <w:pPr>
        <w:pStyle w:val="TextBody"/>
        <w:spacing w:lineRule="auto" w:line="288" w:before="0" w:after="0"/>
        <w:ind w:left="0" w:right="0" w:firstLine="480"/>
        <w:jc w:val="left"/>
        <w:rPr>
          <w:sz w:val="17"/>
        </w:rPr>
      </w:pPr>
      <w:r>
        <w:rPr>
          <w:rFonts w:ascii="inherit" w:hAnsi="inherit"/>
          <w:i/>
          <w:sz w:val="17"/>
        </w:rPr>
        <w:t xml:space="preserve">Other Income. </w:t>
      </w:r>
      <w:r>
        <w:rPr>
          <w:rFonts w:ascii="inherit" w:hAnsi="inherit"/>
          <w:sz w:val="17"/>
        </w:rPr>
        <w:t>The increase</w:t>
      </w:r>
      <w:r>
        <w:rPr>
          <w:sz w:val="17"/>
        </w:rPr>
        <w:t xml:space="preserve"> </w:t>
      </w:r>
      <w:r>
        <w:rPr>
          <w:rFonts w:ascii="inherit" w:hAnsi="inherit"/>
          <w:sz w:val="17"/>
        </w:rPr>
        <w:t>in other income in the first quarter of 2019</w:t>
      </w:r>
      <w:r>
        <w:rPr>
          <w:sz w:val="17"/>
        </w:rPr>
        <w:t xml:space="preserve"> </w:t>
      </w:r>
      <w:r>
        <w:rPr>
          <w:rFonts w:ascii="inherit" w:hAnsi="inherit"/>
          <w:sz w:val="17"/>
        </w:rPr>
        <w:t>as compared to the first quarter of 2018</w:t>
      </w:r>
      <w:r>
        <w:rPr>
          <w:sz w:val="17"/>
        </w:rPr>
        <w:t xml:space="preserve"> </w:t>
      </w:r>
      <w:r>
        <w:rPr>
          <w:rFonts w:ascii="inherit" w:hAnsi="inherit"/>
          <w:sz w:val="17"/>
        </w:rPr>
        <w:t xml:space="preserve">was primarily due to an increase in interest income. </w:t>
      </w:r>
    </w:p>
    <w:p>
      <w:pPr>
        <w:pStyle w:val="TextBody"/>
        <w:spacing w:lineRule="auto" w:line="288" w:before="0" w:after="0"/>
        <w:ind w:left="0" w:right="0" w:firstLine="480"/>
        <w:jc w:val="left"/>
        <w:rPr>
          <w:sz w:val="17"/>
        </w:rPr>
      </w:pPr>
      <w:r>
        <w:rPr>
          <w:rFonts w:ascii="inherit" w:hAnsi="inherit"/>
          <w:i/>
          <w:sz w:val="17"/>
        </w:rPr>
        <w:t>MLP Distributable Cash Flow.</w:t>
      </w:r>
      <w:r>
        <w:rPr>
          <w:sz w:val="17"/>
        </w:rPr>
        <w:t xml:space="preserve"> </w:t>
      </w:r>
      <w:r>
        <w:rPr>
          <w:rFonts w:ascii="inherit" w:hAnsi="inherit"/>
          <w:sz w:val="17"/>
        </w:rPr>
        <w:t>MLP distributable cash flow increased</w:t>
      </w:r>
      <w:r>
        <w:rPr>
          <w:sz w:val="17"/>
        </w:rPr>
        <w:t xml:space="preserve"> </w:t>
      </w:r>
      <w:r>
        <w:rPr>
          <w:rFonts w:ascii="inherit" w:hAnsi="inherit"/>
          <w:sz w:val="17"/>
        </w:rPr>
        <w:t>by $3.1 million</w:t>
      </w:r>
      <w:r>
        <w:rPr>
          <w:sz w:val="17"/>
        </w:rPr>
        <w:t xml:space="preserve"> </w:t>
      </w:r>
      <w:r>
        <w:rPr>
          <w:rFonts w:ascii="inherit" w:hAnsi="inherit"/>
          <w:sz w:val="17"/>
        </w:rPr>
        <w:t>to $17.6 million</w:t>
      </w:r>
      <w:r>
        <w:rPr>
          <w:sz w:val="17"/>
        </w:rPr>
        <w:t xml:space="preserve"> </w:t>
      </w:r>
      <w:r>
        <w:rPr>
          <w:rFonts w:ascii="inherit" w:hAnsi="inherit"/>
          <w:sz w:val="17"/>
        </w:rPr>
        <w:t>in the first quarter of 2019</w:t>
      </w:r>
      <w:r>
        <w:rPr>
          <w:sz w:val="17"/>
        </w:rPr>
        <w:t xml:space="preserve"> </w:t>
      </w:r>
      <w:r>
        <w:rPr>
          <w:rFonts w:ascii="inherit" w:hAnsi="inherit"/>
          <w:sz w:val="17"/>
        </w:rPr>
        <w:t>from $14.5 million</w:t>
      </w:r>
      <w:r>
        <w:rPr>
          <w:sz w:val="17"/>
        </w:rPr>
        <w:t xml:space="preserve"> </w:t>
      </w:r>
      <w:r>
        <w:rPr>
          <w:rFonts w:ascii="inherit" w:hAnsi="inherit"/>
          <w:sz w:val="17"/>
        </w:rPr>
        <w:t>in the first quarter of 2018. The increase in MLP distributable cash flow in the first quarter of 2019, as compared to the prior-year period, was primarily a result of the 4.5% increase in the Partnership's interest in OpCo, effective as of January 1, 2019 and the elimination of the Partnership's distributions to Westlake as the holder of the Partnership's incentive distribution rights per the July 2018 amendment to the Partnership's target distribution tiers. These increases were partially offset by lower margins on third party sales and higher maintenance capital expenditures at OpCo.</w:t>
      </w:r>
    </w:p>
    <w:p>
      <w:pPr>
        <w:pStyle w:val="TextBody"/>
        <w:spacing w:lineRule="auto" w:line="288" w:before="0" w:after="0"/>
        <w:ind w:left="0" w:right="0" w:firstLine="480"/>
        <w:jc w:val="left"/>
        <w:rPr>
          <w:sz w:val="17"/>
        </w:rPr>
      </w:pPr>
      <w:r>
        <w:rPr>
          <w:rFonts w:ascii="inherit" w:hAnsi="inherit"/>
          <w:i/>
          <w:sz w:val="17"/>
        </w:rPr>
        <w:t xml:space="preserve">EBITDA. </w:t>
      </w:r>
      <w:r>
        <w:rPr>
          <w:rFonts w:ascii="inherit" w:hAnsi="inherit"/>
          <w:sz w:val="17"/>
        </w:rPr>
        <w:t>EBITDA decreased</w:t>
      </w:r>
      <w:r>
        <w:rPr>
          <w:sz w:val="17"/>
        </w:rPr>
        <w:t xml:space="preserve"> </w:t>
      </w:r>
      <w:r>
        <w:rPr>
          <w:rFonts w:ascii="inherit" w:hAnsi="inherit"/>
          <w:sz w:val="17"/>
        </w:rPr>
        <w:t>by $2.3 million</w:t>
      </w:r>
      <w:r>
        <w:rPr>
          <w:sz w:val="17"/>
        </w:rPr>
        <w:t xml:space="preserve"> </w:t>
      </w:r>
      <w:r>
        <w:rPr>
          <w:rFonts w:ascii="inherit" w:hAnsi="inherit"/>
          <w:sz w:val="17"/>
        </w:rPr>
        <w:t>to $111.3 million</w:t>
      </w:r>
      <w:r>
        <w:rPr>
          <w:sz w:val="17"/>
        </w:rPr>
        <w:t xml:space="preserve"> </w:t>
      </w:r>
      <w:r>
        <w:rPr>
          <w:rFonts w:ascii="inherit" w:hAnsi="inherit"/>
          <w:sz w:val="17"/>
        </w:rPr>
        <w:t>in the first quarter of 2019</w:t>
      </w:r>
      <w:r>
        <w:rPr>
          <w:sz w:val="17"/>
        </w:rPr>
        <w:t xml:space="preserve"> </w:t>
      </w:r>
      <w:r>
        <w:rPr>
          <w:rFonts w:ascii="inherit" w:hAnsi="inherit"/>
          <w:sz w:val="17"/>
        </w:rPr>
        <w:t>from $113.6 million</w:t>
      </w:r>
      <w:r>
        <w:rPr>
          <w:sz w:val="17"/>
        </w:rPr>
        <w:t xml:space="preserve"> </w:t>
      </w:r>
      <w:r>
        <w:rPr>
          <w:rFonts w:ascii="inherit" w:hAnsi="inherit"/>
          <w:sz w:val="17"/>
        </w:rPr>
        <w:t>in the first quarter of 2018. The decrease in EBITDA as compared to the prior-year period was primarily due to lower third party ethylene sales prices.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18</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sz w:val="17"/>
        </w:rPr>
      </w:pPr>
      <w:r>
        <w:rPr>
          <w:rFonts w:ascii="inherit" w:hAnsi="inherit"/>
          <w:b/>
          <w:sz w:val="17"/>
        </w:rPr>
        <w:t>CASH FLOW DISCUSSION FOR THE THREE</w:t>
      </w:r>
      <w:r>
        <w:rPr>
          <w:sz w:val="17"/>
        </w:rPr>
        <w:t xml:space="preserve"> </w:t>
      </w:r>
      <w:r>
        <w:rPr>
          <w:rFonts w:ascii="inherit" w:hAnsi="inherit"/>
          <w:b/>
          <w:sz w:val="17"/>
        </w:rPr>
        <w:t>MONTHS ENDED MARCH 31,</w:t>
      </w:r>
      <w:r>
        <w:rPr>
          <w:sz w:val="17"/>
        </w:rPr>
        <w:t xml:space="preserve"> </w:t>
      </w:r>
      <w:r>
        <w:rPr>
          <w:rFonts w:ascii="inherit" w:hAnsi="inherit"/>
          <w:b/>
          <w:sz w:val="17"/>
        </w:rPr>
        <w:t>2019</w:t>
      </w:r>
      <w:r>
        <w:rPr>
          <w:sz w:val="17"/>
        </w:rPr>
        <w:t xml:space="preserve"> </w:t>
      </w:r>
      <w:r>
        <w:rPr>
          <w:rFonts w:ascii="inherit" w:hAnsi="inherit"/>
          <w:b/>
          <w:sz w:val="17"/>
        </w:rPr>
        <w:t>AND 2018</w:t>
      </w:r>
      <w:r>
        <w:rPr>
          <w:sz w:val="17"/>
        </w:rPr>
        <w:t xml:space="preserve"> </w:t>
      </w:r>
    </w:p>
    <w:p>
      <w:pPr>
        <w:pStyle w:val="TextBody"/>
        <w:spacing w:lineRule="auto" w:line="288" w:before="0" w:after="0"/>
        <w:rPr>
          <w:rFonts w:ascii="inherit" w:hAnsi="inherit"/>
          <w:b/>
          <w:i/>
          <w:sz w:val="17"/>
        </w:rPr>
      </w:pPr>
      <w:r>
        <w:rPr>
          <w:rFonts w:ascii="inherit" w:hAnsi="inherit"/>
          <w:b/>
          <w:i/>
          <w:sz w:val="17"/>
        </w:rPr>
        <w:t>Operating Activities</w:t>
      </w:r>
    </w:p>
    <w:p>
      <w:pPr>
        <w:pStyle w:val="TextBody"/>
        <w:spacing w:lineRule="auto" w:line="288" w:before="0" w:after="0"/>
        <w:ind w:left="0" w:right="0" w:firstLine="480"/>
        <w:jc w:val="left"/>
        <w:rPr>
          <w:sz w:val="17"/>
        </w:rPr>
      </w:pPr>
      <w:r>
        <w:rPr>
          <w:rFonts w:ascii="inherit" w:hAnsi="inherit"/>
          <w:sz w:val="17"/>
        </w:rPr>
        <w:t>Operating activities provided</w:t>
      </w:r>
      <w:r>
        <w:rPr>
          <w:sz w:val="17"/>
        </w:rPr>
        <w:t xml:space="preserve"> </w:t>
      </w:r>
      <w:r>
        <w:rPr>
          <w:rFonts w:ascii="inherit" w:hAnsi="inherit"/>
          <w:sz w:val="17"/>
        </w:rPr>
        <w:t>cash of $113.5 million</w:t>
      </w:r>
      <w:r>
        <w:rPr>
          <w:sz w:val="17"/>
        </w:rPr>
        <w:t xml:space="preserve"> </w:t>
      </w:r>
      <w:r>
        <w:rPr>
          <w:rFonts w:ascii="inherit" w:hAnsi="inherit"/>
          <w:sz w:val="17"/>
        </w:rPr>
        <w:t>in the first three months of 2019</w:t>
      </w:r>
      <w:r>
        <w:rPr>
          <w:sz w:val="17"/>
        </w:rPr>
        <w:t xml:space="preserve"> </w:t>
      </w:r>
      <w:r>
        <w:rPr>
          <w:rFonts w:ascii="inherit" w:hAnsi="inherit"/>
          <w:sz w:val="17"/>
        </w:rPr>
        <w:t>compared to cash provided by operating activities of $106.2 million</w:t>
      </w:r>
      <w:r>
        <w:rPr>
          <w:sz w:val="17"/>
        </w:rPr>
        <w:t xml:space="preserve"> </w:t>
      </w:r>
      <w:r>
        <w:rPr>
          <w:rFonts w:ascii="inherit" w:hAnsi="inherit"/>
          <w:sz w:val="17"/>
        </w:rPr>
        <w:t>in the first three months of 2018. The $7.3 million</w:t>
      </w:r>
      <w:r>
        <w:rPr>
          <w:sz w:val="17"/>
        </w:rPr>
        <w:t xml:space="preserve"> </w:t>
      </w:r>
      <w:r>
        <w:rPr>
          <w:rFonts w:ascii="inherit" w:hAnsi="inherit"/>
          <w:sz w:val="17"/>
        </w:rPr>
        <w:t>increase</w:t>
      </w:r>
      <w:r>
        <w:rPr>
          <w:sz w:val="17"/>
        </w:rPr>
        <w:t xml:space="preserve"> </w:t>
      </w:r>
      <w:r>
        <w:rPr>
          <w:rFonts w:ascii="inherit" w:hAnsi="inherit"/>
          <w:sz w:val="17"/>
        </w:rPr>
        <w:t>in cash flows from operating activities was mainly due to an increase in cash provided by working capital during the three months ended</w:t>
      </w:r>
      <w:r>
        <w:rPr>
          <w:sz w:val="17"/>
        </w:rPr>
        <w:t xml:space="preserve"> </w:t>
      </w:r>
      <w:r>
        <w:rPr>
          <w:rFonts w:ascii="inherit" w:hAnsi="inherit"/>
          <w:sz w:val="17"/>
        </w:rPr>
        <w:t>March 31, 2019</w:t>
      </w:r>
      <w:r>
        <w:rPr>
          <w:sz w:val="17"/>
        </w:rPr>
        <w:t xml:space="preserve"> </w:t>
      </w:r>
      <w:r>
        <w:rPr>
          <w:rFonts w:ascii="inherit" w:hAnsi="inherit"/>
          <w:sz w:val="17"/>
        </w:rPr>
        <w:t>as compared to the prior-year period. Changes in components of working capital, which we define for the purposes of this cash flow discussion as accounts receivable—Westlake, accounts receivable, net—third parties, inventories, prepaid expenses and other current assets less accounts payable—Westlake, accounts payable—third parties and accrued liabilities, provided</w:t>
      </w:r>
      <w:r>
        <w:rPr>
          <w:sz w:val="17"/>
        </w:rPr>
        <w:t xml:space="preserve"> </w:t>
      </w:r>
      <w:r>
        <w:rPr>
          <w:rFonts w:ascii="inherit" w:hAnsi="inherit"/>
          <w:sz w:val="17"/>
        </w:rPr>
        <w:t>cash of $8.1 million</w:t>
      </w:r>
      <w:r>
        <w:rPr>
          <w:sz w:val="17"/>
        </w:rPr>
        <w:t xml:space="preserve"> </w:t>
      </w:r>
      <w:r>
        <w:rPr>
          <w:rFonts w:ascii="inherit" w:hAnsi="inherit"/>
          <w:sz w:val="17"/>
        </w:rPr>
        <w:t>in the first three months of 2019</w:t>
      </w:r>
      <w:r>
        <w:rPr>
          <w:sz w:val="17"/>
        </w:rPr>
        <w:t xml:space="preserve"> </w:t>
      </w:r>
      <w:r>
        <w:rPr>
          <w:rFonts w:ascii="inherit" w:hAnsi="inherit"/>
          <w:sz w:val="17"/>
        </w:rPr>
        <w:t>as compared to $3.2 million</w:t>
      </w:r>
      <w:r>
        <w:rPr>
          <w:sz w:val="17"/>
        </w:rPr>
        <w:t xml:space="preserve"> </w:t>
      </w:r>
      <w:r>
        <w:rPr>
          <w:rFonts w:ascii="inherit" w:hAnsi="inherit"/>
          <w:sz w:val="17"/>
        </w:rPr>
        <w:t>of cash used</w:t>
      </w:r>
      <w:r>
        <w:rPr>
          <w:sz w:val="17"/>
        </w:rPr>
        <w:t xml:space="preserve"> </w:t>
      </w:r>
      <w:r>
        <w:rPr>
          <w:rFonts w:ascii="inherit" w:hAnsi="inherit"/>
          <w:sz w:val="17"/>
        </w:rPr>
        <w:t>in the first three months of 2018, resulting in an overall favorable</w:t>
      </w:r>
      <w:r>
        <w:rPr>
          <w:sz w:val="17"/>
        </w:rPr>
        <w:t xml:space="preserve"> </w:t>
      </w:r>
      <w:r>
        <w:rPr>
          <w:rFonts w:ascii="inherit" w:hAnsi="inherit"/>
          <w:sz w:val="17"/>
        </w:rPr>
        <w:t>change of $11.3 million. The favorable</w:t>
      </w:r>
      <w:r>
        <w:rPr>
          <w:sz w:val="17"/>
        </w:rPr>
        <w:t xml:space="preserve"> </w:t>
      </w:r>
      <w:r>
        <w:rPr>
          <w:rFonts w:ascii="inherit" w:hAnsi="inherit"/>
          <w:sz w:val="17"/>
        </w:rPr>
        <w:t>change in working capital was mainly attributable to favorable</w:t>
      </w:r>
      <w:r>
        <w:rPr>
          <w:sz w:val="17"/>
        </w:rPr>
        <w:t xml:space="preserve"> </w:t>
      </w:r>
      <w:r>
        <w:rPr>
          <w:rFonts w:ascii="inherit" w:hAnsi="inherit"/>
          <w:sz w:val="17"/>
        </w:rPr>
        <w:t>changes in the accounts receivable, accounts payable and accrued liabilities balances. The favorable change in accounts receivable was due to a decline in third party sales prices, and the favorable changes in accounts payable and accrued liabilities were due to the timing of payments to suppliers.</w:t>
      </w:r>
    </w:p>
    <w:p>
      <w:pPr>
        <w:pStyle w:val="TextBody"/>
        <w:spacing w:lineRule="auto" w:line="288" w:before="0" w:after="0"/>
        <w:jc w:val="left"/>
        <w:rPr>
          <w:rFonts w:ascii="inherit" w:hAnsi="inherit"/>
          <w:b/>
          <w:i/>
          <w:sz w:val="17"/>
        </w:rPr>
      </w:pPr>
      <w:r>
        <w:rPr>
          <w:rFonts w:ascii="inherit" w:hAnsi="inherit"/>
          <w:b/>
          <w:i/>
          <w:sz w:val="17"/>
        </w:rPr>
        <w:t>Investing Activities</w:t>
      </w:r>
    </w:p>
    <w:p>
      <w:pPr>
        <w:pStyle w:val="TextBody"/>
        <w:spacing w:lineRule="auto" w:line="288" w:before="0" w:after="0"/>
        <w:ind w:left="0" w:right="0" w:firstLine="480"/>
        <w:jc w:val="left"/>
        <w:rPr>
          <w:sz w:val="17"/>
        </w:rPr>
      </w:pPr>
      <w:r>
        <w:rPr>
          <w:rFonts w:ascii="inherit" w:hAnsi="inherit"/>
          <w:sz w:val="17"/>
        </w:rPr>
        <w:t>Net cash used for investing activities during the first three months of 2019</w:t>
      </w:r>
      <w:r>
        <w:rPr>
          <w:sz w:val="17"/>
        </w:rPr>
        <w:t xml:space="preserve"> </w:t>
      </w:r>
      <w:r>
        <w:rPr>
          <w:rFonts w:ascii="inherit" w:hAnsi="inherit"/>
          <w:sz w:val="17"/>
        </w:rPr>
        <w:t>was $139.6 million</w:t>
      </w:r>
      <w:r>
        <w:rPr>
          <w:sz w:val="17"/>
        </w:rPr>
        <w:t xml:space="preserve"> </w:t>
      </w:r>
      <w:r>
        <w:rPr>
          <w:rFonts w:ascii="inherit" w:hAnsi="inherit"/>
          <w:sz w:val="17"/>
        </w:rPr>
        <w:t>as compared to net cash used for investing activities of $7.7 million</w:t>
      </w:r>
      <w:r>
        <w:rPr>
          <w:sz w:val="17"/>
        </w:rPr>
        <w:t xml:space="preserve"> </w:t>
      </w:r>
      <w:r>
        <w:rPr>
          <w:rFonts w:ascii="inherit" w:hAnsi="inherit"/>
          <w:sz w:val="17"/>
        </w:rPr>
        <w:t>in the first three months of 2018, mainly due to increased net cash investments under our investment management agreement with Westlake and higher capital expenditures at our facilities in the first three months of 2019, as compared to the prior-year period. Capital expenditures during the first three months of 2019</w:t>
      </w:r>
      <w:r>
        <w:rPr>
          <w:sz w:val="17"/>
        </w:rPr>
        <w:t xml:space="preserve"> </w:t>
      </w:r>
      <w:r>
        <w:rPr>
          <w:rFonts w:ascii="inherit" w:hAnsi="inherit"/>
          <w:sz w:val="17"/>
        </w:rPr>
        <w:t>and 2018 were primarily related to projects to improve production capacity or reduce costs, maintenance and safety and environmental projects at our facilities.</w:t>
      </w:r>
    </w:p>
    <w:p>
      <w:pPr>
        <w:pStyle w:val="TextBody"/>
        <w:spacing w:lineRule="auto" w:line="288" w:before="0" w:after="0"/>
        <w:jc w:val="left"/>
        <w:rPr>
          <w:rFonts w:ascii="inherit" w:hAnsi="inherit"/>
          <w:b/>
          <w:i/>
          <w:sz w:val="17"/>
        </w:rPr>
      </w:pPr>
      <w:r>
        <w:rPr>
          <w:rFonts w:ascii="inherit" w:hAnsi="inherit"/>
          <w:b/>
          <w:i/>
          <w:sz w:val="17"/>
        </w:rPr>
        <w:t>Financing Activities</w:t>
      </w:r>
    </w:p>
    <w:p>
      <w:pPr>
        <w:pStyle w:val="TextBody"/>
        <w:spacing w:lineRule="auto" w:line="288" w:before="0" w:after="0"/>
        <w:ind w:left="0" w:right="0" w:firstLine="480"/>
        <w:jc w:val="left"/>
        <w:rPr>
          <w:sz w:val="17"/>
        </w:rPr>
      </w:pPr>
      <w:r>
        <w:rPr>
          <w:rFonts w:ascii="inherit" w:hAnsi="inherit"/>
          <w:sz w:val="17"/>
        </w:rPr>
        <w:t>Net cash provided</w:t>
      </w:r>
      <w:r>
        <w:rPr>
          <w:sz w:val="17"/>
        </w:rPr>
        <w:t xml:space="preserve"> </w:t>
      </w:r>
      <w:r>
        <w:rPr>
          <w:rFonts w:ascii="inherit" w:hAnsi="inherit"/>
          <w:sz w:val="17"/>
        </w:rPr>
        <w:t>from financing activities during the first three months of 2019</w:t>
      </w:r>
      <w:r>
        <w:rPr>
          <w:sz w:val="17"/>
        </w:rPr>
        <w:t xml:space="preserve"> </w:t>
      </w:r>
      <w:r>
        <w:rPr>
          <w:rFonts w:ascii="inherit" w:hAnsi="inherit"/>
          <w:sz w:val="17"/>
        </w:rPr>
        <w:t>was $91.0 million</w:t>
      </w:r>
      <w:r>
        <w:rPr>
          <w:sz w:val="17"/>
        </w:rPr>
        <w:t xml:space="preserve"> </w:t>
      </w:r>
      <w:r>
        <w:rPr>
          <w:rFonts w:ascii="inherit" w:hAnsi="inherit"/>
          <w:sz w:val="17"/>
        </w:rPr>
        <w:t>as compared to net cash used for financing activities of $100.6 million</w:t>
      </w:r>
      <w:r>
        <w:rPr>
          <w:sz w:val="17"/>
        </w:rPr>
        <w:t xml:space="preserve"> </w:t>
      </w:r>
      <w:r>
        <w:rPr>
          <w:rFonts w:ascii="inherit" w:hAnsi="inherit"/>
          <w:sz w:val="17"/>
        </w:rPr>
        <w:t>in the first three months of 2018. The cash inflows during the first three months of 2019</w:t>
      </w:r>
      <w:r>
        <w:rPr>
          <w:sz w:val="17"/>
        </w:rPr>
        <w:t xml:space="preserve"> </w:t>
      </w:r>
      <w:r>
        <w:rPr>
          <w:rFonts w:ascii="inherit" w:hAnsi="inherit"/>
          <w:sz w:val="17"/>
        </w:rPr>
        <w:t>were a result of borrowings under the MLP Revolver of $123.5 million</w:t>
      </w:r>
      <w:r>
        <w:rPr>
          <w:sz w:val="17"/>
        </w:rPr>
        <w:t xml:space="preserve"> </w:t>
      </w:r>
      <w:r>
        <w:rPr>
          <w:rFonts w:ascii="inherit" w:hAnsi="inherit"/>
          <w:sz w:val="17"/>
        </w:rPr>
        <w:t>and proceeds from the private placement of common units of approximately $62.9 million. The outflows during the first three months of 2019</w:t>
      </w:r>
      <w:r>
        <w:rPr>
          <w:sz w:val="17"/>
        </w:rPr>
        <w:t xml:space="preserve"> </w:t>
      </w:r>
      <w:r>
        <w:rPr>
          <w:rFonts w:ascii="inherit" w:hAnsi="inherit"/>
          <w:sz w:val="17"/>
        </w:rPr>
        <w:t>were related to the distribution of $81.5 million</w:t>
      </w:r>
      <w:r>
        <w:rPr>
          <w:sz w:val="17"/>
        </w:rPr>
        <w:t xml:space="preserve"> </w:t>
      </w:r>
      <w:r>
        <w:rPr>
          <w:rFonts w:ascii="inherit" w:hAnsi="inherit"/>
          <w:sz w:val="17"/>
        </w:rPr>
        <w:t>to Westlake and of $14.0 million</w:t>
      </w:r>
      <w:r>
        <w:rPr>
          <w:sz w:val="17"/>
        </w:rPr>
        <w:t xml:space="preserve"> </w:t>
      </w:r>
      <w:r>
        <w:rPr>
          <w:rFonts w:ascii="inherit" w:hAnsi="inherit"/>
          <w:sz w:val="17"/>
        </w:rPr>
        <w:t>to other unitholders by the Partnership. The cash outflows during the first three months of 2018</w:t>
      </w:r>
      <w:r>
        <w:rPr>
          <w:sz w:val="17"/>
        </w:rPr>
        <w:t xml:space="preserve"> </w:t>
      </w:r>
      <w:r>
        <w:rPr>
          <w:rFonts w:ascii="inherit" w:hAnsi="inherit"/>
          <w:sz w:val="17"/>
        </w:rPr>
        <w:t>were related to the distribution of $91.1 million</w:t>
      </w:r>
      <w:r>
        <w:rPr>
          <w:sz w:val="17"/>
        </w:rPr>
        <w:t xml:space="preserve"> </w:t>
      </w:r>
      <w:r>
        <w:rPr>
          <w:rFonts w:ascii="inherit" w:hAnsi="inherit"/>
          <w:sz w:val="17"/>
        </w:rPr>
        <w:t>to Westlake and of $13.1 million</w:t>
      </w:r>
      <w:r>
        <w:rPr>
          <w:sz w:val="17"/>
        </w:rPr>
        <w:t xml:space="preserve"> </w:t>
      </w:r>
      <w:r>
        <w:rPr>
          <w:rFonts w:ascii="inherit" w:hAnsi="inherit"/>
          <w:sz w:val="17"/>
        </w:rPr>
        <w:t>to other unitholders by the Partnership. The distributions in the first three months of 2018</w:t>
      </w:r>
      <w:r>
        <w:rPr>
          <w:sz w:val="17"/>
        </w:rPr>
        <w:t xml:space="preserve"> </w:t>
      </w:r>
      <w:r>
        <w:rPr>
          <w:rFonts w:ascii="inherit" w:hAnsi="inherit"/>
          <w:sz w:val="17"/>
        </w:rPr>
        <w:t xml:space="preserve">were partially offset by borrowings under the OpCo Revolver of $3.6 million. </w:t>
      </w:r>
    </w:p>
    <w:p>
      <w:pPr>
        <w:pStyle w:val="TextBody"/>
        <w:spacing w:lineRule="auto" w:line="288" w:before="0" w:after="0"/>
        <w:jc w:val="left"/>
        <w:rPr>
          <w:rFonts w:ascii="inherit" w:hAnsi="inherit"/>
          <w:b/>
          <w:sz w:val="17"/>
        </w:rPr>
      </w:pPr>
      <w:r>
        <w:rPr>
          <w:rFonts w:ascii="inherit" w:hAnsi="inherit"/>
          <w:b/>
          <w:sz w:val="17"/>
        </w:rPr>
        <w:t>LIQUIDITY AND CAPITAL RESOURCES</w:t>
      </w:r>
    </w:p>
    <w:p>
      <w:pPr>
        <w:pStyle w:val="TextBody"/>
        <w:spacing w:lineRule="auto" w:line="288" w:before="0" w:after="0"/>
        <w:jc w:val="left"/>
        <w:rPr>
          <w:rFonts w:ascii="inherit" w:hAnsi="inherit"/>
          <w:b/>
          <w:i/>
          <w:sz w:val="17"/>
        </w:rPr>
      </w:pPr>
      <w:r>
        <w:rPr>
          <w:rFonts w:ascii="inherit" w:hAnsi="inherit"/>
          <w:b/>
          <w:i/>
          <w:sz w:val="17"/>
        </w:rPr>
        <w:t>Liquidity and Financing Arrangements</w:t>
      </w:r>
    </w:p>
    <w:p>
      <w:pPr>
        <w:pStyle w:val="TextBody"/>
        <w:spacing w:lineRule="auto" w:line="288" w:before="0" w:after="0"/>
        <w:ind w:left="0" w:right="0" w:firstLine="450"/>
        <w:jc w:val="left"/>
        <w:rPr>
          <w:rFonts w:ascii="inherit" w:hAnsi="inherit"/>
          <w:sz w:val="17"/>
        </w:rPr>
      </w:pPr>
      <w:r>
        <w:rPr>
          <w:rFonts w:ascii="inherit" w:hAnsi="inherit"/>
          <w:sz w:val="17"/>
        </w:rPr>
        <w:t>On March 29, 2019, we completed the private placement of 2,940,818 common units at a price of $21.40 per unit. Proceeds from the issuance of these common units were approximately $62.9 million. The Partnership believes that, with the proceeds from this private placement, there will be no further need for the Partnership to access the equity capital markets during the remainder of 2019.</w:t>
      </w:r>
    </w:p>
    <w:p>
      <w:pPr>
        <w:pStyle w:val="TextBody"/>
        <w:spacing w:lineRule="auto" w:line="288" w:before="0" w:after="0"/>
        <w:ind w:left="0" w:right="0" w:firstLine="450"/>
        <w:jc w:val="left"/>
        <w:rPr>
          <w:rFonts w:ascii="inherit" w:hAnsi="inherit"/>
          <w:sz w:val="17"/>
        </w:rPr>
      </w:pPr>
      <w:r>
        <w:rPr>
          <w:rFonts w:ascii="inherit" w:hAnsi="inherit"/>
          <w:sz w:val="17"/>
        </w:rPr>
        <w:t>Pursuant to the terms of the ATM Agreement, the Partnership may offer and sell the Partnership's common units from time to time to or through the Managers, as the Partnership's sales agents or as principals, having an aggregate offering amount of up to $50.0 million. The Partnership intends to use the net proceeds of sales of the common units, if any, for general partnership purposes, including the funding of potential drop-downs and other acquisitions. No common units had been issued under this program as of March 31, 2019.</w:t>
      </w:r>
    </w:p>
    <w:p>
      <w:pPr>
        <w:pStyle w:val="TextBody"/>
        <w:spacing w:lineRule="auto" w:line="288" w:before="0" w:after="0"/>
        <w:ind w:left="0" w:right="0" w:firstLine="480"/>
        <w:jc w:val="left"/>
        <w:rPr>
          <w:rFonts w:ascii="inherit" w:hAnsi="inherit"/>
          <w:sz w:val="17"/>
        </w:rPr>
      </w:pPr>
      <w:r>
        <w:rPr>
          <w:rFonts w:ascii="inherit" w:hAnsi="inherit"/>
          <w:sz w:val="17"/>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19</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480"/>
        <w:jc w:val="left"/>
        <w:rPr>
          <w:rFonts w:ascii="inherit" w:hAnsi="inherit"/>
          <w:sz w:val="17"/>
        </w:rPr>
      </w:pPr>
      <w:r>
        <w:rPr>
          <w:rFonts w:ascii="inherit" w:hAnsi="inherit"/>
          <w:sz w:val="17"/>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common units representing limited partner interests of the Partnership, other classes of units representing limited partners interests of the Partnership or debt securities.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pStyle w:val="TextBody"/>
        <w:spacing w:lineRule="auto" w:line="288" w:before="0" w:after="0"/>
        <w:ind w:left="0" w:right="0" w:firstLine="480"/>
        <w:jc w:val="left"/>
        <w:rPr>
          <w:rFonts w:ascii="inherit" w:hAnsi="inherit"/>
          <w:sz w:val="17"/>
        </w:rPr>
      </w:pPr>
      <w:r>
        <w:rPr>
          <w:rFonts w:ascii="inherit" w:hAnsi="inherit"/>
          <w:sz w:val="17"/>
        </w:rPr>
        <w:t>In order to fund non-annual turnaround expenditures, we cause OpCo to reserve approximately $30.0 million during each twelve-month period for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pStyle w:val="TextBody"/>
        <w:spacing w:lineRule="auto" w:line="288" w:before="0" w:after="0"/>
        <w:ind w:left="0" w:right="0" w:firstLine="480"/>
        <w:jc w:val="left"/>
        <w:rPr>
          <w:rFonts w:ascii="inherit" w:hAnsi="inherit"/>
          <w:sz w:val="17"/>
        </w:rPr>
      </w:pPr>
      <w:r>
        <w:rPr>
          <w:rFonts w:ascii="inherit" w:hAnsi="inherit"/>
          <w:sz w:val="17"/>
        </w:rPr>
        <w:t xml:space="preserve">Our cash is generated from cash distributions from OpCo. OpCo is a restricted subsidiary under certain indentures governing Westlake's senior notes. The indentures governing Westlake's senior notes prevent OpCo from making distributions to us if any default or event of default (as defined in the indentures) exists. Westlake's credit facility does not prevent OpCo from making distributions to us. </w:t>
      </w:r>
    </w:p>
    <w:p>
      <w:pPr>
        <w:pStyle w:val="TextBody"/>
        <w:spacing w:lineRule="auto" w:line="288" w:before="0" w:after="0"/>
        <w:ind w:left="0" w:right="0" w:firstLine="450"/>
        <w:jc w:val="left"/>
        <w:rPr>
          <w:sz w:val="17"/>
        </w:rPr>
      </w:pPr>
      <w:r>
        <w:rPr>
          <w:rFonts w:ascii="inherit" w:hAnsi="inherit"/>
          <w:sz w:val="17"/>
        </w:rPr>
        <w:t>On April 30, 2019, the board of directors of Westlake Chemical Partners GP LLC, our general partner, approved a quarterly distribution of $0.4452</w:t>
      </w:r>
      <w:r>
        <w:rPr>
          <w:sz w:val="17"/>
        </w:rPr>
        <w:t xml:space="preserve"> </w:t>
      </w:r>
      <w:r>
        <w:rPr>
          <w:rFonts w:ascii="inherit" w:hAnsi="inherit"/>
          <w:sz w:val="17"/>
        </w:rPr>
        <w:t>per unit payable on May 28, 2019</w:t>
      </w:r>
      <w:r>
        <w:rPr>
          <w:sz w:val="17"/>
        </w:rPr>
        <w:t xml:space="preserve"> </w:t>
      </w:r>
      <w:r>
        <w:rPr>
          <w:rFonts w:ascii="inherit" w:hAnsi="inherit"/>
          <w:sz w:val="17"/>
        </w:rPr>
        <w:t>to unitholders of record as of May 13, 2019, which equates to a total amount of approximately $15.7 million</w:t>
      </w:r>
      <w:r>
        <w:rPr>
          <w:sz w:val="17"/>
        </w:rPr>
        <w:t xml:space="preserve"> </w:t>
      </w:r>
      <w:r>
        <w:rPr>
          <w:rFonts w:ascii="inherit" w:hAnsi="inherit"/>
          <w:sz w:val="17"/>
        </w:rPr>
        <w:t>per quarter, or approximately $62.7 million</w:t>
      </w:r>
      <w:r>
        <w:rPr>
          <w:sz w:val="17"/>
        </w:rPr>
        <w:t xml:space="preserve"> </w:t>
      </w:r>
      <w:r>
        <w:rPr>
          <w:rFonts w:ascii="inherit" w:hAnsi="inherit"/>
          <w:sz w:val="17"/>
        </w:rPr>
        <w:t>per year in aggregate, based on the number of common units outstanding on March 31, 2019. We do not have a legal or contractual obligation to pay distributions on a quarterly basis or any other basis at our minimum quarterly distribution rate or any other rate.</w:t>
      </w:r>
    </w:p>
    <w:p>
      <w:pPr>
        <w:pStyle w:val="TextBody"/>
        <w:spacing w:lineRule="auto" w:line="288" w:before="0" w:after="0"/>
        <w:jc w:val="left"/>
        <w:rPr>
          <w:rFonts w:ascii="inherit" w:hAnsi="inherit"/>
          <w:b/>
          <w:i/>
          <w:sz w:val="17"/>
        </w:rPr>
      </w:pPr>
      <w:r>
        <w:rPr>
          <w:rFonts w:ascii="inherit" w:hAnsi="inherit"/>
          <w:b/>
          <w:i/>
          <w:sz w:val="17"/>
        </w:rPr>
        <w:t>Capital Expenditures</w:t>
      </w:r>
    </w:p>
    <w:p>
      <w:pPr>
        <w:pStyle w:val="TextBody"/>
        <w:spacing w:lineRule="auto" w:line="288" w:before="0" w:after="0"/>
        <w:ind w:left="0" w:right="0" w:firstLine="480"/>
        <w:jc w:val="left"/>
        <w:rPr>
          <w:sz w:val="17"/>
        </w:rPr>
      </w:pPr>
      <w:r>
        <w:rPr>
          <w:rFonts w:ascii="inherit" w:hAnsi="inherit"/>
          <w:sz w:val="17"/>
        </w:rPr>
        <w:t>Westlake has historically funded expansion capital expenditures related to Lake Charles Olefins and Calvert City Olefins. During the three months ended March 2018, Westlake loaned OpCo $3.6 million</w:t>
      </w:r>
      <w:r>
        <w:rPr>
          <w:sz w:val="17"/>
        </w:rPr>
        <w:t xml:space="preserve"> </w:t>
      </w:r>
      <w:r>
        <w:rPr>
          <w:rFonts w:ascii="inherit" w:hAnsi="inherit"/>
          <w:sz w:val="17"/>
        </w:rPr>
        <w:t>to fund capital expenditures. Total capital expenditures for the three months ended March 31, 2019</w:t>
      </w:r>
      <w:r>
        <w:rPr>
          <w:sz w:val="17"/>
        </w:rPr>
        <w:t xml:space="preserve"> </w:t>
      </w:r>
      <w:r>
        <w:rPr>
          <w:rFonts w:ascii="inherit" w:hAnsi="inherit"/>
          <w:sz w:val="17"/>
        </w:rPr>
        <w:t>were $12.1 million. No funding was required by OpCo to fund capital expenditures during the three months ended March 31, 2019. We expect that</w:t>
      </w:r>
      <w:r>
        <w:rPr>
          <w:sz w:val="17"/>
        </w:rPr>
        <w:t xml:space="preserve"> </w:t>
      </w:r>
      <w:r>
        <w:rPr>
          <w:rFonts w:ascii="inherit" w:hAnsi="inherit"/>
          <w:sz w:val="17"/>
        </w:rPr>
        <w:t>Westlake will loan additional cash to OpCo to fund its expansion capital expenditures in the future, but Westlake is under no obligation to do so.</w:t>
      </w:r>
    </w:p>
    <w:p>
      <w:pPr>
        <w:pStyle w:val="TextBody"/>
        <w:spacing w:lineRule="auto" w:line="288" w:before="0" w:after="0"/>
        <w:jc w:val="left"/>
        <w:rPr>
          <w:rFonts w:ascii="inherit" w:hAnsi="inherit"/>
          <w:b/>
          <w:i/>
          <w:sz w:val="17"/>
        </w:rPr>
      </w:pPr>
      <w:r>
        <w:rPr>
          <w:rFonts w:ascii="inherit" w:hAnsi="inherit"/>
          <w:b/>
          <w:i/>
          <w:sz w:val="17"/>
        </w:rPr>
        <w:t>Cash and Cash Equivalents</w:t>
      </w:r>
    </w:p>
    <w:p>
      <w:pPr>
        <w:pStyle w:val="TextBody"/>
        <w:spacing w:lineRule="auto" w:line="288" w:before="0" w:after="0"/>
        <w:ind w:left="0" w:right="0" w:firstLine="495"/>
        <w:jc w:val="left"/>
        <w:rPr>
          <w:rFonts w:ascii="inherit" w:hAnsi="inherit"/>
          <w:sz w:val="17"/>
        </w:rPr>
      </w:pPr>
      <w:r>
        <w:rPr>
          <w:rFonts w:ascii="inherit" w:hAnsi="inherit"/>
          <w:sz w:val="17"/>
        </w:rPr>
        <w:t xml:space="preserve">As of March 31, 2019, our cash and cash equivalents totaled $84.6 million. In addition, we have cash invested under the Investment Management Agreement (as described below) and a revolving credit facility with Westlake available to supplement cash if needed, as described under "Indebtedness" below. </w:t>
      </w:r>
    </w:p>
    <w:p>
      <w:pPr>
        <w:pStyle w:val="TextBody"/>
        <w:spacing w:lineRule="auto" w:line="288" w:before="0" w:after="0"/>
        <w:ind w:left="0" w:right="0" w:firstLine="480"/>
        <w:jc w:val="left"/>
        <w:rPr>
          <w:sz w:val="17"/>
        </w:rPr>
      </w:pPr>
      <w:r>
        <w:rPr>
          <w:rFonts w:ascii="inherit" w:hAnsi="inherit"/>
          <w:sz w:val="17"/>
        </w:rPr>
        <w:t>In August 2017, the Partnership, OpCo and Westlake executed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$276.5 million</w:t>
      </w:r>
      <w:r>
        <w:rPr>
          <w:sz w:val="17"/>
        </w:rPr>
        <w:t xml:space="preserve"> </w:t>
      </w:r>
      <w:r>
        <w:rPr>
          <w:rFonts w:ascii="inherit" w:hAnsi="inherit"/>
          <w:sz w:val="17"/>
        </w:rPr>
        <w:t xml:space="preserve">of cash invested under the Investment Management Agreement at March 31, 2019. </w:t>
      </w:r>
    </w:p>
    <w:p>
      <w:pPr>
        <w:pStyle w:val="TextBody"/>
        <w:spacing w:lineRule="auto" w:line="288" w:before="0" w:after="0"/>
        <w:jc w:val="left"/>
        <w:rPr>
          <w:rFonts w:ascii="inherit" w:hAnsi="inherit"/>
          <w:b/>
          <w:i/>
          <w:sz w:val="17"/>
        </w:rPr>
      </w:pPr>
      <w:r>
        <w:rPr>
          <w:rFonts w:ascii="inherit" w:hAnsi="inherit"/>
          <w:b/>
          <w:i/>
          <w:sz w:val="17"/>
        </w:rPr>
        <w:t>Indebtedness</w:t>
      </w:r>
    </w:p>
    <w:p>
      <w:pPr>
        <w:pStyle w:val="TextBody"/>
        <w:spacing w:lineRule="auto" w:line="288" w:before="0" w:after="0"/>
        <w:jc w:val="left"/>
        <w:rPr>
          <w:rFonts w:ascii="inherit" w:hAnsi="inherit"/>
          <w:i/>
          <w:sz w:val="17"/>
        </w:rPr>
      </w:pPr>
      <w:r>
        <w:rPr>
          <w:rFonts w:ascii="inherit" w:hAnsi="inherit"/>
          <w:i/>
          <w:sz w:val="17"/>
        </w:rPr>
        <w:t>OpCo Revolver</w:t>
      </w:r>
    </w:p>
    <w:p>
      <w:pPr>
        <w:pStyle w:val="TextBody"/>
        <w:spacing w:lineRule="auto" w:line="288" w:before="0" w:after="0"/>
        <w:ind w:left="0" w:right="0" w:firstLine="435"/>
        <w:jc w:val="left"/>
        <w:rPr>
          <w:sz w:val="17"/>
        </w:rPr>
      </w:pPr>
      <w:r>
        <w:rPr>
          <w:rFonts w:ascii="inherit" w:hAnsi="inherit"/>
          <w:sz w:val="17"/>
        </w:rPr>
        <w:t>In connection with the IPO, OpCo entered into a $600.0 million revolving credit facility with Westlake (the "OpCo Revolver") that may be used to fund growth projects and working capital needs. As of March 31, 2019, outstanding borrowings under the OpCo Revolver totaled $224.1 million</w:t>
      </w:r>
      <w:r>
        <w:rPr>
          <w:sz w:val="17"/>
        </w:rPr>
        <w:t xml:space="preserve"> </w:t>
      </w:r>
      <w:r>
        <w:rPr>
          <w:rFonts w:ascii="inherit" w:hAnsi="inherit"/>
          <w:sz w:val="17"/>
        </w:rPr>
        <w:t>and bore interest at the LIBOR rate plus 2.0%, which is accrued in arrears quarterly. On September 25, 2018, the OpCo Revolver was amended to extend the scheduled maturity date from August 4, 2019 to September 25, 2023 and revise the applicable margin from 3% to 2%. In April 2019, the Partnership repaid $201.4 million of borrowings under the OpCo Revolver.</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20</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i/>
          <w:sz w:val="17"/>
        </w:rPr>
      </w:pPr>
      <w:r>
        <w:rPr>
          <w:rFonts w:ascii="inherit" w:hAnsi="inherit"/>
          <w:i/>
          <w:sz w:val="17"/>
        </w:rPr>
        <w:t>MLP Revolver</w:t>
      </w:r>
    </w:p>
    <w:p>
      <w:pPr>
        <w:pStyle w:val="TextBody"/>
        <w:spacing w:lineRule="auto" w:line="288" w:before="0" w:after="0"/>
        <w:ind w:left="0" w:right="0" w:firstLine="450"/>
        <w:jc w:val="left"/>
        <w:rPr>
          <w:sz w:val="17"/>
        </w:rPr>
      </w:pPr>
      <w:r>
        <w:rPr>
          <w:rFonts w:ascii="inherit" w:hAnsi="inherit"/>
          <w:sz w:val="17"/>
        </w:rPr>
        <w:t>In 2015, we entered into a senior, unsecured revolving credit agreement with Westlake Chemical Finance Corporation, an affiliate of Westlake (the "MLP Revolver"). The MLP Revolver has a borrowing capacity of $600 million and is scheduled to mature in 2021. On March 29, 2019, the Partnership borrowed $123.5 million</w:t>
      </w:r>
      <w:r>
        <w:rPr>
          <w:sz w:val="17"/>
        </w:rPr>
        <w:t xml:space="preserve"> </w:t>
      </w:r>
      <w:r>
        <w:rPr>
          <w:rFonts w:ascii="inherit" w:hAnsi="inherit"/>
          <w:sz w:val="17"/>
        </w:rPr>
        <w:t xml:space="preserve">under the MLP Revolver to partially fund the purchase of an additional 4.5% interest in OpCo.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 or less. The MLP Revolver also contains certain other customary covenants. The repayment of borrowings under the MLP Revolver is subject to acceleration upon the occurrence of an event of default. As of March 31, 2019, outstanding borrowings under the MLP Revolver totaled $377.1 million. We intend to use the MLP Revolver to purchase additional limited partnership interests in OpCo in the future, in the event OpCo desires to sell such additional interests to us, for other acquisitions and for general corporate purposes. </w:t>
      </w:r>
    </w:p>
    <w:p>
      <w:pPr>
        <w:pStyle w:val="TextBody"/>
        <w:spacing w:lineRule="auto" w:line="288" w:before="0" w:after="0"/>
        <w:jc w:val="left"/>
        <w:rPr>
          <w:rFonts w:ascii="inherit" w:hAnsi="inherit"/>
          <w:b/>
          <w:i/>
          <w:sz w:val="17"/>
        </w:rPr>
      </w:pPr>
      <w:r>
        <w:rPr>
          <w:rFonts w:ascii="inherit" w:hAnsi="inherit"/>
          <w:b/>
          <w:i/>
          <w:sz w:val="17"/>
        </w:rPr>
        <w:t>Off-Balance Sheet Arrangements</w:t>
      </w:r>
    </w:p>
    <w:p>
      <w:pPr>
        <w:pStyle w:val="TextBody"/>
        <w:spacing w:lineRule="auto" w:line="288" w:before="0" w:after="0"/>
        <w:ind w:left="0" w:right="0" w:firstLine="480"/>
        <w:jc w:val="left"/>
        <w:rPr>
          <w:rFonts w:ascii="inherit" w:hAnsi="inherit"/>
          <w:sz w:val="17"/>
        </w:rPr>
      </w:pPr>
      <w:r>
        <w:rPr>
          <w:rFonts w:ascii="inherit" w:hAnsi="inherit"/>
          <w:sz w:val="17"/>
        </w:rPr>
        <w:t>None.</w:t>
      </w:r>
    </w:p>
    <w:p>
      <w:pPr>
        <w:pStyle w:val="TextBody"/>
        <w:spacing w:lineRule="auto" w:line="288" w:before="0" w:after="0"/>
        <w:jc w:val="left"/>
        <w:rPr>
          <w:rFonts w:ascii="inherit" w:hAnsi="inherit"/>
          <w:b/>
          <w:sz w:val="17"/>
        </w:rPr>
      </w:pPr>
      <w:r>
        <w:rPr>
          <w:rFonts w:ascii="inherit" w:hAnsi="inherit"/>
          <w:b/>
          <w:sz w:val="17"/>
        </w:rPr>
        <w:t>FORWARD-LOOKING STATEMENTS</w:t>
      </w:r>
    </w:p>
    <w:p>
      <w:pPr>
        <w:pStyle w:val="TextBody"/>
        <w:spacing w:lineRule="auto" w:line="288" w:before="0" w:after="0"/>
        <w:ind w:left="0" w:right="0" w:firstLine="360"/>
        <w:jc w:val="left"/>
        <w:rPr>
          <w:rFonts w:ascii="inherit" w:hAnsi="inherit"/>
          <w:sz w:val="17"/>
        </w:rPr>
      </w:pPr>
      <w:r>
        <w:rPr>
          <w:rFonts w:ascii="inherit" w:hAnsi="inherit"/>
          <w:sz w:val="17"/>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amount of ethane that we are able to process, which could be adversely affected by, among other things, operating difficulties;</w:t>
            </w:r>
          </w:p>
        </w:tc>
      </w:tr>
    </w:tbl>
    <w:tbl>
      <w:tblPr>
        <w:tblW w:w="4450" w:type="dxa"/>
        <w:jc w:val="left"/>
        <w:tblInd w:w="0" w:type="dxa"/>
        <w:tblCellMar>
          <w:top w:w="0" w:type="dxa"/>
          <w:left w:w="0" w:type="dxa"/>
          <w:bottom w:w="0" w:type="dxa"/>
          <w:right w:w="0" w:type="dxa"/>
        </w:tblCellMar>
      </w:tblPr>
      <w:tblGrid>
        <w:gridCol w:w="485"/>
        <w:gridCol w:w="3965"/>
      </w:tblGrid>
      <w:tr>
        <w:trPr/>
        <w:tc>
          <w:tcPr>
            <w:tcW w:w="485" w:type="dxa"/>
            <w:tcBorders/>
            <w:shd w:fill="auto" w:val="clear"/>
            <w:vAlign w:val="center"/>
          </w:tcPr>
          <w:p>
            <w:pPr>
              <w:pStyle w:val="TableContents"/>
              <w:spacing w:before="0" w:after="283"/>
              <w:rPr>
                <w:sz w:val="4"/>
                <w:szCs w:val="4"/>
              </w:rPr>
            </w:pPr>
            <w:r>
              <w:rPr>
                <w:sz w:val="4"/>
                <w:szCs w:val="4"/>
              </w:rPr>
            </w:r>
          </w:p>
        </w:tc>
        <w:tc>
          <w:tcPr>
            <w:tcW w:w="396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96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volume of ethylene that we are able to sell;</w:t>
            </w:r>
          </w:p>
        </w:tc>
      </w:tr>
    </w:tbl>
    <w:tbl>
      <w:tblPr>
        <w:tblW w:w="4390" w:type="dxa"/>
        <w:jc w:val="left"/>
        <w:tblInd w:w="0" w:type="dxa"/>
        <w:tblCellMar>
          <w:top w:w="0" w:type="dxa"/>
          <w:left w:w="0" w:type="dxa"/>
          <w:bottom w:w="0" w:type="dxa"/>
          <w:right w:w="0" w:type="dxa"/>
        </w:tblCellMar>
      </w:tblPr>
      <w:tblGrid>
        <w:gridCol w:w="485"/>
        <w:gridCol w:w="3905"/>
      </w:tblGrid>
      <w:tr>
        <w:trPr/>
        <w:tc>
          <w:tcPr>
            <w:tcW w:w="485" w:type="dxa"/>
            <w:tcBorders/>
            <w:shd w:fill="auto" w:val="clear"/>
            <w:vAlign w:val="center"/>
          </w:tcPr>
          <w:p>
            <w:pPr>
              <w:pStyle w:val="TableContents"/>
              <w:spacing w:before="0" w:after="283"/>
              <w:rPr>
                <w:sz w:val="4"/>
                <w:szCs w:val="4"/>
              </w:rPr>
            </w:pPr>
            <w:r>
              <w:rPr>
                <w:sz w:val="4"/>
                <w:szCs w:val="4"/>
              </w:rPr>
            </w:r>
          </w:p>
        </w:tc>
        <w:tc>
          <w:tcPr>
            <w:tcW w:w="39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9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price at which we are able to sell ethylene;</w:t>
            </w:r>
          </w:p>
        </w:tc>
      </w:tr>
    </w:tbl>
    <w:tbl>
      <w:tblPr>
        <w:tblW w:w="8860" w:type="dxa"/>
        <w:jc w:val="left"/>
        <w:tblInd w:w="0" w:type="dxa"/>
        <w:tblCellMar>
          <w:top w:w="0" w:type="dxa"/>
          <w:left w:w="0" w:type="dxa"/>
          <w:bottom w:w="0" w:type="dxa"/>
          <w:right w:w="0" w:type="dxa"/>
        </w:tblCellMar>
      </w:tblPr>
      <w:tblGrid>
        <w:gridCol w:w="485"/>
        <w:gridCol w:w="8375"/>
      </w:tblGrid>
      <w:tr>
        <w:trPr/>
        <w:tc>
          <w:tcPr>
            <w:tcW w:w="485" w:type="dxa"/>
            <w:tcBorders/>
            <w:shd w:fill="auto" w:val="clear"/>
            <w:vAlign w:val="center"/>
          </w:tcPr>
          <w:p>
            <w:pPr>
              <w:pStyle w:val="TableContents"/>
              <w:spacing w:before="0" w:after="283"/>
              <w:rPr>
                <w:sz w:val="4"/>
                <w:szCs w:val="4"/>
              </w:rPr>
            </w:pPr>
            <w:r>
              <w:rPr>
                <w:sz w:val="4"/>
                <w:szCs w:val="4"/>
              </w:rPr>
            </w:r>
          </w:p>
        </w:tc>
        <w:tc>
          <w:tcPr>
            <w:tcW w:w="83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3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industry market outlook, including prices and margins in third-party ethylene and co-products sales;</w:t>
            </w:r>
          </w:p>
        </w:tc>
      </w:tr>
    </w:tbl>
    <w:tbl>
      <w:tblPr>
        <w:tblW w:w="5500" w:type="dxa"/>
        <w:jc w:val="left"/>
        <w:tblInd w:w="0" w:type="dxa"/>
        <w:tblCellMar>
          <w:top w:w="0" w:type="dxa"/>
          <w:left w:w="0" w:type="dxa"/>
          <w:bottom w:w="0" w:type="dxa"/>
          <w:right w:w="0" w:type="dxa"/>
        </w:tblCellMar>
      </w:tblPr>
      <w:tblGrid>
        <w:gridCol w:w="485"/>
        <w:gridCol w:w="5015"/>
      </w:tblGrid>
      <w:tr>
        <w:trPr/>
        <w:tc>
          <w:tcPr>
            <w:tcW w:w="485" w:type="dxa"/>
            <w:tcBorders/>
            <w:shd w:fill="auto" w:val="clear"/>
            <w:vAlign w:val="center"/>
          </w:tcPr>
          <w:p>
            <w:pPr>
              <w:pStyle w:val="TableContents"/>
              <w:spacing w:before="0" w:after="283"/>
              <w:rPr>
                <w:sz w:val="4"/>
                <w:szCs w:val="4"/>
              </w:rPr>
            </w:pPr>
            <w:r>
              <w:rPr>
                <w:sz w:val="4"/>
                <w:szCs w:val="4"/>
              </w:rPr>
            </w:r>
          </w:p>
        </w:tc>
        <w:tc>
          <w:tcPr>
            <w:tcW w:w="50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0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parties to whom we will sell ethylene and on what basis;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volumes of ethylene that Westlake may purchase, in addition to the minimum commitment under the Ethylene Sales Agreement;</w:t>
            </w:r>
          </w:p>
        </w:tc>
      </w:tr>
    </w:tbl>
    <w:tbl>
      <w:tblPr>
        <w:tblW w:w="4330" w:type="dxa"/>
        <w:jc w:val="left"/>
        <w:tblInd w:w="0" w:type="dxa"/>
        <w:tblCellMar>
          <w:top w:w="0" w:type="dxa"/>
          <w:left w:w="0" w:type="dxa"/>
          <w:bottom w:w="0" w:type="dxa"/>
          <w:right w:w="0" w:type="dxa"/>
        </w:tblCellMar>
      </w:tblPr>
      <w:tblGrid>
        <w:gridCol w:w="485"/>
        <w:gridCol w:w="3845"/>
      </w:tblGrid>
      <w:tr>
        <w:trPr/>
        <w:tc>
          <w:tcPr>
            <w:tcW w:w="485" w:type="dxa"/>
            <w:tcBorders/>
            <w:shd w:fill="auto" w:val="clear"/>
            <w:vAlign w:val="center"/>
          </w:tcPr>
          <w:p>
            <w:pPr>
              <w:pStyle w:val="TableContents"/>
              <w:spacing w:before="0" w:after="283"/>
              <w:rPr>
                <w:sz w:val="4"/>
                <w:szCs w:val="4"/>
              </w:rPr>
            </w:pPr>
            <w:r>
              <w:rPr>
                <w:sz w:val="4"/>
                <w:szCs w:val="4"/>
              </w:rPr>
            </w:r>
          </w:p>
        </w:tc>
        <w:tc>
          <w:tcPr>
            <w:tcW w:w="384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84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timing, funding and results of capital projects;</w:t>
            </w:r>
          </w:p>
        </w:tc>
      </w:tr>
    </w:tbl>
    <w:tbl>
      <w:tblPr>
        <w:tblW w:w="8155" w:type="dxa"/>
        <w:jc w:val="left"/>
        <w:tblInd w:w="0" w:type="dxa"/>
        <w:tblCellMar>
          <w:top w:w="0" w:type="dxa"/>
          <w:left w:w="0" w:type="dxa"/>
          <w:bottom w:w="0" w:type="dxa"/>
          <w:right w:w="0" w:type="dxa"/>
        </w:tblCellMar>
      </w:tblPr>
      <w:tblGrid>
        <w:gridCol w:w="485"/>
        <w:gridCol w:w="7670"/>
      </w:tblGrid>
      <w:tr>
        <w:trPr/>
        <w:tc>
          <w:tcPr>
            <w:tcW w:w="485" w:type="dxa"/>
            <w:tcBorders/>
            <w:shd w:fill="auto" w:val="clear"/>
            <w:vAlign w:val="center"/>
          </w:tcPr>
          <w:p>
            <w:pPr>
              <w:pStyle w:val="TableContents"/>
              <w:spacing w:before="0" w:after="283"/>
              <w:rPr>
                <w:sz w:val="4"/>
                <w:szCs w:val="4"/>
              </w:rPr>
            </w:pPr>
            <w:r>
              <w:rPr>
                <w:sz w:val="4"/>
                <w:szCs w:val="4"/>
              </w:rPr>
            </w:r>
          </w:p>
        </w:tc>
        <w:tc>
          <w:tcPr>
            <w:tcW w:w="76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67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intended minimum quarterly distributions and the manner of making such distributions;</w:t>
            </w:r>
          </w:p>
        </w:tc>
      </w:tr>
    </w:tbl>
    <w:tbl>
      <w:tblPr>
        <w:tblW w:w="3700" w:type="dxa"/>
        <w:jc w:val="left"/>
        <w:tblInd w:w="0" w:type="dxa"/>
        <w:tblCellMar>
          <w:top w:w="0" w:type="dxa"/>
          <w:left w:w="0" w:type="dxa"/>
          <w:bottom w:w="0" w:type="dxa"/>
          <w:right w:w="0" w:type="dxa"/>
        </w:tblCellMar>
      </w:tblPr>
      <w:tblGrid>
        <w:gridCol w:w="485"/>
        <w:gridCol w:w="3215"/>
      </w:tblGrid>
      <w:tr>
        <w:trPr/>
        <w:tc>
          <w:tcPr>
            <w:tcW w:w="485" w:type="dxa"/>
            <w:tcBorders/>
            <w:shd w:fill="auto" w:val="clear"/>
            <w:vAlign w:val="center"/>
          </w:tcPr>
          <w:p>
            <w:pPr>
              <w:pStyle w:val="TableContents"/>
              <w:spacing w:before="0" w:after="283"/>
              <w:rPr>
                <w:sz w:val="4"/>
                <w:szCs w:val="4"/>
              </w:rPr>
            </w:pPr>
            <w:r>
              <w:rPr>
                <w:sz w:val="4"/>
                <w:szCs w:val="4"/>
              </w:rPr>
            </w:r>
          </w:p>
        </w:tc>
        <w:tc>
          <w:tcPr>
            <w:tcW w:w="32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2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ability to meet our liquidity needs;</w:t>
            </w:r>
          </w:p>
        </w:tc>
      </w:tr>
    </w:tbl>
    <w:tbl>
      <w:tblPr>
        <w:tblW w:w="4330" w:type="dxa"/>
        <w:jc w:val="left"/>
        <w:tblInd w:w="0" w:type="dxa"/>
        <w:tblCellMar>
          <w:top w:w="0" w:type="dxa"/>
          <w:left w:w="0" w:type="dxa"/>
          <w:bottom w:w="0" w:type="dxa"/>
          <w:right w:w="0" w:type="dxa"/>
        </w:tblCellMar>
      </w:tblPr>
      <w:tblGrid>
        <w:gridCol w:w="485"/>
        <w:gridCol w:w="3845"/>
      </w:tblGrid>
      <w:tr>
        <w:trPr/>
        <w:tc>
          <w:tcPr>
            <w:tcW w:w="485" w:type="dxa"/>
            <w:tcBorders/>
            <w:shd w:fill="auto" w:val="clear"/>
            <w:vAlign w:val="center"/>
          </w:tcPr>
          <w:p>
            <w:pPr>
              <w:pStyle w:val="TableContents"/>
              <w:spacing w:before="0" w:after="283"/>
              <w:rPr>
                <w:sz w:val="4"/>
                <w:szCs w:val="4"/>
              </w:rPr>
            </w:pPr>
            <w:r>
              <w:rPr>
                <w:sz w:val="4"/>
                <w:szCs w:val="4"/>
              </w:rPr>
            </w:r>
          </w:p>
        </w:tc>
        <w:tc>
          <w:tcPr>
            <w:tcW w:w="384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84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timing of and amount of capital expenditures;</w:t>
            </w:r>
          </w:p>
        </w:tc>
      </w:tr>
    </w:tbl>
    <w:tbl>
      <w:tblPr>
        <w:tblW w:w="9685" w:type="dxa"/>
        <w:jc w:val="left"/>
        <w:tblInd w:w="0" w:type="dxa"/>
        <w:tblCellMar>
          <w:top w:w="0" w:type="dxa"/>
          <w:left w:w="0" w:type="dxa"/>
          <w:bottom w:w="0" w:type="dxa"/>
          <w:right w:w="0" w:type="dxa"/>
        </w:tblCellMar>
      </w:tblPr>
      <w:tblGrid>
        <w:gridCol w:w="485"/>
        <w:gridCol w:w="9200"/>
      </w:tblGrid>
      <w:tr>
        <w:trPr/>
        <w:tc>
          <w:tcPr>
            <w:tcW w:w="485" w:type="dxa"/>
            <w:tcBorders/>
            <w:shd w:fill="auto" w:val="clear"/>
            <w:vAlign w:val="center"/>
          </w:tcPr>
          <w:p>
            <w:pPr>
              <w:pStyle w:val="TableContents"/>
              <w:spacing w:before="0" w:after="283"/>
              <w:rPr>
                <w:sz w:val="4"/>
                <w:szCs w:val="4"/>
              </w:rPr>
            </w:pPr>
            <w:r>
              <w:rPr>
                <w:sz w:val="4"/>
                <w:szCs w:val="4"/>
              </w:rPr>
            </w:r>
          </w:p>
        </w:tc>
        <w:tc>
          <w:tcPr>
            <w:tcW w:w="920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2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Partnership's At-the-Market program and the use of any net proceeds from any sales under that program;</w:t>
            </w:r>
          </w:p>
        </w:tc>
      </w:tr>
    </w:tbl>
    <w:tbl>
      <w:tblPr>
        <w:tblW w:w="8800" w:type="dxa"/>
        <w:jc w:val="left"/>
        <w:tblInd w:w="0" w:type="dxa"/>
        <w:tblCellMar>
          <w:top w:w="0" w:type="dxa"/>
          <w:left w:w="0" w:type="dxa"/>
          <w:bottom w:w="0" w:type="dxa"/>
          <w:right w:w="0" w:type="dxa"/>
        </w:tblCellMar>
      </w:tblPr>
      <w:tblGrid>
        <w:gridCol w:w="485"/>
        <w:gridCol w:w="8315"/>
      </w:tblGrid>
      <w:tr>
        <w:trPr/>
        <w:tc>
          <w:tcPr>
            <w:tcW w:w="485" w:type="dxa"/>
            <w:tcBorders/>
            <w:shd w:fill="auto" w:val="clear"/>
            <w:vAlign w:val="center"/>
          </w:tcPr>
          <w:p>
            <w:pPr>
              <w:pStyle w:val="TableContents"/>
              <w:spacing w:before="0" w:after="283"/>
              <w:rPr>
                <w:sz w:val="4"/>
                <w:szCs w:val="4"/>
              </w:rPr>
            </w:pPr>
            <w:r>
              <w:rPr>
                <w:sz w:val="4"/>
                <w:szCs w:val="4"/>
              </w:rPr>
            </w:r>
          </w:p>
        </w:tc>
        <w:tc>
          <w:tcPr>
            <w:tcW w:w="83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3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loans from Westlake to OpCo to fund OpCo's expansion capital expenditures in the future;</w:t>
            </w:r>
          </w:p>
        </w:tc>
      </w:tr>
    </w:tbl>
    <w:tbl>
      <w:tblPr>
        <w:tblW w:w="5980" w:type="dxa"/>
        <w:jc w:val="left"/>
        <w:tblInd w:w="0" w:type="dxa"/>
        <w:tblCellMar>
          <w:top w:w="0" w:type="dxa"/>
          <w:left w:w="0" w:type="dxa"/>
          <w:bottom w:w="0" w:type="dxa"/>
          <w:right w:w="0" w:type="dxa"/>
        </w:tblCellMar>
      </w:tblPr>
      <w:tblGrid>
        <w:gridCol w:w="485"/>
        <w:gridCol w:w="5495"/>
      </w:tblGrid>
      <w:tr>
        <w:trPr/>
        <w:tc>
          <w:tcPr>
            <w:tcW w:w="485" w:type="dxa"/>
            <w:tcBorders/>
            <w:shd w:fill="auto" w:val="clear"/>
            <w:vAlign w:val="center"/>
          </w:tcPr>
          <w:p>
            <w:pPr>
              <w:pStyle w:val="TableContents"/>
              <w:spacing w:before="0" w:after="283"/>
              <w:rPr>
                <w:sz w:val="4"/>
                <w:szCs w:val="4"/>
              </w:rPr>
            </w:pPr>
            <w:r>
              <w:rPr>
                <w:sz w:val="4"/>
                <w:szCs w:val="4"/>
              </w:rPr>
            </w:r>
          </w:p>
        </w:tc>
        <w:tc>
          <w:tcPr>
            <w:tcW w:w="54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4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expected mitigation of exposure to commodity price fluctuations;</w:t>
            </w:r>
          </w:p>
        </w:tc>
      </w:tr>
    </w:tbl>
    <w:tbl>
      <w:tblPr>
        <w:tblW w:w="5560" w:type="dxa"/>
        <w:jc w:val="left"/>
        <w:tblInd w:w="0" w:type="dxa"/>
        <w:tblCellMar>
          <w:top w:w="0" w:type="dxa"/>
          <w:left w:w="0" w:type="dxa"/>
          <w:bottom w:w="0" w:type="dxa"/>
          <w:right w:w="0" w:type="dxa"/>
        </w:tblCellMar>
      </w:tblPr>
      <w:tblGrid>
        <w:gridCol w:w="485"/>
        <w:gridCol w:w="5075"/>
      </w:tblGrid>
      <w:tr>
        <w:trPr/>
        <w:tc>
          <w:tcPr>
            <w:tcW w:w="485" w:type="dxa"/>
            <w:tcBorders/>
            <w:shd w:fill="auto" w:val="clear"/>
            <w:vAlign w:val="center"/>
          </w:tcPr>
          <w:p>
            <w:pPr>
              <w:pStyle w:val="TableContents"/>
              <w:spacing w:before="0" w:after="283"/>
              <w:rPr>
                <w:sz w:val="4"/>
                <w:szCs w:val="4"/>
              </w:rPr>
            </w:pPr>
            <w:r>
              <w:rPr>
                <w:sz w:val="4"/>
                <w:szCs w:val="4"/>
              </w:rPr>
            </w:r>
          </w:p>
        </w:tc>
        <w:tc>
          <w:tcPr>
            <w:tcW w:w="50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0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turnaround activities and the variability of OpCo's cash flow;</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tc>
      </w:tr>
    </w:tbl>
    <w:tbl>
      <w:tblPr>
        <w:tblW w:w="3595" w:type="dxa"/>
        <w:jc w:val="left"/>
        <w:tblInd w:w="0" w:type="dxa"/>
        <w:tblCellMar>
          <w:top w:w="0" w:type="dxa"/>
          <w:left w:w="0" w:type="dxa"/>
          <w:bottom w:w="0" w:type="dxa"/>
          <w:right w:w="0" w:type="dxa"/>
        </w:tblCellMar>
      </w:tblPr>
      <w:tblGrid>
        <w:gridCol w:w="485"/>
        <w:gridCol w:w="3110"/>
      </w:tblGrid>
      <w:tr>
        <w:trPr/>
        <w:tc>
          <w:tcPr>
            <w:tcW w:w="485" w:type="dxa"/>
            <w:tcBorders/>
            <w:shd w:fill="auto" w:val="clear"/>
            <w:vAlign w:val="center"/>
          </w:tcPr>
          <w:p>
            <w:pPr>
              <w:pStyle w:val="TableContents"/>
              <w:spacing w:before="0" w:after="283"/>
              <w:rPr>
                <w:sz w:val="4"/>
                <w:szCs w:val="4"/>
              </w:rPr>
            </w:pPr>
            <w:r>
              <w:rPr>
                <w:sz w:val="4"/>
                <w:szCs w:val="4"/>
              </w:rPr>
            </w:r>
          </w:p>
        </w:tc>
        <w:tc>
          <w:tcPr>
            <w:tcW w:w="311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1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effects of pending legal proceedings.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21</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450"/>
        <w:jc w:val="left"/>
        <w:rPr>
          <w:sz w:val="17"/>
        </w:rPr>
      </w:pPr>
      <w:r>
        <w:rPr>
          <w:rFonts w:ascii="inherit" w:hAnsi="inherit"/>
          <w:sz w:val="17"/>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2018</w:t>
      </w:r>
      <w:r>
        <w:rPr>
          <w:sz w:val="17"/>
        </w:rPr>
        <w:t xml:space="preserve"> </w:t>
      </w:r>
      <w:r>
        <w:rPr>
          <w:rFonts w:ascii="inherit" w:hAnsi="inherit"/>
          <w:sz w:val="17"/>
        </w:rPr>
        <w:t>Form 10-K and the following:</w:t>
      </w:r>
    </w:p>
    <w:tbl>
      <w:tblPr>
        <w:tblW w:w="4165" w:type="dxa"/>
        <w:jc w:val="left"/>
        <w:tblInd w:w="0" w:type="dxa"/>
        <w:tblCellMar>
          <w:top w:w="0" w:type="dxa"/>
          <w:left w:w="0" w:type="dxa"/>
          <w:bottom w:w="0" w:type="dxa"/>
          <w:right w:w="0" w:type="dxa"/>
        </w:tblCellMar>
      </w:tblPr>
      <w:tblGrid>
        <w:gridCol w:w="485"/>
        <w:gridCol w:w="3680"/>
      </w:tblGrid>
      <w:tr>
        <w:trPr/>
        <w:tc>
          <w:tcPr>
            <w:tcW w:w="485" w:type="dxa"/>
            <w:tcBorders/>
            <w:shd w:fill="auto" w:val="clear"/>
            <w:vAlign w:val="center"/>
          </w:tcPr>
          <w:p>
            <w:pPr>
              <w:pStyle w:val="TableContents"/>
              <w:spacing w:before="0" w:after="283"/>
              <w:rPr>
                <w:sz w:val="4"/>
                <w:szCs w:val="4"/>
              </w:rPr>
            </w:pPr>
            <w:r>
              <w:rPr>
                <w:sz w:val="4"/>
                <w:szCs w:val="4"/>
              </w:rPr>
            </w:r>
          </w:p>
        </w:tc>
        <w:tc>
          <w:tcPr>
            <w:tcW w:w="368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6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general economic and business conditions; </w:t>
            </w:r>
          </w:p>
        </w:tc>
      </w:tr>
    </w:tbl>
    <w:tbl>
      <w:tblPr>
        <w:tblW w:w="4210" w:type="dxa"/>
        <w:jc w:val="left"/>
        <w:tblInd w:w="0" w:type="dxa"/>
        <w:tblCellMar>
          <w:top w:w="0" w:type="dxa"/>
          <w:left w:w="0" w:type="dxa"/>
          <w:bottom w:w="0" w:type="dxa"/>
          <w:right w:w="0" w:type="dxa"/>
        </w:tblCellMar>
      </w:tblPr>
      <w:tblGrid>
        <w:gridCol w:w="485"/>
        <w:gridCol w:w="3725"/>
      </w:tblGrid>
      <w:tr>
        <w:trPr/>
        <w:tc>
          <w:tcPr>
            <w:tcW w:w="485" w:type="dxa"/>
            <w:tcBorders/>
            <w:shd w:fill="auto" w:val="clear"/>
            <w:vAlign w:val="center"/>
          </w:tcPr>
          <w:p>
            <w:pPr>
              <w:pStyle w:val="TableContents"/>
              <w:spacing w:before="0" w:after="283"/>
              <w:rPr>
                <w:sz w:val="4"/>
                <w:szCs w:val="4"/>
              </w:rPr>
            </w:pPr>
            <w:r>
              <w:rPr>
                <w:sz w:val="4"/>
                <w:szCs w:val="4"/>
              </w:rPr>
            </w:r>
          </w:p>
        </w:tc>
        <w:tc>
          <w:tcPr>
            <w:tcW w:w="372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72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the cyclical nature of the chemical industry; </w:t>
            </w:r>
          </w:p>
        </w:tc>
      </w:tr>
    </w:tbl>
    <w:tbl>
      <w:tblPr>
        <w:tblW w:w="5830" w:type="dxa"/>
        <w:jc w:val="left"/>
        <w:tblInd w:w="0" w:type="dxa"/>
        <w:tblCellMar>
          <w:top w:w="0" w:type="dxa"/>
          <w:left w:w="0" w:type="dxa"/>
          <w:bottom w:w="0" w:type="dxa"/>
          <w:right w:w="0" w:type="dxa"/>
        </w:tblCellMar>
      </w:tblPr>
      <w:tblGrid>
        <w:gridCol w:w="485"/>
        <w:gridCol w:w="5345"/>
      </w:tblGrid>
      <w:tr>
        <w:trPr/>
        <w:tc>
          <w:tcPr>
            <w:tcW w:w="485" w:type="dxa"/>
            <w:tcBorders/>
            <w:shd w:fill="auto" w:val="clear"/>
            <w:vAlign w:val="center"/>
          </w:tcPr>
          <w:p>
            <w:pPr>
              <w:pStyle w:val="TableContents"/>
              <w:spacing w:before="0" w:after="283"/>
              <w:rPr>
                <w:sz w:val="4"/>
                <w:szCs w:val="4"/>
              </w:rPr>
            </w:pPr>
            <w:r>
              <w:rPr>
                <w:sz w:val="4"/>
                <w:szCs w:val="4"/>
              </w:rPr>
            </w:r>
          </w:p>
        </w:tc>
        <w:tc>
          <w:tcPr>
            <w:tcW w:w="534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34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the availability, cost and volatility of raw materials and energy;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uncertainties associated with the United States and worldwide economies, including those due to political tensions and unrest in the Middle East and elsewhere;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current and potential governmental regulatory actions in the United States and regulatory actions and political unrest in other countries, including environmental regulations; </w:t>
            </w:r>
          </w:p>
        </w:tc>
      </w:tr>
    </w:tbl>
    <w:tbl>
      <w:tblPr>
        <w:tblW w:w="4705" w:type="dxa"/>
        <w:jc w:val="left"/>
        <w:tblInd w:w="0" w:type="dxa"/>
        <w:tblCellMar>
          <w:top w:w="0" w:type="dxa"/>
          <w:left w:w="0" w:type="dxa"/>
          <w:bottom w:w="0" w:type="dxa"/>
          <w:right w:w="0" w:type="dxa"/>
        </w:tblCellMar>
      </w:tblPr>
      <w:tblGrid>
        <w:gridCol w:w="485"/>
        <w:gridCol w:w="4220"/>
      </w:tblGrid>
      <w:tr>
        <w:trPr/>
        <w:tc>
          <w:tcPr>
            <w:tcW w:w="485" w:type="dxa"/>
            <w:tcBorders/>
            <w:shd w:fill="auto" w:val="clear"/>
            <w:vAlign w:val="center"/>
          </w:tcPr>
          <w:p>
            <w:pPr>
              <w:pStyle w:val="TableContents"/>
              <w:spacing w:before="0" w:after="283"/>
              <w:rPr>
                <w:sz w:val="4"/>
                <w:szCs w:val="4"/>
              </w:rPr>
            </w:pPr>
            <w:r>
              <w:rPr>
                <w:sz w:val="4"/>
                <w:szCs w:val="4"/>
              </w:rPr>
            </w:r>
          </w:p>
        </w:tc>
        <w:tc>
          <w:tcPr>
            <w:tcW w:w="42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2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industry production capacity and operating rates; </w:t>
            </w:r>
          </w:p>
        </w:tc>
      </w:tr>
    </w:tbl>
    <w:tbl>
      <w:tblPr>
        <w:tblW w:w="4255" w:type="dxa"/>
        <w:jc w:val="left"/>
        <w:tblInd w:w="0" w:type="dxa"/>
        <w:tblCellMar>
          <w:top w:w="0" w:type="dxa"/>
          <w:left w:w="0" w:type="dxa"/>
          <w:bottom w:w="0" w:type="dxa"/>
          <w:right w:w="0" w:type="dxa"/>
        </w:tblCellMar>
      </w:tblPr>
      <w:tblGrid>
        <w:gridCol w:w="485"/>
        <w:gridCol w:w="3770"/>
      </w:tblGrid>
      <w:tr>
        <w:trPr/>
        <w:tc>
          <w:tcPr>
            <w:tcW w:w="485" w:type="dxa"/>
            <w:tcBorders/>
            <w:shd w:fill="auto" w:val="clear"/>
            <w:vAlign w:val="center"/>
          </w:tcPr>
          <w:p>
            <w:pPr>
              <w:pStyle w:val="TableContents"/>
              <w:spacing w:before="0" w:after="283"/>
              <w:rPr>
                <w:sz w:val="4"/>
                <w:szCs w:val="4"/>
              </w:rPr>
            </w:pPr>
            <w:r>
              <w:rPr>
                <w:sz w:val="4"/>
                <w:szCs w:val="4"/>
              </w:rPr>
            </w:r>
          </w:p>
        </w:tc>
        <w:tc>
          <w:tcPr>
            <w:tcW w:w="37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77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the supply/demand balance for our product; </w:t>
            </w:r>
          </w:p>
        </w:tc>
      </w:tr>
    </w:tbl>
    <w:tbl>
      <w:tblPr>
        <w:tblW w:w="4255" w:type="dxa"/>
        <w:jc w:val="left"/>
        <w:tblInd w:w="0" w:type="dxa"/>
        <w:tblCellMar>
          <w:top w:w="0" w:type="dxa"/>
          <w:left w:w="0" w:type="dxa"/>
          <w:bottom w:w="0" w:type="dxa"/>
          <w:right w:w="0" w:type="dxa"/>
        </w:tblCellMar>
      </w:tblPr>
      <w:tblGrid>
        <w:gridCol w:w="485"/>
        <w:gridCol w:w="3770"/>
      </w:tblGrid>
      <w:tr>
        <w:trPr/>
        <w:tc>
          <w:tcPr>
            <w:tcW w:w="485" w:type="dxa"/>
            <w:tcBorders/>
            <w:shd w:fill="auto" w:val="clear"/>
            <w:vAlign w:val="center"/>
          </w:tcPr>
          <w:p>
            <w:pPr>
              <w:pStyle w:val="TableContents"/>
              <w:spacing w:before="0" w:after="283"/>
              <w:rPr>
                <w:sz w:val="4"/>
                <w:szCs w:val="4"/>
              </w:rPr>
            </w:pPr>
            <w:r>
              <w:rPr>
                <w:sz w:val="4"/>
                <w:szCs w:val="4"/>
              </w:rPr>
            </w:r>
          </w:p>
        </w:tc>
        <w:tc>
          <w:tcPr>
            <w:tcW w:w="37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77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competitive products and pricing pressures; </w:t>
            </w:r>
          </w:p>
        </w:tc>
      </w:tr>
    </w:tbl>
    <w:tbl>
      <w:tblPr>
        <w:tblW w:w="4315" w:type="dxa"/>
        <w:jc w:val="left"/>
        <w:tblInd w:w="0" w:type="dxa"/>
        <w:tblCellMar>
          <w:top w:w="0" w:type="dxa"/>
          <w:left w:w="0" w:type="dxa"/>
          <w:bottom w:w="0" w:type="dxa"/>
          <w:right w:w="0" w:type="dxa"/>
        </w:tblCellMar>
      </w:tblPr>
      <w:tblGrid>
        <w:gridCol w:w="485"/>
        <w:gridCol w:w="3830"/>
      </w:tblGrid>
      <w:tr>
        <w:trPr/>
        <w:tc>
          <w:tcPr>
            <w:tcW w:w="485" w:type="dxa"/>
            <w:tcBorders/>
            <w:shd w:fill="auto" w:val="clear"/>
            <w:vAlign w:val="center"/>
          </w:tcPr>
          <w:p>
            <w:pPr>
              <w:pStyle w:val="TableContents"/>
              <w:spacing w:before="0" w:after="283"/>
              <w:rPr>
                <w:sz w:val="4"/>
                <w:szCs w:val="4"/>
              </w:rPr>
            </w:pPr>
            <w:r>
              <w:rPr>
                <w:sz w:val="4"/>
                <w:szCs w:val="4"/>
              </w:rPr>
            </w:r>
          </w:p>
        </w:tc>
        <w:tc>
          <w:tcPr>
            <w:tcW w:w="383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8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instability in the credit and financial markets; </w:t>
            </w:r>
          </w:p>
        </w:tc>
      </w:tr>
    </w:tbl>
    <w:tbl>
      <w:tblPr>
        <w:tblW w:w="2740" w:type="dxa"/>
        <w:jc w:val="left"/>
        <w:tblInd w:w="0" w:type="dxa"/>
        <w:tblCellMar>
          <w:top w:w="0" w:type="dxa"/>
          <w:left w:w="0" w:type="dxa"/>
          <w:bottom w:w="0" w:type="dxa"/>
          <w:right w:w="0" w:type="dxa"/>
        </w:tblCellMar>
      </w:tblPr>
      <w:tblGrid>
        <w:gridCol w:w="485"/>
        <w:gridCol w:w="2255"/>
      </w:tblGrid>
      <w:tr>
        <w:trPr/>
        <w:tc>
          <w:tcPr>
            <w:tcW w:w="485" w:type="dxa"/>
            <w:tcBorders/>
            <w:shd w:fill="auto" w:val="clear"/>
            <w:vAlign w:val="center"/>
          </w:tcPr>
          <w:p>
            <w:pPr>
              <w:pStyle w:val="TableContents"/>
              <w:spacing w:before="0" w:after="283"/>
              <w:rPr>
                <w:sz w:val="4"/>
                <w:szCs w:val="4"/>
              </w:rPr>
            </w:pPr>
            <w:r>
              <w:rPr>
                <w:sz w:val="4"/>
                <w:szCs w:val="4"/>
              </w:rPr>
            </w:r>
          </w:p>
        </w:tc>
        <w:tc>
          <w:tcPr>
            <w:tcW w:w="225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25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access to capital markets; </w:t>
            </w:r>
          </w:p>
        </w:tc>
      </w:tr>
    </w:tbl>
    <w:tbl>
      <w:tblPr>
        <w:tblW w:w="1705" w:type="dxa"/>
        <w:jc w:val="left"/>
        <w:tblInd w:w="0" w:type="dxa"/>
        <w:tblCellMar>
          <w:top w:w="0" w:type="dxa"/>
          <w:left w:w="0" w:type="dxa"/>
          <w:bottom w:w="0" w:type="dxa"/>
          <w:right w:w="0" w:type="dxa"/>
        </w:tblCellMar>
      </w:tblPr>
      <w:tblGrid>
        <w:gridCol w:w="485"/>
        <w:gridCol w:w="1220"/>
      </w:tblGrid>
      <w:tr>
        <w:trPr/>
        <w:tc>
          <w:tcPr>
            <w:tcW w:w="485"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12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terrorist acts; </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operating interruptions (including leaks, explosions, fires, weather-related incidents, mechanical failure, unscheduled downtime, labor difficulties, transportation interruptions, spills and releases and other environmental risks); </w:t>
            </w:r>
          </w:p>
        </w:tc>
      </w:tr>
    </w:tbl>
    <w:tbl>
      <w:tblPr>
        <w:tblW w:w="3160" w:type="dxa"/>
        <w:jc w:val="left"/>
        <w:tblInd w:w="0" w:type="dxa"/>
        <w:tblCellMar>
          <w:top w:w="0" w:type="dxa"/>
          <w:left w:w="0" w:type="dxa"/>
          <w:bottom w:w="0" w:type="dxa"/>
          <w:right w:w="0" w:type="dxa"/>
        </w:tblCellMar>
      </w:tblPr>
      <w:tblGrid>
        <w:gridCol w:w="485"/>
        <w:gridCol w:w="2675"/>
      </w:tblGrid>
      <w:tr>
        <w:trPr/>
        <w:tc>
          <w:tcPr>
            <w:tcW w:w="48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6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changes in laws or regulations; </w:t>
            </w:r>
          </w:p>
        </w:tc>
      </w:tr>
    </w:tbl>
    <w:tbl>
      <w:tblPr>
        <w:tblW w:w="2980" w:type="dxa"/>
        <w:jc w:val="left"/>
        <w:tblInd w:w="0" w:type="dxa"/>
        <w:tblCellMar>
          <w:top w:w="0" w:type="dxa"/>
          <w:left w:w="0" w:type="dxa"/>
          <w:bottom w:w="0" w:type="dxa"/>
          <w:right w:w="0" w:type="dxa"/>
        </w:tblCellMar>
      </w:tblPr>
      <w:tblGrid>
        <w:gridCol w:w="485"/>
        <w:gridCol w:w="2495"/>
      </w:tblGrid>
      <w:tr>
        <w:trPr/>
        <w:tc>
          <w:tcPr>
            <w:tcW w:w="485" w:type="dxa"/>
            <w:tcBorders/>
            <w:shd w:fill="auto" w:val="clear"/>
            <w:vAlign w:val="center"/>
          </w:tcPr>
          <w:p>
            <w:pPr>
              <w:pStyle w:val="TableContents"/>
              <w:spacing w:before="0" w:after="283"/>
              <w:rPr>
                <w:sz w:val="4"/>
                <w:szCs w:val="4"/>
              </w:rPr>
            </w:pPr>
            <w:r>
              <w:rPr>
                <w:sz w:val="4"/>
                <w:szCs w:val="4"/>
              </w:rPr>
            </w:r>
          </w:p>
        </w:tc>
        <w:tc>
          <w:tcPr>
            <w:tcW w:w="24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4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technological developments; </w:t>
            </w:r>
          </w:p>
        </w:tc>
      </w:tr>
    </w:tbl>
    <w:tbl>
      <w:tblPr>
        <w:tblW w:w="4195" w:type="dxa"/>
        <w:jc w:val="left"/>
        <w:tblInd w:w="0" w:type="dxa"/>
        <w:tblCellMar>
          <w:top w:w="0" w:type="dxa"/>
          <w:left w:w="0" w:type="dxa"/>
          <w:bottom w:w="0" w:type="dxa"/>
          <w:right w:w="0" w:type="dxa"/>
        </w:tblCellMar>
      </w:tblPr>
      <w:tblGrid>
        <w:gridCol w:w="485"/>
        <w:gridCol w:w="3710"/>
      </w:tblGrid>
      <w:tr>
        <w:trPr/>
        <w:tc>
          <w:tcPr>
            <w:tcW w:w="485" w:type="dxa"/>
            <w:tcBorders/>
            <w:shd w:fill="auto" w:val="clear"/>
            <w:vAlign w:val="center"/>
          </w:tcPr>
          <w:p>
            <w:pPr>
              <w:pStyle w:val="TableContents"/>
              <w:spacing w:before="0" w:after="283"/>
              <w:rPr>
                <w:sz w:val="4"/>
                <w:szCs w:val="4"/>
              </w:rPr>
            </w:pPr>
            <w:r>
              <w:rPr>
                <w:sz w:val="4"/>
                <w:szCs w:val="4"/>
              </w:rPr>
            </w:r>
          </w:p>
        </w:tc>
        <w:tc>
          <w:tcPr>
            <w:tcW w:w="371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7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ability to integrate acquired businesses;</w:t>
            </w:r>
          </w:p>
        </w:tc>
      </w:tr>
    </w:tbl>
    <w:tbl>
      <w:tblPr>
        <w:tblW w:w="3280" w:type="dxa"/>
        <w:jc w:val="left"/>
        <w:tblInd w:w="0" w:type="dxa"/>
        <w:tblCellMar>
          <w:top w:w="0" w:type="dxa"/>
          <w:left w:w="0" w:type="dxa"/>
          <w:bottom w:w="0" w:type="dxa"/>
          <w:right w:w="0" w:type="dxa"/>
        </w:tblCellMar>
      </w:tblPr>
      <w:tblGrid>
        <w:gridCol w:w="485"/>
        <w:gridCol w:w="2795"/>
      </w:tblGrid>
      <w:tr>
        <w:trPr/>
        <w:tc>
          <w:tcPr>
            <w:tcW w:w="485"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7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foreign currency exchange risks;</w:t>
            </w:r>
          </w:p>
        </w:tc>
      </w:tr>
    </w:tbl>
    <w:tbl>
      <w:tblPr>
        <w:tblW w:w="4975" w:type="dxa"/>
        <w:jc w:val="left"/>
        <w:tblInd w:w="0" w:type="dxa"/>
        <w:tblCellMar>
          <w:top w:w="0" w:type="dxa"/>
          <w:left w:w="0" w:type="dxa"/>
          <w:bottom w:w="0" w:type="dxa"/>
          <w:right w:w="0" w:type="dxa"/>
        </w:tblCellMar>
      </w:tblPr>
      <w:tblGrid>
        <w:gridCol w:w="485"/>
        <w:gridCol w:w="4490"/>
      </w:tblGrid>
      <w:tr>
        <w:trPr/>
        <w:tc>
          <w:tcPr>
            <w:tcW w:w="485" w:type="dxa"/>
            <w:tcBorders/>
            <w:shd w:fill="auto" w:val="clear"/>
            <w:vAlign w:val="center"/>
          </w:tcPr>
          <w:p>
            <w:pPr>
              <w:pStyle w:val="TableContents"/>
              <w:spacing w:before="0" w:after="283"/>
              <w:rPr>
                <w:sz w:val="4"/>
                <w:szCs w:val="4"/>
              </w:rPr>
            </w:pPr>
            <w:r>
              <w:rPr>
                <w:sz w:val="4"/>
                <w:szCs w:val="4"/>
              </w:rPr>
            </w:r>
          </w:p>
        </w:tc>
        <w:tc>
          <w:tcPr>
            <w:tcW w:w="449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4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our ability to implement our business strategies; and </w:t>
            </w:r>
          </w:p>
        </w:tc>
      </w:tr>
    </w:tbl>
    <w:tbl>
      <w:tblPr>
        <w:tblW w:w="3475" w:type="dxa"/>
        <w:jc w:val="left"/>
        <w:tblInd w:w="0" w:type="dxa"/>
        <w:tblCellMar>
          <w:top w:w="0" w:type="dxa"/>
          <w:left w:w="0" w:type="dxa"/>
          <w:bottom w:w="0" w:type="dxa"/>
          <w:right w:w="0" w:type="dxa"/>
        </w:tblCellMar>
      </w:tblPr>
      <w:tblGrid>
        <w:gridCol w:w="485"/>
        <w:gridCol w:w="2990"/>
      </w:tblGrid>
      <w:tr>
        <w:trPr/>
        <w:tc>
          <w:tcPr>
            <w:tcW w:w="485" w:type="dxa"/>
            <w:tcBorders/>
            <w:shd w:fill="auto" w:val="clear"/>
            <w:vAlign w:val="center"/>
          </w:tcPr>
          <w:p>
            <w:pPr>
              <w:pStyle w:val="TableContents"/>
              <w:spacing w:before="0" w:after="283"/>
              <w:rPr>
                <w:sz w:val="4"/>
                <w:szCs w:val="4"/>
              </w:rPr>
            </w:pPr>
            <w:r>
              <w:rPr>
                <w:sz w:val="4"/>
                <w:szCs w:val="4"/>
              </w:rPr>
            </w:r>
          </w:p>
        </w:tc>
        <w:tc>
          <w:tcPr>
            <w:tcW w:w="299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9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creditworthiness of our customers. </w:t>
            </w:r>
          </w:p>
        </w:tc>
      </w:tr>
    </w:tbl>
    <w:p>
      <w:pPr>
        <w:pStyle w:val="TextBody"/>
        <w:spacing w:lineRule="auto" w:line="288" w:before="0" w:after="0"/>
        <w:ind w:left="0" w:right="0" w:firstLine="450"/>
        <w:jc w:val="left"/>
        <w:rPr>
          <w:rFonts w:ascii="inherit" w:hAnsi="inherit"/>
          <w:sz w:val="17"/>
        </w:rPr>
      </w:pPr>
      <w:r>
        <w:rPr>
          <w:rFonts w:ascii="inherit" w:hAnsi="inherit"/>
          <w:sz w:val="17"/>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22</w:t>
      </w:r>
      <w:r>
        <w:br w:type="page"/>
      </w:r>
    </w:p>
    <w:p>
      <w:pPr>
        <w:pStyle w:val="TextBody"/>
        <w:spacing w:lineRule="auto" w:line="288" w:before="0" w:after="0"/>
        <w:rPr>
          <w:rFonts w:ascii="inherit" w:hAnsi="inherit"/>
          <w:sz w:val="17"/>
        </w:rPr>
      </w:pPr>
      <w:r>
        <w:rPr>
          <w:rFonts w:ascii="inherit" w:hAnsi="inherit"/>
          <w:sz w:val="17"/>
        </w:rPr>
      </w:r>
      <w:bookmarkStart w:id="30" w:name="s9CB6F3F55FE35213B4B2CFD8903C4F25"/>
      <w:bookmarkStart w:id="31" w:name="s9CB6F3F55FE35213B4B2CFD8903C4F25"/>
      <w:bookmarkEnd w:id="31"/>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 xml:space="preserve">Item 3. Quantitative and Qualitative Disclosures about Market Risk </w:t>
      </w:r>
    </w:p>
    <w:p>
      <w:pPr>
        <w:pStyle w:val="TextBody"/>
        <w:spacing w:lineRule="auto" w:line="288" w:before="0" w:after="0"/>
        <w:jc w:val="left"/>
        <w:rPr>
          <w:rFonts w:ascii="inherit" w:hAnsi="inherit"/>
          <w:b/>
          <w:i/>
          <w:sz w:val="17"/>
        </w:rPr>
      </w:pPr>
      <w:r>
        <w:rPr>
          <w:rFonts w:ascii="inherit" w:hAnsi="inherit"/>
          <w:b/>
          <w:i/>
          <w:sz w:val="17"/>
        </w:rPr>
        <w:t xml:space="preserve">Commodity Price Risk </w:t>
      </w:r>
    </w:p>
    <w:p>
      <w:pPr>
        <w:pStyle w:val="TextBody"/>
        <w:spacing w:lineRule="auto" w:line="288" w:before="0" w:after="0"/>
        <w:ind w:left="0" w:right="0" w:firstLine="480"/>
        <w:jc w:val="left"/>
        <w:rPr>
          <w:sz w:val="17"/>
        </w:rPr>
      </w:pPr>
      <w:r>
        <w:rPr>
          <w:rFonts w:ascii="inherit" w:hAnsi="inherit"/>
          <w:sz w:val="17"/>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fluctuations during the term of the Ethylene Sales Agreement through the minimum commitment and the cost-plus based pricing. Additionally, we may use short-term derivative instruments to reduce price volatility risk on feedstocks and ethylene associated with the production and sales to third parties. We entered into some of these agreements in December 2018. Based on our open derivative positions as of March 31, 2019, a hypothetical $0.10 increase in the price of a gallon of ethane would have increased our income before taxes by $1.3 million</w:t>
      </w:r>
      <w:r>
        <w:rPr>
          <w:sz w:val="17"/>
        </w:rPr>
        <w:t xml:space="preserve"> </w:t>
      </w:r>
      <w:r>
        <w:rPr>
          <w:rFonts w:ascii="inherit" w:hAnsi="inherit"/>
          <w:sz w:val="17"/>
        </w:rPr>
        <w:t>and a hypothetical $0.10 decrease in the price of a pound of ethylene would have increased our income before taxes by $3.2 million.</w:t>
      </w:r>
    </w:p>
    <w:p>
      <w:pPr>
        <w:pStyle w:val="TextBody"/>
        <w:spacing w:lineRule="auto" w:line="288" w:before="0" w:after="0"/>
        <w:jc w:val="left"/>
        <w:rPr>
          <w:rFonts w:ascii="inherit" w:hAnsi="inherit"/>
          <w:b/>
          <w:i/>
          <w:sz w:val="17"/>
        </w:rPr>
      </w:pPr>
      <w:r>
        <w:rPr>
          <w:rFonts w:ascii="inherit" w:hAnsi="inherit"/>
          <w:b/>
          <w:i/>
          <w:sz w:val="17"/>
        </w:rPr>
        <w:t xml:space="preserve">Interest Rate Risk </w:t>
      </w:r>
    </w:p>
    <w:p>
      <w:pPr>
        <w:pStyle w:val="TextBody"/>
        <w:spacing w:lineRule="auto" w:line="288" w:before="0" w:after="0"/>
        <w:ind w:left="0" w:right="0" w:firstLine="480"/>
        <w:jc w:val="left"/>
        <w:rPr>
          <w:sz w:val="17"/>
        </w:rPr>
      </w:pPr>
      <w:r>
        <w:rPr>
          <w:rFonts w:ascii="inherit" w:hAnsi="inherit"/>
          <w:sz w:val="17"/>
        </w:rPr>
        <w:t>We are exposed to interest rate risk with respect to our outstanding debt, all of which is variable rate debt. At March 31, 2019, we had total variable rate debt of $601.1 million</w:t>
      </w:r>
      <w:r>
        <w:rPr>
          <w:sz w:val="17"/>
        </w:rPr>
        <w:t xml:space="preserve"> </w:t>
      </w:r>
      <w:r>
        <w:rPr>
          <w:rFonts w:ascii="inherit" w:hAnsi="inherit"/>
          <w:sz w:val="17"/>
        </w:rPr>
        <w:t>outstanding, all of which was owed to wholly-owned subsidiaries of Westlake, and currently accrues interest at a variable rate of LIBOR plus 200 basis points. The weighted average variable interest rate of our debt as of March 31, 2019</w:t>
      </w:r>
      <w:r>
        <w:rPr>
          <w:sz w:val="17"/>
        </w:rPr>
        <w:t xml:space="preserve"> </w:t>
      </w:r>
      <w:r>
        <w:rPr>
          <w:rFonts w:ascii="inherit" w:hAnsi="inherit"/>
          <w:sz w:val="17"/>
        </w:rPr>
        <w:t>was 4.8%.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$6.0 million, based on the March 31, 2019</w:t>
      </w:r>
      <w:r>
        <w:rPr>
          <w:sz w:val="17"/>
        </w:rPr>
        <w:t xml:space="preserve"> </w:t>
      </w:r>
      <w:r>
        <w:rPr>
          <w:rFonts w:ascii="inherit" w:hAnsi="inherit"/>
          <w:sz w:val="17"/>
        </w:rPr>
        <w:t>debt balance.</w:t>
      </w:r>
    </w:p>
    <w:p>
      <w:pPr>
        <w:pStyle w:val="TextBody"/>
        <w:spacing w:lineRule="auto" w:line="288" w:before="0" w:after="0"/>
        <w:jc w:val="left"/>
        <w:rPr>
          <w:rFonts w:ascii="inherit" w:hAnsi="inherit"/>
          <w:b/>
          <w:sz w:val="17"/>
        </w:rPr>
      </w:pPr>
      <w:bookmarkStart w:id="32" w:name="s7CF8311D59F15A5C8922402CAFC5662F"/>
      <w:bookmarkEnd w:id="32"/>
      <w:r>
        <w:rPr>
          <w:rFonts w:ascii="inherit" w:hAnsi="inherit"/>
          <w:b/>
          <w:sz w:val="17"/>
        </w:rPr>
        <w:t xml:space="preserve">Item 4. Controls and Procedures </w:t>
      </w:r>
    </w:p>
    <w:p>
      <w:pPr>
        <w:pStyle w:val="TextBody"/>
        <w:spacing w:lineRule="auto" w:line="288" w:before="0" w:after="0"/>
        <w:ind w:left="0" w:right="0" w:firstLine="450"/>
        <w:jc w:val="left"/>
        <w:rPr>
          <w:rFonts w:ascii="inherit" w:hAnsi="inherit"/>
          <w:sz w:val="17"/>
        </w:rPr>
      </w:pPr>
      <w:r>
        <w:rPr>
          <w:rFonts w:ascii="inherit" w:hAnsi="inherit"/>
          <w:sz w:val="17"/>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pStyle w:val="TextBody"/>
        <w:spacing w:lineRule="auto" w:line="288" w:before="0" w:after="0"/>
        <w:ind w:left="0" w:right="0" w:firstLine="450"/>
        <w:jc w:val="left"/>
        <w:rPr>
          <w:sz w:val="17"/>
        </w:rPr>
      </w:pPr>
      <w:r>
        <w:rPr>
          <w:rFonts w:ascii="inherit" w:hAnsi="inherit"/>
          <w:sz w:val="17"/>
        </w:rPr>
        <w:t>There were no changes in our internal control over financial reporting that occurred during the three months ended March 31, 2019</w:t>
      </w:r>
      <w:r>
        <w:rPr>
          <w:sz w:val="17"/>
        </w:rPr>
        <w:t xml:space="preserve"> </w:t>
      </w:r>
      <w:r>
        <w:rPr>
          <w:rFonts w:ascii="inherit" w:hAnsi="inherit"/>
          <w:sz w:val="17"/>
        </w:rPr>
        <w:t>that have materially affected, or are reasonably likely to materially affect, our internal control over financial reporting.</w:t>
      </w:r>
    </w:p>
    <w:p>
      <w:pPr>
        <w:pStyle w:val="TextBody"/>
        <w:spacing w:lineRule="auto" w:line="288" w:before="0" w:after="0"/>
        <w:rPr>
          <w:rFonts w:ascii="inherit" w:hAnsi="inherit"/>
          <w:b/>
          <w:sz w:val="17"/>
        </w:rPr>
      </w:pPr>
      <w:bookmarkStart w:id="33" w:name="sFBF150B2DD1A51D6AA00FBB56E91C884"/>
      <w:bookmarkEnd w:id="33"/>
      <w:r>
        <w:rPr>
          <w:rFonts w:ascii="inherit" w:hAnsi="inherit"/>
          <w:b/>
          <w:sz w:val="17"/>
        </w:rPr>
        <w:t>PART II. OTHER INFORMATION</w:t>
      </w:r>
    </w:p>
    <w:p>
      <w:pPr>
        <w:pStyle w:val="TextBody"/>
        <w:spacing w:lineRule="auto" w:line="288" w:before="0" w:after="0"/>
        <w:jc w:val="left"/>
        <w:rPr>
          <w:rFonts w:ascii="inherit" w:hAnsi="inherit"/>
          <w:b/>
          <w:sz w:val="17"/>
        </w:rPr>
      </w:pPr>
      <w:bookmarkStart w:id="34" w:name="sCD36194347D85EF5B1D4C105668BA697"/>
      <w:bookmarkEnd w:id="34"/>
      <w:r>
        <w:rPr>
          <w:rFonts w:ascii="inherit" w:hAnsi="inherit"/>
          <w:b/>
          <w:sz w:val="17"/>
        </w:rPr>
        <w:t>Item 1. Legal Proceedings</w:t>
      </w:r>
    </w:p>
    <w:p>
      <w:pPr>
        <w:pStyle w:val="TextBody"/>
        <w:spacing w:lineRule="auto" w:line="288" w:before="0" w:after="0"/>
        <w:ind w:left="0" w:right="0" w:firstLine="480"/>
        <w:rPr>
          <w:sz w:val="17"/>
        </w:rPr>
      </w:pPr>
      <w:r>
        <w:rPr>
          <w:rFonts w:ascii="inherit" w:hAnsi="inherit"/>
          <w:sz w:val="17"/>
        </w:rPr>
        <w:t>The 2018</w:t>
      </w:r>
      <w:r>
        <w:rPr>
          <w:sz w:val="17"/>
        </w:rPr>
        <w:t xml:space="preserve"> </w:t>
      </w:r>
      <w:r>
        <w:rPr>
          <w:rFonts w:ascii="inherit" w:hAnsi="inherit"/>
          <w:sz w:val="17"/>
        </w:rPr>
        <w:t>Form 10-K, filed on March 1, 2019, contained a description of various legal proceedings in which we are involved, including environmental proceedings. See below and Note 12</w:t>
      </w:r>
      <w:r>
        <w:rPr>
          <w:sz w:val="17"/>
        </w:rPr>
        <w:t xml:space="preserve"> </w:t>
      </w:r>
      <w:r>
        <w:rPr>
          <w:rFonts w:ascii="inherit" w:hAnsi="inherit"/>
          <w:sz w:val="17"/>
        </w:rPr>
        <w:t xml:space="preserve">to the unaudited consolidated financial statements within this Quarterly Report on Form 10-Q for a discussion on legal proceedings, which information is incorporated by reference herein. </w:t>
      </w:r>
    </w:p>
    <w:p>
      <w:pPr>
        <w:pStyle w:val="TextBody"/>
        <w:spacing w:lineRule="auto" w:line="288" w:before="0" w:after="0"/>
        <w:ind w:left="0" w:right="0" w:firstLine="480"/>
        <w:rPr>
          <w:rFonts w:ascii="inherit" w:hAnsi="inherit"/>
          <w:sz w:val="17"/>
        </w:rPr>
      </w:pPr>
      <w:r>
        <w:rPr>
          <w:rFonts w:ascii="inherit" w:hAnsi="inherit"/>
          <w:sz w:val="17"/>
        </w:rPr>
        <w:t>Under the Omnibus Agreement, Westlake Chemical Corporation ("Westlake") has agreed to indemnify the Partnership for certain environmental and other liabilities relating to OpCo's processing facilities and related assets.</w:t>
      </w:r>
    </w:p>
    <w:p>
      <w:pPr>
        <w:pStyle w:val="TextBody"/>
        <w:spacing w:lineRule="auto" w:line="288" w:before="0" w:after="0"/>
        <w:ind w:left="0" w:right="0" w:firstLine="450"/>
        <w:rPr>
          <w:sz w:val="17"/>
        </w:rPr>
      </w:pPr>
      <w:r>
        <w:rPr>
          <w:rFonts w:ascii="inherit" w:hAnsi="inherit"/>
          <w:i/>
          <w:sz w:val="17"/>
        </w:rPr>
        <w:t>Potential Flare Modifications</w:t>
      </w:r>
      <w:r>
        <w:rPr>
          <w:rFonts w:ascii="inherit" w:hAnsi="inherit"/>
          <w:sz w:val="17"/>
        </w:rPr>
        <w:t>. For several years, the Environmental Protection Agency ("EPA") has been conducting an enforcement initiative against petroleum refineries and petrochemical 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The Partnership believes the resolution of these matters may require the payment of a monetary sanction in excess of $100,000.</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23</w:t>
      </w:r>
      <w:r>
        <w:br w:type="page"/>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450"/>
        <w:jc w:val="left"/>
        <w:rPr>
          <w:sz w:val="17"/>
        </w:rPr>
      </w:pPr>
      <w:r>
        <w:rPr>
          <w:rFonts w:ascii="inherit" w:hAnsi="inherit"/>
          <w:i/>
          <w:sz w:val="17"/>
        </w:rPr>
        <w:t>Risk Management Program Investigation</w:t>
      </w:r>
      <w:r>
        <w:rPr>
          <w:rFonts w:ascii="inherit" w:hAnsi="inherit"/>
          <w:sz w:val="17"/>
        </w:rPr>
        <w:t>. The EPA has conducted inspections and information requests to assess compliance with Risk Management Program requirements under the Clean Air Act at the Calvert City facility. The EPA has identified concerns with the facility's compliance under the Risk Management Program and Release Prevention regulations in connection with certain emissions release events between 2011 and 2015. Westlake has engaged in communications with EPA to resolve these concerns. Westlake has reached an agreement in principle with the EPA to resolve all concerns for a penalty of $49,000 and an $184,000 supplemental environmental project involving the purchase of emergency response equipment for Marshall and Livingston Counties. The EPA and Westlake are currently finalizing the settlement documents.</w:t>
      </w:r>
    </w:p>
    <w:p>
      <w:pPr>
        <w:pStyle w:val="TextBody"/>
        <w:spacing w:lineRule="auto" w:line="288" w:before="0" w:after="0"/>
        <w:ind w:left="0" w:right="0" w:firstLine="450"/>
        <w:rPr>
          <w:rFonts w:ascii="inherit" w:hAnsi="inherit"/>
          <w:sz w:val="17"/>
        </w:rPr>
      </w:pPr>
      <w:r>
        <w:rPr>
          <w:rFonts w:ascii="inherit" w:hAnsi="inherit"/>
          <w:sz w:val="17"/>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pStyle w:val="TextBody"/>
        <w:spacing w:lineRule="auto" w:line="288" w:before="0" w:after="0"/>
        <w:jc w:val="left"/>
        <w:rPr>
          <w:rFonts w:ascii="inherit" w:hAnsi="inherit"/>
          <w:b/>
          <w:sz w:val="17"/>
        </w:rPr>
      </w:pPr>
      <w:bookmarkStart w:id="35" w:name="s6AEF829F53025391B72B48A3D6559E2F"/>
      <w:bookmarkEnd w:id="35"/>
      <w:r>
        <w:rPr>
          <w:rFonts w:ascii="inherit" w:hAnsi="inherit"/>
          <w:b/>
          <w:sz w:val="17"/>
        </w:rPr>
        <w:t>Item 1A. Risk Factors</w:t>
      </w:r>
    </w:p>
    <w:p>
      <w:pPr>
        <w:pStyle w:val="TextBody"/>
        <w:spacing w:lineRule="auto" w:line="288" w:before="0" w:after="0"/>
        <w:ind w:left="0" w:right="0" w:firstLine="450"/>
        <w:rPr>
          <w:sz w:val="17"/>
        </w:rPr>
      </w:pPr>
      <w:r>
        <w:rPr>
          <w:rFonts w:ascii="inherit" w:hAnsi="inherit"/>
          <w:sz w:val="17"/>
        </w:rPr>
        <w:t>For a discussion of risk factors, please read Item IA, "Risk Factors" in the 2018</w:t>
      </w:r>
      <w:r>
        <w:rPr>
          <w:sz w:val="17"/>
        </w:rPr>
        <w:t xml:space="preserve"> </w:t>
      </w:r>
      <w:r>
        <w:rPr>
          <w:rFonts w:ascii="inherit" w:hAnsi="inherit"/>
          <w:sz w:val="17"/>
        </w:rPr>
        <w:t>Form 10-K. There have been no material changes from those risk factors.</w:t>
      </w:r>
    </w:p>
    <w:p>
      <w:pPr>
        <w:pStyle w:val="TextBody"/>
        <w:spacing w:lineRule="auto" w:line="288" w:before="0" w:after="0"/>
        <w:jc w:val="left"/>
        <w:rPr>
          <w:rFonts w:ascii="inherit" w:hAnsi="inherit"/>
          <w:b/>
          <w:sz w:val="17"/>
        </w:rPr>
      </w:pPr>
      <w:bookmarkStart w:id="36" w:name="se4dbdb7fc3e54681803f2bd3e6b7fdee"/>
      <w:bookmarkEnd w:id="36"/>
      <w:r>
        <w:rPr>
          <w:rFonts w:ascii="inherit" w:hAnsi="inherit"/>
          <w:b/>
          <w:sz w:val="17"/>
        </w:rPr>
        <w:t>Item 2. Unregistered Sales of Equity Securities and Use of Proceeds</w:t>
      </w:r>
    </w:p>
    <w:p>
      <w:pPr>
        <w:pStyle w:val="TextBody"/>
        <w:spacing w:lineRule="auto" w:line="288" w:before="0" w:after="0"/>
        <w:ind w:left="0" w:right="0" w:firstLine="450"/>
        <w:jc w:val="left"/>
        <w:rPr>
          <w:rFonts w:ascii="inherit" w:hAnsi="inherit"/>
          <w:sz w:val="17"/>
        </w:rPr>
      </w:pPr>
      <w:r>
        <w:rPr>
          <w:rFonts w:ascii="inherit" w:hAnsi="inherit"/>
          <w:sz w:val="17"/>
        </w:rPr>
        <w:t>On March 29, 2019, the Partnership completed the private placement of 2,940,818 common units pursuant to an exemption from registration under Section 4(a)(2) of the Securities Act of 1933, as amended. Proceeds to the Partnership from the sale of the units were approximately $62,934 and were used, along with borrowings under the MLP Revolver, to purchase an additional 4.5% limited partner interest in OpCo for approximately $201.4 million.</w:t>
      </w:r>
    </w:p>
    <w:p>
      <w:pPr>
        <w:pStyle w:val="TextBody"/>
        <w:spacing w:lineRule="auto" w:line="288" w:before="0" w:after="0"/>
        <w:jc w:val="left"/>
        <w:rPr>
          <w:rFonts w:ascii="inherit" w:hAnsi="inherit"/>
          <w:b/>
          <w:sz w:val="17"/>
        </w:rPr>
      </w:pPr>
      <w:bookmarkStart w:id="37" w:name="s01E19E7A72E359C8A5EF39A9F2A751D8"/>
      <w:bookmarkEnd w:id="37"/>
      <w:r>
        <w:rPr>
          <w:rFonts w:ascii="inherit" w:hAnsi="inherit"/>
          <w:b/>
          <w:sz w:val="17"/>
        </w:rPr>
        <w:t>Item 5. Other Information</w:t>
      </w:r>
    </w:p>
    <w:p>
      <w:pPr>
        <w:pStyle w:val="TextBody"/>
        <w:spacing w:lineRule="auto" w:line="288" w:before="0" w:after="0"/>
        <w:ind w:left="0" w:right="0" w:firstLine="450"/>
        <w:jc w:val="left"/>
        <w:rPr>
          <w:rFonts w:ascii="inherit" w:hAnsi="inherit"/>
          <w:sz w:val="17"/>
        </w:rPr>
      </w:pPr>
      <w:r>
        <w:rPr>
          <w:rFonts w:ascii="inherit" w:hAnsi="inherit"/>
          <w:sz w:val="17"/>
        </w:rPr>
        <w:t>None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24</w:t>
      </w:r>
      <w:r>
        <w:br w:type="page"/>
      </w:r>
    </w:p>
    <w:p>
      <w:pPr>
        <w:pStyle w:val="TextBody"/>
        <w:spacing w:lineRule="auto" w:line="288" w:before="0" w:after="0"/>
        <w:rPr>
          <w:rFonts w:ascii="inherit" w:hAnsi="inherit"/>
          <w:sz w:val="17"/>
        </w:rPr>
      </w:pPr>
      <w:r>
        <w:rPr>
          <w:rFonts w:ascii="inherit" w:hAnsi="inherit"/>
          <w:sz w:val="17"/>
        </w:rPr>
      </w:r>
      <w:bookmarkStart w:id="38" w:name="s69F648E20B9D5448B9EAF84F28D1A87E"/>
      <w:bookmarkStart w:id="39" w:name="s69F648E20B9D5448B9EAF84F28D1A87E"/>
      <w:bookmarkEnd w:id="39"/>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6. Exhibits</w:t>
      </w:r>
    </w:p>
    <w:p>
      <w:pPr>
        <w:pStyle w:val="TextBody"/>
        <w:spacing w:lineRule="auto" w:line="288" w:before="0" w:after="0"/>
        <w:jc w:val="center"/>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75"/>
        <w:gridCol w:w="90"/>
        <w:gridCol w:w="924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24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75" w:type="dxa"/>
            <w:tcBorders/>
            <w:shd w:fill="auto" w:val="clear"/>
            <w:vAlign w:val="center"/>
          </w:tcPr>
          <w:p>
            <w:pPr>
              <w:pStyle w:val="TableContents"/>
              <w:spacing w:before="0" w:after="0"/>
              <w:ind w:left="0" w:right="0" w:firstLine="30"/>
              <w:jc w:val="left"/>
              <w:rPr>
                <w:rFonts w:ascii="inherit" w:hAnsi="inherit"/>
                <w:b/>
                <w:sz w:val="13"/>
                <w:u w:val="single"/>
              </w:rPr>
            </w:pPr>
            <w:r>
              <w:rPr>
                <w:rFonts w:ascii="inherit" w:hAnsi="inherit"/>
                <w:b/>
                <w:sz w:val="13"/>
                <w:u w:val="single"/>
              </w:rPr>
              <w:t>Exhibit No.</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center"/>
              <w:rPr>
                <w:rFonts w:ascii="inherit" w:hAnsi="inherit"/>
                <w:b/>
                <w:sz w:val="13"/>
                <w:u w:val="single"/>
              </w:rPr>
            </w:pPr>
            <w:r>
              <w:rPr>
                <w:rFonts w:ascii="inherit" w:hAnsi="inherit"/>
                <w:b/>
                <w:sz w:val="13"/>
                <w:u w:val="single"/>
              </w:rPr>
              <w:t xml:space="preserve">Exhibit </w:t>
            </w:r>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2.1</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left"/>
              <w:rPr/>
            </w:pPr>
            <w:hyperlink r:id="rId2">
              <w:r>
                <w:rPr>
                  <w:rStyle w:val="InternetLink"/>
                  <w:rFonts w:ascii="inherit" w:hAnsi="inherit"/>
                  <w:color w:val="0000FF"/>
                  <w:sz w:val="17"/>
                  <w:u w:val="single"/>
                </w:rPr>
                <w:t>Equity Purchase Agreement by and among Westlake Chemical Partners LP, Westlake Chemical OpCo LP and WPT LLC, dated as of March 26, 2019 (incorporated by reference to Exhibit 2.1 to Westlake Chemical Partners LP's Current Report on Form 8-K, filed on March 27, 2019, File No. 001-36567).</w:t>
              </w:r>
            </w:hyperlink>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4.1</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left"/>
              <w:rPr/>
            </w:pPr>
            <w:hyperlink r:id="rId3">
              <w:r>
                <w:rPr>
                  <w:rStyle w:val="InternetLink"/>
                  <w:rFonts w:ascii="inherit" w:hAnsi="inherit"/>
                  <w:color w:val="0000FF"/>
                  <w:sz w:val="17"/>
                  <w:u w:val="single"/>
                </w:rPr>
                <w:t>Registration Rights Agreement by and among Westlake Chemical Partners LP and the persons named therein, dated as of March 29, 2019 (incorporated by reference to Exhibit 4.1 to Westlake Chemical Partners LP's Current Report on Form 8-K, filed on March 29, 2019, File No. 001-36567).</w:t>
              </w:r>
            </w:hyperlink>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31.1†</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left"/>
              <w:rPr/>
            </w:pPr>
            <w:hyperlink w:anchor="exhibit311_20190331.htm">
              <w:r>
                <w:rPr>
                  <w:rStyle w:val="InternetLink"/>
                  <w:rFonts w:ascii="inherit" w:hAnsi="inherit"/>
                  <w:color w:val="0000FF"/>
                  <w:sz w:val="17"/>
                  <w:u w:val="single"/>
                </w:rPr>
                <w:t>Rule 13a – 14(a) / 15d – 14(a) Certification (Principal Executive Officer)</w:t>
              </w:r>
            </w:hyperlink>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31.2†</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left"/>
              <w:rPr/>
            </w:pPr>
            <w:hyperlink w:anchor="exhibit312_20190331.htm">
              <w:r>
                <w:rPr>
                  <w:rStyle w:val="InternetLink"/>
                  <w:rFonts w:ascii="inherit" w:hAnsi="inherit"/>
                  <w:color w:val="0000FF"/>
                  <w:sz w:val="17"/>
                  <w:u w:val="single"/>
                </w:rPr>
                <w:t>Rule 13a – 14(a) / 15d – 14(a) Certification (Principal Financial Officer)</w:t>
              </w:r>
            </w:hyperlink>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32.1#</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left"/>
              <w:rPr/>
            </w:pPr>
            <w:hyperlink w:anchor="exhibit321_20190331.htm">
              <w:r>
                <w:rPr>
                  <w:rStyle w:val="InternetLink"/>
                  <w:rFonts w:ascii="inherit" w:hAnsi="inherit"/>
                  <w:color w:val="0000FF"/>
                  <w:sz w:val="17"/>
                  <w:u w:val="single"/>
                </w:rPr>
                <w:t>Section 1350 Certification (Principal Executive Officer and Principal Financial Officer)</w:t>
              </w:r>
            </w:hyperlink>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101.INS†</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Instance Document</w:t>
            </w:r>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101.SCH†</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Schema Document</w:t>
            </w:r>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101.CAL†</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Calculation Linkbase Document</w:t>
            </w:r>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101.DEF†</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Definition Linkbase Document</w:t>
            </w:r>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101.LAB†</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Label Linkbase Document</w:t>
            </w:r>
          </w:p>
        </w:tc>
      </w:tr>
      <w:tr>
        <w:trPr/>
        <w:tc>
          <w:tcPr>
            <w:tcW w:w="8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ind w:left="0" w:right="0" w:firstLine="30"/>
              <w:rPr/>
            </w:pPr>
            <w:r>
              <w:rPr/>
              <w:t> </w:t>
            </w:r>
          </w:p>
        </w:tc>
      </w:tr>
      <w:tr>
        <w:trPr/>
        <w:tc>
          <w:tcPr>
            <w:tcW w:w="8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101.PRE†</w:t>
            </w:r>
          </w:p>
        </w:tc>
        <w:tc>
          <w:tcPr>
            <w:tcW w:w="90" w:type="dxa"/>
            <w:tcBorders/>
            <w:shd w:fill="auto" w:val="clear"/>
            <w:vAlign w:val="center"/>
          </w:tcPr>
          <w:p>
            <w:pPr>
              <w:pStyle w:val="TableContents"/>
              <w:spacing w:before="0" w:after="0"/>
              <w:ind w:left="0" w:right="0" w:firstLine="30"/>
              <w:rPr/>
            </w:pPr>
            <w:r>
              <w:rPr/>
              <w:t> </w:t>
            </w:r>
          </w:p>
        </w:tc>
        <w:tc>
          <w:tcPr>
            <w:tcW w:w="9240" w:type="dxa"/>
            <w:tcBorders/>
            <w:shd w:fill="auto" w:val="clear"/>
            <w:vAlign w:val="center"/>
          </w:tcPr>
          <w:p>
            <w:pPr>
              <w:pStyle w:val="TableContents"/>
              <w:spacing w:before="0" w:after="0"/>
              <w:jc w:val="left"/>
              <w:rPr>
                <w:rFonts w:ascii="inherit" w:hAnsi="inherit"/>
                <w:sz w:val="17"/>
              </w:rPr>
            </w:pPr>
            <w:r>
              <w:rPr>
                <w:rFonts w:ascii="inherit" w:hAnsi="inherit"/>
                <w:sz w:val="17"/>
              </w:rPr>
              <w:t>XBRL Taxonomy Extension Presentation Linkbase Document</w:t>
            </w:r>
          </w:p>
        </w:tc>
      </w:tr>
    </w:tbl>
    <w:p>
      <w:pPr>
        <w:pStyle w:val="TextBody"/>
        <w:spacing w:lineRule="auto" w:line="288" w:before="0" w:after="0"/>
        <w:jc w:val="left"/>
        <w:rPr>
          <w:rFonts w:ascii="inherit" w:hAnsi="inherit"/>
          <w:sz w:val="17"/>
        </w:rPr>
      </w:pPr>
      <w:r>
        <w:rPr>
          <w:rFonts w:ascii="inherit" w:hAnsi="inherit"/>
          <w:sz w:val="17"/>
        </w:rPr>
        <w:t>_____________</w:t>
      </w:r>
    </w:p>
    <w:tbl>
      <w:tblPr>
        <w:tblW w:w="1405" w:type="dxa"/>
        <w:jc w:val="left"/>
        <w:tblInd w:w="0" w:type="dxa"/>
        <w:tblCellMar>
          <w:top w:w="0" w:type="dxa"/>
          <w:left w:w="0" w:type="dxa"/>
          <w:bottom w:w="0" w:type="dxa"/>
          <w:right w:w="0" w:type="dxa"/>
        </w:tblCellMar>
      </w:tblPr>
      <w:tblGrid>
        <w:gridCol w:w="155"/>
        <w:gridCol w:w="1250"/>
      </w:tblGrid>
      <w:tr>
        <w:trPr/>
        <w:tc>
          <w:tcPr>
            <w:tcW w:w="155"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hanging="0"/>
              <w:rPr/>
            </w:pPr>
            <w:r>
              <w:rPr/>
              <w:t>†</w:t>
            </w:r>
          </w:p>
        </w:tc>
        <w:tc>
          <w:tcPr>
            <w:tcW w:w="12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Filed herewith.</w:t>
            </w:r>
          </w:p>
        </w:tc>
      </w:tr>
    </w:tbl>
    <w:tbl>
      <w:tblPr>
        <w:tblW w:w="1855" w:type="dxa"/>
        <w:jc w:val="left"/>
        <w:tblInd w:w="0" w:type="dxa"/>
        <w:tblCellMar>
          <w:top w:w="0" w:type="dxa"/>
          <w:left w:w="0" w:type="dxa"/>
          <w:bottom w:w="0" w:type="dxa"/>
          <w:right w:w="0" w:type="dxa"/>
        </w:tblCellMar>
      </w:tblPr>
      <w:tblGrid>
        <w:gridCol w:w="170"/>
        <w:gridCol w:w="1685"/>
      </w:tblGrid>
      <w:tr>
        <w:trPr/>
        <w:tc>
          <w:tcPr>
            <w:tcW w:w="170"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w:t>
            </w:r>
          </w:p>
        </w:tc>
        <w:tc>
          <w:tcPr>
            <w:tcW w:w="1685" w:type="dxa"/>
            <w:tcBorders/>
            <w:shd w:fill="auto" w:val="clear"/>
            <w:vAlign w:val="center"/>
          </w:tcPr>
          <w:p>
            <w:pPr>
              <w:pStyle w:val="TableContents"/>
              <w:spacing w:lineRule="auto" w:line="288" w:before="0" w:after="0"/>
              <w:rPr>
                <w:rFonts w:ascii="inherit" w:hAnsi="inherit"/>
                <w:sz w:val="17"/>
              </w:rPr>
            </w:pPr>
            <w:r>
              <w:rPr>
                <w:rFonts w:ascii="inherit" w:hAnsi="inherit"/>
                <w:sz w:val="17"/>
              </w:rPr>
              <w:t>Furnished herewith.</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25</w:t>
      </w:r>
      <w:r>
        <w:br w:type="page"/>
      </w:r>
    </w:p>
    <w:p>
      <w:pPr>
        <w:pStyle w:val="TextBody"/>
        <w:spacing w:lineRule="auto" w:line="288" w:before="0" w:after="0"/>
        <w:rPr>
          <w:rFonts w:ascii="inherit" w:hAnsi="inherit"/>
          <w:sz w:val="17"/>
        </w:rPr>
      </w:pPr>
      <w:r>
        <w:rPr>
          <w:rFonts w:ascii="inherit" w:hAnsi="inherit"/>
          <w:sz w:val="17"/>
        </w:rPr>
      </w:r>
      <w:bookmarkStart w:id="40" w:name="s0D7793635408528790233876877EBB3D"/>
      <w:bookmarkStart w:id="41" w:name="s0D7793635408528790233876877EBB3D"/>
      <w:bookmarkEnd w:id="41"/>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60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ind w:left="0" w:right="0" w:firstLine="480"/>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thereunto duly authorized.</w:t>
      </w:r>
    </w:p>
    <w:tbl>
      <w:tblPr>
        <w:tblW w:w="5870" w:type="dxa"/>
        <w:jc w:val="left"/>
        <w:tblInd w:w="0" w:type="dxa"/>
        <w:tblCellMar>
          <w:top w:w="0" w:type="dxa"/>
          <w:left w:w="0" w:type="dxa"/>
          <w:bottom w:w="0" w:type="dxa"/>
          <w:right w:w="0" w:type="dxa"/>
        </w:tblCellMar>
      </w:tblPr>
      <w:tblGrid>
        <w:gridCol w:w="515"/>
        <w:gridCol w:w="1055"/>
        <w:gridCol w:w="90"/>
        <w:gridCol w:w="90"/>
        <w:gridCol w:w="335"/>
        <w:gridCol w:w="90"/>
        <w:gridCol w:w="3695"/>
      </w:tblGrid>
      <w:tr>
        <w:trPr/>
        <w:tc>
          <w:tcPr>
            <w:tcW w:w="5870" w:type="dxa"/>
            <w:gridSpan w:val="7"/>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6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120" w:type="dxa"/>
            <w:gridSpan w:val="3"/>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WESTLAKE CHEMICAL PARTNERS LP</w:t>
            </w:r>
          </w:p>
        </w:tc>
      </w:tr>
      <w:tr>
        <w:trPr/>
        <w:tc>
          <w:tcPr>
            <w:tcW w:w="515"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ind w:left="0" w:right="0" w:firstLine="30"/>
              <w:rPr/>
            </w:pPr>
            <w:r>
              <w:rPr/>
              <w:t> </w:t>
            </w:r>
          </w:p>
        </w:tc>
        <w:tc>
          <w:tcPr>
            <w:tcW w:w="425" w:type="dxa"/>
            <w:gridSpan w:val="2"/>
            <w:tcBorders/>
            <w:shd w:fill="auto" w:val="clear"/>
            <w:vAlign w:val="center"/>
          </w:tcPr>
          <w:p>
            <w:pPr>
              <w:pStyle w:val="TableContents"/>
              <w:spacing w:before="0" w:after="0"/>
              <w:ind w:left="0" w:right="0" w:firstLine="30"/>
              <w:rPr/>
            </w:pPr>
            <w:r>
              <w:rPr/>
              <w:t> </w:t>
            </w:r>
          </w:p>
        </w:tc>
        <w:tc>
          <w:tcPr>
            <w:tcW w:w="3785" w:type="dxa"/>
            <w:gridSpan w:val="2"/>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2, 2019</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3695" w:type="dxa"/>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w:t>
            </w:r>
            <w:r>
              <w:rPr>
                <w:rFonts w:ascii="inherit" w:hAnsi="inherit"/>
                <w:sz w:val="13"/>
              </w:rPr>
              <w:t>S</w:t>
            </w:r>
            <w:r>
              <w:rPr>
                <w:rFonts w:ascii="inherit" w:hAnsi="inherit"/>
                <w:sz w:val="17"/>
              </w:rPr>
              <w:t>/    A</w:t>
            </w:r>
            <w:r>
              <w:rPr>
                <w:rFonts w:ascii="inherit" w:hAnsi="inherit"/>
                <w:sz w:val="13"/>
              </w:rPr>
              <w:t>LBERT</w:t>
            </w:r>
            <w:r>
              <w:rPr>
                <w:sz w:val="17"/>
              </w:rPr>
              <w:t> </w:t>
            </w:r>
            <w:r>
              <w:rPr>
                <w:rFonts w:ascii="inherit" w:hAnsi="inherit"/>
                <w:sz w:val="17"/>
              </w:rPr>
              <w:t>C</w:t>
            </w:r>
            <w:r>
              <w:rPr>
                <w:rFonts w:ascii="inherit" w:hAnsi="inherit"/>
                <w:sz w:val="13"/>
              </w:rPr>
              <w:t>HAO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695"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Albert Chao</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695" w:type="dxa"/>
            <w:tcBorders/>
            <w:shd w:fill="auto" w:val="clear"/>
            <w:vAlign w:val="center"/>
          </w:tcPr>
          <w:p>
            <w:pPr>
              <w:pStyle w:val="TableContents"/>
              <w:spacing w:before="0" w:after="0"/>
              <w:jc w:val="center"/>
              <w:rPr>
                <w:rFonts w:ascii="inherit" w:hAnsi="inherit"/>
                <w:b/>
                <w:sz w:val="13"/>
              </w:rPr>
            </w:pPr>
            <w:r>
              <w:rPr>
                <w:rFonts w:ascii="inherit" w:hAnsi="inherit"/>
                <w:b/>
                <w:sz w:val="13"/>
              </w:rPr>
              <w:t>President, Chief Executive Officer and Director of</w:t>
            </w:r>
          </w:p>
          <w:p>
            <w:pPr>
              <w:pStyle w:val="TableContents"/>
              <w:spacing w:before="0" w:after="0"/>
              <w:jc w:val="center"/>
              <w:rPr>
                <w:rFonts w:ascii="inherit" w:hAnsi="inherit"/>
                <w:b/>
                <w:sz w:val="13"/>
              </w:rPr>
            </w:pPr>
            <w:r>
              <w:rPr>
                <w:rFonts w:ascii="inherit" w:hAnsi="inherit"/>
                <w:b/>
                <w:sz w:val="13"/>
              </w:rPr>
              <w:t>Westlake Chemical Partners GP LLC</w:t>
            </w:r>
          </w:p>
          <w:p>
            <w:pPr>
              <w:pStyle w:val="TableContents"/>
              <w:spacing w:before="0" w:after="0"/>
              <w:ind w:left="0" w:right="0" w:firstLine="30"/>
              <w:jc w:val="center"/>
              <w:rPr>
                <w:rFonts w:ascii="inherit" w:hAnsi="inherit"/>
                <w:b/>
                <w:sz w:val="13"/>
              </w:rPr>
            </w:pPr>
            <w:r>
              <w:rPr>
                <w:rFonts w:ascii="inherit" w:hAnsi="inherit"/>
                <w:b/>
                <w:sz w:val="13"/>
              </w:rPr>
              <w:t>(Principal Executive Officer)</w:t>
            </w:r>
          </w:p>
        </w:tc>
      </w:tr>
      <w:tr>
        <w:trPr/>
        <w:tc>
          <w:tcPr>
            <w:tcW w:w="515"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ind w:left="0" w:right="0" w:firstLine="30"/>
              <w:rPr/>
            </w:pPr>
            <w:r>
              <w:rPr/>
              <w:t> </w:t>
            </w:r>
          </w:p>
        </w:tc>
        <w:tc>
          <w:tcPr>
            <w:tcW w:w="425" w:type="dxa"/>
            <w:gridSpan w:val="2"/>
            <w:tcBorders/>
            <w:shd w:fill="auto" w:val="clear"/>
            <w:vAlign w:val="center"/>
          </w:tcPr>
          <w:p>
            <w:pPr>
              <w:pStyle w:val="TableContents"/>
              <w:spacing w:before="0" w:after="0"/>
              <w:ind w:left="0" w:right="0" w:firstLine="30"/>
              <w:rPr/>
            </w:pPr>
            <w:r>
              <w:rPr/>
              <w:t> </w:t>
            </w:r>
          </w:p>
        </w:tc>
        <w:tc>
          <w:tcPr>
            <w:tcW w:w="3785" w:type="dxa"/>
            <w:gridSpan w:val="2"/>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2, 2019</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3695" w:type="dxa"/>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w:t>
            </w:r>
            <w:r>
              <w:rPr>
                <w:rFonts w:ascii="inherit" w:hAnsi="inherit"/>
                <w:sz w:val="13"/>
              </w:rPr>
              <w:t>S</w:t>
            </w:r>
            <w:r>
              <w:rPr>
                <w:rFonts w:ascii="inherit" w:hAnsi="inherit"/>
                <w:sz w:val="17"/>
              </w:rPr>
              <w:t>/    M. S</w:t>
            </w:r>
            <w:r>
              <w:rPr>
                <w:rFonts w:ascii="inherit" w:hAnsi="inherit"/>
                <w:sz w:val="13"/>
              </w:rPr>
              <w:t>TEVEN</w:t>
            </w:r>
            <w:r>
              <w:rPr>
                <w:sz w:val="17"/>
              </w:rPr>
              <w:t> </w:t>
            </w:r>
            <w:r>
              <w:rPr>
                <w:rFonts w:ascii="inherit" w:hAnsi="inherit"/>
                <w:sz w:val="17"/>
              </w:rPr>
              <w:t>B</w:t>
            </w:r>
            <w:r>
              <w:rPr>
                <w:rFonts w:ascii="inherit" w:hAnsi="inherit"/>
                <w:sz w:val="13"/>
              </w:rPr>
              <w:t>ENDER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695"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 Steven Bender</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695" w:type="dxa"/>
            <w:tcBorders/>
            <w:shd w:fill="auto" w:val="clear"/>
            <w:vAlign w:val="center"/>
          </w:tcPr>
          <w:p>
            <w:pPr>
              <w:pStyle w:val="TableContents"/>
              <w:spacing w:before="0" w:after="0"/>
              <w:jc w:val="center"/>
              <w:rPr>
                <w:rFonts w:ascii="inherit" w:hAnsi="inherit"/>
                <w:b/>
                <w:sz w:val="13"/>
              </w:rPr>
            </w:pPr>
            <w:r>
              <w:rPr>
                <w:rFonts w:ascii="inherit" w:hAnsi="inherit"/>
                <w:b/>
                <w:sz w:val="13"/>
              </w:rPr>
              <w:t xml:space="preserve">Senior Vice President, Chief Financial Officer and </w:t>
            </w:r>
          </w:p>
          <w:p>
            <w:pPr>
              <w:pStyle w:val="TableContents"/>
              <w:spacing w:before="0" w:after="0"/>
              <w:jc w:val="center"/>
              <w:rPr>
                <w:rFonts w:ascii="inherit" w:hAnsi="inherit"/>
                <w:b/>
                <w:sz w:val="13"/>
              </w:rPr>
            </w:pPr>
            <w:r>
              <w:rPr>
                <w:rFonts w:ascii="inherit" w:hAnsi="inherit"/>
                <w:b/>
                <w:sz w:val="13"/>
              </w:rPr>
              <w:t>Director of Westlake Chemical Partners GP LLC</w:t>
            </w:r>
          </w:p>
          <w:p>
            <w:pPr>
              <w:pStyle w:val="TableContents"/>
              <w:spacing w:before="0" w:after="0"/>
              <w:jc w:val="center"/>
              <w:rPr>
                <w:rFonts w:ascii="inherit" w:hAnsi="inherit"/>
                <w:b/>
                <w:sz w:val="13"/>
              </w:rPr>
            </w:pPr>
            <w:r>
              <w:rPr>
                <w:rFonts w:ascii="inherit" w:hAnsi="inherit"/>
                <w:b/>
                <w:sz w:val="13"/>
              </w:rPr>
              <w:t>(Principal Financial Officer)</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26</w:t>
      </w:r>
      <w:r>
        <w:br w:type="page"/>
      </w:r>
    </w:p>
    <w:p>
      <w:pPr>
        <w:pStyle w:val="TextBody"/>
        <w:spacing w:lineRule="auto" w:line="288" w:before="0" w:after="0"/>
        <w:rPr>
          <w:rFonts w:ascii="inherit" w:hAnsi="inherit"/>
          <w:sz w:val="17"/>
        </w:rPr>
      </w:pPr>
      <w:r>
        <w:rPr>
          <w:rFonts w:ascii="inherit" w:hAnsi="inherit"/>
          <w:sz w:val="17"/>
        </w:rPr>
      </w:r>
      <w:bookmarkStart w:id="42" w:name="s173CA93BDC7C54018C211E348FCF689B"/>
      <w:bookmarkStart w:id="43" w:name="exhibit311_20190331.htm"/>
      <w:bookmarkStart w:id="44" w:name="ksexhibit311_20190331"/>
      <w:bookmarkStart w:id="45" w:name="s173CA93BDC7C54018C211E348FCF689B"/>
      <w:bookmarkStart w:id="46" w:name="exhibit311_20190331.htm"/>
      <w:bookmarkStart w:id="47" w:name="ksexhibit311_20190331"/>
      <w:bookmarkEnd w:id="45"/>
      <w:bookmarkEnd w:id="46"/>
      <w:bookmarkEnd w:id="47"/>
    </w:p>
    <w:p>
      <w:pPr>
        <w:pStyle w:val="TextBody"/>
        <w:spacing w:before="0" w:after="0"/>
        <w:rPr/>
      </w:pPr>
      <w:r>
        <w:rPr/>
      </w:r>
    </w:p>
    <w:p>
      <w:pPr>
        <w:pStyle w:val="TextBody"/>
        <w:spacing w:lineRule="auto" w:line="288" w:before="0" w:after="0"/>
        <w:jc w:val="right"/>
        <w:rPr>
          <w:rFonts w:ascii="inherit" w:hAnsi="inherit"/>
          <w:b/>
          <w:i/>
          <w:sz w:val="17"/>
        </w:rPr>
      </w:pPr>
      <w:r>
        <w:rPr>
          <w:rFonts w:ascii="inherit" w:hAnsi="inherit"/>
          <w:b/>
          <w:i/>
          <w:sz w:val="17"/>
        </w:rPr>
        <w:t>Exhibit 31.1</w:t>
      </w:r>
    </w:p>
    <w:p>
      <w:pPr>
        <w:pStyle w:val="TextBody"/>
        <w:spacing w:lineRule="auto" w:line="288" w:before="0" w:after="0"/>
        <w:jc w:val="center"/>
        <w:rPr>
          <w:rFonts w:ascii="inherit" w:hAnsi="inherit"/>
          <w:b/>
          <w:sz w:val="17"/>
        </w:rPr>
      </w:pPr>
      <w:r>
        <w:rPr>
          <w:rFonts w:ascii="inherit" w:hAnsi="inherit"/>
          <w:b/>
          <w:sz w:val="17"/>
        </w:rPr>
        <w:t>CERTIFICATIONS</w:t>
      </w:r>
    </w:p>
    <w:p>
      <w:pPr>
        <w:pStyle w:val="TextBody"/>
        <w:spacing w:lineRule="auto" w:line="288" w:before="0" w:after="0"/>
        <w:rPr>
          <w:rFonts w:ascii="inherit" w:hAnsi="inherit"/>
          <w:sz w:val="17"/>
        </w:rPr>
      </w:pPr>
      <w:r>
        <w:rPr>
          <w:rFonts w:ascii="inherit" w:hAnsi="inherit"/>
          <w:sz w:val="17"/>
        </w:rPr>
        <w:t>I, Albert Chao, certify that:</w:t>
      </w:r>
    </w:p>
    <w:tbl>
      <w:tblPr>
        <w:tblW w:w="7495" w:type="dxa"/>
        <w:jc w:val="left"/>
        <w:tblInd w:w="0" w:type="dxa"/>
        <w:tblCellMar>
          <w:top w:w="0" w:type="dxa"/>
          <w:left w:w="0" w:type="dxa"/>
          <w:bottom w:w="0" w:type="dxa"/>
          <w:right w:w="0" w:type="dxa"/>
        </w:tblCellMar>
      </w:tblPr>
      <w:tblGrid>
        <w:gridCol w:w="215"/>
        <w:gridCol w:w="7280"/>
      </w:tblGrid>
      <w:tr>
        <w:trPr/>
        <w:tc>
          <w:tcPr>
            <w:tcW w:w="7495"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rPr>
                <w:sz w:val="4"/>
                <w:szCs w:val="4"/>
              </w:rPr>
            </w:pPr>
            <w:r>
              <w:rPr>
                <w:sz w:val="4"/>
                <w:szCs w:val="4"/>
              </w:rPr>
            </w:r>
          </w:p>
        </w:tc>
        <w:tc>
          <w:tcPr>
            <w:tcW w:w="728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w:t>
            </w:r>
          </w:p>
        </w:tc>
        <w:tc>
          <w:tcPr>
            <w:tcW w:w="7280" w:type="dxa"/>
            <w:tcBorders/>
            <w:shd w:fill="auto" w:val="clear"/>
            <w:vAlign w:val="center"/>
          </w:tcPr>
          <w:p>
            <w:pPr>
              <w:pStyle w:val="TableContents"/>
              <w:spacing w:before="0" w:after="0"/>
              <w:jc w:val="left"/>
              <w:rPr>
                <w:rFonts w:ascii="inherit" w:hAnsi="inherit"/>
                <w:sz w:val="17"/>
              </w:rPr>
            </w:pPr>
            <w:r>
              <w:rPr>
                <w:rFonts w:ascii="inherit" w:hAnsi="inherit"/>
                <w:sz w:val="17"/>
              </w:rPr>
              <w:t>I have reviewed this Quarterly Report on Form 10-Q of Westlake Chemical Partners LP;</w:t>
            </w:r>
          </w:p>
        </w:tc>
      </w:tr>
    </w:tbl>
    <w:tbl>
      <w:tblPr>
        <w:tblW w:w="10205" w:type="dxa"/>
        <w:jc w:val="left"/>
        <w:tblInd w:w="0" w:type="dxa"/>
        <w:tblCellMar>
          <w:top w:w="0" w:type="dxa"/>
          <w:left w:w="0" w:type="dxa"/>
          <w:bottom w:w="0" w:type="dxa"/>
          <w:right w:w="0" w:type="dxa"/>
        </w:tblCellMar>
      </w:tblPr>
      <w:tblGrid>
        <w:gridCol w:w="186"/>
        <w:gridCol w:w="10019"/>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6" w:type="dxa"/>
            <w:tcBorders/>
            <w:shd w:fill="auto" w:val="clear"/>
            <w:vAlign w:val="center"/>
          </w:tcPr>
          <w:p>
            <w:pPr>
              <w:pStyle w:val="TableContents"/>
              <w:spacing w:before="0" w:after="283"/>
              <w:rPr>
                <w:sz w:val="4"/>
                <w:szCs w:val="4"/>
              </w:rPr>
            </w:pPr>
            <w:r>
              <w:rPr>
                <w:sz w:val="4"/>
                <w:szCs w:val="4"/>
              </w:rPr>
            </w:r>
          </w:p>
        </w:tc>
        <w:tc>
          <w:tcPr>
            <w:tcW w:w="1001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w:t>
            </w:r>
          </w:p>
        </w:tc>
        <w:tc>
          <w:tcPr>
            <w:tcW w:w="10019" w:type="dxa"/>
            <w:tcBorders/>
            <w:shd w:fill="auto" w:val="clear"/>
            <w:vAlign w:val="center"/>
          </w:tcPr>
          <w:p>
            <w:pPr>
              <w:pStyle w:val="TableContents"/>
              <w:spacing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88"/>
        <w:gridCol w:w="10017"/>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8" w:type="dxa"/>
            <w:tcBorders/>
            <w:shd w:fill="auto" w:val="clear"/>
            <w:vAlign w:val="center"/>
          </w:tcPr>
          <w:p>
            <w:pPr>
              <w:pStyle w:val="TableContents"/>
              <w:spacing w:before="0" w:after="283"/>
              <w:rPr>
                <w:sz w:val="4"/>
                <w:szCs w:val="4"/>
              </w:rPr>
            </w:pPr>
            <w:r>
              <w:rPr>
                <w:sz w:val="4"/>
                <w:szCs w:val="4"/>
              </w:rPr>
            </w:r>
          </w:p>
        </w:tc>
        <w:tc>
          <w:tcPr>
            <w:tcW w:w="100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w:t>
            </w:r>
          </w:p>
        </w:tc>
        <w:tc>
          <w:tcPr>
            <w:tcW w:w="10017" w:type="dxa"/>
            <w:tcBorders/>
            <w:shd w:fill="auto" w:val="clear"/>
            <w:vAlign w:val="center"/>
          </w:tcPr>
          <w:p>
            <w:pPr>
              <w:pStyle w:val="TableContents"/>
              <w:spacing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85"/>
        <w:gridCol w:w="10020"/>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5" w:type="dxa"/>
            <w:tcBorders/>
            <w:shd w:fill="auto" w:val="clear"/>
            <w:vAlign w:val="center"/>
          </w:tcPr>
          <w:p>
            <w:pPr>
              <w:pStyle w:val="TableContents"/>
              <w:spacing w:before="0" w:after="283"/>
              <w:rPr>
                <w:sz w:val="4"/>
                <w:szCs w:val="4"/>
              </w:rPr>
            </w:pPr>
            <w:r>
              <w:rPr>
                <w:sz w:val="4"/>
                <w:szCs w:val="4"/>
              </w:rPr>
            </w:r>
          </w:p>
        </w:tc>
        <w:tc>
          <w:tcPr>
            <w:tcW w:w="100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w:t>
            </w:r>
          </w:p>
        </w:tc>
        <w:tc>
          <w:tcPr>
            <w:tcW w:w="10020" w:type="dxa"/>
            <w:tcBorders/>
            <w:shd w:fill="auto" w:val="clear"/>
            <w:vAlign w:val="center"/>
          </w:tcPr>
          <w:p>
            <w:pPr>
              <w:pStyle w:val="TableContents"/>
              <w:spacing w:before="0" w:after="0"/>
              <w:jc w:val="left"/>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105"/>
        <w:gridCol w:w="173"/>
        <w:gridCol w:w="992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99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9927" w:type="dxa"/>
            <w:tcBorders/>
            <w:shd w:fill="auto" w:val="clear"/>
            <w:vAlign w:val="center"/>
          </w:tcPr>
          <w:p>
            <w:pPr>
              <w:pStyle w:val="TableContents"/>
              <w:spacing w:before="0" w:after="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105"/>
        <w:gridCol w:w="173"/>
        <w:gridCol w:w="992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99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9927" w:type="dxa"/>
            <w:tcBorders/>
            <w:shd w:fill="auto" w:val="clear"/>
            <w:vAlign w:val="center"/>
          </w:tcPr>
          <w:p>
            <w:pPr>
              <w:pStyle w:val="TableContents"/>
              <w:spacing w:before="0" w:after="0"/>
              <w:jc w:val="left"/>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105"/>
        <w:gridCol w:w="164"/>
        <w:gridCol w:w="9936"/>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993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w:t>
            </w:r>
          </w:p>
        </w:tc>
        <w:tc>
          <w:tcPr>
            <w:tcW w:w="9936" w:type="dxa"/>
            <w:tcBorders/>
            <w:shd w:fill="auto" w:val="clear"/>
            <w:vAlign w:val="center"/>
          </w:tcPr>
          <w:p>
            <w:pPr>
              <w:pStyle w:val="TableContents"/>
              <w:spacing w:before="0" w:after="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05"/>
        <w:gridCol w:w="173"/>
        <w:gridCol w:w="992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99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w:t>
            </w:r>
          </w:p>
        </w:tc>
        <w:tc>
          <w:tcPr>
            <w:tcW w:w="9927" w:type="dxa"/>
            <w:tcBorders/>
            <w:shd w:fill="auto" w:val="clear"/>
            <w:vAlign w:val="center"/>
          </w:tcPr>
          <w:p>
            <w:pPr>
              <w:pStyle w:val="TableContents"/>
              <w:spacing w:before="0" w:after="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88"/>
        <w:gridCol w:w="10017"/>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8" w:type="dxa"/>
            <w:tcBorders/>
            <w:shd w:fill="auto" w:val="clear"/>
            <w:vAlign w:val="center"/>
          </w:tcPr>
          <w:p>
            <w:pPr>
              <w:pStyle w:val="TableContents"/>
              <w:spacing w:before="0" w:after="283"/>
              <w:rPr>
                <w:sz w:val="4"/>
                <w:szCs w:val="4"/>
              </w:rPr>
            </w:pPr>
            <w:r>
              <w:rPr>
                <w:sz w:val="4"/>
                <w:szCs w:val="4"/>
              </w:rPr>
            </w:r>
          </w:p>
        </w:tc>
        <w:tc>
          <w:tcPr>
            <w:tcW w:w="100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w:t>
            </w:r>
          </w:p>
        </w:tc>
        <w:tc>
          <w:tcPr>
            <w:tcW w:w="10017" w:type="dxa"/>
            <w:tcBorders/>
            <w:shd w:fill="auto" w:val="clear"/>
            <w:vAlign w:val="center"/>
          </w:tcPr>
          <w:p>
            <w:pPr>
              <w:pStyle w:val="TableContents"/>
              <w:spacing w:before="0" w:after="0"/>
              <w:jc w:val="left"/>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05"/>
        <w:gridCol w:w="180"/>
        <w:gridCol w:w="992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9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9920" w:type="dxa"/>
            <w:tcBorders/>
            <w:shd w:fill="auto" w:val="clear"/>
            <w:vAlign w:val="center"/>
          </w:tcPr>
          <w:p>
            <w:pPr>
              <w:pStyle w:val="TableContents"/>
              <w:spacing w:before="0" w:after="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05"/>
        <w:gridCol w:w="195"/>
        <w:gridCol w:w="9905"/>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9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9905" w:type="dxa"/>
            <w:tcBorders/>
            <w:shd w:fill="auto" w:val="clear"/>
            <w:vAlign w:val="center"/>
          </w:tcPr>
          <w:p>
            <w:pPr>
              <w:pStyle w:val="TableContents"/>
              <w:spacing w:before="0" w:after="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rPr/>
      </w:pPr>
      <w:r>
        <w:rPr/>
        <w:t> </w:t>
      </w:r>
    </w:p>
    <w:tbl>
      <w:tblPr>
        <w:tblW w:w="5775" w:type="dxa"/>
        <w:jc w:val="left"/>
        <w:tblInd w:w="0" w:type="dxa"/>
        <w:tblCellMar>
          <w:top w:w="0" w:type="dxa"/>
          <w:left w:w="0" w:type="dxa"/>
          <w:bottom w:w="0" w:type="dxa"/>
          <w:right w:w="0" w:type="dxa"/>
        </w:tblCellMar>
      </w:tblPr>
      <w:tblGrid>
        <w:gridCol w:w="560"/>
        <w:gridCol w:w="1055"/>
        <w:gridCol w:w="90"/>
        <w:gridCol w:w="90"/>
        <w:gridCol w:w="90"/>
        <w:gridCol w:w="90"/>
        <w:gridCol w:w="90"/>
        <w:gridCol w:w="3710"/>
      </w:tblGrid>
      <w:tr>
        <w:trPr/>
        <w:tc>
          <w:tcPr>
            <w:tcW w:w="5775" w:type="dxa"/>
            <w:gridSpan w:val="8"/>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7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Date: </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2, 2019</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3710" w:type="dxa"/>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w:t>
            </w:r>
            <w:r>
              <w:rPr>
                <w:rFonts w:ascii="inherit" w:hAnsi="inherit"/>
                <w:sz w:val="13"/>
              </w:rPr>
              <w:t>S</w:t>
            </w:r>
            <w:r>
              <w:rPr>
                <w:rFonts w:ascii="inherit" w:hAnsi="inherit"/>
                <w:sz w:val="17"/>
              </w:rPr>
              <w:t>/    A</w:t>
            </w:r>
            <w:r>
              <w:rPr>
                <w:rFonts w:ascii="inherit" w:hAnsi="inherit"/>
                <w:sz w:val="13"/>
              </w:rPr>
              <w:t>LBERT</w:t>
            </w:r>
            <w:r>
              <w:rPr>
                <w:sz w:val="17"/>
              </w:rPr>
              <w:t> </w:t>
            </w:r>
            <w:r>
              <w:rPr>
                <w:rFonts w:ascii="inherit" w:hAnsi="inherit"/>
                <w:sz w:val="17"/>
              </w:rPr>
              <w:t>C</w:t>
            </w:r>
            <w:r>
              <w:rPr>
                <w:rFonts w:ascii="inherit" w:hAnsi="inherit"/>
                <w:sz w:val="13"/>
              </w:rPr>
              <w:t>HAO        </w:t>
            </w:r>
          </w:p>
        </w:tc>
      </w:tr>
      <w:tr>
        <w:trPr/>
        <w:tc>
          <w:tcPr>
            <w:tcW w:w="56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710"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Albert Chao</w:t>
            </w:r>
          </w:p>
        </w:tc>
      </w:tr>
      <w:tr>
        <w:trPr/>
        <w:tc>
          <w:tcPr>
            <w:tcW w:w="56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710" w:type="dxa"/>
            <w:tcBorders/>
            <w:shd w:fill="auto" w:val="clear"/>
            <w:vAlign w:val="center"/>
          </w:tcPr>
          <w:p>
            <w:pPr>
              <w:pStyle w:val="TableContents"/>
              <w:spacing w:before="0" w:after="0"/>
              <w:jc w:val="center"/>
              <w:rPr>
                <w:rFonts w:ascii="inherit" w:hAnsi="inherit"/>
                <w:b/>
                <w:sz w:val="13"/>
              </w:rPr>
            </w:pPr>
            <w:r>
              <w:rPr>
                <w:rFonts w:ascii="inherit" w:hAnsi="inherit"/>
                <w:b/>
                <w:sz w:val="13"/>
              </w:rPr>
              <w:t xml:space="preserve">President, Chief Executive Officer and Director of </w:t>
            </w:r>
          </w:p>
          <w:p>
            <w:pPr>
              <w:pStyle w:val="TableContents"/>
              <w:spacing w:before="0" w:after="0"/>
              <w:jc w:val="center"/>
              <w:rPr>
                <w:rFonts w:ascii="inherit" w:hAnsi="inherit"/>
                <w:b/>
                <w:sz w:val="13"/>
              </w:rPr>
            </w:pPr>
            <w:r>
              <w:rPr>
                <w:rFonts w:ascii="inherit" w:hAnsi="inherit"/>
                <w:b/>
                <w:sz w:val="13"/>
              </w:rPr>
              <w:t>Westlake Chemical Partners GP LLC</w:t>
            </w:r>
          </w:p>
          <w:p>
            <w:pPr>
              <w:pStyle w:val="TableContents"/>
              <w:spacing w:before="0" w:after="0"/>
              <w:jc w:val="center"/>
              <w:rPr>
                <w:rFonts w:ascii="inherit" w:hAnsi="inherit"/>
                <w:b/>
                <w:sz w:val="13"/>
              </w:rPr>
            </w:pPr>
            <w:r>
              <w:rPr>
                <w:rFonts w:ascii="inherit" w:hAnsi="inherit"/>
                <w:b/>
                <w:sz w:val="13"/>
              </w:rPr>
              <w:t>(Principal Executive Officer)</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48" w:name="sEB3EB0BF61DB5C19A65B1311951E2AFA"/>
      <w:bookmarkStart w:id="49" w:name="exhibit312_20190331.htm"/>
      <w:bookmarkStart w:id="50" w:name="ksexhibit312_20190331"/>
      <w:bookmarkStart w:id="51" w:name="sEB3EB0BF61DB5C19A65B1311951E2AFA"/>
      <w:bookmarkStart w:id="52" w:name="exhibit312_20190331.htm"/>
      <w:bookmarkStart w:id="53" w:name="ksexhibit312_20190331"/>
      <w:bookmarkEnd w:id="51"/>
      <w:bookmarkEnd w:id="52"/>
      <w:bookmarkEnd w:id="53"/>
    </w:p>
    <w:p>
      <w:pPr>
        <w:pStyle w:val="TextBody"/>
        <w:spacing w:before="0" w:after="0"/>
        <w:rPr/>
      </w:pPr>
      <w:r>
        <w:rPr/>
      </w:r>
    </w:p>
    <w:p>
      <w:pPr>
        <w:pStyle w:val="TextBody"/>
        <w:spacing w:lineRule="auto" w:line="288" w:before="0" w:after="0"/>
        <w:jc w:val="right"/>
        <w:rPr>
          <w:rFonts w:ascii="inherit" w:hAnsi="inherit"/>
          <w:b/>
          <w:i/>
          <w:sz w:val="17"/>
        </w:rPr>
      </w:pPr>
      <w:r>
        <w:rPr>
          <w:rFonts w:ascii="inherit" w:hAnsi="inherit"/>
          <w:b/>
          <w:i/>
          <w:sz w:val="17"/>
        </w:rPr>
        <w:t>Exhibit 31.2</w:t>
      </w:r>
    </w:p>
    <w:p>
      <w:pPr>
        <w:pStyle w:val="TextBody"/>
        <w:spacing w:lineRule="auto" w:line="288" w:before="0" w:after="0"/>
        <w:jc w:val="center"/>
        <w:rPr>
          <w:rFonts w:ascii="inherit" w:hAnsi="inherit"/>
          <w:b/>
          <w:sz w:val="17"/>
        </w:rPr>
      </w:pPr>
      <w:r>
        <w:rPr>
          <w:rFonts w:ascii="inherit" w:hAnsi="inherit"/>
          <w:b/>
          <w:sz w:val="17"/>
        </w:rPr>
        <w:t>CERTIFICATIONS</w:t>
      </w:r>
    </w:p>
    <w:p>
      <w:pPr>
        <w:pStyle w:val="TextBody"/>
        <w:spacing w:lineRule="auto" w:line="288" w:before="0" w:after="0"/>
        <w:rPr>
          <w:rFonts w:ascii="inherit" w:hAnsi="inherit"/>
          <w:sz w:val="17"/>
        </w:rPr>
      </w:pPr>
      <w:r>
        <w:rPr>
          <w:rFonts w:ascii="inherit" w:hAnsi="inherit"/>
          <w:sz w:val="17"/>
        </w:rPr>
        <w:t>I, M. Steven Bender, certify that:</w:t>
      </w:r>
    </w:p>
    <w:tbl>
      <w:tblPr>
        <w:tblW w:w="7495" w:type="dxa"/>
        <w:jc w:val="left"/>
        <w:tblInd w:w="0" w:type="dxa"/>
        <w:tblCellMar>
          <w:top w:w="0" w:type="dxa"/>
          <w:left w:w="0" w:type="dxa"/>
          <w:bottom w:w="0" w:type="dxa"/>
          <w:right w:w="0" w:type="dxa"/>
        </w:tblCellMar>
      </w:tblPr>
      <w:tblGrid>
        <w:gridCol w:w="215"/>
        <w:gridCol w:w="7280"/>
      </w:tblGrid>
      <w:tr>
        <w:trPr/>
        <w:tc>
          <w:tcPr>
            <w:tcW w:w="7495" w:type="dxa"/>
            <w:gridSpan w:val="2"/>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before="0" w:after="283"/>
              <w:rPr>
                <w:sz w:val="4"/>
                <w:szCs w:val="4"/>
              </w:rPr>
            </w:pPr>
            <w:r>
              <w:rPr>
                <w:sz w:val="4"/>
                <w:szCs w:val="4"/>
              </w:rPr>
            </w:r>
          </w:p>
        </w:tc>
        <w:tc>
          <w:tcPr>
            <w:tcW w:w="728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w:t>
            </w:r>
          </w:p>
        </w:tc>
        <w:tc>
          <w:tcPr>
            <w:tcW w:w="7280" w:type="dxa"/>
            <w:tcBorders/>
            <w:shd w:fill="auto" w:val="clear"/>
            <w:vAlign w:val="center"/>
          </w:tcPr>
          <w:p>
            <w:pPr>
              <w:pStyle w:val="TableContents"/>
              <w:spacing w:before="0" w:after="0"/>
              <w:jc w:val="left"/>
              <w:rPr>
                <w:rFonts w:ascii="inherit" w:hAnsi="inherit"/>
                <w:sz w:val="17"/>
              </w:rPr>
            </w:pPr>
            <w:r>
              <w:rPr>
                <w:rFonts w:ascii="inherit" w:hAnsi="inherit"/>
                <w:sz w:val="17"/>
              </w:rPr>
              <w:t>I have reviewed this Quarterly Report on Form 10-Q of Westlake Chemical Partners LP;</w:t>
            </w:r>
          </w:p>
        </w:tc>
      </w:tr>
    </w:tbl>
    <w:tbl>
      <w:tblPr>
        <w:tblW w:w="10205" w:type="dxa"/>
        <w:jc w:val="left"/>
        <w:tblInd w:w="0" w:type="dxa"/>
        <w:tblCellMar>
          <w:top w:w="0" w:type="dxa"/>
          <w:left w:w="0" w:type="dxa"/>
          <w:bottom w:w="0" w:type="dxa"/>
          <w:right w:w="0" w:type="dxa"/>
        </w:tblCellMar>
      </w:tblPr>
      <w:tblGrid>
        <w:gridCol w:w="186"/>
        <w:gridCol w:w="10019"/>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6" w:type="dxa"/>
            <w:tcBorders/>
            <w:shd w:fill="auto" w:val="clear"/>
            <w:vAlign w:val="center"/>
          </w:tcPr>
          <w:p>
            <w:pPr>
              <w:pStyle w:val="TableContents"/>
              <w:spacing w:before="0" w:after="283"/>
              <w:rPr>
                <w:sz w:val="4"/>
                <w:szCs w:val="4"/>
              </w:rPr>
            </w:pPr>
            <w:r>
              <w:rPr>
                <w:sz w:val="4"/>
                <w:szCs w:val="4"/>
              </w:rPr>
            </w:r>
          </w:p>
        </w:tc>
        <w:tc>
          <w:tcPr>
            <w:tcW w:w="1001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w:t>
            </w:r>
          </w:p>
        </w:tc>
        <w:tc>
          <w:tcPr>
            <w:tcW w:w="10019" w:type="dxa"/>
            <w:tcBorders/>
            <w:shd w:fill="auto" w:val="clear"/>
            <w:vAlign w:val="center"/>
          </w:tcPr>
          <w:p>
            <w:pPr>
              <w:pStyle w:val="TableContents"/>
              <w:spacing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88"/>
        <w:gridCol w:w="10017"/>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8" w:type="dxa"/>
            <w:tcBorders/>
            <w:shd w:fill="auto" w:val="clear"/>
            <w:vAlign w:val="center"/>
          </w:tcPr>
          <w:p>
            <w:pPr>
              <w:pStyle w:val="TableContents"/>
              <w:spacing w:before="0" w:after="283"/>
              <w:rPr>
                <w:sz w:val="4"/>
                <w:szCs w:val="4"/>
              </w:rPr>
            </w:pPr>
            <w:r>
              <w:rPr>
                <w:sz w:val="4"/>
                <w:szCs w:val="4"/>
              </w:rPr>
            </w:r>
          </w:p>
        </w:tc>
        <w:tc>
          <w:tcPr>
            <w:tcW w:w="100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w:t>
            </w:r>
          </w:p>
        </w:tc>
        <w:tc>
          <w:tcPr>
            <w:tcW w:w="10017" w:type="dxa"/>
            <w:tcBorders/>
            <w:shd w:fill="auto" w:val="clear"/>
            <w:vAlign w:val="center"/>
          </w:tcPr>
          <w:p>
            <w:pPr>
              <w:pStyle w:val="TableContents"/>
              <w:spacing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85"/>
        <w:gridCol w:w="10020"/>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5" w:type="dxa"/>
            <w:tcBorders/>
            <w:shd w:fill="auto" w:val="clear"/>
            <w:vAlign w:val="center"/>
          </w:tcPr>
          <w:p>
            <w:pPr>
              <w:pStyle w:val="TableContents"/>
              <w:spacing w:before="0" w:after="283"/>
              <w:rPr>
                <w:sz w:val="4"/>
                <w:szCs w:val="4"/>
              </w:rPr>
            </w:pPr>
            <w:r>
              <w:rPr>
                <w:sz w:val="4"/>
                <w:szCs w:val="4"/>
              </w:rPr>
            </w:r>
          </w:p>
        </w:tc>
        <w:tc>
          <w:tcPr>
            <w:tcW w:w="100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w:t>
            </w:r>
          </w:p>
        </w:tc>
        <w:tc>
          <w:tcPr>
            <w:tcW w:w="10020" w:type="dxa"/>
            <w:tcBorders/>
            <w:shd w:fill="auto" w:val="clear"/>
            <w:vAlign w:val="center"/>
          </w:tcPr>
          <w:p>
            <w:pPr>
              <w:pStyle w:val="TableContents"/>
              <w:spacing w:before="0" w:after="0"/>
              <w:jc w:val="left"/>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105"/>
        <w:gridCol w:w="173"/>
        <w:gridCol w:w="992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99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9927" w:type="dxa"/>
            <w:tcBorders/>
            <w:shd w:fill="auto" w:val="clear"/>
            <w:vAlign w:val="center"/>
          </w:tcPr>
          <w:p>
            <w:pPr>
              <w:pStyle w:val="TableContents"/>
              <w:spacing w:before="0" w:after="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105"/>
        <w:gridCol w:w="173"/>
        <w:gridCol w:w="992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99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9927" w:type="dxa"/>
            <w:tcBorders/>
            <w:shd w:fill="auto" w:val="clear"/>
            <w:vAlign w:val="center"/>
          </w:tcPr>
          <w:p>
            <w:pPr>
              <w:pStyle w:val="TableContents"/>
              <w:spacing w:before="0" w:after="0"/>
              <w:jc w:val="left"/>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105"/>
        <w:gridCol w:w="164"/>
        <w:gridCol w:w="9936"/>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993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w:t>
            </w:r>
          </w:p>
        </w:tc>
        <w:tc>
          <w:tcPr>
            <w:tcW w:w="9936" w:type="dxa"/>
            <w:tcBorders/>
            <w:shd w:fill="auto" w:val="clear"/>
            <w:vAlign w:val="center"/>
          </w:tcPr>
          <w:p>
            <w:pPr>
              <w:pStyle w:val="TableContents"/>
              <w:spacing w:before="0" w:after="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05"/>
        <w:gridCol w:w="173"/>
        <w:gridCol w:w="9927"/>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99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w:t>
            </w:r>
          </w:p>
        </w:tc>
        <w:tc>
          <w:tcPr>
            <w:tcW w:w="9927" w:type="dxa"/>
            <w:tcBorders/>
            <w:shd w:fill="auto" w:val="clear"/>
            <w:vAlign w:val="center"/>
          </w:tcPr>
          <w:p>
            <w:pPr>
              <w:pStyle w:val="TableContents"/>
              <w:spacing w:before="0" w:after="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88"/>
        <w:gridCol w:w="10017"/>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188" w:type="dxa"/>
            <w:tcBorders/>
            <w:shd w:fill="auto" w:val="clear"/>
            <w:vAlign w:val="center"/>
          </w:tcPr>
          <w:p>
            <w:pPr>
              <w:pStyle w:val="TableContents"/>
              <w:spacing w:before="0" w:after="283"/>
              <w:rPr>
                <w:sz w:val="4"/>
                <w:szCs w:val="4"/>
              </w:rPr>
            </w:pPr>
            <w:r>
              <w:rPr>
                <w:sz w:val="4"/>
                <w:szCs w:val="4"/>
              </w:rPr>
            </w:r>
          </w:p>
        </w:tc>
        <w:tc>
          <w:tcPr>
            <w:tcW w:w="100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5.</w:t>
            </w:r>
          </w:p>
        </w:tc>
        <w:tc>
          <w:tcPr>
            <w:tcW w:w="10017" w:type="dxa"/>
            <w:tcBorders/>
            <w:shd w:fill="auto" w:val="clear"/>
            <w:vAlign w:val="center"/>
          </w:tcPr>
          <w:p>
            <w:pPr>
              <w:pStyle w:val="TableContents"/>
              <w:spacing w:before="0" w:after="0"/>
              <w:jc w:val="left"/>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05"/>
        <w:gridCol w:w="180"/>
        <w:gridCol w:w="992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9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t>
            </w:r>
          </w:p>
        </w:tc>
        <w:tc>
          <w:tcPr>
            <w:tcW w:w="9920" w:type="dxa"/>
            <w:tcBorders/>
            <w:shd w:fill="auto" w:val="clear"/>
            <w:vAlign w:val="center"/>
          </w:tcPr>
          <w:p>
            <w:pPr>
              <w:pStyle w:val="TableContents"/>
              <w:spacing w:before="0" w:after="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05"/>
        <w:gridCol w:w="195"/>
        <w:gridCol w:w="9905"/>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9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jc w:val="left"/>
              <w:rPr/>
            </w:pPr>
            <w:r>
              <w:rPr/>
              <w:t> </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w:t>
            </w:r>
          </w:p>
        </w:tc>
        <w:tc>
          <w:tcPr>
            <w:tcW w:w="9905" w:type="dxa"/>
            <w:tcBorders/>
            <w:shd w:fill="auto" w:val="clear"/>
            <w:vAlign w:val="center"/>
          </w:tcPr>
          <w:p>
            <w:pPr>
              <w:pStyle w:val="TableContents"/>
              <w:spacing w:before="0" w:after="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rPr>
          <w:rFonts w:ascii="inherit" w:hAnsi="inherit"/>
          <w:sz w:val="17"/>
        </w:rPr>
      </w:pPr>
      <w:r>
        <w:rPr>
          <w:rFonts w:ascii="inherit" w:hAnsi="inherit"/>
          <w:sz w:val="17"/>
        </w:rPr>
      </w:r>
    </w:p>
    <w:tbl>
      <w:tblPr>
        <w:tblW w:w="9210" w:type="dxa"/>
        <w:jc w:val="left"/>
        <w:tblInd w:w="0" w:type="dxa"/>
        <w:tblCellMar>
          <w:top w:w="0" w:type="dxa"/>
          <w:left w:w="0" w:type="dxa"/>
          <w:bottom w:w="0" w:type="dxa"/>
          <w:right w:w="0" w:type="dxa"/>
        </w:tblCellMar>
      </w:tblPr>
      <w:tblGrid>
        <w:gridCol w:w="515"/>
        <w:gridCol w:w="1055"/>
        <w:gridCol w:w="90"/>
        <w:gridCol w:w="90"/>
        <w:gridCol w:w="90"/>
        <w:gridCol w:w="90"/>
        <w:gridCol w:w="90"/>
        <w:gridCol w:w="7190"/>
      </w:tblGrid>
      <w:tr>
        <w:trPr/>
        <w:tc>
          <w:tcPr>
            <w:tcW w:w="9210" w:type="dxa"/>
            <w:gridSpan w:val="8"/>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71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2, 2019</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7190" w:type="dxa"/>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w:t>
            </w:r>
            <w:r>
              <w:rPr>
                <w:rFonts w:ascii="inherit" w:hAnsi="inherit"/>
                <w:sz w:val="13"/>
              </w:rPr>
              <w:t>S</w:t>
            </w:r>
            <w:r>
              <w:rPr>
                <w:rFonts w:ascii="inherit" w:hAnsi="inherit"/>
                <w:sz w:val="17"/>
              </w:rPr>
              <w:t>/ M. S</w:t>
            </w:r>
            <w:r>
              <w:rPr>
                <w:rFonts w:ascii="inherit" w:hAnsi="inherit"/>
                <w:sz w:val="13"/>
              </w:rPr>
              <w:t>TEVEN</w:t>
            </w:r>
            <w:r>
              <w:rPr>
                <w:sz w:val="17"/>
              </w:rPr>
              <w:t> </w:t>
            </w:r>
            <w:r>
              <w:rPr>
                <w:rFonts w:ascii="inherit" w:hAnsi="inherit"/>
                <w:sz w:val="17"/>
              </w:rPr>
              <w:t>B</w:t>
            </w:r>
            <w:r>
              <w:rPr>
                <w:rFonts w:ascii="inherit" w:hAnsi="inherit"/>
                <w:sz w:val="13"/>
              </w:rPr>
              <w:t>ENDER</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7190"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 Steven Bender</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7190" w:type="dxa"/>
            <w:tcBorders/>
            <w:shd w:fill="auto" w:val="clear"/>
            <w:vAlign w:val="center"/>
          </w:tcPr>
          <w:p>
            <w:pPr>
              <w:pStyle w:val="TableContents"/>
              <w:spacing w:before="0" w:after="0"/>
              <w:jc w:val="center"/>
              <w:rPr>
                <w:rFonts w:ascii="inherit" w:hAnsi="inherit"/>
                <w:b/>
                <w:sz w:val="13"/>
              </w:rPr>
            </w:pPr>
            <w:r>
              <w:rPr>
                <w:rFonts w:ascii="inherit" w:hAnsi="inherit"/>
                <w:b/>
                <w:sz w:val="13"/>
              </w:rPr>
              <w:t>Senior Vice President, Chief Financial Officer and Director of Westlake Chemical Partners GP LLC</w:t>
            </w:r>
          </w:p>
          <w:p>
            <w:pPr>
              <w:pStyle w:val="TableContents"/>
              <w:spacing w:before="0" w:after="0"/>
              <w:jc w:val="center"/>
              <w:rPr>
                <w:rFonts w:ascii="inherit" w:hAnsi="inherit"/>
                <w:b/>
                <w:sz w:val="13"/>
              </w:rPr>
            </w:pPr>
            <w:r>
              <w:rPr>
                <w:rFonts w:ascii="inherit" w:hAnsi="inherit"/>
                <w:b/>
                <w:sz w:val="13"/>
              </w:rPr>
              <w:t>(Principal Financial Officer)</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54" w:name="s149919912EEB59DA90A0DC8E2C1A5067"/>
      <w:bookmarkStart w:id="55" w:name="exhibit321_20190331.htm"/>
      <w:bookmarkStart w:id="56" w:name="ksexhibit321_20190331"/>
      <w:bookmarkStart w:id="57" w:name="s149919912EEB59DA90A0DC8E2C1A5067"/>
      <w:bookmarkStart w:id="58" w:name="exhibit321_20190331.htm"/>
      <w:bookmarkStart w:id="59" w:name="ksexhibit321_20190331"/>
      <w:bookmarkEnd w:id="57"/>
      <w:bookmarkEnd w:id="58"/>
      <w:bookmarkEnd w:id="59"/>
    </w:p>
    <w:p>
      <w:pPr>
        <w:pStyle w:val="TextBody"/>
        <w:spacing w:before="0" w:after="0"/>
        <w:rPr/>
      </w:pPr>
      <w:r>
        <w:rPr/>
      </w:r>
    </w:p>
    <w:p>
      <w:pPr>
        <w:pStyle w:val="TextBody"/>
        <w:spacing w:lineRule="auto" w:line="288" w:before="0" w:after="0"/>
        <w:jc w:val="right"/>
        <w:rPr>
          <w:rFonts w:ascii="inherit" w:hAnsi="inherit"/>
          <w:b/>
          <w:i/>
          <w:sz w:val="17"/>
        </w:rPr>
      </w:pPr>
      <w:r>
        <w:rPr>
          <w:rFonts w:ascii="inherit" w:hAnsi="inherit"/>
          <w:b/>
          <w:i/>
          <w:sz w:val="17"/>
        </w:rPr>
        <w:t>Exhibit 32.1</w:t>
      </w:r>
    </w:p>
    <w:p>
      <w:pPr>
        <w:pStyle w:val="TextBody"/>
        <w:spacing w:lineRule="auto" w:line="288" w:before="0" w:after="0"/>
        <w:jc w:val="center"/>
        <w:rPr>
          <w:rFonts w:ascii="inherit" w:hAnsi="inherit"/>
          <w:b/>
          <w:sz w:val="17"/>
        </w:rPr>
      </w:pPr>
      <w:r>
        <w:rPr>
          <w:rFonts w:ascii="inherit" w:hAnsi="inherit"/>
          <w:b/>
          <w:sz w:val="17"/>
        </w:rPr>
        <w:t>CERTIFICATION PURSUANT TO</w:t>
      </w:r>
    </w:p>
    <w:p>
      <w:pPr>
        <w:pStyle w:val="TextBody"/>
        <w:spacing w:lineRule="auto" w:line="288" w:before="0" w:after="0"/>
        <w:jc w:val="center"/>
        <w:rPr>
          <w:rFonts w:ascii="inherit" w:hAnsi="inherit"/>
          <w:b/>
          <w:sz w:val="17"/>
        </w:rPr>
      </w:pPr>
      <w:r>
        <w:rPr>
          <w:rFonts w:ascii="inherit" w:hAnsi="inherit"/>
          <w:b/>
          <w:sz w:val="17"/>
        </w:rPr>
        <w:t>18 U.S.C. SECTION 1350</w:t>
      </w:r>
    </w:p>
    <w:p>
      <w:pPr>
        <w:pStyle w:val="TextBody"/>
        <w:spacing w:lineRule="auto" w:line="288" w:before="0" w:after="0"/>
        <w:jc w:val="center"/>
        <w:rPr>
          <w:rFonts w:ascii="inherit" w:hAnsi="inherit"/>
          <w:b/>
          <w:sz w:val="17"/>
        </w:rPr>
      </w:pPr>
      <w:r>
        <w:rPr>
          <w:rFonts w:ascii="inherit" w:hAnsi="inherit"/>
          <w:b/>
          <w:sz w:val="17"/>
        </w:rPr>
        <w:t>AS ADOPTED PURSUANT TO</w:t>
      </w:r>
    </w:p>
    <w:p>
      <w:pPr>
        <w:pStyle w:val="TextBody"/>
        <w:spacing w:lineRule="auto" w:line="288" w:before="0" w:after="0"/>
        <w:jc w:val="center"/>
        <w:rPr>
          <w:rFonts w:ascii="inherit" w:hAnsi="inherit"/>
          <w:b/>
          <w:sz w:val="17"/>
        </w:rPr>
      </w:pPr>
      <w:r>
        <w:rPr>
          <w:rFonts w:ascii="inherit" w:hAnsi="inherit"/>
          <w:b/>
          <w:sz w:val="17"/>
        </w:rPr>
        <w:t>SECTION 906 OF THE SARBANES-OXLEY ACT OF 2002</w:t>
      </w:r>
    </w:p>
    <w:p>
      <w:pPr>
        <w:pStyle w:val="TextBody"/>
        <w:spacing w:lineRule="auto" w:line="288" w:before="0" w:after="0"/>
        <w:ind w:left="0" w:right="0" w:firstLine="480"/>
        <w:rPr>
          <w:sz w:val="17"/>
        </w:rPr>
      </w:pPr>
      <w:r>
        <w:rPr>
          <w:rFonts w:ascii="inherit" w:hAnsi="inherit"/>
          <w:sz w:val="17"/>
        </w:rPr>
        <w:t xml:space="preserve">In connection with the Quarterly Report of Westlake Chemical Partners LP (the "Partnership") on Form 10-Q for the fiscal quarter ended </w:t>
      </w:r>
      <w:r>
        <w:rPr>
          <w:rFonts w:ascii="inherit" w:hAnsi="inherit"/>
          <w:strike w:val="false"/>
          <w:dstrike w:val="false"/>
          <w:color w:val="000000"/>
          <w:sz w:val="17"/>
          <w:u w:val="none"/>
          <w:effect w:val="none"/>
        </w:rPr>
        <w:t>March 31, 2019</w:t>
      </w:r>
      <w:r>
        <w:rPr>
          <w:sz w:val="17"/>
        </w:rPr>
        <w:t xml:space="preserve"> </w:t>
      </w:r>
      <w:r>
        <w:rPr>
          <w:rFonts w:ascii="inherit" w:hAnsi="inherit"/>
          <w:sz w:val="17"/>
        </w:rPr>
        <w:t>as filed with the Securities and Exchange Commission on the date hereof (the "Report"), I, Albert Chao, President, Chief Executive Officer and Director of the Partnership, and I, M. Steven Bender, Senior Vice President, Chief Financial Officer and Director of the Partnership, certify, to the best of our knowledge, pursuant to 18 U.S.C. §1350, as adopted pursuant to §906 of the Sarbanes-Oxley Act of 2002, that:</w:t>
      </w:r>
    </w:p>
    <w:tbl>
      <w:tblPr>
        <w:tblW w:w="10205" w:type="dxa"/>
        <w:jc w:val="left"/>
        <w:tblInd w:w="0" w:type="dxa"/>
        <w:tblCellMar>
          <w:top w:w="0" w:type="dxa"/>
          <w:left w:w="0" w:type="dxa"/>
          <w:bottom w:w="0" w:type="dxa"/>
          <w:right w:w="0" w:type="dxa"/>
        </w:tblCellMar>
      </w:tblPr>
      <w:tblGrid>
        <w:gridCol w:w="492"/>
        <w:gridCol w:w="9713"/>
      </w:tblGrid>
      <w:tr>
        <w:trPr/>
        <w:tc>
          <w:tcPr>
            <w:tcW w:w="492" w:type="dxa"/>
            <w:tcBorders/>
            <w:shd w:fill="auto" w:val="clear"/>
            <w:vAlign w:val="center"/>
          </w:tcPr>
          <w:p>
            <w:pPr>
              <w:pStyle w:val="TableContents"/>
              <w:spacing w:before="0" w:after="283"/>
              <w:rPr>
                <w:sz w:val="4"/>
                <w:szCs w:val="4"/>
              </w:rPr>
            </w:pPr>
            <w:r>
              <w:rPr>
                <w:sz w:val="4"/>
                <w:szCs w:val="4"/>
              </w:rPr>
            </w:r>
          </w:p>
        </w:tc>
        <w:tc>
          <w:tcPr>
            <w:tcW w:w="9713" w:type="dxa"/>
            <w:tcBorders/>
            <w:shd w:fill="auto" w:val="clear"/>
            <w:vAlign w:val="center"/>
          </w:tcPr>
          <w:p>
            <w:pPr>
              <w:pStyle w:val="TableContents"/>
              <w:spacing w:before="0" w:after="283"/>
              <w:rPr>
                <w:sz w:val="4"/>
                <w:szCs w:val="4"/>
              </w:rPr>
            </w:pPr>
            <w:r>
              <w:rPr>
                <w:sz w:val="4"/>
                <w:szCs w:val="4"/>
              </w:rPr>
            </w:r>
          </w:p>
        </w:tc>
      </w:tr>
      <w:tr>
        <w:trPr/>
        <w:tc>
          <w:tcPr>
            <w:tcW w:w="492" w:type="dxa"/>
            <w:tcBorders/>
            <w:shd w:fill="auto" w:val="clear"/>
            <w:vAlign w:val="center"/>
          </w:tcPr>
          <w:p>
            <w:pPr>
              <w:pStyle w:val="TableContents"/>
              <w:spacing w:lineRule="auto" w:line="288" w:before="0" w:after="0"/>
              <w:ind w:left="0" w:right="0" w:firstLine="240"/>
              <w:rPr>
                <w:rFonts w:ascii="inherit" w:hAnsi="inherit"/>
                <w:sz w:val="17"/>
              </w:rPr>
            </w:pPr>
            <w:r>
              <w:rPr>
                <w:rFonts w:ascii="inherit" w:hAnsi="inherit"/>
                <w:sz w:val="17"/>
              </w:rPr>
              <w:t>(1)</w:t>
            </w:r>
          </w:p>
        </w:tc>
        <w:tc>
          <w:tcPr>
            <w:tcW w:w="9713"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Report fully complies with the requirements of section 13(a) or 15(d) of the Securities Exchange Act of 1934, as amended; and</w:t>
            </w:r>
          </w:p>
        </w:tc>
      </w:tr>
    </w:tbl>
    <w:tbl>
      <w:tblPr>
        <w:tblW w:w="10205" w:type="dxa"/>
        <w:jc w:val="left"/>
        <w:tblInd w:w="0" w:type="dxa"/>
        <w:tblCellMar>
          <w:top w:w="0" w:type="dxa"/>
          <w:left w:w="0" w:type="dxa"/>
          <w:bottom w:w="0" w:type="dxa"/>
          <w:right w:w="0" w:type="dxa"/>
        </w:tblCellMar>
      </w:tblPr>
      <w:tblGrid>
        <w:gridCol w:w="486"/>
        <w:gridCol w:w="9719"/>
      </w:tblGrid>
      <w:tr>
        <w:trPr/>
        <w:tc>
          <w:tcPr>
            <w:tcW w:w="486" w:type="dxa"/>
            <w:tcBorders/>
            <w:shd w:fill="auto" w:val="clear"/>
            <w:vAlign w:val="center"/>
          </w:tcPr>
          <w:p>
            <w:pPr>
              <w:pStyle w:val="TableContents"/>
              <w:spacing w:before="0" w:after="283"/>
              <w:rPr>
                <w:sz w:val="4"/>
                <w:szCs w:val="4"/>
              </w:rPr>
            </w:pPr>
            <w:r>
              <w:rPr>
                <w:sz w:val="4"/>
                <w:szCs w:val="4"/>
              </w:rPr>
            </w:r>
          </w:p>
        </w:tc>
        <w:tc>
          <w:tcPr>
            <w:tcW w:w="9719" w:type="dxa"/>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vAlign w:val="center"/>
          </w:tcPr>
          <w:p>
            <w:pPr>
              <w:pStyle w:val="TableContents"/>
              <w:spacing w:lineRule="auto" w:line="288" w:before="0" w:after="0"/>
              <w:ind w:left="0" w:right="0" w:firstLine="240"/>
              <w:rPr>
                <w:rFonts w:ascii="inherit" w:hAnsi="inherit"/>
                <w:sz w:val="17"/>
              </w:rPr>
            </w:pPr>
            <w:r>
              <w:rPr>
                <w:rFonts w:ascii="inherit" w:hAnsi="inherit"/>
                <w:sz w:val="17"/>
              </w:rPr>
              <w:t>(2)</w:t>
            </w:r>
          </w:p>
        </w:tc>
        <w:tc>
          <w:tcPr>
            <w:tcW w:w="971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information contained in the Report fairly presents, in all material aspects, the financial condition and results of operations of the Partnership.</w:t>
            </w:r>
          </w:p>
        </w:tc>
      </w:tr>
    </w:tbl>
    <w:p>
      <w:pPr>
        <w:pStyle w:val="TextBody"/>
        <w:spacing w:lineRule="auto" w:line="288" w:before="0" w:after="0"/>
        <w:ind w:left="0" w:right="0" w:firstLine="60"/>
        <w:jc w:val="left"/>
        <w:rPr>
          <w:rFonts w:ascii="inherit" w:hAnsi="inherit"/>
          <w:sz w:val="17"/>
        </w:rPr>
      </w:pPr>
      <w:r>
        <w:rPr>
          <w:rFonts w:ascii="inherit" w:hAnsi="inherit"/>
          <w:sz w:val="17"/>
        </w:rPr>
      </w:r>
    </w:p>
    <w:tbl>
      <w:tblPr>
        <w:tblW w:w="5730" w:type="dxa"/>
        <w:jc w:val="left"/>
        <w:tblInd w:w="0" w:type="dxa"/>
        <w:tblCellMar>
          <w:top w:w="0" w:type="dxa"/>
          <w:left w:w="0" w:type="dxa"/>
          <w:bottom w:w="0" w:type="dxa"/>
          <w:right w:w="0" w:type="dxa"/>
        </w:tblCellMar>
      </w:tblPr>
      <w:tblGrid>
        <w:gridCol w:w="515"/>
        <w:gridCol w:w="1055"/>
        <w:gridCol w:w="90"/>
        <w:gridCol w:w="90"/>
        <w:gridCol w:w="90"/>
        <w:gridCol w:w="90"/>
        <w:gridCol w:w="90"/>
        <w:gridCol w:w="3710"/>
      </w:tblGrid>
      <w:tr>
        <w:trPr/>
        <w:tc>
          <w:tcPr>
            <w:tcW w:w="5730" w:type="dxa"/>
            <w:gridSpan w:val="8"/>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7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2, 2019</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3710" w:type="dxa"/>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w:t>
            </w:r>
            <w:r>
              <w:rPr>
                <w:rFonts w:ascii="inherit" w:hAnsi="inherit"/>
                <w:sz w:val="13"/>
              </w:rPr>
              <w:t>S</w:t>
            </w:r>
            <w:r>
              <w:rPr>
                <w:rFonts w:ascii="inherit" w:hAnsi="inherit"/>
                <w:sz w:val="17"/>
              </w:rPr>
              <w:t>/    A</w:t>
            </w:r>
            <w:r>
              <w:rPr>
                <w:rFonts w:ascii="inherit" w:hAnsi="inherit"/>
                <w:sz w:val="13"/>
              </w:rPr>
              <w:t>LBERT</w:t>
            </w:r>
            <w:r>
              <w:rPr>
                <w:sz w:val="17"/>
              </w:rPr>
              <w:t> </w:t>
            </w:r>
            <w:r>
              <w:rPr>
                <w:rFonts w:ascii="inherit" w:hAnsi="inherit"/>
                <w:sz w:val="17"/>
              </w:rPr>
              <w:t>C</w:t>
            </w:r>
            <w:r>
              <w:rPr>
                <w:rFonts w:ascii="inherit" w:hAnsi="inherit"/>
                <w:sz w:val="13"/>
              </w:rPr>
              <w:t>HAO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710"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Albert Chao</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710" w:type="dxa"/>
            <w:tcBorders/>
            <w:shd w:fill="auto" w:val="clear"/>
            <w:vAlign w:val="center"/>
          </w:tcPr>
          <w:p>
            <w:pPr>
              <w:pStyle w:val="TableContents"/>
              <w:spacing w:before="0" w:after="0"/>
              <w:jc w:val="center"/>
              <w:rPr>
                <w:rFonts w:ascii="inherit" w:hAnsi="inherit"/>
                <w:b/>
                <w:sz w:val="13"/>
              </w:rPr>
            </w:pPr>
            <w:r>
              <w:rPr>
                <w:rFonts w:ascii="inherit" w:hAnsi="inherit"/>
                <w:b/>
                <w:sz w:val="13"/>
              </w:rPr>
              <w:t xml:space="preserve">President, Chief Executive Officer and Director of </w:t>
            </w:r>
          </w:p>
          <w:p>
            <w:pPr>
              <w:pStyle w:val="TableContents"/>
              <w:spacing w:before="0" w:after="0"/>
              <w:jc w:val="center"/>
              <w:rPr>
                <w:rFonts w:ascii="inherit" w:hAnsi="inherit"/>
                <w:b/>
                <w:sz w:val="13"/>
              </w:rPr>
            </w:pPr>
            <w:r>
              <w:rPr>
                <w:rFonts w:ascii="inherit" w:hAnsi="inherit"/>
                <w:b/>
                <w:sz w:val="13"/>
              </w:rPr>
              <w:t>Westlake Chemical Partners GP LLC</w:t>
            </w:r>
          </w:p>
          <w:p>
            <w:pPr>
              <w:pStyle w:val="TableContents"/>
              <w:spacing w:before="0" w:after="0"/>
              <w:ind w:left="0" w:right="0" w:firstLine="30"/>
              <w:jc w:val="center"/>
              <w:rPr>
                <w:rFonts w:ascii="inherit" w:hAnsi="inherit"/>
                <w:b/>
                <w:sz w:val="13"/>
              </w:rPr>
            </w:pPr>
            <w:r>
              <w:rPr>
                <w:rFonts w:ascii="inherit" w:hAnsi="inherit"/>
                <w:b/>
                <w:sz w:val="13"/>
              </w:rPr>
              <w:t>(Principal Executive Officer)</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180" w:type="dxa"/>
            <w:gridSpan w:val="2"/>
            <w:tcBorders/>
            <w:shd w:fill="auto" w:val="clear"/>
            <w:vAlign w:val="center"/>
          </w:tcPr>
          <w:p>
            <w:pPr>
              <w:pStyle w:val="TableContents"/>
              <w:spacing w:before="0" w:after="0"/>
              <w:ind w:left="0" w:right="0" w:firstLine="30"/>
              <w:rPr/>
            </w:pPr>
            <w:r>
              <w:rPr/>
              <w:t> </w:t>
            </w:r>
          </w:p>
        </w:tc>
        <w:tc>
          <w:tcPr>
            <w:tcW w:w="180" w:type="dxa"/>
            <w:gridSpan w:val="2"/>
            <w:tcBorders/>
            <w:shd w:fill="auto" w:val="clear"/>
            <w:vAlign w:val="center"/>
          </w:tcPr>
          <w:p>
            <w:pPr>
              <w:pStyle w:val="TableContents"/>
              <w:spacing w:before="0" w:after="0"/>
              <w:ind w:left="0" w:right="0" w:firstLine="30"/>
              <w:rPr/>
            </w:pPr>
            <w:r>
              <w:rPr/>
              <w:t> </w:t>
            </w:r>
          </w:p>
        </w:tc>
        <w:tc>
          <w:tcPr>
            <w:tcW w:w="3800" w:type="dxa"/>
            <w:gridSpan w:val="2"/>
            <w:tcBorders/>
            <w:shd w:fill="auto" w:val="clear"/>
            <w:vAlign w:val="center"/>
          </w:tcPr>
          <w:p>
            <w:pPr>
              <w:pStyle w:val="TableContents"/>
              <w:spacing w:before="0" w:after="0"/>
              <w:ind w:left="0" w:right="0" w:firstLine="30"/>
              <w:rPr/>
            </w:pPr>
            <w:r>
              <w:rPr/>
              <w:t> </w:t>
            </w:r>
          </w:p>
        </w:tc>
      </w:tr>
      <w:tr>
        <w:trPr/>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10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2, 2019</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3710" w:type="dxa"/>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w:t>
            </w:r>
            <w:r>
              <w:rPr>
                <w:rFonts w:ascii="inherit" w:hAnsi="inherit"/>
                <w:sz w:val="13"/>
              </w:rPr>
              <w:t>S</w:t>
            </w:r>
            <w:r>
              <w:rPr>
                <w:rFonts w:ascii="inherit" w:hAnsi="inherit"/>
                <w:sz w:val="17"/>
              </w:rPr>
              <w:t>/    M. S</w:t>
            </w:r>
            <w:r>
              <w:rPr>
                <w:rFonts w:ascii="inherit" w:hAnsi="inherit"/>
                <w:sz w:val="13"/>
              </w:rPr>
              <w:t>TEVEN</w:t>
            </w:r>
            <w:r>
              <w:rPr>
                <w:sz w:val="17"/>
              </w:rPr>
              <w:t> </w:t>
            </w:r>
            <w:r>
              <w:rPr>
                <w:rFonts w:ascii="inherit" w:hAnsi="inherit"/>
                <w:sz w:val="17"/>
              </w:rPr>
              <w:t>B</w:t>
            </w:r>
            <w:r>
              <w:rPr>
                <w:rFonts w:ascii="inherit" w:hAnsi="inherit"/>
                <w:sz w:val="13"/>
              </w:rPr>
              <w:t>ENDER        </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710"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 Steven Bender</w:t>
            </w:r>
          </w:p>
        </w:tc>
      </w:tr>
      <w:tr>
        <w:trPr/>
        <w:tc>
          <w:tcPr>
            <w:tcW w:w="515"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3710" w:type="dxa"/>
            <w:tcBorders/>
            <w:shd w:fill="auto" w:val="clear"/>
            <w:vAlign w:val="center"/>
          </w:tcPr>
          <w:p>
            <w:pPr>
              <w:pStyle w:val="TableContents"/>
              <w:spacing w:before="0" w:after="0"/>
              <w:jc w:val="center"/>
              <w:rPr>
                <w:rFonts w:ascii="inherit" w:hAnsi="inherit"/>
                <w:b/>
                <w:sz w:val="13"/>
              </w:rPr>
            </w:pPr>
            <w:r>
              <w:rPr>
                <w:rFonts w:ascii="inherit" w:hAnsi="inherit"/>
                <w:b/>
                <w:sz w:val="13"/>
              </w:rPr>
              <w:t xml:space="preserve">Senior Vice President, Chief Financial Officer and </w:t>
            </w:r>
          </w:p>
          <w:p>
            <w:pPr>
              <w:pStyle w:val="TableContents"/>
              <w:spacing w:before="0" w:after="0"/>
              <w:jc w:val="center"/>
              <w:rPr>
                <w:rFonts w:ascii="inherit" w:hAnsi="inherit"/>
                <w:b/>
                <w:sz w:val="13"/>
              </w:rPr>
            </w:pPr>
            <w:r>
              <w:rPr>
                <w:rFonts w:ascii="inherit" w:hAnsi="inherit"/>
                <w:b/>
                <w:sz w:val="13"/>
              </w:rPr>
              <w:t>Director of Westlake Chemical Partners GP LLC</w:t>
            </w:r>
          </w:p>
          <w:p>
            <w:pPr>
              <w:pStyle w:val="TableContents"/>
              <w:spacing w:before="0" w:after="0"/>
              <w:jc w:val="center"/>
              <w:rPr>
                <w:rFonts w:ascii="inherit" w:hAnsi="inherit"/>
                <w:b/>
                <w:sz w:val="13"/>
              </w:rPr>
            </w:pPr>
            <w:r>
              <w:rPr>
                <w:rFonts w:ascii="inherit" w:hAnsi="inherit"/>
                <w:b/>
                <w:sz w:val="13"/>
              </w:rPr>
              <w:t>(Principal Financial Officer)</w:t>
            </w:r>
          </w:p>
        </w:tc>
      </w:tr>
    </w:tbl>
    <w:p>
      <w:pPr>
        <w:pStyle w:val="TextBody"/>
        <w:spacing w:before="0" w:after="0"/>
        <w:rPr/>
      </w:pPr>
      <w:r>
        <w:rPr/>
      </w:r>
    </w:p>
    <w:p>
      <w:pPr>
        <w:pStyle w:val="TextBody"/>
        <w:spacing w:lineRule="auto" w:line="288" w:before="0" w:after="283"/>
        <w:jc w:val="center"/>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604665/000119312519087399/d929398dex21.htm" TargetMode="External"/><Relationship Id="rId3" Type="http://schemas.openxmlformats.org/officeDocument/2006/relationships/hyperlink" Target="http://www.sec.gov/Archives/edgar/data/1604665/000119312519092653/d728262dex4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31</Pages>
  <Words>13522</Words>
  <CharactersWithSpaces>88587</CharactersWithSpaces>
  <Paragraphs>2368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