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193040</wp:posOffset>
            </wp:positionV>
            <wp:extent cx="3310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5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144145</wp:posOffset>
            </wp:positionV>
            <wp:extent cx="3310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720" w:right="16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ind w:left="720"/>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40" w:right="140" w:hanging="691"/>
        <w:spacing w:after="0" w:line="256" w:lineRule="auto"/>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740"/>
        <w:spacing w:after="0"/>
        <w:tabs>
          <w:tab w:leader="none" w:pos="4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214630</wp:posOffset>
            </wp:positionV>
            <wp:extent cx="3310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3"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Westlake Chemical Partners LP</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125095</wp:posOffset>
            </wp:positionV>
            <wp:extent cx="3310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32-0436529</w:t>
      </w:r>
    </w:p>
    <w:p>
      <w:pPr>
        <w:spacing w:after="0" w:line="82" w:lineRule="exact"/>
        <w:rPr>
          <w:sz w:val="24"/>
          <w:szCs w:val="24"/>
          <w:color w:val="auto"/>
        </w:rPr>
      </w:pPr>
    </w:p>
    <w:p>
      <w:pPr>
        <w:sectPr>
          <w:pgSz w:w="11900" w:h="16838" w:orient="portrait"/>
          <w:cols w:equalWidth="0" w:num="2">
            <w:col w:w="7520" w:space="720"/>
            <w:col w:w="3140"/>
          </w:cols>
          <w:pgMar w:left="240" w:top="517" w:right="279" w:bottom="1440"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000"/>
        <w:spacing w:after="0"/>
        <w:rPr>
          <w:sz w:val="20"/>
          <w:szCs w:val="20"/>
          <w:color w:val="auto"/>
        </w:rPr>
      </w:pPr>
      <w:r>
        <w:rPr>
          <w:rFonts w:ascii="Arial" w:cs="Arial" w:eastAsia="Arial" w:hAnsi="Arial"/>
          <w:sz w:val="13"/>
          <w:szCs w:val="13"/>
          <w:b w:val="1"/>
          <w:bCs w:val="1"/>
          <w:color w:val="auto"/>
        </w:rPr>
        <w:t>Identification Number)</w:t>
      </w:r>
    </w:p>
    <w:p>
      <w:pPr>
        <w:spacing w:after="0" w:line="177" w:lineRule="exact"/>
        <w:rPr>
          <w:sz w:val="24"/>
          <w:szCs w:val="24"/>
          <w:color w:val="auto"/>
        </w:rPr>
      </w:pPr>
    </w:p>
    <w:p>
      <w:pPr>
        <w:sectPr>
          <w:pgSz w:w="11900" w:h="16838" w:orient="portrait"/>
          <w:cols w:equalWidth="0" w:num="2">
            <w:col w:w="7240" w:space="720"/>
            <w:col w:w="3420"/>
          </w:cols>
          <w:pgMar w:left="240" w:top="517" w:right="2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2801 Post Oak Boulevard, Suite 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77056</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7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585-2900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ectPr>
          <w:pgSz w:w="11900" w:h="16838" w:orient="portrait"/>
          <w:cols w:equalWidth="0" w:num="1">
            <w:col w:w="11380"/>
          </w:cols>
          <w:pgMar w:left="240" w:top="517" w:right="279" w:bottom="1440" w:gutter="0" w:footer="0" w:header="0"/>
          <w:type w:val="continuous"/>
        </w:sectPr>
      </w:pPr>
    </w:p>
    <w:p>
      <w:pPr>
        <w:spacing w:after="0" w:line="74"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ind w:right="5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or a smaller reporting company. See definitions of "large accelerated filer," "accelerated filer" and "smaller reporting company" in Rule 12b-2 of the Exchange Act (Check one):</w:t>
      </w:r>
    </w:p>
    <w:p>
      <w:pPr>
        <w:sectPr>
          <w:pgSz w:w="11900" w:h="16838" w:orient="portrait"/>
          <w:cols w:equalWidth="0" w:num="1">
            <w:col w:w="11380"/>
          </w:cols>
          <w:pgMar w:left="240" w:top="517" w:right="279" w:bottom="1440" w:gutter="0" w:footer="0" w:header="0"/>
          <w:type w:val="continuous"/>
        </w:sectPr>
      </w:pPr>
    </w:p>
    <w:p>
      <w:pPr>
        <w:spacing w:after="0" w:line="251" w:lineRule="exact"/>
        <w:rPr>
          <w:sz w:val="24"/>
          <w:szCs w:val="24"/>
          <w:color w:val="auto"/>
        </w:rPr>
      </w:pPr>
    </w:p>
    <w:p>
      <w:pPr>
        <w:ind w:left="40" w:right="500"/>
        <w:spacing w:after="0" w:line="418" w:lineRule="auto"/>
        <w:rPr>
          <w:sz w:val="20"/>
          <w:szCs w:val="20"/>
          <w:color w:val="auto"/>
        </w:rPr>
      </w:pPr>
      <w:r>
        <w:rPr>
          <w:rFonts w:ascii="Arial" w:cs="Arial" w:eastAsia="Arial" w:hAnsi="Arial"/>
          <w:sz w:val="16"/>
          <w:szCs w:val="16"/>
          <w:b w:val="1"/>
          <w:bCs w:val="1"/>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6"/>
          <w:szCs w:val="16"/>
          <w:color w:val="auto"/>
        </w:rPr>
        <w:t>x (Do not check if a smaller reporting company)</w:t>
      </w:r>
    </w:p>
    <w:p>
      <w:pPr>
        <w:spacing w:after="0" w:line="20" w:lineRule="exact"/>
        <w:rPr>
          <w:sz w:val="24"/>
          <w:szCs w:val="24"/>
          <w:color w:val="auto"/>
        </w:rPr>
      </w:pPr>
      <w:r>
        <w:rPr>
          <w:sz w:val="24"/>
          <w:szCs w:val="24"/>
          <w:color w:val="auto"/>
        </w:rPr>
        <w:br w:type="column"/>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Accelerated filer</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Smaller reporting company</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4">
            <w:col w:w="2280" w:space="720"/>
            <w:col w:w="4080" w:space="720"/>
            <w:col w:w="2460" w:space="720"/>
            <w:col w:w="400"/>
          </w:cols>
          <w:pgMar w:left="240" w:top="517" w:right="279" w:bottom="1440" w:gutter="0" w:footer="0" w:header="0"/>
          <w:type w:val="continuous"/>
        </w:sectPr>
      </w:pPr>
    </w:p>
    <w:p>
      <w:pPr>
        <w:ind w:right="178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x The registrant had 14,373,615 common units and 12,686,115 subordinated units outstanding as of April 30, 2015.</w:t>
      </w:r>
    </w:p>
    <w:p>
      <w:pPr>
        <w:sectPr>
          <w:pgSz w:w="11900" w:h="16838" w:orient="portrait"/>
          <w:cols w:equalWidth="0" w:num="1">
            <w:col w:w="11380"/>
          </w:cols>
          <w:pgMar w:left="240" w:top="517" w:right="2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10060" w:type="dxa"/>
            <w:vAlign w:val="bottom"/>
          </w:tcPr>
          <w:p>
            <w:pPr>
              <w:spacing w:after="0"/>
              <w:rPr>
                <w:sz w:val="14"/>
                <w:szCs w:val="14"/>
                <w:color w:val="auto"/>
              </w:rPr>
            </w:pPr>
          </w:p>
        </w:tc>
        <w:tc>
          <w:tcPr>
            <w:tcW w:w="80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0580" w:type="dxa"/>
            <w:vAlign w:val="bottom"/>
            <w:gridSpan w:val="3"/>
            <w:vMerge w:val="restart"/>
          </w:tcPr>
          <w:p>
            <w:pPr>
              <w:spacing w:after="0"/>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PART I. FINANCIAL INFORMATION</w:t>
              </w:r>
            </w:hyperlink>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0580" w:type="dxa"/>
            <w:vAlign w:val="bottom"/>
            <w:gridSpan w:val="3"/>
            <w:vMerge w:val="continue"/>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1)</w:t>
              </w:r>
            </w:hyperlink>
          </w:p>
        </w:tc>
        <w:tc>
          <w:tcPr>
            <w:tcW w:w="10060" w:type="dxa"/>
            <w:vAlign w:val="bottom"/>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8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16">
              <w:r>
                <w:rPr>
                  <w:rFonts w:ascii="Arial" w:cs="Arial" w:eastAsia="Arial" w:hAnsi="Arial"/>
                  <w:sz w:val="18"/>
                  <w:szCs w:val="18"/>
                  <w:color w:val="auto"/>
                  <w:w w:val="99"/>
                </w:rPr>
                <w:t>2)</w:t>
              </w:r>
            </w:hyperlink>
          </w:p>
        </w:tc>
        <w:tc>
          <w:tcPr>
            <w:tcW w:w="10060" w:type="dxa"/>
            <w:vAlign w:val="bottom"/>
          </w:tcPr>
          <w:p>
            <w:pPr>
              <w:ind w:left="20"/>
              <w:spacing w:after="0"/>
              <w:rPr>
                <w:rFonts w:ascii="Arial" w:cs="Arial" w:eastAsia="Arial" w:hAnsi="Arial"/>
                <w:sz w:val="18"/>
                <w:szCs w:val="18"/>
                <w:color w:val="auto"/>
              </w:rPr>
            </w:pPr>
            <w:hyperlink w:anchor="page16">
              <w:r>
                <w:rPr>
                  <w:rFonts w:ascii="Arial" w:cs="Arial" w:eastAsia="Arial" w:hAnsi="Arial"/>
                  <w:sz w:val="18"/>
                  <w:szCs w:val="18"/>
                  <w:color w:val="auto"/>
                </w:rPr>
                <w:t>Management's Discussion and Analysis of Financial Condition and Results of Operations</w:t>
              </w:r>
            </w:hyperlink>
          </w:p>
        </w:tc>
        <w:tc>
          <w:tcPr>
            <w:tcW w:w="800" w:type="dxa"/>
            <w:vAlign w:val="bottom"/>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15</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6">
              <w:r>
                <w:rPr>
                  <w:rFonts w:ascii="Arial" w:cs="Arial" w:eastAsia="Arial" w:hAnsi="Arial"/>
                  <w:sz w:val="18"/>
                  <w:szCs w:val="18"/>
                  <w:color w:val="auto"/>
                  <w:w w:val="99"/>
                </w:rPr>
                <w:t>3)</w:t>
              </w:r>
            </w:hyperlink>
          </w:p>
        </w:tc>
        <w:tc>
          <w:tcPr>
            <w:tcW w:w="10060" w:type="dxa"/>
            <w:vAlign w:val="bottom"/>
          </w:tcPr>
          <w:p>
            <w:pPr>
              <w:ind w:left="20"/>
              <w:spacing w:after="0"/>
              <w:rPr>
                <w:rFonts w:ascii="Arial" w:cs="Arial" w:eastAsia="Arial" w:hAnsi="Arial"/>
                <w:sz w:val="18"/>
                <w:szCs w:val="18"/>
                <w:color w:val="auto"/>
              </w:rPr>
            </w:pPr>
            <w:hyperlink w:anchor="page26">
              <w:r>
                <w:rPr>
                  <w:rFonts w:ascii="Arial" w:cs="Arial" w:eastAsia="Arial" w:hAnsi="Arial"/>
                  <w:sz w:val="18"/>
                  <w:szCs w:val="18"/>
                  <w:color w:val="auto"/>
                </w:rPr>
                <w:t>Quantitative and Qualitative Disclosures about Market Risk</w:t>
              </w:r>
            </w:hyperlink>
          </w:p>
        </w:tc>
        <w:tc>
          <w:tcPr>
            <w:tcW w:w="80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24</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7">
              <w:r>
                <w:rPr>
                  <w:rFonts w:ascii="Arial" w:cs="Arial" w:eastAsia="Arial" w:hAnsi="Arial"/>
                  <w:sz w:val="18"/>
                  <w:szCs w:val="18"/>
                  <w:color w:val="auto"/>
                  <w:w w:val="99"/>
                </w:rPr>
                <w:t>4)</w:t>
              </w:r>
            </w:hyperlink>
          </w:p>
        </w:tc>
        <w:tc>
          <w:tcPr>
            <w:tcW w:w="10060" w:type="dxa"/>
            <w:vAlign w:val="bottom"/>
          </w:tcPr>
          <w:p>
            <w:pPr>
              <w:ind w:left="20"/>
              <w:spacing w:after="0"/>
              <w:rPr>
                <w:rFonts w:ascii="Arial" w:cs="Arial" w:eastAsia="Arial" w:hAnsi="Arial"/>
                <w:sz w:val="18"/>
                <w:szCs w:val="18"/>
                <w:color w:val="auto"/>
              </w:rPr>
            </w:pPr>
            <w:hyperlink w:anchor="page27">
              <w:r>
                <w:rPr>
                  <w:rFonts w:ascii="Arial" w:cs="Arial" w:eastAsia="Arial" w:hAnsi="Arial"/>
                  <w:sz w:val="18"/>
                  <w:szCs w:val="18"/>
                  <w:color w:val="auto"/>
                </w:rPr>
                <w:t>Controls and Procedures</w:t>
              </w:r>
            </w:hyperlink>
          </w:p>
        </w:tc>
        <w:tc>
          <w:tcPr>
            <w:tcW w:w="80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25</w:t>
              </w:r>
            </w:hyperlink>
          </w:p>
        </w:tc>
        <w:tc>
          <w:tcPr>
            <w:tcW w:w="0" w:type="dxa"/>
            <w:vAlign w:val="bottom"/>
          </w:tcPr>
          <w:p>
            <w:pPr>
              <w:spacing w:after="0"/>
              <w:rPr>
                <w:sz w:val="1"/>
                <w:szCs w:val="1"/>
                <w:color w:val="auto"/>
              </w:rPr>
            </w:pPr>
          </w:p>
        </w:tc>
      </w:tr>
      <w:tr>
        <w:trPr>
          <w:trHeight w:val="594"/>
        </w:trPr>
        <w:tc>
          <w:tcPr>
            <w:tcW w:w="10580" w:type="dxa"/>
            <w:vAlign w:val="bottom"/>
            <w:gridSpan w:val="3"/>
          </w:tcPr>
          <w:p>
            <w:pPr>
              <w:spacing w:after="0"/>
              <w:rPr>
                <w:rFonts w:ascii="Arial" w:cs="Arial" w:eastAsia="Arial" w:hAnsi="Arial"/>
                <w:sz w:val="18"/>
                <w:szCs w:val="18"/>
                <w:b w:val="1"/>
                <w:bCs w:val="1"/>
                <w:color w:val="auto"/>
              </w:rPr>
            </w:pPr>
            <w:hyperlink w:anchor="page27">
              <w:r>
                <w:rPr>
                  <w:rFonts w:ascii="Arial" w:cs="Arial" w:eastAsia="Arial" w:hAnsi="Arial"/>
                  <w:sz w:val="18"/>
                  <w:szCs w:val="18"/>
                  <w:b w:val="1"/>
                  <w:bCs w:val="1"/>
                  <w:color w:val="auto"/>
                </w:rPr>
                <w:t>PART II. OTHER INFORMATION</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8">
              <w:r>
                <w:rPr>
                  <w:rFonts w:ascii="Arial" w:cs="Arial" w:eastAsia="Arial" w:hAnsi="Arial"/>
                  <w:sz w:val="18"/>
                  <w:szCs w:val="18"/>
                  <w:color w:val="auto"/>
                  <w:w w:val="99"/>
                </w:rPr>
                <w:t>1)</w:t>
              </w:r>
            </w:hyperlink>
          </w:p>
        </w:tc>
        <w:tc>
          <w:tcPr>
            <w:tcW w:w="10060" w:type="dxa"/>
            <w:vAlign w:val="bottom"/>
          </w:tcPr>
          <w:p>
            <w:pPr>
              <w:ind w:left="20"/>
              <w:spacing w:after="0"/>
              <w:rPr>
                <w:rFonts w:ascii="Arial" w:cs="Arial" w:eastAsia="Arial" w:hAnsi="Arial"/>
                <w:sz w:val="18"/>
                <w:szCs w:val="18"/>
                <w:color w:val="auto"/>
              </w:rPr>
            </w:pPr>
            <w:hyperlink w:anchor="page28">
              <w:r>
                <w:rPr>
                  <w:rFonts w:ascii="Arial" w:cs="Arial" w:eastAsia="Arial" w:hAnsi="Arial"/>
                  <w:sz w:val="18"/>
                  <w:szCs w:val="18"/>
                  <w:color w:val="auto"/>
                </w:rPr>
                <w:t>Legal Proceedings</w:t>
              </w:r>
            </w:hyperlink>
          </w:p>
        </w:tc>
        <w:tc>
          <w:tcPr>
            <w:tcW w:w="80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0300" w:type="dxa"/>
            <w:vAlign w:val="bottom"/>
            <w:gridSpan w:val="2"/>
          </w:tcPr>
          <w:p>
            <w:pPr>
              <w:ind w:left="60"/>
              <w:spacing w:after="0"/>
              <w:rPr>
                <w:rFonts w:ascii="Arial" w:cs="Arial" w:eastAsia="Arial" w:hAnsi="Arial"/>
                <w:sz w:val="18"/>
                <w:szCs w:val="18"/>
                <w:color w:val="auto"/>
              </w:rPr>
            </w:pPr>
            <w:hyperlink w:anchor="page28">
              <w:r>
                <w:rPr>
                  <w:rFonts w:ascii="Arial" w:cs="Arial" w:eastAsia="Arial" w:hAnsi="Arial"/>
                  <w:sz w:val="18"/>
                  <w:szCs w:val="18"/>
                  <w:color w:val="auto"/>
                </w:rPr>
                <w:t>1A) Risk Factors</w:t>
              </w:r>
            </w:hyperlink>
          </w:p>
        </w:tc>
        <w:tc>
          <w:tcPr>
            <w:tcW w:w="80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8">
              <w:r>
                <w:rPr>
                  <w:rFonts w:ascii="Arial" w:cs="Arial" w:eastAsia="Arial" w:hAnsi="Arial"/>
                  <w:sz w:val="18"/>
                  <w:szCs w:val="18"/>
                  <w:color w:val="auto"/>
                  <w:w w:val="99"/>
                </w:rPr>
                <w:t>6)</w:t>
              </w:r>
            </w:hyperlink>
          </w:p>
        </w:tc>
        <w:tc>
          <w:tcPr>
            <w:tcW w:w="10060" w:type="dxa"/>
            <w:vAlign w:val="bottom"/>
          </w:tcPr>
          <w:p>
            <w:pPr>
              <w:ind w:left="20"/>
              <w:spacing w:after="0"/>
              <w:rPr>
                <w:rFonts w:ascii="Arial" w:cs="Arial" w:eastAsia="Arial" w:hAnsi="Arial"/>
                <w:sz w:val="18"/>
                <w:szCs w:val="18"/>
                <w:color w:val="auto"/>
              </w:rPr>
            </w:pPr>
            <w:hyperlink w:anchor="page28">
              <w:r>
                <w:rPr>
                  <w:rFonts w:ascii="Arial" w:cs="Arial" w:eastAsia="Arial" w:hAnsi="Arial"/>
                  <w:sz w:val="18"/>
                  <w:szCs w:val="18"/>
                  <w:color w:val="auto"/>
                </w:rPr>
                <w:t>Exhibits</w:t>
              </w:r>
            </w:hyperlink>
          </w:p>
        </w:tc>
        <w:tc>
          <w:tcPr>
            <w:tcW w:w="80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74"/>
        </w:trPr>
        <w:tc>
          <w:tcPr>
            <w:tcW w:w="8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(in thousands of dollars,</w:t>
            </w:r>
          </w:p>
        </w:tc>
      </w:tr>
      <w:tr>
        <w:trPr>
          <w:trHeight w:val="192"/>
        </w:trPr>
        <w:tc>
          <w:tcPr>
            <w:tcW w:w="8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except unit amounts)</w:t>
            </w:r>
          </w:p>
        </w:tc>
      </w:tr>
      <w:tr>
        <w:trPr>
          <w:trHeight w:val="256"/>
        </w:trPr>
        <w:tc>
          <w:tcPr>
            <w:tcW w:w="83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144,918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133,750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receivable, net—Westlake Chemical Corporation ("Westlake")</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37,982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18,529</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net—third parties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37,520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4,564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6,634</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204,583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196,645</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866,546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842,057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5,814</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Deferred charges and other assets, net</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48,018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51,919</w:t>
            </w: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assets, net</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53,832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57,733</w:t>
            </w:r>
          </w:p>
        </w:tc>
      </w:tr>
      <w:tr>
        <w:trPr>
          <w:trHeight w:val="297"/>
        </w:trPr>
        <w:tc>
          <w:tcPr>
            <w:tcW w:w="8360" w:type="dxa"/>
            <w:vAlign w:val="bottom"/>
            <w:tcBorders>
              <w:bottom w:val="single" w:sz="8" w:color="CCEEFF"/>
            </w:tcBorders>
          </w:tcPr>
          <w:p>
            <w:pPr>
              <w:ind w:left="7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1,124,961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1,096,435</w:t>
            </w:r>
          </w:p>
        </w:tc>
      </w:tr>
      <w:tr>
        <w:trPr>
          <w:trHeight w:val="237"/>
        </w:trPr>
        <w:tc>
          <w:tcPr>
            <w:tcW w:w="83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payable—Westlake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payable—third parties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15,568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12,614</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11,900</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34,581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31,984</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payable to Westlake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257,829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227,638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1,848</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294,340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261,485</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(Notes 9 and 16)</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unitholders—public (12,937,500 units issued and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290,884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290,377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Common unitholder—Westlake (1,436,115 units issued and outstanding)</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4,094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4,038</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Subordinated unitholder—Westlake (12,686,115 units issued and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35,681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General partner—Westlake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(242,572)</w:t>
            </w: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Westlake Chemical Partners LP partners' capital</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88,583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87,524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Noncontrolling interest in Westlake Chemical OpCo LP ("OpCo")</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742,038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747,426</w:t>
            </w: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830,621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834,950</w:t>
            </w:r>
          </w:p>
        </w:tc>
      </w:tr>
      <w:tr>
        <w:trPr>
          <w:trHeight w:val="257"/>
        </w:trPr>
        <w:tc>
          <w:tcPr>
            <w:tcW w:w="836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1,124,961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1,096,435</w:t>
            </w: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combined and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AND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8"/>
        </w:trPr>
        <w:tc>
          <w:tcPr>
            <w:tcW w:w="8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293"/>
              <w:spacing w:after="0"/>
              <w:rPr>
                <w:sz w:val="20"/>
                <w:szCs w:val="20"/>
                <w:color w:val="auto"/>
              </w:rPr>
            </w:pPr>
            <w:r>
              <w:rPr>
                <w:rFonts w:ascii="Arial" w:cs="Arial" w:eastAsia="Arial" w:hAnsi="Arial"/>
                <w:sz w:val="14"/>
                <w:szCs w:val="14"/>
                <w:b w:val="1"/>
                <w:bCs w:val="1"/>
                <w:i w:val="1"/>
                <w:iCs w:val="1"/>
                <w:color w:val="auto"/>
                <w:w w:val="83"/>
              </w:rPr>
              <w:t>Predecessor</w:t>
            </w:r>
          </w:p>
        </w:tc>
        <w:tc>
          <w:tcPr>
            <w:tcW w:w="0" w:type="dxa"/>
            <w:vAlign w:val="bottom"/>
          </w:tcPr>
          <w:p>
            <w:pPr>
              <w:spacing w:after="0"/>
              <w:rPr>
                <w:sz w:val="1"/>
                <w:szCs w:val="1"/>
                <w:color w:val="auto"/>
              </w:rPr>
            </w:pPr>
          </w:p>
        </w:tc>
      </w:tr>
      <w:tr>
        <w:trPr>
          <w:trHeight w:val="286"/>
        </w:trPr>
        <w:tc>
          <w:tcPr>
            <w:tcW w:w="8360" w:type="dxa"/>
            <w:vAlign w:val="bottom"/>
          </w:tcPr>
          <w:p>
            <w:pPr>
              <w:spacing w:after="0"/>
              <w:rPr>
                <w:sz w:val="24"/>
                <w:szCs w:val="24"/>
                <w:color w:val="auto"/>
              </w:rPr>
            </w:pPr>
          </w:p>
        </w:tc>
        <w:tc>
          <w:tcPr>
            <w:tcW w:w="3060" w:type="dxa"/>
            <w:vAlign w:val="bottom"/>
            <w:gridSpan w:val="5"/>
          </w:tcPr>
          <w:p>
            <w:pPr>
              <w:ind w:left="20"/>
              <w:spacing w:after="0"/>
              <w:rPr>
                <w:sz w:val="20"/>
                <w:szCs w:val="20"/>
                <w:color w:val="auto"/>
              </w:rPr>
            </w:pPr>
            <w:r>
              <w:rPr>
                <w:rFonts w:ascii="Arial" w:cs="Arial" w:eastAsia="Arial" w:hAnsi="Arial"/>
                <w:sz w:val="14"/>
                <w:szCs w:val="14"/>
                <w:b w:val="1"/>
                <w:bCs w:val="1"/>
                <w:color w:val="auto"/>
                <w:w w:val="91"/>
              </w:rPr>
              <w:t>(in thousands of dollars, except unit amounts and</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per unit data)</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208,913</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383,927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co-product, ethylene and feedstock sales—third parties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49,478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176,087</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258,391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560,014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162,164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327,700</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96,227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232,314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7,778</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90,227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224,536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(3,591)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88,856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222,197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78,323</w:t>
            </w:r>
          </w:p>
        </w:tc>
        <w:tc>
          <w:tcPr>
            <w:tcW w:w="0" w:type="dxa"/>
            <w:vAlign w:val="bottom"/>
          </w:tcPr>
          <w:p>
            <w:pPr>
              <w:spacing w:after="0"/>
              <w:rPr>
                <w:sz w:val="1"/>
                <w:szCs w:val="1"/>
                <w:color w:val="auto"/>
              </w:rPr>
            </w:pPr>
          </w:p>
        </w:tc>
      </w:tr>
      <w:tr>
        <w:trPr>
          <w:trHeight w:val="297"/>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tcPr>
          <w:p>
            <w:pPr>
              <w:jc w:val="right"/>
              <w:ind w:right="12"/>
              <w:spacing w:after="0"/>
              <w:rPr>
                <w:sz w:val="20"/>
                <w:szCs w:val="20"/>
                <w:color w:val="auto"/>
              </w:rPr>
            </w:pPr>
            <w:r>
              <w:rPr>
                <w:rFonts w:ascii="Arial" w:cs="Arial" w:eastAsia="Arial" w:hAnsi="Arial"/>
                <w:sz w:val="18"/>
                <w:szCs w:val="18"/>
                <w:color w:val="auto"/>
              </w:rPr>
              <w:t>88,389</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143,874</w:t>
            </w: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 interest in OpCo</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79,889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attributable to Westlake Chemical Partners LP</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8,500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income attributable to Westlake Chemical Partners LP per limited partner unit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Common units</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Subordinated units</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ind w:left="40"/>
              <w:spacing w:after="0"/>
              <w:rPr>
                <w:sz w:val="20"/>
                <w:szCs w:val="20"/>
                <w:color w:val="auto"/>
              </w:rPr>
            </w:pPr>
            <w:r>
              <w:rPr>
                <w:rFonts w:ascii="Arial" w:cs="Arial" w:eastAsia="Arial" w:hAnsi="Arial"/>
                <w:sz w:val="18"/>
                <w:szCs w:val="18"/>
                <w:color w:val="auto"/>
              </w:rPr>
              <w:t>Weighted average limited partner units outstanding</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3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units—public</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12,937,500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Common units—Westlake</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1,436,115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Subordinated units—Westlake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12,686,115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combined and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WESTLAKE CHEMICAL PARTNERS LP COMBINED AND CONSOLIDATED STATEMENTS OF CHANGES IN EQUITY (Unaudited)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3"/>
              </w:rPr>
              <w:t>Predecessor</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5"/>
          </w:tcPr>
          <w:p>
            <w:pPr>
              <w:ind w:left="580"/>
              <w:spacing w:after="0"/>
              <w:rPr>
                <w:sz w:val="20"/>
                <w:szCs w:val="20"/>
                <w:color w:val="auto"/>
              </w:rPr>
            </w:pPr>
            <w:r>
              <w:rPr>
                <w:rFonts w:ascii="Arial" w:cs="Arial" w:eastAsia="Arial" w:hAnsi="Arial"/>
                <w:sz w:val="14"/>
                <w:szCs w:val="14"/>
                <w:b w:val="1"/>
                <w:bCs w:val="1"/>
                <w:i w:val="1"/>
                <w:iCs w:val="1"/>
                <w:color w:val="auto"/>
              </w:rPr>
              <w:t>Partnership</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5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Common</w:t>
            </w:r>
          </w:p>
        </w:tc>
        <w:tc>
          <w:tcPr>
            <w:tcW w:w="112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3"/>
              </w:rPr>
              <w:t>Subordinated</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General</w:t>
            </w:r>
          </w:p>
        </w:tc>
        <w:tc>
          <w:tcPr>
            <w:tcW w:w="1140" w:type="dxa"/>
            <w:vAlign w:val="bottom"/>
            <w:tcBorders>
              <w:top w:val="single" w:sz="8" w:color="auto"/>
            </w:tcBorders>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Noncontrolling</w:t>
            </w: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3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Net</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Unitholders</w:t>
            </w:r>
            <w:r>
              <w:rPr>
                <w:rFonts w:ascii="Arial" w:cs="Arial" w:eastAsia="Arial" w:hAnsi="Arial"/>
                <w:sz w:val="18"/>
                <w:szCs w:val="18"/>
                <w:color w:val="auto"/>
                <w:w w:val="93"/>
              </w:rPr>
              <w:t>—</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Unitholder</w:t>
            </w:r>
            <w:r>
              <w:rPr>
                <w:rFonts w:ascii="Arial" w:cs="Arial" w:eastAsia="Arial" w:hAnsi="Arial"/>
                <w:sz w:val="18"/>
                <w:szCs w:val="18"/>
                <w:color w:val="auto"/>
                <w:w w:val="97"/>
              </w:rPr>
              <w:t>—</w:t>
            </w: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Unitholder</w:t>
            </w:r>
            <w:r>
              <w:rPr>
                <w:rFonts w:ascii="Arial" w:cs="Arial" w:eastAsia="Arial" w:hAnsi="Arial"/>
                <w:sz w:val="18"/>
                <w:szCs w:val="18"/>
                <w:color w:val="auto"/>
                <w:w w:val="95"/>
              </w:rPr>
              <w:t>—</w:t>
            </w:r>
          </w:p>
        </w:tc>
        <w:tc>
          <w:tcPr>
            <w:tcW w:w="160" w:type="dxa"/>
            <w:vAlign w:val="bottom"/>
          </w:tcPr>
          <w:p>
            <w:pPr>
              <w:spacing w:after="0"/>
              <w:rPr>
                <w:sz w:val="5"/>
                <w:szCs w:val="5"/>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Partner</w:t>
            </w:r>
            <w:r>
              <w:rPr>
                <w:rFonts w:ascii="Arial" w:cs="Arial" w:eastAsia="Arial" w:hAnsi="Arial"/>
                <w:sz w:val="18"/>
                <w:szCs w:val="18"/>
                <w:color w:val="auto"/>
                <w:w w:val="98"/>
              </w:rPr>
              <w:t>—</w:t>
            </w:r>
          </w:p>
        </w:tc>
        <w:tc>
          <w:tcPr>
            <w:tcW w:w="11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2"/>
                <w:szCs w:val="12"/>
                <w:color w:val="auto"/>
              </w:rPr>
            </w:pPr>
          </w:p>
        </w:tc>
        <w:tc>
          <w:tcPr>
            <w:tcW w:w="8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5"/>
              </w:rPr>
              <w:t>Public</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2"/>
              </w:rPr>
              <w:t>Westlake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5"/>
              </w:rPr>
              <w:t>in OpCo</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3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gridSpan w:val="6"/>
          </w:tcPr>
          <w:p>
            <w:pPr>
              <w:jc w:val="center"/>
              <w:ind w:left="614"/>
              <w:spacing w:after="0"/>
              <w:rPr>
                <w:sz w:val="20"/>
                <w:szCs w:val="20"/>
                <w:color w:val="auto"/>
              </w:rPr>
            </w:pPr>
            <w:r>
              <w:rPr>
                <w:rFonts w:ascii="Arial" w:cs="Arial" w:eastAsia="Arial" w:hAnsi="Arial"/>
                <w:sz w:val="14"/>
                <w:szCs w:val="14"/>
                <w:b w:val="1"/>
                <w:bCs w:val="1"/>
                <w:color w:val="auto"/>
                <w:w w:val="90"/>
              </w:rPr>
              <w:t>(in thousands of dollars)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455,432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455,432</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143,874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143,874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distributions to Westlake</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(192,213)</w:t>
            </w:r>
          </w:p>
        </w:tc>
        <w:tc>
          <w:tcPr>
            <w:tcW w:w="0" w:type="dxa"/>
            <w:vAlign w:val="bottom"/>
          </w:tcPr>
          <w:p>
            <w:pPr>
              <w:spacing w:after="0"/>
              <w:rPr>
                <w:sz w:val="1"/>
                <w:szCs w:val="1"/>
                <w:color w:val="auto"/>
              </w:rPr>
            </w:pPr>
          </w:p>
        </w:tc>
      </w:tr>
      <w:tr>
        <w:trPr>
          <w:trHeight w:val="25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Balance as of March 31, 2014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407,093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407,093</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290,377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35,681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747,426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834,950</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4,065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3,984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79,889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88,389</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Quarterly distribution for the period from</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October 1, 2014 to December 31, 2014 to</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unitholders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(7,441)</w:t>
            </w:r>
          </w:p>
        </w:tc>
        <w:tc>
          <w:tcPr>
            <w:tcW w:w="0" w:type="dxa"/>
            <w:vAlign w:val="bottom"/>
          </w:tcPr>
          <w:p>
            <w:pPr>
              <w:spacing w:after="0"/>
              <w:rPr>
                <w:sz w:val="1"/>
                <w:szCs w:val="1"/>
                <w:color w:val="auto"/>
              </w:rPr>
            </w:pPr>
          </w:p>
        </w:tc>
      </w:tr>
      <w:tr>
        <w:trPr>
          <w:trHeight w:val="229"/>
        </w:trPr>
        <w:tc>
          <w:tcPr>
            <w:tcW w:w="3560" w:type="dxa"/>
            <w:vAlign w:val="bottom"/>
          </w:tcPr>
          <w:p>
            <w:pPr>
              <w:ind w:left="40"/>
              <w:spacing w:after="0"/>
              <w:rPr>
                <w:sz w:val="20"/>
                <w:szCs w:val="20"/>
                <w:color w:val="auto"/>
              </w:rPr>
            </w:pPr>
            <w:r>
              <w:rPr>
                <w:rFonts w:ascii="Arial" w:cs="Arial" w:eastAsia="Arial" w:hAnsi="Arial"/>
                <w:sz w:val="18"/>
                <w:szCs w:val="18"/>
                <w:color w:val="auto"/>
              </w:rPr>
              <w:t>Quarterly distribution for the period from</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October 1, 2014 to December 31, 2014</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w w:val="99"/>
              </w:rPr>
              <w:t>to noncontrolling interest retained in OpCo</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180"/>
              <w:spacing w:after="0"/>
              <w:rPr>
                <w:sz w:val="20"/>
                <w:szCs w:val="20"/>
                <w:color w:val="auto"/>
              </w:rPr>
            </w:pPr>
            <w:r>
              <w:rPr>
                <w:rFonts w:ascii="Arial" w:cs="Arial" w:eastAsia="Arial" w:hAnsi="Arial"/>
                <w:sz w:val="18"/>
                <w:szCs w:val="18"/>
                <w:color w:val="auto"/>
              </w:rPr>
              <w:t>by Westlake</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(85,277)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(85,277)</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March 31, 2015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290,884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4,094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36,177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742,038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830,621</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combined and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260" w:right="2840"/>
        <w:spacing w:after="0" w:line="275" w:lineRule="auto"/>
        <w:rPr>
          <w:sz w:val="20"/>
          <w:szCs w:val="20"/>
          <w:color w:val="auto"/>
        </w:rPr>
      </w:pPr>
      <w:r>
        <w:rPr>
          <w:rFonts w:ascii="Arial" w:cs="Arial" w:eastAsia="Arial" w:hAnsi="Arial"/>
          <w:sz w:val="18"/>
          <w:szCs w:val="18"/>
          <w:b w:val="1"/>
          <w:bCs w:val="1"/>
          <w:color w:val="auto"/>
        </w:rPr>
        <w:t>WESTLAKE CHEMICAL PARTNERS LP COMBINED AND CONSOLIDATED STATEMENTS OF CASH FLOWS (Unaudited)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8"/>
        </w:trPr>
        <w:tc>
          <w:tcPr>
            <w:tcW w:w="8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91"/>
              <w:spacing w:after="0"/>
              <w:rPr>
                <w:sz w:val="20"/>
                <w:szCs w:val="20"/>
                <w:color w:val="auto"/>
              </w:rPr>
            </w:pPr>
            <w:r>
              <w:rPr>
                <w:rFonts w:ascii="Arial" w:cs="Arial" w:eastAsia="Arial" w:hAnsi="Arial"/>
                <w:sz w:val="14"/>
                <w:szCs w:val="14"/>
                <w:b w:val="1"/>
                <w:bCs w:val="1"/>
                <w:i w:val="1"/>
                <w:iCs w:val="1"/>
                <w:color w:val="auto"/>
                <w:w w:val="97"/>
              </w:rPr>
              <w:t>Predecessor</w:t>
            </w:r>
          </w:p>
        </w:tc>
      </w:tr>
      <w:tr>
        <w:trPr>
          <w:trHeight w:val="398"/>
        </w:trPr>
        <w:tc>
          <w:tcPr>
            <w:tcW w:w="8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(in thousands of dollars)</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88,389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143,874</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19,803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19,014</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Recovery of doubtful accounts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Loss from disposition of fixed assets</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353</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Income from equity method investment, net of dividends</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72</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receivable—third parties</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20,523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15,493</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accounts receivable—Westlake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30,707</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(19,198)</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and 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3,404</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113,235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197,886</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(51,305)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Settlements of derivative instruments</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(51,714)</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debt payable to Westlake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46,041</w:t>
            </w: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rPr>
              <w:t>Quarterly distribution for the period from October 1, 2014 to December 31, 2014 to</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noncontrolling interest retained in OpCo by Westlake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(85,277)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Quarterly distribution for the period from October 1, 2014 to December 31, 2014 to</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unitholders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distributions to Westlake prior to initial public offering</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(192,213)</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(146,172)</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11,168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133,750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144,918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combined and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AND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7460" w:firstLine="8"/>
        <w:spacing w:after="0" w:line="37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Basis of Presentation </w:t>
      </w:r>
      <w:r>
        <w:rPr>
          <w:rFonts w:ascii="Arial" w:cs="Arial" w:eastAsia="Arial" w:hAnsi="Arial"/>
          <w:sz w:val="18"/>
          <w:szCs w:val="18"/>
          <w:b w:val="1"/>
          <w:bCs w:val="1"/>
          <w:i w:val="1"/>
          <w:iCs w:val="1"/>
          <w:color w:val="auto"/>
        </w:rPr>
        <w:t>Description of Business</w:t>
      </w:r>
    </w:p>
    <w:p>
      <w:pPr>
        <w:spacing w:after="0" w:line="3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 In connection with the IPO, the Partnership acquired a 10.6% interest in Westlake Chemical OpCo LP ("OpCo") and a 100% interest in Westlake Chemical OpCo GP LLC ("OpCo GP"), which is the general partner of OpCo. OpCo owns three ethylene production facilities and a common carrier ethylene pipeline.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80" w:firstLine="392"/>
        <w:spacing w:after="0" w:line="272" w:lineRule="auto"/>
        <w:rPr>
          <w:sz w:val="20"/>
          <w:szCs w:val="20"/>
          <w:color w:val="auto"/>
        </w:rPr>
      </w:pPr>
      <w:r>
        <w:rPr>
          <w:rFonts w:ascii="Arial" w:cs="Arial" w:eastAsia="Arial" w:hAnsi="Arial"/>
          <w:sz w:val="17"/>
          <w:szCs w:val="17"/>
          <w:color w:val="auto"/>
        </w:rPr>
        <w:t>The accompanying unaudited combined and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December 31, 2014 combined and consolidated financial statements and notes thereto of the Partnership included in the annual report on Form 10-K for the fiscal year ended December 31, 2014 (the "2014 Form 10-K"), filed with the SEC on March 9, 2015. These financial statements have been prepared in conformity with the accounting principles and practices as disclosed in the notes to the combined and consolidated financial statements of the Partnership for the fiscal year ended December 31, 2014.</w:t>
      </w:r>
    </w:p>
    <w:p>
      <w:pPr>
        <w:spacing w:after="0" w:line="124"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Unless the context otherwise requires, references in this report to the "Predecessor" refer to Westlake Chemical Partners LP Predecessor, the Partnership's predecessor for accounting purposes and refer to the time periods prior to the IPO. References in this report to the Partnership used in the present tense or prospectively refer to Westlake Chemical Partners LP and refer to the periods subsequent to the IPO. References to "Westlake" refer collectively to Westlake Chemical Corporation and its subsidiaries, other than the Partnership, OpCo and OpCo GP.</w:t>
      </w:r>
    </w:p>
    <w:p>
      <w:pPr>
        <w:spacing w:after="0" w:line="117" w:lineRule="exact"/>
        <w:rPr>
          <w:sz w:val="20"/>
          <w:szCs w:val="20"/>
          <w:color w:val="auto"/>
        </w:rPr>
      </w:pPr>
    </w:p>
    <w:p>
      <w:pPr>
        <w:ind w:right="20" w:firstLine="392"/>
        <w:spacing w:after="0" w:line="271" w:lineRule="auto"/>
        <w:rPr>
          <w:sz w:val="20"/>
          <w:szCs w:val="20"/>
          <w:color w:val="auto"/>
        </w:rPr>
      </w:pPr>
      <w:r>
        <w:rPr>
          <w:rFonts w:ascii="Arial" w:cs="Arial" w:eastAsia="Arial" w:hAnsi="Arial"/>
          <w:sz w:val="17"/>
          <w:szCs w:val="17"/>
          <w:color w:val="auto"/>
        </w:rPr>
        <w:t>The Partnership holds a 10.6% limited partner interest and the entire non-economic general partner interest in OpCo. The remaining 89.4%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89.4% is recorded as noncontrolling interest in the Partnership's consolidated financial statements.</w:t>
      </w:r>
    </w:p>
    <w:p>
      <w:pPr>
        <w:spacing w:after="0" w:line="125"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Financial information presented for the periods prior to the IPO on August 4, 2014 consists of the Predecessor's combined results of operations, changes in equity and cash flows. Financial information of the Predecessor is derived from the financial statements and accounting records of Westlake. Subsequent to the IPO, the Partnership's financial position, results of operations, changes in equity and cash flows consist of the consolidated activities and balances of the Partnership. The Partnership's consolidated financial statements include the accounts of the Partnership and its consolidated subsidiary, OpCo.</w:t>
      </w:r>
    </w:p>
    <w:p>
      <w:pPr>
        <w:spacing w:after="0" w:line="100"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In the opinion of management, the accompanying unaudited combined and consolidated financial statements reflect all adjustments (consisting only of normal recurring adjustments) that are necessary for a fair statement of the Predecessor's combined financial statements for the three months ended March 31, 2014 and the Partnership's consolidated financial statements as of and for the three months ended March 31, 2015.</w:t>
      </w:r>
    </w:p>
    <w:p>
      <w:pPr>
        <w:spacing w:after="0" w:line="11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Results of operations and changes in cash position for the interim periods presented are not necessarily indicative of the results that will be realized for the fiscal year ending December 31, 2015 or any other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COMBINED AND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9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In May 2014, the Financial Accounting Standards Board ("FASB") issued an accounting standards update on a comprehensive new revenue recognition standard that will supersede the existing revenue recognition guidance. The new accounting guidance creates a framework by which an entity will allocate the transaction price to separate performance obligations and recognize revenue when each performance obligation is satisfied. Under the new standard, entities will be required to use judgment and make estimates, including identifying performance obligations in a contract, estimating the amount of variable consideration to include in the transaction price, allocating the transaction price to each separate performance obligation and determining when an entity satisfies its performance obligations. The standard allows for either "full retrospective" adoption, meaning that the standard is applied to all of the periods presented with a cumulative catch-up as of the earliest period presented, or "modified retrospective" adoption, meaning the standard is applied only to the most current period presented in the financial statements with a cumulative catch-up as of the current period. The accounting standard will be effective for reporting periods beginning after December 15, 2016. The Partnership is in the process of evaluating the impact that the new accounting guidance will have on its consolidated financial position,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Simplifying Income Statement Presentation by Eliminating the Concept of Extraordinary Items</w:t>
      </w:r>
    </w:p>
    <w:p>
      <w:pPr>
        <w:spacing w:after="0" w:line="9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In January 2015, the FASB issued an accounting standards update to simplify income statement classification by removing the concept of extraordinary items from U.S. GAAP. Under the new standard, an unusual and infrequent event or transaction is no longer allowed to be separately disclosed as "extraordinary." The standard retains the existing requirement to separately present items that are of an unusual nature or occur infrequently on a pre-tax basis within income from continuing operations. The new guidance also requires similar separate presentation of items that are both unusual and infrequent on a pre-tax basis within income from continuing operations. The standard allows for either prospective or retrospective application. If adopted prospectively, both the nature and amount of any subsequent adjustments to previously reported extraordinary items must be disclosed. The accounting standard will be effective for reporting periods beginning after December 15, 2015 and is not expected to have an impact on the Partnership's consolidated financial position, results of operations and cash flows.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 to the Consolidation Analysis</w:t>
      </w:r>
    </w:p>
    <w:p>
      <w:pPr>
        <w:spacing w:after="0" w:line="9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February 2015, the FASB issued an accounting standards update making certain changes to the current consolidation guidance. The amendments affect both the variable interest entity and voting interest entity consolidation models. The new standard changes the consideration of substantive rights, related party interests and fees paid to the decision maker when applying the variable interest entity consolidation model and eliminate certain guidance for limited partnerships and similar entities under the voting interest consolidation model. The accounting standard will be effective for annual periods beginning after December 15, 2015. The Partnership is in the process of evaluating the impact that the new accounting guidance will have on its consolidated financial position, results of operations and cash flows.</w:t>
      </w:r>
    </w:p>
    <w:p>
      <w:pPr>
        <w:spacing w:after="0" w:line="216" w:lineRule="exact"/>
        <w:rPr>
          <w:sz w:val="20"/>
          <w:szCs w:val="20"/>
          <w:color w:val="auto"/>
        </w:rPr>
      </w:pPr>
    </w:p>
    <w:p>
      <w:pPr>
        <w:ind w:right="9480" w:firstLine="8"/>
        <w:spacing w:after="0" w:line="390" w:lineRule="auto"/>
        <w:tabs>
          <w:tab w:leader="none" w:pos="1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Instruments </w:t>
      </w:r>
      <w:r>
        <w:rPr>
          <w:rFonts w:ascii="Arial" w:cs="Arial" w:eastAsia="Arial" w:hAnsi="Arial"/>
          <w:sz w:val="16"/>
          <w:szCs w:val="16"/>
          <w:b w:val="1"/>
          <w:bCs w:val="1"/>
          <w:i w:val="1"/>
          <w:iCs w:val="1"/>
          <w:color w:val="auto"/>
        </w:rPr>
        <w:t>Cash Equivalents</w:t>
      </w:r>
    </w:p>
    <w:p>
      <w:pPr>
        <w:ind w:right="300" w:firstLine="405"/>
        <w:spacing w:after="0" w:line="264" w:lineRule="auto"/>
        <w:rPr>
          <w:sz w:val="20"/>
          <w:szCs w:val="20"/>
          <w:color w:val="auto"/>
        </w:rPr>
      </w:pPr>
      <w:r>
        <w:rPr>
          <w:rFonts w:ascii="Arial" w:cs="Arial" w:eastAsia="Arial" w:hAnsi="Arial"/>
          <w:sz w:val="18"/>
          <w:szCs w:val="18"/>
          <w:color w:val="auto"/>
        </w:rPr>
        <w:t>The Partnership had $95,008 and $40,003 of held-to-maturity securities with original maturities of three months or less, primarily consisting of corporate debt securities, classified as cash equivalents at March 31, 2015 and December 31, 2014, respectively. The Partnership's investments in held-to-maturity securities are held at amortized cost, which approximates fair value.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AND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Receivable—Third Parties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receivable—third parties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260" w:type="dxa"/>
            <w:vAlign w:val="bottom"/>
          </w:tcPr>
          <w:p>
            <w:pPr>
              <w:jc w:val="center"/>
              <w:ind w:right="17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customers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16,997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37,514</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16,997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37,514</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net—third parties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16,997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37,520</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4. Inventories</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3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60" w:type="dxa"/>
            <w:vAlign w:val="bottom"/>
          </w:tcPr>
          <w:p>
            <w:pPr>
              <w:ind w:left="440"/>
              <w:spacing w:after="0"/>
              <w:rPr>
                <w:sz w:val="20"/>
                <w:szCs w:val="20"/>
                <w:color w:val="auto"/>
              </w:rPr>
            </w:pPr>
            <w:r>
              <w:rPr>
                <w:rFonts w:ascii="Arial" w:cs="Arial" w:eastAsia="Arial" w:hAnsi="Arial"/>
                <w:sz w:val="18"/>
                <w:szCs w:val="18"/>
                <w:color w:val="auto"/>
              </w:rPr>
              <w:t>Inventories consist of the following:</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24"/>
                <w:szCs w:val="24"/>
                <w:color w:val="auto"/>
              </w:rPr>
            </w:pPr>
          </w:p>
        </w:tc>
        <w:tc>
          <w:tcPr>
            <w:tcW w:w="1260" w:type="dxa"/>
            <w:vAlign w:val="bottom"/>
          </w:tcPr>
          <w:p>
            <w:pPr>
              <w:jc w:val="center"/>
              <w:ind w:right="17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6,257</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Feedstock, additives and chemicals</w:t>
            </w: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4,564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6,634</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Plant and Equipment</w:t>
      </w:r>
    </w:p>
    <w:p>
      <w:pPr>
        <w:spacing w:after="0" w:line="94"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As of March 31, 2015, the Partnership had property, plant and equipment, net totaling $866,546. The Partnership assesses these assets for impairment whenever events or changes in circumstances indicate that the carrying amount of an asset may not be recoverable, including when negative conditions such as significant current or projected operating losses exist. Other factors considered by the Partnership when determining if an impairment assessment is necessary include, but are not limited to,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U.S. and world economies and uncertainties associated with governmental actions. Long-lived assets assessed for impairment are grouped at the lowest level for which identifiable cash flows are largely independent of the cash flows of other assets and liabilities.</w:t>
      </w:r>
    </w:p>
    <w:p>
      <w:pPr>
        <w:spacing w:after="0" w:line="11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Depreciation expense on property, plant and equipment of $15,593 and $14,484 is included in cost of sales in the combined and consolidated statements of operations for the three months ended March 31, 2015 and 2014,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Assets</w:t>
      </w:r>
    </w:p>
    <w:p>
      <w:pPr>
        <w:spacing w:after="0" w:line="94"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Amortization expense on other assets of $4,210 and $4,530 is included in the combined and consolidated statements of operations for the three months ended March 31, 2015 and 2014,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goodwill balance as of March 31, 2015 and December 31, 2014 was $5,814. There were no changes in the carrying amount of goodwill for the three months ended March 31,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Income Per Limited Partner Unit</w:t>
      </w:r>
    </w:p>
    <w:p>
      <w:pPr>
        <w:spacing w:after="0" w:line="94"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Net income per unit applicable to common limited partner units and to subordinated limited partner units is computed by dividing the respective limited partners' interest in net income for the period by the weighted-average number of common units and subordinated units outstanding for the period. Because the Partnership has more than one class of participating securities, it uses the two-class method when calculating the net income per unit applicable to limited partners. The classes of participating securities include common units, subordinated units and incentive distribution rights. Basic and diluted net income per unit are the same because the Partnership does not have any potentially dilutive units outstanding for the periods presented.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AND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right="100" w:firstLine="392"/>
        <w:spacing w:after="0" w:line="264" w:lineRule="auto"/>
        <w:rPr>
          <w:sz w:val="20"/>
          <w:szCs w:val="20"/>
          <w:color w:val="auto"/>
        </w:rPr>
      </w:pPr>
      <w:r>
        <w:rPr>
          <w:rFonts w:ascii="Arial" w:cs="Arial" w:eastAsia="Arial" w:hAnsi="Arial"/>
          <w:sz w:val="18"/>
          <w:szCs w:val="18"/>
          <w:color w:val="auto"/>
        </w:rPr>
        <w:t>On April 29, 2015, the board of directors of Westlake Chemical Partners GP LLC, the Partnership's general partner, declared a quarterly cash distribution for the period from January 1, 2015 through March 31, 2015 of $0.2829 per unit, or $7,655 in total. This distribution is payable on May 27, 2015 to unit holders of record as of May 12, 2015.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March 31, 2015</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Limited partners' distribution declared on common units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Limited partners' distribution declared on subordinated units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3,590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 excess of distribution</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Three Months Ended March 31, 2015</w:t>
            </w: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40" w:type="dxa"/>
            <w:vAlign w:val="bottom"/>
          </w:tcPr>
          <w:p>
            <w:pPr>
              <w:spacing w:after="0"/>
              <w:rPr>
                <w:sz w:val="13"/>
                <w:szCs w:val="13"/>
                <w:color w:val="auto"/>
              </w:rPr>
            </w:pPr>
          </w:p>
        </w:tc>
        <w:tc>
          <w:tcPr>
            <w:tcW w:w="1340" w:type="dxa"/>
            <w:vAlign w:val="bottom"/>
          </w:tcPr>
          <w:p>
            <w:pPr>
              <w:jc w:val="right"/>
              <w:ind w:right="97"/>
              <w:spacing w:after="0" w:line="153" w:lineRule="exact"/>
              <w:rPr>
                <w:sz w:val="20"/>
                <w:szCs w:val="20"/>
                <w:color w:val="auto"/>
              </w:rPr>
            </w:pPr>
            <w:r>
              <w:rPr>
                <w:rFonts w:ascii="Arial" w:cs="Arial" w:eastAsia="Arial" w:hAnsi="Arial"/>
                <w:sz w:val="14"/>
                <w:szCs w:val="14"/>
                <w:b w:val="1"/>
                <w:bCs w:val="1"/>
                <w:color w:val="auto"/>
              </w:rPr>
              <w:t>Limited Partners'</w:t>
            </w:r>
          </w:p>
        </w:tc>
        <w:tc>
          <w:tcPr>
            <w:tcW w:w="100" w:type="dxa"/>
            <w:vAlign w:val="bottom"/>
          </w:tcPr>
          <w:p>
            <w:pPr>
              <w:spacing w:after="0"/>
              <w:rPr>
                <w:sz w:val="13"/>
                <w:szCs w:val="13"/>
                <w:color w:val="auto"/>
              </w:rPr>
            </w:pPr>
          </w:p>
        </w:tc>
        <w:tc>
          <w:tcPr>
            <w:tcW w:w="158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Incentive Distribution</w:t>
            </w:r>
          </w:p>
        </w:tc>
        <w:tc>
          <w:tcPr>
            <w:tcW w:w="200" w:type="dxa"/>
            <w:vAlign w:val="bottom"/>
          </w:tcPr>
          <w:p>
            <w:pPr>
              <w:spacing w:after="0"/>
              <w:rPr>
                <w:sz w:val="13"/>
                <w:szCs w:val="13"/>
                <w:color w:val="auto"/>
              </w:rPr>
            </w:pPr>
          </w:p>
        </w:tc>
        <w:tc>
          <w:tcPr>
            <w:tcW w:w="128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Common Units</w:t>
            </w:r>
          </w:p>
        </w:tc>
        <w:tc>
          <w:tcPr>
            <w:tcW w:w="140" w:type="dxa"/>
            <w:vAlign w:val="bottom"/>
          </w:tcPr>
          <w:p>
            <w:pPr>
              <w:spacing w:after="0"/>
              <w:rPr>
                <w:sz w:val="16"/>
                <w:szCs w:val="16"/>
                <w:color w:val="auto"/>
              </w:rPr>
            </w:pPr>
          </w:p>
        </w:tc>
        <w:tc>
          <w:tcPr>
            <w:tcW w:w="1340" w:type="dxa"/>
            <w:vAlign w:val="bottom"/>
          </w:tcPr>
          <w:p>
            <w:pPr>
              <w:jc w:val="right"/>
              <w:ind w:right="57"/>
              <w:spacing w:after="0"/>
              <w:rPr>
                <w:sz w:val="20"/>
                <w:szCs w:val="20"/>
                <w:color w:val="auto"/>
              </w:rPr>
            </w:pPr>
            <w:r>
              <w:rPr>
                <w:rFonts w:ascii="Arial" w:cs="Arial" w:eastAsia="Arial" w:hAnsi="Arial"/>
                <w:sz w:val="14"/>
                <w:szCs w:val="14"/>
                <w:b w:val="1"/>
                <w:bCs w:val="1"/>
                <w:color w:val="auto"/>
                <w:w w:val="91"/>
              </w:rPr>
              <w:t>Subordinated Units</w:t>
            </w:r>
          </w:p>
        </w:tc>
        <w:tc>
          <w:tcPr>
            <w:tcW w:w="100" w:type="dxa"/>
            <w:vAlign w:val="bottom"/>
          </w:tcPr>
          <w:p>
            <w:pPr>
              <w:spacing w:after="0"/>
              <w:rPr>
                <w:sz w:val="16"/>
                <w:szCs w:val="16"/>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b w:val="1"/>
                <w:bCs w:val="1"/>
                <w:color w:val="auto"/>
              </w:rPr>
              <w:t>Rights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declared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3,590</w:t>
            </w:r>
          </w:p>
        </w:tc>
        <w:tc>
          <w:tcPr>
            <w:tcW w:w="1240" w:type="dxa"/>
            <w:vAlign w:val="bottom"/>
            <w:tcBorders>
              <w:bottom w:val="single" w:sz="8" w:color="CCEEFF"/>
            </w:tcBorders>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7,655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Net income in excess of distribution</w:t>
            </w:r>
          </w:p>
        </w:tc>
        <w:tc>
          <w:tcPr>
            <w:tcW w:w="16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4,516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3,984</w:t>
            </w:r>
          </w:p>
        </w:tc>
        <w:tc>
          <w:tcPr>
            <w:tcW w:w="1240" w:type="dxa"/>
            <w:vAlign w:val="bottom"/>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14,373,615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12,686,115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27,059,730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per limited partner unit:</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Partnership and OpCo regularly enter into related party transactions with Westlake. See below for a description of transactions with related parties.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Related Parties</w:t>
      </w:r>
    </w:p>
    <w:p>
      <w:pPr>
        <w:spacing w:after="0" w:line="90"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OpCo sells ethylene to Westlake under the Ethylene Sales Agreement. Additionally, each of the Partnership and OpCo from time to time provide other services or products for which it charges Westlake a fee. Prior to the IPO, the Predecessor sold the majority of its ethylene to Westlake for use in Westlake's downstream operations.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to related parties were as follows:</w:t>
      </w:r>
    </w:p>
    <w:p>
      <w:pPr>
        <w:spacing w:after="0" w:line="230"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p>
      <w:pPr>
        <w:ind w:left="8960"/>
        <w:spacing w:after="0"/>
        <w:tabs>
          <w:tab w:leader="none" w:pos="1052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7" w:lineRule="exact"/>
        <w:rPr>
          <w:sz w:val="20"/>
          <w:szCs w:val="20"/>
          <w:color w:val="auto"/>
        </w:rPr>
      </w:pPr>
    </w:p>
    <w:p>
      <w:pPr>
        <w:ind w:left="10320"/>
        <w:spacing w:after="0"/>
        <w:rPr>
          <w:sz w:val="20"/>
          <w:szCs w:val="20"/>
          <w:color w:val="auto"/>
        </w:rPr>
      </w:pPr>
      <w:r>
        <w:rPr>
          <w:rFonts w:ascii="Arial" w:cs="Arial" w:eastAsia="Arial" w:hAnsi="Arial"/>
          <w:sz w:val="14"/>
          <w:szCs w:val="14"/>
          <w:b w:val="1"/>
          <w:bCs w:val="1"/>
          <w:i w:val="1"/>
          <w:iCs w:val="1"/>
          <w:color w:val="auto"/>
        </w:rPr>
        <w:t>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ind w:left="40"/>
        <w:spacing w:after="0"/>
        <w:tabs>
          <w:tab w:leader="none" w:pos="8360" w:val="left"/>
          <w:tab w:leader="none" w:pos="9120" w:val="left"/>
          <w:tab w:leader="none" w:pos="9960" w:val="left"/>
          <w:tab w:leader="none" w:pos="10700" w:val="left"/>
        </w:tabs>
        <w:rPr>
          <w:sz w:val="20"/>
          <w:szCs w:val="20"/>
          <w:color w:val="auto"/>
        </w:rPr>
      </w:pPr>
      <w:r>
        <w:rPr>
          <w:rFonts w:ascii="Arial" w:cs="Arial" w:eastAsia="Arial" w:hAnsi="Arial"/>
          <w:sz w:val="18"/>
          <w:szCs w:val="18"/>
          <w:color w:val="auto"/>
        </w:rPr>
        <w:t>Net sales—Westlake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208,913</w:t>
        <w:tab/>
        <w:t>$</w:t>
      </w:r>
      <w:r>
        <w:rPr>
          <w:sz w:val="20"/>
          <w:szCs w:val="20"/>
          <w:color w:val="auto"/>
        </w:rPr>
        <w:tab/>
      </w:r>
      <w:r>
        <w:rPr>
          <w:rFonts w:ascii="Arial" w:cs="Arial" w:eastAsia="Arial" w:hAnsi="Arial"/>
          <w:sz w:val="16"/>
          <w:szCs w:val="16"/>
          <w:color w:val="auto"/>
        </w:rPr>
        <w:t>383,927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from Related Parties</w:t>
      </w:r>
    </w:p>
    <w:p>
      <w:pPr>
        <w:spacing w:after="0" w:line="9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Charges for goods and services purchased by the Partnership and OpCo from Westlake and included in cost of sales relate primarily to feedstock purchased under the Feedstock Supply Agreement and services provided under the services and secondment agreement. Prior to the IPO, services provided by Westlake and included in cost of sales related primarily to services provided by employees of Westlake Management Services, Inc., a subsidiary of Westlake. The cost of services provided by employees of Westlake Management Services, Inc. was allocated to the Predecessor's operations primarily on the basis of direct usage.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AND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 cost of sales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r>
      <w:tr>
        <w:trPr>
          <w:trHeight w:val="264"/>
        </w:trPr>
        <w:tc>
          <w:tcPr>
            <w:tcW w:w="8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97"/>
              <w:spacing w:after="0"/>
              <w:rPr>
                <w:sz w:val="20"/>
                <w:szCs w:val="20"/>
                <w:color w:val="auto"/>
              </w:rPr>
            </w:pPr>
            <w:r>
              <w:rPr>
                <w:rFonts w:ascii="Arial" w:cs="Arial" w:eastAsia="Arial" w:hAnsi="Arial"/>
                <w:sz w:val="14"/>
                <w:szCs w:val="14"/>
                <w:b w:val="1"/>
                <w:bCs w:val="1"/>
                <w:i w:val="1"/>
                <w:iCs w:val="1"/>
                <w:color w:val="auto"/>
                <w:w w:val="97"/>
              </w:rPr>
              <w:t>Predecessor</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Feedstock purchased from Westlake and included in cost of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80,819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charges from Westlake and included in cost of sales</w:t>
            </w:r>
          </w:p>
        </w:tc>
        <w:tc>
          <w:tcPr>
            <w:tcW w:w="3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13,896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16,587</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94,715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16,587</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from Related Parties Included in Selling, General and Administrative Expenses</w:t>
      </w:r>
    </w:p>
    <w:p>
      <w:pPr>
        <w:spacing w:after="0" w:line="9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 Prior to the IPO, the Predecessor was allocated costs incurred by Westlake on its behalf for similar functions. These allocations were based primarily on the basis of direct usage when identifiable, with the remainder allocated on the basis of fixed assets, headcount or other measure. Management believes the allocation of expenses incurred by Westlake on the Predecessor's behalf are reasonable and reflect all costs related to the operations of the Predecessor. Nevertheless, the financial information of the Predecessor may not have included all of the expenses that would have been incurred had the Predecessor been a stand-alone company during the periods prior to the IPO.</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included within selling, general and administrative expenses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6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2014</w:t>
            </w:r>
          </w:p>
        </w:tc>
      </w:tr>
      <w:tr>
        <w:trPr>
          <w:trHeight w:val="264"/>
        </w:trPr>
        <w:tc>
          <w:tcPr>
            <w:tcW w:w="8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center"/>
              <w:ind w:right="182"/>
              <w:spacing w:after="0"/>
              <w:rPr>
                <w:sz w:val="20"/>
                <w:szCs w:val="20"/>
                <w:color w:val="auto"/>
              </w:rPr>
            </w:pPr>
            <w:r>
              <w:rPr>
                <w:rFonts w:ascii="Arial" w:cs="Arial" w:eastAsia="Arial" w:hAnsi="Arial"/>
                <w:sz w:val="14"/>
                <w:szCs w:val="14"/>
                <w:b w:val="1"/>
                <w:bCs w:val="1"/>
                <w:i w:val="1"/>
                <w:iCs w:val="1"/>
                <w:color w:val="auto"/>
                <w:w w:val="85"/>
              </w:rPr>
              <w:t>Predecessor</w:t>
            </w:r>
          </w:p>
        </w:tc>
      </w:tr>
      <w:tr>
        <w:trPr>
          <w:trHeight w:val="235"/>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 received from Westlake and included in selling,</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5,148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6,476</w:t>
            </w:r>
          </w:p>
        </w:tc>
      </w:tr>
      <w:tr>
        <w:trPr>
          <w:trHeight w:val="27"/>
        </w:trPr>
        <w:tc>
          <w:tcPr>
            <w:tcW w:w="8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Goods and Services from Related Parties Capitalized as Assets</w:t>
      </w:r>
    </w:p>
    <w:p>
      <w:pPr>
        <w:spacing w:after="0" w:line="90"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Charges for goods and services purchased by the Partnership and OpCo from Westlake which were capitalized as assets relate primarily to the services of Westlake employees under the Services and Secondment Agreement. Prior to the IPO, salaries and benefits of Westlake Management Services, Inc. were allocated to the Predecessor primarily on the basis of direct usage.</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for goods and services capitalized as assets were as follows:</w:t>
      </w:r>
    </w:p>
    <w:p>
      <w:pPr>
        <w:spacing w:after="0" w:line="230"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p>
      <w:pPr>
        <w:ind w:left="8960"/>
        <w:spacing w:after="0"/>
        <w:tabs>
          <w:tab w:leader="none" w:pos="1052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7" w:lineRule="exact"/>
        <w:rPr>
          <w:sz w:val="20"/>
          <w:szCs w:val="20"/>
          <w:color w:val="auto"/>
        </w:rPr>
      </w:pPr>
    </w:p>
    <w:p>
      <w:pPr>
        <w:ind w:left="10320"/>
        <w:spacing w:after="0"/>
        <w:rPr>
          <w:sz w:val="20"/>
          <w:szCs w:val="20"/>
          <w:color w:val="auto"/>
        </w:rPr>
      </w:pPr>
      <w:r>
        <w:rPr>
          <w:rFonts w:ascii="Arial" w:cs="Arial" w:eastAsia="Arial" w:hAnsi="Arial"/>
          <w:sz w:val="14"/>
          <w:szCs w:val="14"/>
          <w:b w:val="1"/>
          <w:bCs w:val="1"/>
          <w:i w:val="1"/>
          <w:iCs w:val="1"/>
          <w:color w:val="auto"/>
        </w:rPr>
        <w:t>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ind w:left="40"/>
        <w:spacing w:after="0"/>
        <w:tabs>
          <w:tab w:leader="none" w:pos="8360" w:val="left"/>
          <w:tab w:leader="none" w:pos="9440" w:val="left"/>
          <w:tab w:leader="none" w:pos="9960" w:val="left"/>
          <w:tab w:leader="none" w:pos="10880" w:val="left"/>
        </w:tabs>
        <w:rPr>
          <w:sz w:val="20"/>
          <w:szCs w:val="20"/>
          <w:color w:val="auto"/>
        </w:rPr>
      </w:pPr>
      <w:r>
        <w:rPr>
          <w:rFonts w:ascii="Arial" w:cs="Arial" w:eastAsia="Arial" w:hAnsi="Arial"/>
          <w:sz w:val="18"/>
          <w:szCs w:val="18"/>
          <w:color w:val="auto"/>
        </w:rPr>
        <w:t>Goods and services purchased from Westlake and capitalized as assets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962</w:t>
        <w:tab/>
        <w:t>$</w:t>
      </w:r>
      <w:r>
        <w:rPr>
          <w:sz w:val="20"/>
          <w:szCs w:val="20"/>
          <w:color w:val="auto"/>
        </w:rPr>
        <w:tab/>
      </w:r>
      <w:r>
        <w:rPr>
          <w:rFonts w:ascii="Arial" w:cs="Arial" w:eastAsia="Arial" w:hAnsi="Arial"/>
          <w:sz w:val="16"/>
          <w:szCs w:val="16"/>
          <w:color w:val="auto"/>
        </w:rPr>
        <w:t>1,830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from and Accounts Payable to Related Parties</w:t>
      </w:r>
    </w:p>
    <w:p>
      <w:pPr>
        <w:spacing w:after="0" w:line="90"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Partnership's accounts receivable from Westlake result primarily from ethylene sales to Westlake under the Ethylene Sales Agreement. The Partnership's accounts payable to Westlake result primarily from feedstock purchases under the Feedstock Supply Agreement and services provided under the Services and Secondment agreement and the Omnibus agreement.</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related party accounts receivable and accounts payable balances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9"/>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4160" w:type="dxa"/>
            <w:vAlign w:val="bottom"/>
            <w:tcBorders>
              <w:bottom w:val="single" w:sz="8" w:color="CCEEFF"/>
            </w:tcBorders>
          </w:tcPr>
          <w:p>
            <w:pPr>
              <w:spacing w:after="0"/>
              <w:rPr>
                <w:sz w:val="16"/>
                <w:szCs w:val="16"/>
                <w:color w:val="auto"/>
              </w:rPr>
            </w:pPr>
          </w:p>
        </w:tc>
        <w:tc>
          <w:tcPr>
            <w:tcW w:w="4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net—Westlake</w:t>
            </w:r>
          </w:p>
        </w:tc>
        <w:tc>
          <w:tcPr>
            <w:tcW w:w="4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37,982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18,529</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Accounts payable—Westlake</w:t>
            </w:r>
          </w:p>
        </w:tc>
        <w:tc>
          <w:tcPr>
            <w:tcW w:w="4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(7,470)</w:t>
            </w:r>
          </w:p>
        </w:tc>
      </w:tr>
      <w:tr>
        <w:trPr>
          <w:trHeight w:val="486"/>
        </w:trPr>
        <w:tc>
          <w:tcPr>
            <w:tcW w:w="4160" w:type="dxa"/>
            <w:vAlign w:val="bottom"/>
          </w:tcPr>
          <w:p>
            <w:pPr>
              <w:spacing w:after="0"/>
              <w:rPr>
                <w:sz w:val="24"/>
                <w:szCs w:val="24"/>
                <w:color w:val="auto"/>
              </w:rPr>
            </w:pPr>
          </w:p>
        </w:tc>
        <w:tc>
          <w:tcPr>
            <w:tcW w:w="4200" w:type="dxa"/>
            <w:vAlign w:val="bottom"/>
          </w:tcPr>
          <w:p>
            <w:pPr>
              <w:jc w:val="right"/>
              <w:ind w:right="251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AND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Payable to Related Parties</w:t>
      </w:r>
    </w:p>
    <w:p>
      <w:pPr>
        <w:spacing w:after="0" w:line="90"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OpCo assumed promissory notes payable to Westlake and entered into a senior unsecured revolving credit facility with Westlake in connection with the IPO. Prior to the IPO, the Predecessor funded certain capital expenditures through promissory notes payable to Westlake, a portion of which were assumed by the Partnership in connection with the IPO. See Note 9 for description of related party debt payable balances. Interest on related party debt payable balances for the three months ended March 31, 2015 and 2014 were $1,376 and $3,591, respectively, and is reflected as a component of other income (expense) in the combined and consolidated statement of operations. Interest capitalized as a component of property, plant and equipment on related party debt was $1,215 for the three months ended March 31, 2015. At March 31, 2015 and December 31, 2014, accrued interest on related party debt was $2,591 and $2,403, respectively, and is reflected as a component accrued liabilities in the consolidated balance sheet.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payable to related parties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26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2014</w:t>
            </w: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payable to Westlake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257,829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227,638</w:t>
            </w:r>
          </w:p>
        </w:tc>
      </w:tr>
      <w:tr>
        <w:trPr>
          <w:trHeight w:val="27"/>
        </w:trPr>
        <w:tc>
          <w:tcPr>
            <w:tcW w:w="8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OpCo, together with other subsidiaries of Westlake not included in these combined and consolidated financial statements, is a guarantor under Westlake's revolving credit facility and the indentures governing its senior notes. As of March 31, 2015 and December 31, 2014, Westlake had outstanding letters of credit totaling $29,959 and $31,392 under its revolving credit facility and $754,000 and $754,000 outstanding under its senior notes (less the unamortized discount of $862 and $921), respectively.</w:t>
      </w:r>
    </w:p>
    <w:p>
      <w:pPr>
        <w:spacing w:after="0" w:line="133" w:lineRule="exact"/>
        <w:rPr>
          <w:sz w:val="20"/>
          <w:szCs w:val="20"/>
          <w:color w:val="auto"/>
        </w:rPr>
      </w:pPr>
    </w:p>
    <w:p>
      <w:pPr>
        <w:ind w:right="520" w:firstLine="405"/>
        <w:spacing w:after="0" w:line="342" w:lineRule="auto"/>
        <w:rPr>
          <w:sz w:val="20"/>
          <w:szCs w:val="20"/>
          <w:color w:val="auto"/>
        </w:rPr>
      </w:pPr>
      <w:r>
        <w:rPr>
          <w:rFonts w:ascii="Arial" w:cs="Arial" w:eastAsia="Arial" w:hAnsi="Arial"/>
          <w:sz w:val="16"/>
          <w:szCs w:val="16"/>
          <w:color w:val="auto"/>
        </w:rPr>
        <w:t>The indentures governing Westlake's senior notes prevent OpCo from making distributions to the Partnership if any default or event of default (as defined in the indentures) exists. However, Westlake's credit facility does not prevent OpCo from making distributions to the Partnership.</w:t>
      </w:r>
    </w:p>
    <w:p>
      <w:pPr>
        <w:spacing w:after="0" w:line="70" w:lineRule="exact"/>
        <w:rPr>
          <w:sz w:val="20"/>
          <w:szCs w:val="20"/>
          <w:color w:val="auto"/>
        </w:rPr>
      </w:pPr>
    </w:p>
    <w:p>
      <w:pPr>
        <w:ind w:right="260" w:firstLine="392"/>
        <w:spacing w:after="0" w:line="277" w:lineRule="auto"/>
        <w:rPr>
          <w:sz w:val="20"/>
          <w:szCs w:val="20"/>
          <w:color w:val="auto"/>
        </w:rPr>
      </w:pPr>
      <w:r>
        <w:rPr>
          <w:rFonts w:ascii="Arial" w:cs="Arial" w:eastAsia="Arial" w:hAnsi="Arial"/>
          <w:sz w:val="18"/>
          <w:szCs w:val="18"/>
          <w:color w:val="auto"/>
        </w:rPr>
        <w:t>OpCo has entered into two site lease agreements with Westlake in connection with the IPO, and each has a term of 50 years. Pursuant to the site lease agreements, OpCo pays Westlake one dollar per site per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 Payable to Westlake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payable to Westlake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80" w:type="dxa"/>
            <w:vAlign w:val="bottom"/>
          </w:tcPr>
          <w:p>
            <w:pPr>
              <w:jc w:val="right"/>
              <w:ind w:right="25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r>
      <w:tr>
        <w:trPr>
          <w:trHeight w:val="215"/>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August 2013 Promissory Notes (variable interest rate of prime plus 1.5%,</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7"/>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original scheduled maturity of August 1, 2023)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167,116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167,116</w:t>
            </w:r>
          </w:p>
        </w:tc>
      </w:tr>
      <w:tr>
        <w:trPr>
          <w:trHeight w:val="229"/>
        </w:trPr>
        <w:tc>
          <w:tcPr>
            <w:tcW w:w="8320" w:type="dxa"/>
            <w:vAlign w:val="bottom"/>
          </w:tcPr>
          <w:p>
            <w:pPr>
              <w:ind w:left="40"/>
              <w:spacing w:after="0"/>
              <w:rPr>
                <w:sz w:val="20"/>
                <w:szCs w:val="20"/>
                <w:color w:val="auto"/>
              </w:rPr>
            </w:pPr>
            <w:r>
              <w:rPr>
                <w:rFonts w:ascii="Arial" w:cs="Arial" w:eastAsia="Arial" w:hAnsi="Arial"/>
                <w:sz w:val="18"/>
                <w:szCs w:val="18"/>
                <w:color w:val="auto"/>
              </w:rPr>
              <w:t>Senior unsecured revolving credit facility (variable interest rate of LIBOR</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320" w:type="dxa"/>
            <w:vAlign w:val="bottom"/>
          </w:tcPr>
          <w:p>
            <w:pPr>
              <w:ind w:left="180"/>
              <w:spacing w:after="0"/>
              <w:rPr>
                <w:sz w:val="20"/>
                <w:szCs w:val="20"/>
                <w:color w:val="auto"/>
              </w:rPr>
            </w:pPr>
            <w:r>
              <w:rPr>
                <w:rFonts w:ascii="Arial" w:cs="Arial" w:eastAsia="Arial" w:hAnsi="Arial"/>
                <w:sz w:val="18"/>
                <w:szCs w:val="18"/>
                <w:color w:val="auto"/>
              </w:rPr>
              <w:t>plus 3.0%, original scheduled maturity of August 4, 2019)</w:t>
            </w:r>
          </w:p>
        </w:tc>
        <w:tc>
          <w:tcPr>
            <w:tcW w:w="280" w:type="dxa"/>
            <w:vAlign w:val="bottom"/>
          </w:tcPr>
          <w:p>
            <w:pPr>
              <w:spacing w:after="0"/>
              <w:rPr>
                <w:sz w:val="20"/>
                <w:szCs w:val="20"/>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90,713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60,522</w:t>
            </w: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257,829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227,638</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 2013, three intercompany promissory notes were issued for capital expenditures incurred by Westlake on behalf of the Predecessor's operations (together, the "August 2013 Promissory Notes"). In connection with the IPO, OpCo assumed a portion of the August 2013 Promissory Notes. Proceeds drawn under the August 2013 Promissory Notes during the three months ended March 31, 2015 and 2014 were used to fund capital expenditures at the Partnership's and the Predecessor's ethylene plants.</w:t>
      </w:r>
    </w:p>
    <w:p>
      <w:pPr>
        <w:spacing w:after="0" w:line="133" w:lineRule="exact"/>
        <w:rPr>
          <w:sz w:val="20"/>
          <w:szCs w:val="20"/>
          <w:color w:val="auto"/>
        </w:rPr>
      </w:pPr>
    </w:p>
    <w:p>
      <w:pPr>
        <w:ind w:right="440" w:firstLine="405"/>
        <w:spacing w:after="0" w:line="308" w:lineRule="auto"/>
        <w:rPr>
          <w:sz w:val="20"/>
          <w:szCs w:val="20"/>
          <w:color w:val="auto"/>
        </w:rPr>
      </w:pPr>
      <w:r>
        <w:rPr>
          <w:rFonts w:ascii="Arial" w:cs="Arial" w:eastAsia="Arial" w:hAnsi="Arial"/>
          <w:sz w:val="17"/>
          <w:szCs w:val="17"/>
          <w:color w:val="auto"/>
        </w:rPr>
        <w:t>In connection with the IPO on August 4, 2014, OpCo entered into a senior unsecured revolving credit facility agreement with Westlake. The credit facility accrues interest quarterly at a rate of LIBOR plus 3.0%, which may be paid-in-kind as an addition to the principal at OpCo's option.</w:t>
      </w:r>
    </w:p>
    <w:p>
      <w:pPr>
        <w:spacing w:after="0" w:line="93"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As of March 31, 2015, the Partnership was in compliance with all of the covenants with respect to the August 2013 Promissory Notes and the senior unsecured revolving credit facility.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AND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Unit-based Compensation</w:t>
      </w:r>
    </w:p>
    <w:p>
      <w:pPr>
        <w:spacing w:after="0" w:line="94"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The Westlake Chemical Partners LP Long-Term Incentive Plan (the "Plan") provides for grants of unit options, restricted units, phantom units, unit awards, distribution equivalent rights ("DERs") and other unit-based awards. Awards under the Plan are determined by the board of directors of the Partnership's general partner or a committee thereof (the "Committee"). The Committee granted 2,536 phantom units on January 30, 2015 along with a corresponding number of DERs. At March 31, 2015, 6,940 phantom units were outstanding. The compensation cost recognized under the Plan during the three months ended March 31, 2015 was $13.</w:t>
      </w:r>
    </w:p>
    <w:p>
      <w:pPr>
        <w:spacing w:after="0" w:line="211" w:lineRule="exact"/>
        <w:rPr>
          <w:sz w:val="20"/>
          <w:szCs w:val="20"/>
          <w:color w:val="auto"/>
        </w:rPr>
      </w:pPr>
    </w:p>
    <w:p>
      <w:pPr>
        <w:ind w:right="9160" w:firstLine="8"/>
        <w:spacing w:after="0" w:line="416" w:lineRule="auto"/>
        <w:tabs>
          <w:tab w:leader="none" w:pos="26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Derivative Instruments </w:t>
      </w:r>
      <w:r>
        <w:rPr>
          <w:rFonts w:ascii="Arial" w:cs="Arial" w:eastAsia="Arial" w:hAnsi="Arial"/>
          <w:sz w:val="15"/>
          <w:szCs w:val="15"/>
          <w:b w:val="1"/>
          <w:bCs w:val="1"/>
          <w:i w:val="1"/>
          <w:iCs w:val="1"/>
          <w:color w:val="auto"/>
        </w:rPr>
        <w:t>Commodity Risk Management</w:t>
      </w:r>
    </w:p>
    <w:p>
      <w:pPr>
        <w:ind w:firstLine="432"/>
        <w:spacing w:after="0" w:line="297" w:lineRule="auto"/>
        <w:rPr>
          <w:sz w:val="20"/>
          <w:szCs w:val="20"/>
          <w:color w:val="auto"/>
        </w:rPr>
      </w:pPr>
      <w:r>
        <w:rPr>
          <w:rFonts w:ascii="Arial" w:cs="Arial" w:eastAsia="Arial" w:hAnsi="Arial"/>
          <w:sz w:val="16"/>
          <w:szCs w:val="16"/>
          <w:color w:val="auto"/>
        </w:rPr>
        <w:t>The Predecessor used derivative instruments to reduce price volatility risk on raw materials and products as a substantial portion of its raw materials and products were commodities whose prices fluctuate as market supply and demand fundamentals change. The Predecessor also employed strategies to protect against such instability, including ethylene product feedstock flexibility. The Predecessor did not use derivative instruments to engage in speculative activities. The Partnership has not engaged in any hedging activity and did not use derivative instruments in the period subsequent to the IPO. Therefore, there are no derivative assets or liabilities reflected in the consolidated balance sheets of the Partnership as of March 31, 2015 or December 31, 2014.</w:t>
      </w:r>
    </w:p>
    <w:p>
      <w:pPr>
        <w:spacing w:after="0" w:line="10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Partnership and the Predecessor had no derivative instruments that were designated as fair value hedges for the three months ended March 31, 2015 and March 31, 2014. There were no open derivative positions at March 31, 2015 or December 31, 2014.</w:t>
      </w:r>
    </w:p>
    <w:p>
      <w:pPr>
        <w:spacing w:after="0" w:line="116"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The impact of derivative instruments that have not been designated as hedges in the combined and consolidated statements of operations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 of Gain (Loss)</w:t>
            </w:r>
          </w:p>
        </w:tc>
        <w:tc>
          <w:tcPr>
            <w:tcW w:w="340" w:type="dxa"/>
            <w:vAlign w:val="bottom"/>
          </w:tcPr>
          <w:p>
            <w:pPr>
              <w:spacing w:after="0"/>
              <w:rPr>
                <w:sz w:val="14"/>
                <w:szCs w:val="14"/>
                <w:color w:val="auto"/>
              </w:rPr>
            </w:pPr>
          </w:p>
        </w:tc>
        <w:tc>
          <w:tcPr>
            <w:tcW w:w="2720" w:type="dxa"/>
            <w:vAlign w:val="bottom"/>
            <w:gridSpan w:val="4"/>
          </w:tcPr>
          <w:p>
            <w:pPr>
              <w:jc w:val="right"/>
              <w:ind w:right="44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50"/>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8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5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08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vMerge w:val="restart"/>
          </w:tcPr>
          <w:p>
            <w:pPr>
              <w:jc w:val="right"/>
              <w:ind w:right="52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vMerge w:val="restart"/>
          </w:tcPr>
          <w:p>
            <w:pPr>
              <w:jc w:val="right"/>
              <w:ind w:right="52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5280" w:type="dxa"/>
            <w:vAlign w:val="bottom"/>
            <w:gridSpan w:val="2"/>
            <w:vMerge w:val="continue"/>
          </w:tcPr>
          <w:p>
            <w:pPr>
              <w:spacing w:after="0"/>
              <w:rPr>
                <w:sz w:val="16"/>
                <w:szCs w:val="16"/>
                <w:color w:val="auto"/>
              </w:rPr>
            </w:pPr>
          </w:p>
        </w:tc>
        <w:tc>
          <w:tcPr>
            <w:tcW w:w="3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Income on Derivative</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center"/>
              <w:ind w:right="182"/>
              <w:spacing w:after="0"/>
              <w:rPr>
                <w:sz w:val="20"/>
                <w:szCs w:val="20"/>
                <w:color w:val="auto"/>
              </w:rPr>
            </w:pPr>
            <w:r>
              <w:rPr>
                <w:rFonts w:ascii="Arial" w:cs="Arial" w:eastAsia="Arial" w:hAnsi="Arial"/>
                <w:sz w:val="14"/>
                <w:szCs w:val="14"/>
                <w:b w:val="1"/>
                <w:bCs w:val="1"/>
                <w:i w:val="1"/>
                <w:iCs w:val="1"/>
                <w:color w:val="auto"/>
                <w:w w:val="85"/>
              </w:rPr>
              <w:t>Predecessor</w:t>
            </w:r>
          </w:p>
        </w:tc>
        <w:tc>
          <w:tcPr>
            <w:tcW w:w="0" w:type="dxa"/>
            <w:vAlign w:val="bottom"/>
          </w:tcPr>
          <w:p>
            <w:pPr>
              <w:spacing w:after="0"/>
              <w:rPr>
                <w:sz w:val="1"/>
                <w:szCs w:val="1"/>
                <w:color w:val="auto"/>
              </w:rPr>
            </w:pPr>
          </w:p>
        </w:tc>
      </w:tr>
      <w:tr>
        <w:trPr>
          <w:trHeight w:val="27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Commodity forward contracts</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17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There were no assets or liabilities accounted for at fair value on a recurring basis as of March 31, 2015 and December 31, 2014. There were no transfers in or out of Levels 1 and 2 of the fair value hierarchy for the three months ended March 31, 2015 and 2014.</w:t>
      </w:r>
    </w:p>
    <w:p>
      <w:pPr>
        <w:spacing w:after="0" w:line="116"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The Partnership has other financial assets and liabilities subject to fair value measures. These financial assets and liabilities include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March 31, 2015 and December 31, 2014 are summarized in the table below. The Partnership's long-term debt includes related party promissory notes issued to Westlake and a senior unsecured revolving credit facility that OpCo entered into with Westlake in connection with the IPO. The fair value of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AND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term debt are classified as Level 3 within the fair value hierarchy. Inputs used to estimate the fair values of the Partnership's long-term debt include the selection of an appropriate discount rate.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2015</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2014</w:t>
            </w:r>
          </w:p>
        </w:tc>
        <w:tc>
          <w:tcPr>
            <w:tcW w:w="92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Carrying</w:t>
            </w:r>
          </w:p>
        </w:tc>
        <w:tc>
          <w:tcPr>
            <w:tcW w:w="500" w:type="dxa"/>
            <w:vAlign w:val="bottom"/>
          </w:tcPr>
          <w:p>
            <w:pPr>
              <w:spacing w:after="0"/>
              <w:rPr>
                <w:sz w:val="13"/>
                <w:szCs w:val="13"/>
                <w:color w:val="auto"/>
              </w:rPr>
            </w:pPr>
          </w:p>
        </w:tc>
        <w:tc>
          <w:tcPr>
            <w:tcW w:w="1080" w:type="dxa"/>
            <w:vAlign w:val="bottom"/>
            <w:gridSpan w:val="2"/>
          </w:tcPr>
          <w:p>
            <w:pPr>
              <w:jc w:val="center"/>
              <w:ind w:right="58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560" w:type="dxa"/>
            <w:vAlign w:val="bottom"/>
          </w:tcPr>
          <w:p>
            <w:pPr>
              <w:spacing w:after="0"/>
              <w:rPr>
                <w:sz w:val="13"/>
                <w:szCs w:val="13"/>
                <w:color w:val="auto"/>
              </w:rPr>
            </w:pPr>
          </w:p>
        </w:tc>
        <w:tc>
          <w:tcPr>
            <w:tcW w:w="920" w:type="dxa"/>
            <w:vAlign w:val="bottom"/>
          </w:tcPr>
          <w:p>
            <w:pPr>
              <w:jc w:val="right"/>
              <w:ind w:right="519"/>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500" w:type="dxa"/>
            <w:vAlign w:val="bottom"/>
          </w:tcPr>
          <w:p>
            <w:pPr>
              <w:spacing w:after="0"/>
              <w:rPr>
                <w:sz w:val="16"/>
                <w:szCs w:val="16"/>
                <w:color w:val="auto"/>
              </w:rPr>
            </w:pPr>
          </w:p>
        </w:tc>
        <w:tc>
          <w:tcPr>
            <w:tcW w:w="10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560" w:type="dxa"/>
            <w:vAlign w:val="bottom"/>
          </w:tcPr>
          <w:p>
            <w:pPr>
              <w:spacing w:after="0"/>
              <w:rPr>
                <w:sz w:val="16"/>
                <w:szCs w:val="16"/>
                <w:color w:val="auto"/>
              </w:rPr>
            </w:pPr>
          </w:p>
        </w:tc>
        <w:tc>
          <w:tcPr>
            <w:tcW w:w="920" w:type="dxa"/>
            <w:vAlign w:val="bottom"/>
          </w:tcPr>
          <w:p>
            <w:pPr>
              <w:jc w:val="right"/>
              <w:ind w:right="479"/>
              <w:spacing w:after="0"/>
              <w:rPr>
                <w:sz w:val="20"/>
                <w:szCs w:val="20"/>
                <w:color w:val="auto"/>
              </w:rPr>
            </w:pPr>
            <w:r>
              <w:rPr>
                <w:rFonts w:ascii="Arial" w:cs="Arial" w:eastAsia="Arial" w:hAnsi="Arial"/>
                <w:sz w:val="14"/>
                <w:szCs w:val="14"/>
                <w:b w:val="1"/>
                <w:bCs w:val="1"/>
                <w:color w:val="auto"/>
                <w:w w:val="90"/>
              </w:rPr>
              <w:t>Value</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2013 Promissory Notes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167,116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167,116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167,116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167,116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Senior unsecured revolving credit facility</w:t>
            </w:r>
          </w:p>
        </w:tc>
        <w:tc>
          <w:tcPr>
            <w:tcW w:w="280" w:type="dxa"/>
            <w:vAlign w:val="bottom"/>
          </w:tcPr>
          <w:p>
            <w:pPr>
              <w:spacing w:after="0"/>
              <w:rPr>
                <w:sz w:val="21"/>
                <w:szCs w:val="21"/>
                <w:color w:val="auto"/>
              </w:rPr>
            </w:pPr>
          </w:p>
        </w:tc>
        <w:tc>
          <w:tcPr>
            <w:tcW w:w="1220" w:type="dxa"/>
            <w:vAlign w:val="bottom"/>
          </w:tcPr>
          <w:p>
            <w:pPr>
              <w:jc w:val="right"/>
              <w:ind w:right="41"/>
              <w:spacing w:after="0"/>
              <w:rPr>
                <w:sz w:val="20"/>
                <w:szCs w:val="20"/>
                <w:color w:val="auto"/>
              </w:rPr>
            </w:pPr>
            <w:r>
              <w:rPr>
                <w:rFonts w:ascii="Arial" w:cs="Arial" w:eastAsia="Arial" w:hAnsi="Arial"/>
                <w:sz w:val="18"/>
                <w:szCs w:val="18"/>
                <w:color w:val="auto"/>
              </w:rPr>
              <w:t>90,713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103,326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21"/>
              <w:spacing w:after="0"/>
              <w:rPr>
                <w:sz w:val="20"/>
                <w:szCs w:val="20"/>
                <w:color w:val="auto"/>
              </w:rPr>
            </w:pPr>
            <w:r>
              <w:rPr>
                <w:rFonts w:ascii="Arial" w:cs="Arial" w:eastAsia="Arial" w:hAnsi="Arial"/>
                <w:sz w:val="18"/>
                <w:szCs w:val="18"/>
                <w:color w:val="auto"/>
              </w:rPr>
              <w:t>60,522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60,522</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94" w:lineRule="exact"/>
        <w:rPr>
          <w:sz w:val="20"/>
          <w:szCs w:val="20"/>
          <w:color w:val="auto"/>
        </w:rPr>
      </w:pPr>
    </w:p>
    <w:p>
      <w:pPr>
        <w:ind w:right="200" w:firstLine="405"/>
        <w:spacing w:after="0" w:line="276" w:lineRule="auto"/>
        <w:rPr>
          <w:sz w:val="20"/>
          <w:szCs w:val="20"/>
          <w:color w:val="auto"/>
        </w:rPr>
      </w:pPr>
      <w:r>
        <w:rPr>
          <w:rFonts w:ascii="Arial" w:cs="Arial" w:eastAsia="Arial" w:hAnsi="Arial"/>
          <w:sz w:val="17"/>
          <w:szCs w:val="17"/>
          <w:color w:val="auto"/>
        </w:rPr>
        <w:t>The Partnership is a limited partnership and is treated as a partnership for U.S. federal income tax purposes and, therefore, is not liable for entity-level federal income taxes. The Partnership is, however, subject to state and local income taxes. The Predecessor's operating results were included in Westlake's consolidated U.S. federal and state income tax returns. Amounts presented in the combined financial statements prior to the IPO relate to income taxes that have been determined on a separate tax return basis, and the Predecessor's contribution to Westlake Chemical Corporation's net operating losses and tax credits have been included in the Predecessor's financial statements.</w:t>
      </w:r>
    </w:p>
    <w:p>
      <w:pPr>
        <w:spacing w:after="0" w:line="6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effective income tax rate was 0.5% for the first quarter of 2015. The effective income tax rate for the first quarter of 2015 is not comparable to the effective income tax rate for the prior-year period as the Partnership is not subject to federal income taxes subsequent to the IPO. The effective income tax rate of the Predecessor was 35.2% for the three months ended March 31, 2014. The effective income tax rate for the three months ended March 31, 2014 was above the U.S. federal statutory rate of 35.0% primarily due to state income taxes, mostly offset by the domestic manufacturing deduction and state income tax credits.</w:t>
      </w:r>
    </w:p>
    <w:p>
      <w:pPr>
        <w:spacing w:after="0" w:line="211" w:lineRule="exact"/>
        <w:rPr>
          <w:sz w:val="20"/>
          <w:szCs w:val="20"/>
          <w:color w:val="auto"/>
        </w:rPr>
      </w:pPr>
    </w:p>
    <w:p>
      <w:pPr>
        <w:ind w:right="9100" w:firstLine="8"/>
        <w:spacing w:after="0" w:line="390" w:lineRule="auto"/>
        <w:tabs>
          <w:tab w:leader="none" w:pos="27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Non-cash Operating Activity</w:t>
      </w:r>
    </w:p>
    <w:p>
      <w:pPr>
        <w:ind w:right="140" w:firstLine="405"/>
        <w:spacing w:after="0" w:line="277" w:lineRule="auto"/>
        <w:rPr>
          <w:sz w:val="20"/>
          <w:szCs w:val="20"/>
          <w:color w:val="auto"/>
        </w:rPr>
      </w:pPr>
      <w:r>
        <w:rPr>
          <w:rFonts w:ascii="Arial" w:cs="Arial" w:eastAsia="Arial" w:hAnsi="Arial"/>
          <w:sz w:val="18"/>
          <w:szCs w:val="18"/>
          <w:color w:val="auto"/>
        </w:rPr>
        <w:t>The Partnership and the Predecessor settled none and $3,342 of its total interest expense incurred on long-term debt payable to Westlake as an addition to principal on debt outstanding for the three months ended March 31, 2015 and 2014,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Activity</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change in capital expenditure accrual reducing additions to property, plant and equipment was $545 for the three months ended March 31, 2015.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change in capital expenditure accrual increasing additions to property, plant and equipment was $5,264 for the three months ended March 31, 2014.</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Income Taxes</w:t>
      </w:r>
    </w:p>
    <w:p>
      <w:pPr>
        <w:spacing w:after="0" w:line="90"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Westlake uses a centralized cash management system to finance its operations. Interest paid, net of interest capitalized, and income taxes have been paid directly by Westlake and charged to the Predecessor through related party accounts receivable, net. Related party accounts receivable, net were settled immediately through net investment, and therefore, the Predecessor did not pay cash for interest expense or income tax expense during the three months ended March 31, 2014. Interest paid, net of interest capitalized was $2,403 for the three months ended March 31, 2015.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w:t>
      </w:r>
      <w:r>
        <w:rPr>
          <w:rFonts w:ascii="Arial" w:cs="Arial" w:eastAsia="Arial" w:hAnsi="Arial"/>
          <w:sz w:val="18"/>
          <w:szCs w:val="18"/>
          <w:color w:val="auto"/>
        </w:rPr>
        <w:t>.</w:t>
      </w:r>
      <w:r>
        <w:rPr>
          <w:rFonts w:ascii="Arial" w:cs="Arial" w:eastAsia="Arial" w:hAnsi="Arial"/>
          <w:sz w:val="18"/>
          <w:szCs w:val="18"/>
          <w:b w:val="1"/>
          <w:bCs w:val="1"/>
          <w:color w:val="auto"/>
        </w:rPr>
        <w:t xml:space="preserve"> Major Customer and Concentration of Credit Risk</w:t>
      </w:r>
    </w:p>
    <w:p>
      <w:pPr>
        <w:spacing w:after="0" w:line="94"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During the three months ended March 31, 2015 and 2014, Westlake accounted for approximately 80.9% and 68.6%, respectively, of the Partnership's and the Predecessor's net sales.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94"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Partnership is subject to environmental laws and regulations that can impose civil and criminal sanctions and that may require it to mitigate the effects of contamination caused by the release or disposal of hazardous substances into the environment. Because several of the Partnership's production sites have a history of industrial use, it is impossible to predict precisely what effect these legal requirements will have on the Partnership. Westlake has agreed to indemnify the Partnership for liabilities that occurred or existed prior to August 4, 2014.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AND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i w:val="1"/>
          <w:iCs w:val="1"/>
          <w:color w:val="auto"/>
        </w:rPr>
        <w:t>Contract Disputes with Goodrich and PolyOne</w:t>
      </w:r>
      <w:r>
        <w:rPr>
          <w:rFonts w:ascii="Arial" w:cs="Arial" w:eastAsia="Arial" w:hAnsi="Arial"/>
          <w:sz w:val="16"/>
          <w:szCs w:val="16"/>
          <w:color w:val="auto"/>
        </w:rPr>
        <w:t>. In connection with the 1990 and 1997 acquisitions of the Goodrich Corporation ("Goodrich") chemical</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facility in Calvert City, Kentucky, which is a portion of the B.F. Goodrich superfund site, Goodrich agreed to indemnify Westlake for any liabilities related to preexisting contamination at the site. Westlake agreed to indemnify Goodrich for post-closing contamination caused by Westlake's operations. The soil and groundwater at the site had been extensively contaminated under Goodrich's operations. In 1993, Goodrich spun off the predecessor of PolyOne Corporation ("PolyOne"), and that predecessor assumed Goodrich's indemnification obligations relating to preexisting contamination.</w:t>
      </w:r>
    </w:p>
    <w:p>
      <w:pPr>
        <w:spacing w:after="0" w:line="104"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In 2003, litigation arose among Westlake, Goodrich and PolyOne with respect to the allocation of the cost of remediating contamination at the site. The parties settled this litigation in December 2007, and the case was dismissed. In the settlement the parties agreed that, among other things: (1) PolyOne would pay 100.0% of the costs (with specified exceptions), net of recoveries or credits from third parties, incurred with respect to environmental issues at the Calvert City site from August 1, 2007 forward; (2) either Westlake or PolyOne might, from time to time in the future (but not more than once every five years), institute an arbitration proceeding to adjust that percentage; and (3) Westlake and PolyOne would negotiate a new environmental remediation utilities and services and secondment agreement to cover Westlake's provision to or on behalf of PolyOne of certain environmental remediation services at the site. The current environmental remediation activities at the Calvert City site do not have a specified termination date but are expected to last for the foreseeable future. The costs incurred by Westlake that have been invoiced to PolyOne to provide the environmental remediation services were $2,805 in 2014. By letter dated March 16, 2010, PolyOne notified Westlake that it was initiating an arbitration proceeding under the settlement agreement. In this proceeding, PolyOne seeks to readjust the percentage allocation of costs and to recover approximately $1,400 from Westlake in reimbursement of previously paid remediation costs. The arbitration is currently stayed pending the outcome of discussions between other parties and their insurance carriers.</w:t>
      </w:r>
    </w:p>
    <w:p>
      <w:pPr>
        <w:spacing w:after="0" w:line="119" w:lineRule="exact"/>
        <w:rPr>
          <w:sz w:val="20"/>
          <w:szCs w:val="20"/>
          <w:color w:val="auto"/>
        </w:rPr>
      </w:pPr>
    </w:p>
    <w:p>
      <w:pPr>
        <w:ind w:right="20" w:firstLine="392"/>
        <w:spacing w:after="0" w:line="271" w:lineRule="auto"/>
        <w:rPr>
          <w:sz w:val="20"/>
          <w:szCs w:val="20"/>
          <w:color w:val="auto"/>
        </w:rPr>
      </w:pPr>
      <w:r>
        <w:rPr>
          <w:rFonts w:ascii="Arial" w:cs="Arial" w:eastAsia="Arial" w:hAnsi="Arial"/>
          <w:sz w:val="17"/>
          <w:szCs w:val="17"/>
          <w:i w:val="1"/>
          <w:iCs w:val="1"/>
          <w:color w:val="auto"/>
        </w:rPr>
        <w:t>State Administrative Proceedings</w:t>
      </w:r>
      <w:r>
        <w:rPr>
          <w:rFonts w:ascii="Arial" w:cs="Arial" w:eastAsia="Arial" w:hAnsi="Arial"/>
          <w:sz w:val="17"/>
          <w:szCs w:val="17"/>
          <w:color w:val="auto"/>
        </w:rPr>
        <w:t>. There are several administrative proceedings in Kentucky involving Westlake, Goodrich and PolyOne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manufacturing site in Calvert City, which includes OpCo's ethylene production facility in Calvert City. In 2003, the Kentucky Environmental and Public Protection Cabinet (the "Cabinet") re-issued Goodrich's Resource Conservation and Recovery Act ("RCRA") permit which requires Goodrich to remediate contamination at the Calvert City manufacturing site. Both Goodrich and PolyOne challenged various terms of the permit in an attempt to shift Goodrich's clean-up obligations under the permit to Westlake. Westlake intervened in the proceedings. The Cabinet has suspended all corrective action under the RCRA permit in deference to a remedial investigation and feasibility study ("RIFS") being conducted, under the auspices of the U.S. Environmental Protection Agency ("EPA") pursuant to an Administrative Settlement Agreement ("AOC"), which became effective on December 9, 2009. See "Federal Administrative Proceedings" below. Periodic status conferences will be held to evaluate whether additional proceedings will be required.</w:t>
      </w:r>
    </w:p>
    <w:p>
      <w:pPr>
        <w:spacing w:after="0" w:line="125" w:lineRule="exact"/>
        <w:rPr>
          <w:sz w:val="20"/>
          <w:szCs w:val="20"/>
          <w:color w:val="auto"/>
        </w:rPr>
      </w:pPr>
    </w:p>
    <w:p>
      <w:pPr>
        <w:ind w:right="80" w:firstLine="392"/>
        <w:spacing w:after="0" w:line="270" w:lineRule="auto"/>
        <w:rPr>
          <w:sz w:val="20"/>
          <w:szCs w:val="20"/>
          <w:color w:val="auto"/>
        </w:rPr>
      </w:pPr>
      <w:r>
        <w:rPr>
          <w:rFonts w:ascii="Arial" w:cs="Arial" w:eastAsia="Arial" w:hAnsi="Arial"/>
          <w:sz w:val="17"/>
          <w:szCs w:val="17"/>
          <w:i w:val="1"/>
          <w:iCs w:val="1"/>
          <w:color w:val="auto"/>
        </w:rPr>
        <w:t>Federal Administrative Proceedings</w:t>
      </w:r>
      <w:r>
        <w:rPr>
          <w:rFonts w:ascii="Arial" w:cs="Arial" w:eastAsia="Arial" w:hAnsi="Arial"/>
          <w:sz w:val="17"/>
          <w:szCs w:val="17"/>
          <w:color w:val="auto"/>
        </w:rPr>
        <w:t>. In May 2009, the Cabinet sent a letter to the EPA requesting the EPA's assistance in addressing contamination at</w:t>
      </w:r>
      <w:r>
        <w:rPr>
          <w:rFonts w:ascii="Arial" w:cs="Arial" w:eastAsia="Arial" w:hAnsi="Arial"/>
          <w:sz w:val="17"/>
          <w:szCs w:val="17"/>
          <w:i w:val="1"/>
          <w:iCs w:val="1"/>
          <w:color w:val="auto"/>
        </w:rPr>
        <w:t xml:space="preserve"> </w:t>
      </w:r>
      <w:r>
        <w:rPr>
          <w:rFonts w:ascii="Arial" w:cs="Arial" w:eastAsia="Arial" w:hAnsi="Arial"/>
          <w:sz w:val="17"/>
          <w:szCs w:val="17"/>
          <w:color w:val="auto"/>
        </w:rPr>
        <w:t>the Calvert City site under the Comprehensive Environmental Response, Compensation, and Liability Act ("CERCLA"). In its response to the Cabinet, the EPA stated that it concurred with the Cabinet's request and would incorporate work previously conducted under the Cabinet's RCRA authority into the EPA's cleanup efforts under CERCLA. Since 1983, the EPA has been addressing contamination at an abandoned landfill adjacent to the Partnership's plant which had been operated by Goodrich and which was being remediated pursuant to CERCLA. The EPA has directed Goodrich and PolyOne to conduct additional investigation activities at the landfill and at the Calvert City site. In June 2009, the EPA notified Westlake that Westlake may have potential liability under section 107(a) of CERCLA at its plant site. Liability under section 107(a) of CERCLA is strict and joint and several. The EPA also identified Goodrich and PolyOne, among others, as potentially responsible parties at the plant site. Westlake negotiated, in conjunction with the other potentially responsible parties, an AOC and an order to conduct an RIFS. Due to the Partnership's ownership and current operation of the property, the Partnership may be subject to additional requirements and liabilities under CERCLA.</w:t>
      </w:r>
    </w:p>
    <w:p>
      <w:pPr>
        <w:spacing w:after="0" w:line="124" w:lineRule="exact"/>
        <w:rPr>
          <w:sz w:val="20"/>
          <w:szCs w:val="20"/>
          <w:color w:val="auto"/>
        </w:rPr>
      </w:pPr>
    </w:p>
    <w:p>
      <w:pPr>
        <w:ind w:right="80" w:firstLine="392"/>
        <w:spacing w:after="0" w:line="271" w:lineRule="auto"/>
        <w:rPr>
          <w:sz w:val="20"/>
          <w:szCs w:val="20"/>
          <w:color w:val="auto"/>
        </w:rPr>
      </w:pPr>
      <w:r>
        <w:rPr>
          <w:rFonts w:ascii="Arial" w:cs="Arial" w:eastAsia="Arial" w:hAnsi="Arial"/>
          <w:sz w:val="17"/>
          <w:szCs w:val="17"/>
          <w:i w:val="1"/>
          <w:iCs w:val="1"/>
          <w:color w:val="auto"/>
        </w:rPr>
        <w:t>Potential Flare Modifications</w:t>
      </w:r>
      <w:r>
        <w:rPr>
          <w:rFonts w:ascii="Arial" w:cs="Arial" w:eastAsia="Arial" w:hAnsi="Arial"/>
          <w:sz w:val="17"/>
          <w:szCs w:val="17"/>
          <w:color w:val="auto"/>
        </w:rPr>
        <w:t>. For several years, the EPA has been conducting an enforcement initiative against petroleum refineries and petrochemical</w:t>
      </w:r>
      <w:r>
        <w:rPr>
          <w:rFonts w:ascii="Arial" w:cs="Arial" w:eastAsia="Arial" w:hAnsi="Arial"/>
          <w:sz w:val="17"/>
          <w:szCs w:val="17"/>
          <w:i w:val="1"/>
          <w:iCs w:val="1"/>
          <w:color w:val="auto"/>
        </w:rPr>
        <w:t xml:space="preserve"> </w:t>
      </w:r>
      <w:r>
        <w:rPr>
          <w:rFonts w:ascii="Arial" w:cs="Arial" w:eastAsia="Arial" w:hAnsi="Arial"/>
          <w:sz w:val="17"/>
          <w:szCs w:val="17"/>
          <w:color w:val="auto"/>
        </w:rPr>
        <w:t>plants with respect to emissions from flares. A number of companies have entered into consent agreements with the EPA requiring both modifications to reduce flare emissions and the installation of additional equipment to better track flare operations and emissions. On April 21, 2014, Westlake received a Clean Air Act Section 114 Information Request from the EPA which sought information regarding flares at the Calvert City and Lake Charles facilities. Westlake submitted information pursuant to such request, including information regarding three flares that the Partnership owns. The EPA has informed Westlake that the information provided leads the EPA to believe that some of the flares are out of compliance with applicable standards. The EPA has demanded that Westlake conduct additional flare sampling and provide supplemental information. Westlake is currently in negotiations with the EPA regarding these demands, some of which are applicable to the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AND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Partnership's flares. The EPA has indicated that it is seeking a consent decree with that would obligate Westlake to take corrective actions relating to the alleged noncompliance. Westlake has not agreed that any flares are out of compliance or that any corrective actions are warranted. Depending on the outcome of Westlake's negotiations with the EPA, additional controls on emissions from the Partnership's flares may be required and these could result in increased capital and operating costs.</w:t>
      </w:r>
    </w:p>
    <w:p>
      <w:pPr>
        <w:spacing w:after="0" w:line="133" w:lineRule="exact"/>
        <w:rPr>
          <w:sz w:val="20"/>
          <w:szCs w:val="20"/>
          <w:color w:val="auto"/>
        </w:rPr>
      </w:pPr>
    </w:p>
    <w:p>
      <w:pPr>
        <w:ind w:right="280" w:firstLine="405"/>
        <w:spacing w:after="0" w:line="276" w:lineRule="auto"/>
        <w:rPr>
          <w:sz w:val="20"/>
          <w:szCs w:val="20"/>
          <w:color w:val="auto"/>
        </w:rPr>
      </w:pPr>
      <w:r>
        <w:rPr>
          <w:rFonts w:ascii="Arial" w:cs="Arial" w:eastAsia="Arial" w:hAnsi="Arial"/>
          <w:sz w:val="17"/>
          <w:szCs w:val="17"/>
          <w:i w:val="1"/>
          <w:iCs w:val="1"/>
          <w:color w:val="auto"/>
        </w:rPr>
        <w:t>Louisiana Notice of Violations</w:t>
      </w:r>
      <w:r>
        <w:rPr>
          <w:rFonts w:ascii="Arial" w:cs="Arial" w:eastAsia="Arial" w:hAnsi="Arial"/>
          <w:sz w:val="17"/>
          <w:szCs w:val="17"/>
          <w:color w:val="auto"/>
        </w:rPr>
        <w:t>. The Louisiana Department of Environmental Quality ("LDEQ") has issued notices of violations regarding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Partnership's assets, and those of Westlake, for various air compliance issues. The Partnership and Westlake are working with LDEQ to settle these claims, and a global settlement of all claims is being discussed. While settlement may result in a total civil penalty of approximately $200, such a settlement will likely cover assets owned by the Partnership and Westlake, and to the extent it covers the Partnership's assets, Westlake has agreed to indemnify the Partnership for liabilities to the extent such liabilities occurred or existed prior to August 4, 2014.</w:t>
      </w:r>
    </w:p>
    <w:p>
      <w:pPr>
        <w:spacing w:after="0" w:line="119"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In addition to the matters described above, the Partnership is involved in various routine legal proceedings incidental to the conduct of its business. The Partnership does not believe that any of these routine legal proceedings will have a material adverse effect on its financial condition, results of operations or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April 29, 2015, the Partnership purchased an additional 2.7% newly issued limited partner interest in OpCo for approximately $135,341, resulting in a holding of approximately an aggregate 13.3% limited partner interest in OpCo. In order to fund this purchase, the Partnership entered into a revolving credit facility (the "MLP Revolver") with a subsidiary of Westlake, which has a total borrowing capacity of $300,000. The MLP Revolver is scheduled to mature on April 29, 2018.</w:t>
      </w:r>
    </w:p>
    <w:p>
      <w:pPr>
        <w:spacing w:after="0" w:line="133"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On April 29, 2015, the board of directors of Westlake Chemical Partners GP LLC, the Partnership's general partner, declared a quarterly distribution for the period from October 1, 2014 through December 31, 2014 of $0.2829 per unit, or $7,655 in total, that will be paid on May 27, 2015 to unitholders of record on May 12, 2015.</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Subsequent events were evaluated through the date on which the financial statements were issued.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Unless the context otherwise requires, references in this report to the "Predecessor" refer to Westlake Chemical Partners LP Predecessor, our predecessor for accounting purposes, and refer to the time periods prior to the completion of our initial public offering on August 4, 2014 (the "IPO"). Unless otherwise indicated, references in this report to "we," "our," "us" or like terms used in the present tense or prospectively, or in reference to the period subsequent to the IPO, refer to Westlake Chemical Partners LP ("Westlake Chemical Partners LP" or the "Partnership"), Westlake Chemical OpCo LP ("OpCo") and Westlake Chemical OpCo GP LLC ("OpCo GP"), and references to the Partnership for all periods prior to the IPO refer to the Predecessor. References to "Westlake" refer to Westlake Chemical Corporation and its consolidated subsidiaries other than the Partnership, OpCo GP and OpCo.</w:t>
      </w:r>
    </w:p>
    <w:p>
      <w:pPr>
        <w:spacing w:after="0" w:line="111"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section should be read in conjunction with the accompanying combined and consolidated financial statements and the notes thereto and the combined and consolidated financial statements and notes thereto of Westlake Chemical Partners LP included in Westlake Chemical Partners LP's annual report on Form 10-K for the fiscal year ended December 31, 2014 (the "2014 Form 10-K"), as filed with the SEC on March 9, 2015.</w:t>
      </w:r>
    </w:p>
    <w:p>
      <w:pPr>
        <w:spacing w:after="0" w:line="133"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following discussion contains forward-looking statements. Please read "Forward-Looking Statements" for a discussion of limitations inherent in such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Initial Public Offering</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August 4, 2014, the Partnership closed its IPO of 12,937,500 common units.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Additional Interests in OpCo</w:t>
      </w:r>
    </w:p>
    <w:p>
      <w:pPr>
        <w:spacing w:after="0" w:line="9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April 29, 2015, we purchased an additional 2.7% newly issued limited partner interest in OpCo for approximately $135.3 million, resulting in us holding approximately an aggregate 13.3% limited partner interest in OpCo. In order to fund this purchase, we entered into a revolving credit facility (the "MLP Revolver") with a subsidiary of Westlake, which has a total borrowing capacity of $300.0 million. We intend to rely on the MLP Revolver in making any additional purchases of limited partner interests in OpCo in the future. For more information on the MLP Revolver, please see "—Liquidity and Capital Resources—Indebtedness—MLP Revolver."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Overview</w:t>
      </w:r>
    </w:p>
    <w:p>
      <w:pPr>
        <w:spacing w:after="0" w:line="9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are a Delaware limited partnership formed by Westlake to operate, acquire and develop ethylene production facilities and related assets. Currently, our sole revenue generating asset is our 10.6% limited partner interest in OpCo, a limited partnership formed by Westlake and us in anticipation of the IPO to own and operate an ethylene production business. We control OpCo through our ownership of its general partner. Westlake retained the remaining 89.4% limited partner interest in OpCo as well as significant interest in us through its ownership of our general partner, 52.2% of our limited partner units (consisting of 1,436,115 common units and all of the subordinated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the chemical facility in Longview, Texas.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94"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We generate revenue primarily by selling ethylene and the resulting co-products we produce. In connection with the IPO, OpCo and Westlake entered into an ethylene sales agreement (the "Ethylene Sales Agreement") pursuant to which we generate a substantial majority of our revenue. This agreement is a long-term, fee-based agreement with a minimum purchase commitment and includes variable pricing based on OpCo's actual feedstock and natural gas costs and estimated other costs of producing ethylene, plus a fixed margin per pound of $0.10 less revenue from co-products sales. We expect Westlake will take volumes in excess of the minimum commitment under the Ethylene Sales Agreement if we produce more than our planned production.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sell ethylene production in excess of volumes sold to Westlake, as well as associated co-products resulting from the ethylene production, directly to third parties on either a spot or contract basis. Net proceeds (after transportation and other costs) from the sales of associated co-products that result from the production of ethylene purchased by Westlake are netted against the ethylene price charged to Westlake under the Ethylene Sales Agreement, thereby substantially reducing our exposure to fluctuations in the market prices of these co-products. Historically, the third-party ethylene and associated co-products sales have generated greater than 25% of our total revenues. The significant drop in crude oil prices towards the end of 2014 and continuing through the first quarter of 2015 may create volatility in the North American and global markets, which may result in reduced prices and margins for third-party ethylene and associated co-products sales in 2015.</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Source Feedstock</w:t>
      </w:r>
    </w:p>
    <w:p>
      <w:pPr>
        <w:spacing w:after="0" w:line="9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connection with the IPO, OpCo entered into a 12-year feedstock supply agreement (the "Feedstock Supply Agreement") with Westlake Petrochemicals LLC, a wholly owned subsidiary of Westlake, under which Westlake Petrochemicals LLC supplies OpCo with ethane and other feedstocks that OpCo uses to produce ethylene under the Ethylene Sales Agreement. We expect that OpCo will also purchase the ethane and other feedstocks to produce ethylene and resulting co-products to sell to unrelated third parties from Westlake Petrochemicals LLC.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Operations</w:t>
      </w:r>
    </w:p>
    <w:p>
      <w:pPr>
        <w:spacing w:after="0" w:line="94"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Our management uses a variety of financial and operating metrics to analyze our performance. These metrics are significant factors in assessing our operating results and profitability and include: (1) production volumes, (2) operating and maintenance expenses, including turnaround costs, and (3) MLP distributable cash flow and EBITDA.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Volumes</w:t>
      </w:r>
    </w:p>
    <w:p>
      <w:pPr>
        <w:spacing w:after="0" w:line="9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amount of profit we generate primarily depends on the volumes of ethylene and resulting co-products we are able to produce at Calvert City Olefins and Lake Charles Olefins. Although Westlake has committed to purchasing minimum volumes from us under the Ethylene Sales Agreement, our results of operations are impacted by our ability to:</w:t>
      </w:r>
    </w:p>
    <w:p>
      <w:pPr>
        <w:spacing w:after="0" w:line="46" w:lineRule="exact"/>
        <w:rPr>
          <w:sz w:val="20"/>
          <w:szCs w:val="20"/>
          <w:color w:val="auto"/>
        </w:rPr>
      </w:pPr>
    </w:p>
    <w:p>
      <w:pPr>
        <w:ind w:left="660" w:right="3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produce sufficient volumes of ethylene to meet our commitments under the Ethylene Sales Agreement or recover our estimated costs through the pricing provisions of the Ethylene Sales Agreement;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contract with third parties for the remaining uncommitted ethylene production capacity;</w:t>
      </w:r>
    </w:p>
    <w:p>
      <w:pPr>
        <w:spacing w:after="0" w:line="90"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 or increase capacity at our existing ethylene production facilities, or add additional production capacity via organic expansion projects and acquisitions;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achieve or exceed the specified yield factors for natural gas, ethane and other feedstock under the Ethylene Sales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 Maintenance Capital Expenditures and Turnaround Costs</w:t>
      </w:r>
    </w:p>
    <w:p>
      <w:pPr>
        <w:spacing w:after="0" w:line="90"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repair and maintenance expenses. With the exception of feedstock, including natural gas, and utilities 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unit.</w:t>
      </w:r>
    </w:p>
    <w:p>
      <w:pPr>
        <w:spacing w:after="0" w:line="125"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costs directly affects our profitability and cash flows.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MLP Distributable Cash Flow and EBITDA</w:t>
      </w:r>
    </w:p>
    <w:p>
      <w:pPr>
        <w:spacing w:after="0" w:line="90"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We use each of MLP distributable cash flow and EBITDA to analyze our performance. We define distributable cash flow as net income plus depreciation and amortization, less contributions for turnaround reserves and maintenance capital expenditures. We define MLP distributable cash flow as distributable cash flow attributable to periods subsequent to the date of the IPO less distributable cash flow attributable to Westlake's noncontrolling interest in OpCo. MLP distributable cash flow does not reflect changes in working capital balances. We define EBITDA as net income before interest expense, income taxes, depreciation and amortization. MLP distributable cash flow and EBITDA are non-GAAP supplemental financial measures that management and external users of our consolidated financial statements, such as industry analysts, investors, lenders and rating agencies, may use to assess:</w:t>
      </w:r>
    </w:p>
    <w:p>
      <w:pPr>
        <w:spacing w:after="0" w:line="3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operating performance as compared to other publicly traded partnerships;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incur and service debt and fund capital expenditures;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viability of acquisitions and other capital expenditure projects and the returns on investment of various investment opportunities.</w:t>
      </w:r>
    </w:p>
    <w:p>
      <w:pPr>
        <w:spacing w:after="0" w:line="171"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We believe that the presentation of MLP distributable cash flow and EBITDA provides useful information to investors in assessing our financial condition and results of operations. The GAAP measures most directly comparable to MLP distributable cash flow are net income and net cash provided by operating activities. MLP distributable cash flow should not be considered as an alternative to GAAP net income or net cash provided by operating activities. MLP distributable cash flow has important limitations as an analytical tool because it excludes some but not all items that affect net income and net cash provided by operating activities. The GAAP measures most directly comparable to EBITDA are net income and cash flow from operating activities, but EBITDA should not be considered an alternative to such GAAP measures. EBITDA has important limitations as an analytical tool because it excludes (1) interest expense, which is a necessary element of our costs and ability to generate revenues because we have borrowed money to finance our operations, (2) depreciation, which is a necessary element of our costs and ability to generate revenues because we use capital assets and (3) income taxes, which was a necessary element of Predecessor's operations. MLP distributable cash flow and EBITDA should not be considered in isolation or as a substitute for analysis of our results as reported under GAAP. See reconciliations for each of MLP distributable cash flow and EBITDA under "Results of Operations"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Financial Results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results of operations subsequent to the IPO are not comparable to the Predecessor's historical results of operations for the reasons described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Ethylene, Co-products and Excess Feedstock Sales</w:t>
      </w:r>
    </w:p>
    <w:p>
      <w:pPr>
        <w:spacing w:after="0" w:line="9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There are differences in the way the Predecessor generated and recorded revenue and the way we generate and record revenue from ethylene sales to Westlake. The Predecessor generally recognized revenue for ethylene sold internally based on a transfer pricing formula intended to approximate the fair market value of the commodity. Subsequent to the IPO, a substantial majority of our revenue from ethylene sales is generated from sales of ethylene to Westlake under the Ethylene Sales Agreement. The Ethylene Sales Agreement contains minimum purchase commitments and pricing that is expected to generate a fixed margin of $0.10 per pound. The price per pound of ethylene sold under the Ethylene Sales Agreement is lower than historical prices charged by the Predecessor for ethylene sold internally. As such, we expect a significant decrease in revenue from ethylene sales to Westlake for periods after the IPO compared with the Predecessor's historical revenue.</w:t>
      </w:r>
    </w:p>
    <w:p>
      <w:pPr>
        <w:spacing w:after="0" w:line="124"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The Predecessor's third-party sales consisted of ethylene, feedstock and associated co-products sales. With respect to third-party ethylene sales, the Predecessor also resold externally procured ethylene to third parties. Subsequent to the IPO, the ethylene procurement and reselling activities of the Predecessor remained with Westlake. In addition, the Predecessor's net sales included revenue from sales to third parties of excess feedstock not used in the ethylene production process. Following the closing of the IPO, we do not generate revenues from the sale of excess feedstock to third parties as all of the Predecessor's feedstock risk-management activities remained with Westlake. However, we sell all of our co-products volume to third parties in a manner consistent with the Predecessor. As such, there are no significant changes to revenue related to the sale of co-products, as compared to the Predecessor's historical revenue from co-products sales.</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125" w:right="3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The Predecessor's selling, general and administrative expenses included direct and indirect charges for the management and operation of our ethylene and other transportation assets allocated by Westlake for general corporate services such as treasury, information technology, legal, corporate tax, human resources, executive compensation, and other financial and administrative services. These expenses were charged or allocated to the Predecessor based on the nature of the expense and the Predecessor's proportionate share of fixed assets, headcount or other measure, as deemed appropriate. Following the closing of the IPO, under the services and secondment agreement and omnibus agreement, Westlake continues to charge us a combination of direct and allocated charges for similar general corporate services as those charged to the Predecessor historically. We also incur certain annual general and administrative expenses as a result of being a separate publicly traded partnership which were not reflected in the Predecessor's combined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80" w:firstLine="405"/>
        <w:spacing w:after="0" w:line="312" w:lineRule="auto"/>
        <w:rPr>
          <w:sz w:val="20"/>
          <w:szCs w:val="20"/>
          <w:color w:val="auto"/>
        </w:rPr>
      </w:pPr>
      <w:r>
        <w:rPr>
          <w:rFonts w:ascii="Arial" w:cs="Arial" w:eastAsia="Arial" w:hAnsi="Arial"/>
          <w:sz w:val="16"/>
          <w:szCs w:val="16"/>
          <w:color w:val="auto"/>
        </w:rPr>
        <w:t>The Partnership is a limited partnership and is treated as a partnership for U.S. federal income tax purposes and, therefore, is not liable for entity-level federal income taxes. The Partnership is, however, subject to state and local income taxes. The Predecessor's tax provision was determined on a separate return basis. Accordingly, we expect our tax provision to be significantly reduced subsequent to the IPO as compared to that of the Predecessor.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9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At the closing of the IPO, Westlake contributed a 5.8% limited partner interest and the general partner interest in OpCo to us. Immediately following the IPO, we used the IPO net proceeds to acquire an additional 4.8% limited partner interest in OpCo directly from OpCo and Westlake retained the remaining</w:t>
      </w:r>
    </w:p>
    <w:p>
      <w:pPr>
        <w:ind w:right="80"/>
        <w:spacing w:after="0" w:line="261" w:lineRule="auto"/>
        <w:rPr>
          <w:sz w:val="20"/>
          <w:szCs w:val="20"/>
          <w:color w:val="auto"/>
        </w:rPr>
      </w:pPr>
      <w:r>
        <w:rPr>
          <w:rFonts w:ascii="Arial" w:cs="Arial" w:eastAsia="Arial" w:hAnsi="Arial"/>
          <w:sz w:val="18"/>
          <w:szCs w:val="18"/>
          <w:color w:val="auto"/>
        </w:rPr>
        <w:t>89.4% limited partner interest in OpCo, which is recorded as noncontrolling interest in our consolidated financial statements. In April 2015, we purchased an additional 2.7% newly issued limited partner interest in OpCo. See "Purchase of Additional Interests in OpCo."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and Demand for Ethylene and Resulting Co-products</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generate a substantial majority of our revenue from the Ethylene Sales Agreement. This contract is intended to promote cash flow stability and minimize our direct exposure to commodity price fluctuations in the following ways: (1) the cost-plus pricing structure of the Ethylene Sales Agreement is expected to generate a fixed margin of $0.10 per pound, adjusting automatically for changes in feedstock costs; and (2) Westlake is committed to purchase 95% of the annual planned production, subject to a maximum commitment of 3.8 billion pounds of ethylene per year, with an option to purchase an additional 95% of actual monthly production in excess of the planned production. As a result, our direct exposure to commodity price risk is limited to approximately 5% of our total ethylene production, which is that portion sold to third parties, assuming Westlake exercises its option to purchase 95% of the over production, as well as to our co-products sales.</w:t>
      </w:r>
    </w:p>
    <w:p>
      <w:pPr>
        <w:spacing w:after="0" w:line="135"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We also have indirect exposure to commodity price fluctuations to the extent such fluctuations affect the ethylene consumption patterns of third-party purchasers. Demand for ethylene exhibits cyclical commodity characteristics as margins earned on ethylene derivative products are influenced by changes in the balance between supply and demand, the resulting operating rates and general economic activity. While we believe we have substantially mitigated our indirect exposure to commodity price fluctuations during the term of the Ethylene Sales Agreement through the minimum commitment and the cost-plus based pricing, our ability to execute our growth strategy in our areas of operation will depend, in part, on the demand for ethylene derivatives in the geographical areas served by our ethylene production facilities.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table below and descriptions that follow represent the consolidated results of operations of the Partnership for the three months ended March 31, 2015 and the combined results of operations of the Predecessor for the three months ended March 31, 2014. Our consolidated results of operations subsequent to the IPO are not comparable to the Predecessor's historical combined results of operations for the reasons discussed under "Factors Affecting the Comparability of Our Financial Results."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1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2014</w:t>
            </w:r>
          </w:p>
        </w:tc>
      </w:tr>
      <w:tr>
        <w:trPr>
          <w:trHeight w:val="258"/>
        </w:trPr>
        <w:tc>
          <w:tcPr>
            <w:tcW w:w="8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352"/>
              <w:spacing w:after="0"/>
              <w:rPr>
                <w:sz w:val="20"/>
                <w:szCs w:val="20"/>
                <w:color w:val="auto"/>
              </w:rPr>
            </w:pPr>
            <w:r>
              <w:rPr>
                <w:rFonts w:ascii="Arial" w:cs="Arial" w:eastAsia="Arial" w:hAnsi="Arial"/>
                <w:sz w:val="14"/>
                <w:szCs w:val="14"/>
                <w:b w:val="1"/>
                <w:bCs w:val="1"/>
                <w:i w:val="1"/>
                <w:iCs w:val="1"/>
                <w:color w:val="auto"/>
                <w:w w:val="99"/>
              </w:rPr>
              <w:t>Predecessor</w:t>
            </w:r>
          </w:p>
        </w:tc>
      </w:tr>
      <w:tr>
        <w:trPr>
          <w:trHeight w:val="398"/>
        </w:trPr>
        <w:tc>
          <w:tcPr>
            <w:tcW w:w="8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80" w:type="dxa"/>
            <w:vAlign w:val="bottom"/>
            <w:gridSpan w:val="4"/>
          </w:tcPr>
          <w:p>
            <w:pPr>
              <w:jc w:val="right"/>
              <w:ind w:right="872"/>
              <w:spacing w:after="0"/>
              <w:rPr>
                <w:sz w:val="20"/>
                <w:szCs w:val="20"/>
                <w:color w:val="auto"/>
              </w:rPr>
            </w:pPr>
            <w:r>
              <w:rPr>
                <w:rFonts w:ascii="Arial" w:cs="Arial" w:eastAsia="Arial" w:hAnsi="Arial"/>
                <w:sz w:val="14"/>
                <w:szCs w:val="14"/>
                <w:b w:val="1"/>
                <w:bCs w:val="1"/>
                <w:color w:val="auto"/>
              </w:rPr>
              <w:t>(dollars in thousands)</w:t>
            </w:r>
          </w:p>
        </w:tc>
      </w:tr>
      <w:tr>
        <w:trPr>
          <w:trHeight w:val="256"/>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43"/>
        </w:trPr>
        <w:tc>
          <w:tcPr>
            <w:tcW w:w="816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208,913</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383,927</w:t>
            </w:r>
          </w:p>
        </w:tc>
      </w:tr>
      <w:tr>
        <w:trPr>
          <w:trHeight w:val="27"/>
        </w:trPr>
        <w:tc>
          <w:tcPr>
            <w:tcW w:w="8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co-product, ethylene and feedstock sales—third parties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49,478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176,087</w:t>
            </w:r>
          </w:p>
        </w:tc>
      </w:tr>
      <w:tr>
        <w:trPr>
          <w:trHeight w:val="237"/>
        </w:trPr>
        <w:tc>
          <w:tcPr>
            <w:tcW w:w="81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258,391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560,014</w:t>
            </w:r>
          </w:p>
        </w:tc>
      </w:tr>
      <w:tr>
        <w:trPr>
          <w:trHeight w:val="27"/>
        </w:trPr>
        <w:tc>
          <w:tcPr>
            <w:tcW w:w="8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162,164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327,700</w:t>
            </w:r>
          </w:p>
        </w:tc>
      </w:tr>
      <w:tr>
        <w:trPr>
          <w:trHeight w:val="237"/>
        </w:trPr>
        <w:tc>
          <w:tcPr>
            <w:tcW w:w="8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96,227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232,314</w:t>
            </w:r>
          </w:p>
        </w:tc>
      </w:tr>
      <w:tr>
        <w:trPr>
          <w:trHeight w:val="27"/>
        </w:trPr>
        <w:tc>
          <w:tcPr>
            <w:tcW w:w="8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7,778</w:t>
            </w:r>
          </w:p>
        </w:tc>
      </w:tr>
      <w:tr>
        <w:trPr>
          <w:trHeight w:val="237"/>
        </w:trPr>
        <w:tc>
          <w:tcPr>
            <w:tcW w:w="81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90,227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224,536</w:t>
            </w:r>
          </w:p>
        </w:tc>
      </w:tr>
      <w:tr>
        <w:trPr>
          <w:trHeight w:val="27"/>
        </w:trPr>
        <w:tc>
          <w:tcPr>
            <w:tcW w:w="8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38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(3,591)</w:t>
            </w:r>
          </w:p>
        </w:tc>
      </w:tr>
      <w:tr>
        <w:trPr>
          <w:trHeight w:val="27"/>
        </w:trPr>
        <w:tc>
          <w:tcPr>
            <w:tcW w:w="8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Other income, net </w:t>
            </w:r>
            <w:r>
              <w:rPr>
                <w:rFonts w:ascii="Arial" w:cs="Arial" w:eastAsia="Arial" w:hAnsi="Arial"/>
                <w:sz w:val="25"/>
                <w:szCs w:val="25"/>
                <w:color w:val="auto"/>
                <w:vertAlign w:val="superscript"/>
              </w:rPr>
              <w:t>(1)</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1,252</w:t>
            </w:r>
          </w:p>
        </w:tc>
      </w:tr>
      <w:tr>
        <w:trPr>
          <w:trHeight w:val="237"/>
        </w:trPr>
        <w:tc>
          <w:tcPr>
            <w:tcW w:w="8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20"/>
                <w:szCs w:val="20"/>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88,856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222,197</w:t>
            </w:r>
          </w:p>
        </w:tc>
      </w:tr>
      <w:tr>
        <w:trPr>
          <w:trHeight w:val="27"/>
        </w:trPr>
        <w:tc>
          <w:tcPr>
            <w:tcW w:w="8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78,323</w:t>
            </w:r>
          </w:p>
        </w:tc>
      </w:tr>
      <w:tr>
        <w:trPr>
          <w:trHeight w:val="297"/>
        </w:trPr>
        <w:tc>
          <w:tcPr>
            <w:tcW w:w="8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bottom w:val="single" w:sz="8" w:color="CCEEFF"/>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tcPr>
          <w:p>
            <w:pPr>
              <w:jc w:val="right"/>
              <w:ind w:right="153"/>
              <w:spacing w:after="0"/>
              <w:rPr>
                <w:sz w:val="20"/>
                <w:szCs w:val="20"/>
                <w:color w:val="auto"/>
              </w:rPr>
            </w:pPr>
            <w:r>
              <w:rPr>
                <w:rFonts w:ascii="Arial" w:cs="Arial" w:eastAsia="Arial" w:hAnsi="Arial"/>
                <w:sz w:val="18"/>
                <w:szCs w:val="18"/>
                <w:color w:val="auto"/>
              </w:rPr>
              <w:t>88,389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143,874</w:t>
            </w:r>
          </w:p>
        </w:tc>
      </w:tr>
      <w:tr>
        <w:trPr>
          <w:trHeight w:val="257"/>
        </w:trPr>
        <w:tc>
          <w:tcPr>
            <w:tcW w:w="8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 interest in OpCo</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79,889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97"/>
        </w:trPr>
        <w:tc>
          <w:tcPr>
            <w:tcW w:w="81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attributable to Westlake Chemical Partners LP</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8,500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r>
      <w:tr>
        <w:trPr>
          <w:trHeight w:val="257"/>
        </w:trPr>
        <w:tc>
          <w:tcPr>
            <w:tcW w:w="816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MLP distributable cash flow </w:t>
            </w:r>
            <w:r>
              <w:rPr>
                <w:rFonts w:ascii="Arial" w:cs="Arial" w:eastAsia="Arial" w:hAnsi="Arial"/>
                <w:sz w:val="25"/>
                <w:szCs w:val="25"/>
                <w:color w:val="auto"/>
                <w:vertAlign w:val="superscript"/>
              </w:rPr>
              <w:t>(2)</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8,961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83"/>
        </w:trPr>
        <w:tc>
          <w:tcPr>
            <w:tcW w:w="8160" w:type="dxa"/>
            <w:vAlign w:val="bottom"/>
          </w:tcPr>
          <w:p>
            <w:pPr>
              <w:ind w:left="40"/>
              <w:spacing w:after="0" w:line="283"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(3)</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110,035</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244,802</w:t>
            </w:r>
          </w:p>
        </w:tc>
      </w:tr>
      <w:tr>
        <w:trPr>
          <w:trHeight w:val="230"/>
        </w:trPr>
        <w:tc>
          <w:tcPr>
            <w:tcW w:w="8160" w:type="dxa"/>
            <w:vAlign w:val="bottom"/>
          </w:tcPr>
          <w:p>
            <w:pPr>
              <w:ind w:left="40"/>
              <w:spacing w:after="0"/>
              <w:rPr>
                <w:sz w:val="20"/>
                <w:szCs w:val="20"/>
                <w:color w:val="auto"/>
              </w:rPr>
            </w:pPr>
            <w:r>
              <w:rPr>
                <w:rFonts w:ascii="Arial" w:cs="Arial" w:eastAsia="Arial" w:hAnsi="Arial"/>
                <w:sz w:val="18"/>
                <w:szCs w:val="18"/>
                <w:color w:val="auto"/>
              </w:rPr>
              <w:t>____________</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94" w:lineRule="exact"/>
        <w:rPr>
          <w:sz w:val="20"/>
          <w:szCs w:val="20"/>
          <w:color w:val="auto"/>
        </w:rPr>
      </w:pPr>
    </w:p>
    <w:p>
      <w:pPr>
        <w:ind w:left="280" w:hanging="245"/>
        <w:spacing w:after="0"/>
        <w:tabs>
          <w:tab w:leader="none" w:pos="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income from the Predecessor's equity stake in a pipeline joint venture that was not contributed to the Partnership in connection with the IPO.</w:t>
      </w:r>
    </w:p>
    <w:p>
      <w:pPr>
        <w:spacing w:after="0" w:line="140" w:lineRule="exact"/>
        <w:rPr>
          <w:rFonts w:ascii="Arial" w:cs="Arial" w:eastAsia="Arial" w:hAnsi="Arial"/>
          <w:sz w:val="16"/>
          <w:szCs w:val="16"/>
          <w:color w:val="auto"/>
        </w:rPr>
      </w:pPr>
    </w:p>
    <w:p>
      <w:pPr>
        <w:ind w:left="280" w:hanging="245"/>
        <w:spacing w:after="0"/>
        <w:tabs>
          <w:tab w:leader="none" w:pos="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Non GAAP financial measure. See the "Reconciliation of MLP Distributable Cash Flow to Net Income and Net Cash Provided by Operating Activities."</w:t>
      </w:r>
    </w:p>
    <w:p>
      <w:pPr>
        <w:spacing w:after="0" w:line="140" w:lineRule="exact"/>
        <w:rPr>
          <w:rFonts w:ascii="Arial" w:cs="Arial" w:eastAsia="Arial" w:hAnsi="Arial"/>
          <w:sz w:val="16"/>
          <w:szCs w:val="16"/>
          <w:color w:val="auto"/>
        </w:rPr>
      </w:pPr>
    </w:p>
    <w:p>
      <w:pPr>
        <w:ind w:left="280" w:hanging="245"/>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 GAAP financial measure. See the "Reconciliation of EBITDA to Net Income and Net Cash Provided by Operating Activities."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326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Three Months Ended March 31, 2015</w:t>
            </w:r>
          </w:p>
        </w:tc>
        <w:tc>
          <w:tcPr>
            <w:tcW w:w="0" w:type="dxa"/>
            <w:vAlign w:val="bottom"/>
          </w:tcPr>
          <w:p>
            <w:pPr>
              <w:spacing w:after="0"/>
              <w:rPr>
                <w:sz w:val="1"/>
                <w:szCs w:val="1"/>
                <w:color w:val="auto"/>
              </w:rPr>
            </w:pPr>
          </w:p>
        </w:tc>
      </w:tr>
      <w:tr>
        <w:trPr>
          <w:trHeight w:val="152"/>
        </w:trPr>
        <w:tc>
          <w:tcPr>
            <w:tcW w:w="8160" w:type="dxa"/>
            <w:vAlign w:val="bottom"/>
          </w:tcPr>
          <w:p>
            <w:pPr>
              <w:spacing w:after="0"/>
              <w:rPr>
                <w:sz w:val="13"/>
                <w:szCs w:val="13"/>
                <w:color w:val="auto"/>
              </w:rPr>
            </w:pPr>
          </w:p>
        </w:tc>
        <w:tc>
          <w:tcPr>
            <w:tcW w:w="16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92"/>
        </w:trPr>
        <w:tc>
          <w:tcPr>
            <w:tcW w:w="816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Sales Price</w:t>
            </w: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 prices and volume percentage change from prior year period</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386"/>
        </w:trPr>
        <w:tc>
          <w:tcPr>
            <w:tcW w:w="8160" w:type="dxa"/>
            <w:vAlign w:val="bottom"/>
          </w:tcPr>
          <w:p>
            <w:pPr>
              <w:spacing w:after="0"/>
              <w:rPr>
                <w:sz w:val="24"/>
                <w:szCs w:val="24"/>
                <w:color w:val="auto"/>
              </w:rPr>
            </w:pPr>
          </w:p>
        </w:tc>
        <w:tc>
          <w:tcPr>
            <w:tcW w:w="326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0"/>
        </w:trPr>
        <w:tc>
          <w:tcPr>
            <w:tcW w:w="8160" w:type="dxa"/>
            <w:vAlign w:val="bottom"/>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1"/>
                <w:szCs w:val="21"/>
                <w:color w:val="auto"/>
              </w:rPr>
            </w:pPr>
          </w:p>
        </w:tc>
        <w:tc>
          <w:tcPr>
            <w:tcW w:w="15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 xml:space="preserve">Average industry prices </w:t>
            </w:r>
            <w:r>
              <w:rPr>
                <w:rFonts w:ascii="Arial" w:cs="Arial" w:eastAsia="Arial" w:hAnsi="Arial"/>
                <w:sz w:val="25"/>
                <w:szCs w:val="25"/>
                <w:b w:val="1"/>
                <w:bCs w:val="1"/>
                <w:color w:val="auto"/>
                <w:vertAlign w:val="superscript"/>
              </w:rPr>
              <w:t>(1)</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Ethane (cents/lb)</w:t>
            </w:r>
          </w:p>
        </w:tc>
        <w:tc>
          <w:tcPr>
            <w:tcW w:w="158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Propane (cents/lb)</w:t>
            </w:r>
          </w:p>
        </w:tc>
        <w:tc>
          <w:tcPr>
            <w:tcW w:w="1580" w:type="dxa"/>
            <w:vAlign w:val="bottom"/>
          </w:tcPr>
          <w:p>
            <w:pPr>
              <w:jc w:val="right"/>
              <w:ind w:right="16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580" w:type="dxa"/>
            <w:vAlign w:val="bottom"/>
          </w:tcPr>
          <w:p>
            <w:pPr>
              <w:jc w:val="right"/>
              <w:ind w:right="136"/>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Ethylene (cents/lb) </w:t>
            </w:r>
            <w:r>
              <w:rPr>
                <w:rFonts w:ascii="Arial" w:cs="Arial" w:eastAsia="Arial" w:hAnsi="Arial"/>
                <w:sz w:val="25"/>
                <w:szCs w:val="25"/>
                <w:color w:val="auto"/>
                <w:vertAlign w:val="superscript"/>
              </w:rPr>
              <w:t>(2)</w:t>
            </w:r>
          </w:p>
        </w:tc>
        <w:tc>
          <w:tcPr>
            <w:tcW w:w="158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_____________</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Industry pricing data was obtained from IHS Chemical. We have not independently verified the data.</w:t>
      </w:r>
    </w:p>
    <w:p>
      <w:pPr>
        <w:spacing w:after="0" w:line="63" w:lineRule="exact"/>
        <w:rPr>
          <w:rFonts w:ascii="Arial" w:cs="Arial" w:eastAsia="Arial" w:hAnsi="Arial"/>
          <w:sz w:val="18"/>
          <w:szCs w:val="18"/>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average North American spot prices of ethylene over the period as reported by IHS Chemical.</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following table presents reconciliation of MLP distributable cash flow to net income and net cash provided by operating activities, the most directly comparable GAAP financial measures.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Three Months Ended</w:t>
            </w:r>
          </w:p>
        </w:tc>
      </w:tr>
      <w:tr>
        <w:trPr>
          <w:trHeight w:val="192"/>
        </w:trPr>
        <w:tc>
          <w:tcPr>
            <w:tcW w:w="99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March 31, 2015</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MLP distributable cash flow</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8,961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Add:</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Distributable cash flow attributable to noncontrolling interest in OpCo</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83,824</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Maintenance capital expenditures</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8,286</w:t>
            </w:r>
          </w:p>
        </w:tc>
      </w:tr>
      <w:tr>
        <w:trPr>
          <w:trHeight w:val="27"/>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Contribution to turnaround reserves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7,121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Less: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(19,803)</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88,389</w:t>
            </w:r>
          </w:p>
        </w:tc>
      </w:tr>
      <w:tr>
        <w:trPr>
          <w:trHeight w:val="27"/>
        </w:trPr>
        <w:tc>
          <w:tcPr>
            <w:tcW w:w="9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24,791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27"/>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disposition of fixed assets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113,235</w:t>
            </w:r>
          </w:p>
        </w:tc>
      </w:tr>
      <w:tr>
        <w:trPr>
          <w:trHeight w:val="20"/>
        </w:trPr>
        <w:tc>
          <w:tcPr>
            <w:tcW w:w="9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EBITDA to Net Income and Net Cash Provided by Operating Activities</w:t>
      </w:r>
    </w:p>
    <w:p>
      <w:pPr>
        <w:spacing w:after="0" w:line="94"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following table presents reconciliations of EBITDA to net income and net cash provided by operating activities, the most directly comparable GAAP financial measures, for each of the periods indicated.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Three Months Ended</w:t>
            </w:r>
          </w:p>
        </w:tc>
      </w:tr>
      <w:tr>
        <w:trPr>
          <w:trHeight w:val="192"/>
        </w:trPr>
        <w:tc>
          <w:tcPr>
            <w:tcW w:w="8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2015</w:t>
            </w:r>
          </w:p>
        </w:tc>
        <w:tc>
          <w:tcPr>
            <w:tcW w:w="160" w:type="dxa"/>
            <w:vAlign w:val="bottom"/>
          </w:tcPr>
          <w:p>
            <w:pPr>
              <w:spacing w:after="0"/>
              <w:rPr>
                <w:sz w:val="16"/>
                <w:szCs w:val="16"/>
                <w:color w:val="auto"/>
              </w:rPr>
            </w:pPr>
          </w:p>
        </w:tc>
        <w:tc>
          <w:tcPr>
            <w:tcW w:w="120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March 31, 2014</w:t>
            </w:r>
          </w:p>
        </w:tc>
      </w:tr>
      <w:tr>
        <w:trPr>
          <w:trHeight w:val="264"/>
        </w:trPr>
        <w:tc>
          <w:tcPr>
            <w:tcW w:w="85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i w:val="1"/>
                <w:iCs w:val="1"/>
                <w:color w:val="auto"/>
              </w:rPr>
              <w:t>Predecessor</w:t>
            </w: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EBITDA</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110,035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244,802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(78,323)</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(3,591)</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(19,014)</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88,389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143,874</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50,380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from equity method investment, net of dividends</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72</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Loss from disposition of fixed assets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353</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Recovery of doubtful accounts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113,235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197,886</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For the quarter ended March 31, 2015, net income was $88.4 million on net sales of $258.4 million. This represents a decrease in net income of $55.5 million as compared to the quarter ended March 31, 2014 net income of $143.9 million on net sales of $560.0 million. Net sales for the first quarter of 2015 decreased by $301.6 million as compared to net sales for the first quarter of 2014, mainly due to a lower average sales price of ethylene sold to Westlake resulting from the execution of the Ethylene Sales Agreement. Ethylene co-products average sales prices were also lower for the first quarter of 2015 as compared to the prior-year period, primarily due to the decline in market price of the co-products. Income from operations was $90.2 million for the first quarter of 2015 as compared to $224.5 million for the first quarter of 2014. Income from operations for the first quarter of 2015 decreased mainly as result of the decline in ethylene and co-products market prices and the execution of the Ethylene Sales Agreement in connection with the IPO, partially offset by lower feedstock costs driven by a decline in the market price of ethane as well as reduced dependency on the more expensive propane as a result of the completion of the feedstock conversion project at Calvert City Olefins.</w:t>
      </w:r>
    </w:p>
    <w:p>
      <w:pPr>
        <w:sectPr>
          <w:pgSz w:w="11900" w:h="16838" w:orient="portrait"/>
          <w:cols w:equalWidth="0" w:num="1">
            <w:col w:w="11420"/>
          </w:cols>
          <w:pgMar w:left="240" w:top="125"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2015 Compared with First Quarter 2014</w:t>
      </w:r>
    </w:p>
    <w:p>
      <w:pPr>
        <w:spacing w:after="0" w:line="90"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decreased by $301.6 million, or 53.9%, to $258.4 million in the first quarter of 2015 from $560.0 million in the first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2014, primarily due to a lower average sales price of ethylene sold to Westlake resulting from the execution of the Ethylene Sales Agreement and lower volume of ethylene sold to third parties primarily due to retention by Westlake of the Predecessor's ethylene procurement and reselling activities in connection with the IPO, partially offset by increased volume of ethylene sold to Westlake for the first quarter of 2015 as compared to the prior-year period. Further, ethylene co-products sales prices were also significantly lower for the first quarter of 2015 as compared to the prior-year period, primarily due to the decline in market prices of the co-products, which resulted in a decrease in sales to third parties. Overall average sales price for the first quarter of 2015 decreased by 42.6% as compared to the first quarter of 2014. Overall sales volumes decreased by 11.3% as compared to the first quarter of 2014.</w:t>
      </w:r>
    </w:p>
    <w:p>
      <w:pPr>
        <w:spacing w:after="0" w:line="11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margin percentage decreased to 37.2% for the first quarter of 2015 from 41.5% for the first quarter of 2014, primarily due to a</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in margin for ethylene sold to Westlake resulting from the execution of the Ethylene Sales Agreement. The decrease was largely offset by a significant drop in feedstock prices and the completion of the Calvert City Olefins conversion and expansion project in April 2014. Overall, sales prices decreased an average of 42.6% for the first quarter of 2015 as compared to the first quarter of 2014.</w:t>
      </w:r>
    </w:p>
    <w:p>
      <w:pPr>
        <w:spacing w:after="0" w:line="133"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decreased $1.8 million, or 23.1%, to $6.0 million in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2015 as compared to $7.8 million in the first quarter of 2014. The decrease was mainly attributable to a decrease in the allocation from Westlake of labor costs mainly attributable to the Predecessor's operations retained by Westlake after the closing of the IPO, partially offset by incremental general and administrative expenses incurred by the Partnership subsequent to the IPO as a result of being a separate publicly-traded partnership.</w:t>
      </w:r>
    </w:p>
    <w:p>
      <w:pPr>
        <w:spacing w:after="0" w:line="10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by $2.2 million to $1.4 million in the first quarter of 2015 from $3.6 million in the first quarter of 2014,</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lower average debt balance in the first quarter of 2015 as compared to the prior-year period.</w:t>
      </w:r>
    </w:p>
    <w:p>
      <w:pPr>
        <w:spacing w:after="0" w:line="116"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decreased by $1.3 million to zero in the first quarter of 2015 from $1.3 million in the first quarter of 2014,</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absence of income attributable to the Predecessor's equity stake in a natural gas liquids pipeline joint venture that was not contributed to us in connection with the IPO.</w:t>
      </w:r>
    </w:p>
    <w:p>
      <w:pPr>
        <w:spacing w:after="0" w:line="127" w:lineRule="exact"/>
        <w:rPr>
          <w:sz w:val="20"/>
          <w:szCs w:val="20"/>
          <w:color w:val="auto"/>
        </w:rPr>
      </w:pPr>
    </w:p>
    <w:p>
      <w:pPr>
        <w:ind w:right="420" w:firstLine="432"/>
        <w:spacing w:after="0" w:line="302"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effective income tax rate was 0.5% for the first quarter of 2015. The effective income tax rate for the first quarter of 2015 is not</w:t>
      </w:r>
      <w:r>
        <w:rPr>
          <w:rFonts w:ascii="Arial" w:cs="Arial" w:eastAsia="Arial" w:hAnsi="Arial"/>
          <w:sz w:val="16"/>
          <w:szCs w:val="16"/>
          <w:i w:val="1"/>
          <w:iCs w:val="1"/>
          <w:color w:val="auto"/>
        </w:rPr>
        <w:t xml:space="preserve"> </w:t>
      </w:r>
      <w:r>
        <w:rPr>
          <w:rFonts w:ascii="Arial" w:cs="Arial" w:eastAsia="Arial" w:hAnsi="Arial"/>
          <w:sz w:val="16"/>
          <w:szCs w:val="16"/>
          <w:color w:val="auto"/>
        </w:rPr>
        <w:t>comparable to the effective income tax rate for the prior-year period as the Partnership is not subject to federal income taxes subsequent to the IPO. The effective income tax rate was 35.2% for the first quarter of 2014. The effective income tax rate for the first quarter of 2014 was above the U.S. federal statutory rate of 35.0% primarily due to state income taxes, mostly offset by the domestic manufacturing deduction and state income tax credits.</w:t>
      </w:r>
    </w:p>
    <w:p>
      <w:pPr>
        <w:spacing w:after="0" w:line="177" w:lineRule="exact"/>
        <w:rPr>
          <w:sz w:val="20"/>
          <w:szCs w:val="20"/>
          <w:color w:val="auto"/>
        </w:rPr>
      </w:pPr>
    </w:p>
    <w:p>
      <w:pPr>
        <w:ind w:right="3860"/>
        <w:spacing w:after="0" w:line="346" w:lineRule="auto"/>
        <w:rPr>
          <w:sz w:val="20"/>
          <w:szCs w:val="20"/>
          <w:color w:val="auto"/>
        </w:rPr>
      </w:pPr>
      <w:r>
        <w:rPr>
          <w:rFonts w:ascii="Arial" w:cs="Arial" w:eastAsia="Arial" w:hAnsi="Arial"/>
          <w:sz w:val="18"/>
          <w:szCs w:val="18"/>
          <w:b w:val="1"/>
          <w:bCs w:val="1"/>
          <w:color w:val="auto"/>
        </w:rPr>
        <w:t xml:space="preserve">CASH FLOW DISCUSSION FOR THE THREE MONTHS ENDED MARCH 31, 2015 AND 2014 </w:t>
      </w:r>
      <w:r>
        <w:rPr>
          <w:rFonts w:ascii="Arial" w:cs="Arial" w:eastAsia="Arial" w:hAnsi="Arial"/>
          <w:sz w:val="18"/>
          <w:szCs w:val="18"/>
          <w:b w:val="1"/>
          <w:bCs w:val="1"/>
          <w:i w:val="1"/>
          <w:iCs w:val="1"/>
          <w:color w:val="auto"/>
        </w:rPr>
        <w:t>Operating Activities</w:t>
      </w:r>
    </w:p>
    <w:p>
      <w:pPr>
        <w:spacing w:after="0" w:line="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Operating activities provided cash of $113.2 million in the first three months of 2015 compared to cash provided of $197.9 million in the first three months of 2014. The $84.7 million decrease in cash flows from operating activities was mainly due to a decrease in income from operations and an increase in the use of cash for working capital purposes.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Net cash used for investing activities during the first three months of 2015 was $39.5 million as compared to net cash used for investing activities of $51.7 million in the first three months of 2014. Capital expenditures were $39.5 million in the first three months of 2015 compared to $51.3 million in the first three months of 2014. Capital expenditures in the first three months of 2014 were mainly incurred on the feedstock conversion and ethylene expansion project at Calvert City Olefins.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Net cash used for financing activities during the first three months of 2015 was $62.5 million as compared to net cash used of $146.2 million in the first three months of 2014. The activity during the first three months of 2015 was primarily related to the total distributions of $92.7 million to the unitholders and Westlake for the quarter ended December 31, 2014, partially offset by the borrowings under OpCo's senior unsecured revolving credit facility of $30.2 million. The activity during the first three months of 2014 was mainly related to the Predecessor's $192.2 million distribution to Westlake, partially offset by borrowings of $46.0 million.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Historically, the Predecessor's principal sources of liquidity have been cash from operations and funding from Westlake. As a participant in Westlake's centralized cash management system, the Predecessor's cash receipts were deposited in Westlake's or its affiliates' bank accounts and cash disbursements were made from those accounts. Accordingly, the Predecessor's combined financial statements reflected no cash balances as any cash flow generated from the Predecessor's operations was deemed to have been distributed to Westlake and is reflected as a net distribution to Westlake in the Predecessor's combined statements of cash flows.</w:t>
      </w:r>
    </w:p>
    <w:p>
      <w:pPr>
        <w:spacing w:after="0" w:line="134"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In addition to the cash generated by its operations, the Predecessor also entered into certain financing arrangements with Westlake to satisfy its capital and operating expenditure requirements. The Predecessor separately recorded costs associated with financing its operations resulting from financing arrangements entered into with Westlake. 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and debt interests.</w:t>
      </w:r>
    </w:p>
    <w:p>
      <w:pPr>
        <w:spacing w:after="0" w:line="11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connection with the IPO, we established separate bank accounts, but Westlake continues to provide treasury services on our behalf under the Services and Secondment Agreement. Our sources of liquidity include cash generated from operations, the OpCo revolving credit facility, the MLP Revolver and, if necessary,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w:t>
      </w:r>
    </w:p>
    <w:p>
      <w:pPr>
        <w:spacing w:after="0" w:line="13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In order to fund non-annual turnaround expenditures, we caused OpCo to use $55.4 million from the net proceeds of the IPO to fund its initial balance for turnaround activities. We intend to cause OpCo to reserve approximately $29.3 million during each twelve-month period for turnaround activities. Each of OpCo's ethylene production facilities requires turnaround maintenance approximately every five years. By creating an initial balance and reserving additional cash annually, we intend to reduce the variability in OpCo's cash flow. The initial balance of turnaround reserve will account for the period that the ethylene production facilities were under Westlake's ownership following the last major turnaround and prior to the entry into the Ethylene Sales Agreement. Westlake's purchase price for ethylene purchased under the Ethylene Sales Agreement includes a component (adjusted annually) designed to cover, over the long term, substantially all of OpCo's turnaround expenditures.</w:t>
      </w:r>
    </w:p>
    <w:p>
      <w:pPr>
        <w:spacing w:after="0" w:line="124"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All of our cash is generated from cash distributions from OpCo. OpCo is a restricted subsidiary and guarantor under Westlake's credit facility and the indentures governing its senior notes. The indentures governing Westlake's senior notes prevent OpCo from making distributions to us if any default or event of default (as defined in the indentures) exists. Westlake's credit facility does not prevent OpCo from making distributions to us.</w:t>
      </w:r>
    </w:p>
    <w:p>
      <w:pPr>
        <w:spacing w:after="0" w:line="111" w:lineRule="exact"/>
        <w:rPr>
          <w:sz w:val="20"/>
          <w:szCs w:val="20"/>
          <w:color w:val="auto"/>
        </w:rPr>
      </w:pPr>
    </w:p>
    <w:p>
      <w:pPr>
        <w:ind w:right="300" w:firstLine="432"/>
        <w:spacing w:after="0" w:line="312" w:lineRule="auto"/>
        <w:rPr>
          <w:sz w:val="20"/>
          <w:szCs w:val="20"/>
          <w:color w:val="auto"/>
        </w:rPr>
      </w:pPr>
      <w:r>
        <w:rPr>
          <w:rFonts w:ascii="Arial" w:cs="Arial" w:eastAsia="Arial" w:hAnsi="Arial"/>
          <w:sz w:val="16"/>
          <w:szCs w:val="16"/>
          <w:color w:val="auto"/>
        </w:rPr>
        <w:t>We intend to pay a minimum quarterly distribution of $0.2829 per unit per quarter, which equates to approximately $7.6 million per quarter, or approximately $30.6 million per year in the aggregate, based on the number of common and subordinated units outstanding at March 31, 2015. We do not have a legal or contractual obligation to pay distributions quarterly or on any other basis at our minimum quarterly distribution rate or at any other rate.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In April 2011, Westlake announced an expansion program to increase the ethylene production capacity of both Petro 1 and Petro 2 ethylene facilities in Lake Charles. The expansion of Petro 2 was completed in the first quarter of 2013 and increased ethylene production capacity by approximately 240 million pounds annually. We currently plan to upgrade and expand the capacity of Petro 1 during the first half of 2016. This project is currently estimated to cost in the range of $275.0 million to $335.0 million and is expected to add approximately 250 million pounds of ethylene capacity annually.</w:t>
      </w:r>
    </w:p>
    <w:p>
      <w:pPr>
        <w:spacing w:after="0" w:line="100" w:lineRule="exact"/>
        <w:rPr>
          <w:sz w:val="20"/>
          <w:szCs w:val="20"/>
          <w:color w:val="auto"/>
        </w:rPr>
      </w:pPr>
    </w:p>
    <w:p>
      <w:pPr>
        <w:jc w:val="both"/>
        <w:ind w:right="1060" w:firstLine="432"/>
        <w:spacing w:after="0" w:line="342" w:lineRule="auto"/>
        <w:rPr>
          <w:sz w:val="20"/>
          <w:szCs w:val="20"/>
          <w:color w:val="auto"/>
        </w:rPr>
      </w:pPr>
      <w:r>
        <w:rPr>
          <w:rFonts w:ascii="Arial" w:cs="Arial" w:eastAsia="Arial" w:hAnsi="Arial"/>
          <w:sz w:val="16"/>
          <w:szCs w:val="16"/>
          <w:color w:val="auto"/>
        </w:rPr>
        <w:t>In April 2014, the Predecessor completed the feedstock conversion and ethylene expansion project at Calvert City Olefins that resulted in approximately 180 million pounds of additional annual capacity and also provided OpCo with 100% ethane feedstock capability at the facility.</w:t>
      </w:r>
    </w:p>
    <w:p>
      <w:pPr>
        <w:spacing w:after="0" w:line="7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Westlake has historically funded capital expenditures related to Lake Charles Olefins and Calvert City Olefins. During the period from January 1, 2014 through August 3, 2014, Westlake loaned the Predecessor a principal amount of approximately $121.1 million, all of which was used for capital expenditures. During the period from August 4, 2014 through December 31, 2014 and during the three months ended March 31, 2015, Westlake loaned us $60.5 million and $30.2 million, respectively, all of which was used for capital expenditures. Capital expenditures for 2015 are expected to be approximately $233.0 million, of</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which $39.5 million was spent during the three months ended March 31, 2015. We expect that Westlake will loan additional cash to OpCo to fund its expansion capital expenditures in the future, but Westlake is under no obligation to do so.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ind w:firstLine="392"/>
        <w:spacing w:after="0" w:line="255" w:lineRule="auto"/>
        <w:rPr>
          <w:sz w:val="20"/>
          <w:szCs w:val="20"/>
          <w:color w:val="auto"/>
        </w:rPr>
      </w:pPr>
      <w:r>
        <w:rPr>
          <w:rFonts w:ascii="Arial" w:cs="Arial" w:eastAsia="Arial" w:hAnsi="Arial"/>
          <w:sz w:val="18"/>
          <w:szCs w:val="18"/>
          <w:color w:val="auto"/>
        </w:rPr>
        <w:t>OpCo assumed $246.1 million of indebtedness under three intercompany promissory notes incurred by Westlake on behalf of the Predecessor (the "August 2013 Promissory Notes") in connection with the closing of the IPO. Using proceeds from the IPO, OpCo repaid $78.9 million of the outstanding principal amount of the August 2013 Promissory Notes during 2014. As of March 31, 2015, $167.1 million principal amount of the August 2013 Promissory Notes was outstanding. Each of the August 2013 Promissory Notes has a ten-year term and bears interest at the prime rate plus a 1.5% margin, which is accrued in arrears quarterly. OpCo has the right at any time to prepay the August 2013 Promissory Notes, in whole or in part, without any premium or penalty. The August 2013 Promissory Notes mature in August 2023.</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Revolver</w:t>
      </w:r>
    </w:p>
    <w:p>
      <w:pPr>
        <w:spacing w:after="0" w:line="90" w:lineRule="exact"/>
        <w:rPr>
          <w:sz w:val="20"/>
          <w:szCs w:val="20"/>
          <w:color w:val="auto"/>
        </w:rPr>
      </w:pPr>
    </w:p>
    <w:p>
      <w:pPr>
        <w:ind w:right="260" w:firstLine="392"/>
        <w:spacing w:after="0" w:line="264" w:lineRule="auto"/>
        <w:rPr>
          <w:sz w:val="20"/>
          <w:szCs w:val="20"/>
          <w:color w:val="auto"/>
        </w:rPr>
      </w:pPr>
      <w:r>
        <w:rPr>
          <w:rFonts w:ascii="Arial" w:cs="Arial" w:eastAsia="Arial" w:hAnsi="Arial"/>
          <w:sz w:val="18"/>
          <w:szCs w:val="18"/>
          <w:color w:val="auto"/>
        </w:rPr>
        <w:t>Additionally, in connection with the IPO, OpCo entered into a $600.0 million revolving credit facility with Westlake that may be used to fund growth projects and working capital needs. As of March 31, 2015, outstanding borrowings under the credit facility totaled $90.7 million and bore interest at the LIBOR rate plus 3.0%, which is accrued in arrears quarterly. The revolving credit facility matures in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MLP Revolver</w:t>
      </w:r>
    </w:p>
    <w:p>
      <w:pPr>
        <w:spacing w:after="0" w:line="9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April 2015 we entered into a $300.0 million senior, unsecured revolving credit agreement with Westlake Chemical Finance Corporation, an affiliate of Westlake. The revolver is scheduled to mature on April 29, 2018. Borrowings under the revolver bear interest at LIBOR plus a spread ranging from 2.00% to 3.00% (depending on our consolidated leverage ratio), payable quarterly. The credit agreement provides that we may pay all or a portion of the interest on any borrowings in kind, in which case any such amounts would be added to the principal amount of the loan. The credit agreement requires that we maintain a consolidated leverage ratio of either (1) during any one-year period following certain types of acquisitions (including acquisitions of additional interests in OpCo), 5.50: 1.00 or less, or (2) during any other period, 4.50: 1.00 or less. The credit agreement also contains certain other customary covenants. The repayment of borrowings under the revolver is subject to acceleration upon the occurrence of an event of default. As of April 30, 2015, there were $135.3 million principal amount of borrowings outstanding under the facility. We intend to use the revolver to purchase additional limited partnership interests in OpCo in the future, in the event OpCo desires to sell such additional interests to us.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5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of ethane that we are able to process, which could be adversely affected by, among other things, operating difficulties;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volume of ethylene that we are able to sell;</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price at which we are able to sell ethylene;</w:t>
      </w:r>
    </w:p>
    <w:p>
      <w:pPr>
        <w:spacing w:after="0" w:line="9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relationship with Westlake, including our expectations regarding any additional volumes of ethylene Westlake may take in excess of its minimum commitment under the Ethylene Sales Agreement and the possibility of obtaining additional financing from Westlake;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sources of feedstock purchases;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price and availability of electricity;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prevailing economic conditions;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ground, grade or water conditions;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inclement or hazardous weather conditions, including flooding, and the physical impacts of climate change;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environmental hazards;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industrial accidents;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laws and regulations (or the interpretation thereof);</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acquire or maintain necessary permits;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obtain necessary production equipment or replacement parts;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technical difficulties or failures;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labor disputes;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late delivery of raw materials;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collecting receivables;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of our customers to take delivery;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price and availability of transportation;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fires, explosions or other accidents;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borrow funds and access capital markets;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factors discussed elsewhere in this report;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impact of proposed regulations by the U.S. Treasury Department and the IRS on our status as a partnership for U.S. federal income tax purposes.</w:t>
      </w:r>
    </w:p>
    <w:p>
      <w:pPr>
        <w:spacing w:after="0" w:line="194"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in "Risk Factors" in the 2014 Form 10-K and as discussed in Part II "Other Information", Item 1A "Risk Factors" within this Quarterly Report on Form 10-Q.</w:t>
      </w:r>
    </w:p>
    <w:p>
      <w:pPr>
        <w:spacing w:after="0" w:line="10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 substantial portion of the Predecessor's and the Partnership's products and raw materials are commodities whose prices fluctuate as market supply and demand fundamentals change. Accordingly, the Predecessor's and our product margins and level of profitability tend to fluctuate with changes in the business cycle. The Predecessor tried to protect against such instability through various business strategies. These strategies included ethylene feedstock flexibility and the use of derivative instruments in certain instances to reduce price volatility risk on feedstocks. In connection with the IPO, Westlake retained the Predecessor's open derivative positions. As of March 31, 2015, we had no open derivative positions. Additional information concerning derivative commodity instruments appears in Note 12 to the combined and consolidated financial statements within this Quarterly Report on Form 10-Q.</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We are exposed to interest rate risk with respect to our variable rate debt. At March 31, 2015, we had variable rate debt of $257.8 million outstanding, all of which was owed to a wholly owned subsidiary of Westlake, $167.1 million of which accrues interest at a variable rate of prime plus 150 basis points and the remaining $90.7 million of which accrues interest at a variable rate of LIBOR plus 300 basis points. Historically, neither the Partnership nor the Predecessor engaged in hedging of variable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rate debt. The weighted average variable interest rate of our variable rate debt as of March 31, 2015 was 4.23%. A hypothetical 100 basis point increase in the average interest rate on our variable rate debt would have increased our interest expense for the quarter ended March 31, 2015 by approximately $0.39 million.</w:t>
      </w:r>
    </w:p>
    <w:p>
      <w:pPr>
        <w:spacing w:after="0" w:line="127"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We will continue to be subject to interest rate risk with respect to our remaining variable rate debt as well as the risk of higher interest cost if and when this debt is refinanced. If interest rates are 1% higher at the time of refinancing, our annual interest expense would increase by approximately $2.57 million, based on the March 31, 2015 variable rate debt balance.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President and Chief Executive Officer and our Senior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Senior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 and Changes in Internal Control Over Financial Reporting</w:t>
      </w:r>
    </w:p>
    <w:p>
      <w:pPr>
        <w:spacing w:after="0" w:line="90"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The SEC, as required by Section 404 of the Sarbanes-Oxley Act, adopted rules that generally require every registrant that files reports with the SEC to include a management report on such registrant's internal control over financial reporting in its annual report. In addition, our independent registered public accounting firm must attest to our internal control over financial reporting. Our first annual report on Form 10-K did not include a report of management's assessment regarding internal control over financial reporting or an attestation report of our independent registered public accounting firm due to a transition period established by SEC rules applicable to new public companies. We are required to provide an assessment of the effectiveness of our internal control over financial reporting and comply with the auditor attestation requirement of Section 404 of the Sarbanes Oxley-Act as of December 31, 2015. There were no changes in our internal control over financial reporting that occurred during the three months ended March 31, 2015 that have materially affected, or are reasonably likely to materially affect, our internal control over financial reporting.</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The 2014 Form 10-K, filed on March 9, 2015, contained a description of various legal proceedings in which we are involved, including environmental proceedings. See Note 16 to the unaudited combined and consolidated financial statements within this Quarterly Report on Form 10-Q for a description of certain of those proceedings, which information is incorporated by reference herein. In addition, under the Omnibus Agreement, Westlake has agreed to indemnify the Partnership for certain environmental and other liabilities relating to OpCo's ethylene production facilities and related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For a discussion of risk factors, please read Item IA, "Risk Factors" in the 2014 Form 10-K. There have been no material changes from those risk factors, except as described below.</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tax treatment depends on our status as a partnership for U.S. federal income tax purposes. Proposed regulations made public by the U.S. Treasury Department and the IRS on May 5, 2015 may make it difficult or impossible for us to maintain our status as a partnership after a ten-year transition period.</w:t>
      </w:r>
    </w:p>
    <w:p>
      <w:pPr>
        <w:spacing w:after="0" w:line="46"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Despite the fact that we are organized as a limited partnership under Delaware law, we would be treated as a corporation for U.S. federal income tax purposes unless we satisfy a “qualifying income” requirement (the “Qualifying Income Exception”) under Section 7704 of the Internal Revenue Code of 1986, as amended (the “Code”). Failing to meet the Qualifying Income Exception would cause us to be treated as a corporation for U.S. federal income tax purposes or otherwise subject us to taxation as an entity.</w:t>
      </w:r>
    </w:p>
    <w:p>
      <w:pPr>
        <w:spacing w:after="0" w:line="13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Prior to our initial public offering, we requested and obtained a favorable private letter ruling from the IRS to the effect that the production, transportation, storage and marketing of ethylene and its co-products constitutes “qualifying income” within the meaning of the Code.</w:t>
      </w:r>
    </w:p>
    <w:p>
      <w:pPr>
        <w:spacing w:after="0" w:line="11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May 5, 2015, the U.S. Treasury Department and the IRS issued proposed regulations (the “Proposed Regulations”) regarding qualifying income under Section 7704(d)(1)(E) of the Code. The Proposed Regulations provide industry-specific rules regarding the Qualifying Income Exception, including whether an activity constitutes the processing or refining of a natural resource, which limit the extent to which the refining of products derived from crude oil and natural gas constitutes qualifying income. In the event that an activity does not satisfy the standards set forth in the final regulations, the Proposed Regulations include a proposed ten-year transition period for partnerships, like us, who already received a private letter ruling that the income from that activity was qualifying income. If the Proposed Regulations become final in their current form, such final regulations would make it difficult or impossible for us to satisfy the Qualifying Income Exception after the proposed ten-year transition period.</w:t>
      </w:r>
    </w:p>
    <w:p>
      <w:pPr>
        <w:spacing w:after="0" w:line="12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U.S. Treasury Department and the IRS have requested comments from industry participants regarding the standards set forth in the Proposed Regulations. We anticipate participating in that comment process, and look forward to a dialogue with the IRS and the Treasury Department regarding our private letter ruling and the appropriate meaning of “processing and refining” natural gas liquids. In the event that we do not satisfy the standards set forth in the final regulations, the final regulations will likely provide the proposed ten-year transition period. During the transition period, we may continue to rely on our private letter ruling, allowing us to maintain our treatment as a partnership. If we were not able to satisfy the standards of the final regulations after the transition period, we would then be treated as a corporation for U.S. federal income tax purposes for taxable periods after the transition period.</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Westlake may be unable or unwilling to satisfy its obligations under the MLP Revolver, which may limit our ability to fund acquisitions.</w:t>
      </w:r>
    </w:p>
    <w:p>
      <w:pPr>
        <w:spacing w:after="0" w:line="10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expect to utilize the MLP Revolver in future acquisitions, including any potential purchases of additional interests in OpCo. Westlake Chemical Finance Corporation ("Finance Corp."), a wholly owned subsidiary of Westlake, is the sole lender under the MLP Revolver. Finance Corp. has no assets, other than our obligation to pay principal and interest under the MLP Revolver, and Westlake has no obligation to provide Finance Corp. with capital. Westlake may be unable or unwilling to make capital contributions to Finance Corp. to enable Finance Corp. to satisfy its obligations under the MLP Revolver because of restrictions under Westlake's indenture and other debt obligations or because of general market conditions. If Westlake is unable or unwilling to make capital contributions to Finance Corp., Westlake may not provide us potential opportunities to purchase additional interests in OpCo or other assets that it may otherwise have provided us, or may condition any such opportunities on us obtaining alternative financing.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14"/>
                <w:szCs w:val="14"/>
                <w:color w:val="auto"/>
              </w:rPr>
            </w:pPr>
          </w:p>
        </w:tc>
        <w:tc>
          <w:tcPr>
            <w:tcW w:w="78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371"/>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First Amended and Restated Agreement of Limited Partnership of Westlake Chemical Partners LP</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40" w:type="dxa"/>
            <w:vAlign w:val="bottom"/>
            <w:gridSpan w:val="2"/>
          </w:tcPr>
          <w:p>
            <w:pPr>
              <w:ind w:left="120"/>
              <w:spacing w:after="0"/>
              <w:rPr>
                <w:sz w:val="20"/>
                <w:szCs w:val="20"/>
                <w:color w:val="auto"/>
              </w:rPr>
            </w:pPr>
            <w:r>
              <w:rPr>
                <w:rFonts w:ascii="Arial" w:cs="Arial" w:eastAsia="Arial" w:hAnsi="Arial"/>
                <w:sz w:val="18"/>
                <w:szCs w:val="18"/>
                <w:color w:val="auto"/>
                <w:w w:val="91"/>
              </w:rPr>
              <w:t>(incorporated by reference to Exhibit 3.1 to Westlake Chemical Partners LP's Current Report on Form 8-K,</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40" w:type="dxa"/>
            <w:vAlign w:val="bottom"/>
            <w:gridSpan w:val="2"/>
          </w:tcPr>
          <w:p>
            <w:pPr>
              <w:ind w:left="120"/>
              <w:spacing w:after="0"/>
              <w:rPr>
                <w:sz w:val="20"/>
                <w:szCs w:val="20"/>
                <w:color w:val="auto"/>
              </w:rPr>
            </w:pPr>
            <w:r>
              <w:rPr>
                <w:rFonts w:ascii="Arial" w:cs="Arial" w:eastAsia="Arial" w:hAnsi="Arial"/>
                <w:sz w:val="18"/>
                <w:szCs w:val="18"/>
                <w:color w:val="auto"/>
              </w:rPr>
              <w:t>filed on August 8, 2014, File No. 001-36567)</w:t>
            </w:r>
          </w:p>
        </w:tc>
      </w:tr>
      <w:tr>
        <w:trPr>
          <w:trHeight w:val="526"/>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w w:val="94"/>
              </w:rPr>
              <w:t>Senior Unsecured Revolving Credit Agreement by and among Westlake Chemical Partners GP LLC and</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40" w:type="dxa"/>
            <w:vAlign w:val="bottom"/>
            <w:gridSpan w:val="2"/>
          </w:tcPr>
          <w:p>
            <w:pPr>
              <w:ind w:left="120"/>
              <w:spacing w:after="0"/>
              <w:rPr>
                <w:sz w:val="20"/>
                <w:szCs w:val="20"/>
                <w:color w:val="auto"/>
              </w:rPr>
            </w:pPr>
            <w:r>
              <w:rPr>
                <w:rFonts w:ascii="Arial" w:cs="Arial" w:eastAsia="Arial" w:hAnsi="Arial"/>
                <w:sz w:val="18"/>
                <w:szCs w:val="18"/>
                <w:color w:val="auto"/>
                <w:w w:val="92"/>
              </w:rPr>
              <w:t>Westlake Chemical Finance Corporation, dated as of April 29, 2015 (incorporated by reference to Exhibit</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40" w:type="dxa"/>
            <w:vAlign w:val="bottom"/>
            <w:gridSpan w:val="2"/>
          </w:tcPr>
          <w:p>
            <w:pPr>
              <w:ind w:left="120"/>
              <w:spacing w:after="0"/>
              <w:rPr>
                <w:sz w:val="20"/>
                <w:szCs w:val="20"/>
                <w:color w:val="auto"/>
              </w:rPr>
            </w:pPr>
            <w:r>
              <w:rPr>
                <w:rFonts w:ascii="Arial" w:cs="Arial" w:eastAsia="Arial" w:hAnsi="Arial"/>
                <w:sz w:val="18"/>
                <w:szCs w:val="18"/>
                <w:color w:val="auto"/>
                <w:w w:val="94"/>
              </w:rPr>
              <w:t>10.1 to Westlake Chemical Partners LP's Current Report on Form 8-K, filed on April 30, 2015, File No.</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40" w:type="dxa"/>
            <w:vAlign w:val="bottom"/>
            <w:gridSpan w:val="2"/>
          </w:tcPr>
          <w:p>
            <w:pPr>
              <w:ind w:left="120"/>
              <w:spacing w:after="0"/>
              <w:rPr>
                <w:sz w:val="20"/>
                <w:szCs w:val="20"/>
                <w:color w:val="auto"/>
              </w:rPr>
            </w:pPr>
            <w:r>
              <w:rPr>
                <w:rFonts w:ascii="Arial" w:cs="Arial" w:eastAsia="Arial" w:hAnsi="Arial"/>
                <w:sz w:val="18"/>
                <w:szCs w:val="18"/>
                <w:color w:val="auto"/>
              </w:rPr>
              <w:t>001-36567)</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31.1†</w:t>
            </w:r>
          </w:p>
        </w:tc>
        <w:tc>
          <w:tcPr>
            <w:tcW w:w="7840" w:type="dxa"/>
            <w:vAlign w:val="bottom"/>
            <w:gridSpan w:val="2"/>
          </w:tcPr>
          <w:p>
            <w:pPr>
              <w:spacing w:after="0"/>
              <w:rPr>
                <w:sz w:val="20"/>
                <w:szCs w:val="20"/>
                <w:color w:val="auto"/>
              </w:rPr>
            </w:pPr>
            <w:r>
              <w:rPr>
                <w:rFonts w:ascii="Arial" w:cs="Arial" w:eastAsia="Arial" w:hAnsi="Arial"/>
                <w:sz w:val="18"/>
                <w:szCs w:val="18"/>
                <w:color w:val="auto"/>
              </w:rPr>
              <w:t>Rule 13a – 14(a) / 15d – 14(a) Certification (Principal Executive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31.2†</w:t>
            </w:r>
          </w:p>
        </w:tc>
        <w:tc>
          <w:tcPr>
            <w:tcW w:w="7840" w:type="dxa"/>
            <w:vAlign w:val="bottom"/>
            <w:gridSpan w:val="2"/>
          </w:tcPr>
          <w:p>
            <w:pPr>
              <w:spacing w:after="0"/>
              <w:rPr>
                <w:sz w:val="20"/>
                <w:szCs w:val="20"/>
                <w:color w:val="auto"/>
              </w:rPr>
            </w:pPr>
            <w:r>
              <w:rPr>
                <w:rFonts w:ascii="Arial" w:cs="Arial" w:eastAsia="Arial" w:hAnsi="Arial"/>
                <w:sz w:val="18"/>
                <w:szCs w:val="18"/>
                <w:color w:val="auto"/>
              </w:rPr>
              <w:t>Rule 13a – 14(a) / 15d – 14(a) Certification (Principal Financial Officer)</w:t>
            </w:r>
          </w:p>
        </w:tc>
      </w:tr>
      <w:tr>
        <w:trPr>
          <w:trHeight w:val="392"/>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Section 1350 Certification (Principal Executive Officer and Principal Financial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84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84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84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8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84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8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43"/>
        </w:trPr>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_____________</w:t>
            </w:r>
          </w:p>
        </w:tc>
        <w:tc>
          <w:tcPr>
            <w:tcW w:w="700" w:type="dxa"/>
            <w:vAlign w:val="bottom"/>
          </w:tcPr>
          <w:p>
            <w:pPr>
              <w:spacing w:after="0"/>
              <w:rPr>
                <w:sz w:val="21"/>
                <w:szCs w:val="21"/>
                <w:color w:val="auto"/>
              </w:rPr>
            </w:pPr>
          </w:p>
        </w:tc>
        <w:tc>
          <w:tcPr>
            <w:tcW w:w="7140" w:type="dxa"/>
            <w:vAlign w:val="bottom"/>
          </w:tcPr>
          <w:p>
            <w:pPr>
              <w:spacing w:after="0"/>
              <w:rPr>
                <w:sz w:val="21"/>
                <w:szCs w:val="21"/>
                <w:color w:val="auto"/>
              </w:rPr>
            </w:pPr>
          </w:p>
        </w:tc>
      </w:tr>
    </w:tbl>
    <w:p>
      <w:pPr>
        <w:spacing w:after="0" w:line="40"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219"/>
          </w:cols>
          <w:pgMar w:left="240" w:top="125" w:right="1440"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WESTLAKE CHEMICAL PARTNERS LP</w:t>
      </w:r>
    </w:p>
    <w:p>
      <w:pPr>
        <w:spacing w:after="0" w:line="337" w:lineRule="exact"/>
        <w:rPr>
          <w:sz w:val="20"/>
          <w:szCs w:val="20"/>
          <w:color w:val="auto"/>
        </w:rPr>
      </w:pPr>
    </w:p>
    <w:p>
      <w:pPr>
        <w:ind w:left="40"/>
        <w:spacing w:after="0"/>
        <w:tabs>
          <w:tab w:leader="none" w:pos="600" w:val="left"/>
          <w:tab w:leader="none" w:pos="6180" w:val="left"/>
          <w:tab w:leader="none" w:pos="8500" w:val="left"/>
          <w:tab w:leader="none" w:pos="8860" w:val="left"/>
        </w:tabs>
        <w:rPr>
          <w:sz w:val="20"/>
          <w:szCs w:val="20"/>
          <w:color w:val="auto"/>
        </w:rPr>
      </w:pPr>
      <w:r>
        <w:rPr>
          <w:rFonts w:ascii="Arial" w:cs="Arial" w:eastAsia="Arial" w:hAnsi="Arial"/>
          <w:sz w:val="18"/>
          <w:szCs w:val="18"/>
          <w:color w:val="auto"/>
        </w:rPr>
        <w:t>Date:</w:t>
        <w:tab/>
        <w:t>May 6,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16"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730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(Principal Executive Officer)</w:t>
      </w:r>
    </w:p>
    <w:p>
      <w:pPr>
        <w:spacing w:after="0" w:line="358" w:lineRule="exact"/>
        <w:rPr>
          <w:sz w:val="20"/>
          <w:szCs w:val="20"/>
          <w:color w:val="auto"/>
        </w:rPr>
      </w:pPr>
    </w:p>
    <w:p>
      <w:pPr>
        <w:ind w:left="40"/>
        <w:spacing w:after="0"/>
        <w:tabs>
          <w:tab w:leader="none" w:pos="600" w:val="left"/>
          <w:tab w:leader="none" w:pos="6180" w:val="left"/>
          <w:tab w:leader="none" w:pos="8300" w:val="left"/>
          <w:tab w:leader="none" w:pos="8660" w:val="left"/>
        </w:tabs>
        <w:rPr>
          <w:sz w:val="20"/>
          <w:szCs w:val="20"/>
          <w:color w:val="auto"/>
        </w:rPr>
      </w:pPr>
      <w:r>
        <w:rPr>
          <w:rFonts w:ascii="Arial" w:cs="Arial" w:eastAsia="Arial" w:hAnsi="Arial"/>
          <w:sz w:val="18"/>
          <w:szCs w:val="18"/>
          <w:color w:val="auto"/>
        </w:rPr>
        <w:t>Date:</w:t>
        <w:tab/>
        <w:t>May 6,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16"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940"/>
        <w:spacing w:after="0"/>
        <w:rPr>
          <w:sz w:val="20"/>
          <w:szCs w:val="20"/>
          <w:color w:val="auto"/>
        </w:rPr>
      </w:pPr>
      <w:r>
        <w:rPr>
          <w:rFonts w:ascii="Arial" w:cs="Arial" w:eastAsia="Arial" w:hAnsi="Arial"/>
          <w:sz w:val="13"/>
          <w:szCs w:val="13"/>
          <w:b w:val="1"/>
          <w:bCs w:val="1"/>
          <w:color w:val="auto"/>
        </w:rPr>
        <w:t>Senior Vice President, Chief Financial Officer,</w:t>
      </w:r>
    </w:p>
    <w:p>
      <w:pPr>
        <w:spacing w:after="0" w:line="3"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Treasurer and Director of</w:t>
      </w:r>
    </w:p>
    <w:p>
      <w:pPr>
        <w:jc w:val="center"/>
        <w:ind w:left="7300"/>
        <w:spacing w:after="0" w:line="221" w:lineRule="auto"/>
        <w:rPr>
          <w:sz w:val="20"/>
          <w:szCs w:val="20"/>
          <w:color w:val="auto"/>
        </w:rPr>
      </w:pPr>
      <w:r>
        <w:rPr>
          <w:rFonts w:ascii="Arial" w:cs="Arial" w:eastAsia="Arial" w:hAnsi="Arial"/>
          <w:sz w:val="14"/>
          <w:szCs w:val="14"/>
          <w:b w:val="1"/>
          <w:bCs w:val="1"/>
          <w:color w:val="auto"/>
        </w:rPr>
        <w:t>Westlake Chemical Partners GP LLC</w:t>
      </w:r>
    </w:p>
    <w:p>
      <w:pPr>
        <w:jc w:val="center"/>
        <w:ind w:left="7300"/>
        <w:spacing w:after="0"/>
        <w:rPr>
          <w:sz w:val="20"/>
          <w:szCs w:val="20"/>
          <w:color w:val="auto"/>
        </w:rPr>
      </w:pPr>
      <w:r>
        <w:rPr>
          <w:rFonts w:ascii="Arial" w:cs="Arial" w:eastAsia="Arial" w:hAnsi="Arial"/>
          <w:sz w:val="14"/>
          <w:szCs w:val="14"/>
          <w:b w:val="1"/>
          <w:bCs w:val="1"/>
          <w:color w:val="auto"/>
        </w:rPr>
        <w:t>(Principal Financial Officer)</w:t>
      </w:r>
    </w:p>
    <w:p>
      <w:pPr>
        <w:spacing w:after="0" w:line="25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00"/>
          </w:cols>
          <w:pgMar w:left="240" w:top="125" w:right="7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60" w:type="dxa"/>
            <w:vAlign w:val="bottom"/>
          </w:tcPr>
          <w:p>
            <w:pPr>
              <w:ind w:left="31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77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371"/>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24"/>
                <w:szCs w:val="24"/>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w w:val="98"/>
              </w:rPr>
              <w:t>First Amended and Restated Agreement of Limited Partnership of Westlake Chemical Partners LP</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w w:val="90"/>
              </w:rPr>
              <w:t>(incorporated by reference to Exhibit 3.1 to Westlake Chemical Partners LP's Current Report on Form 8-K,</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filed on August 8, 2014, File No. 001-36567)</w:t>
            </w:r>
          </w:p>
        </w:tc>
      </w:tr>
      <w:tr>
        <w:trPr>
          <w:trHeight w:val="377"/>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4"/>
                <w:szCs w:val="24"/>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w w:val="92"/>
              </w:rPr>
              <w:t>Senior Unsecured Revolving Credit Agreement by and among Westlake Chemical Partners GP LLC and</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w w:val="92"/>
              </w:rPr>
              <w:t>Westlake Chemical Finance Corporation, dated as of April 29, 2015 (incorporated by reference to Exhibit</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w w:val="94"/>
              </w:rPr>
              <w:t>10.1 to Westlake Chemical Partners LP's Current Report on Form 8-K, filed on April 30, 2015, File No.</w:t>
            </w:r>
          </w:p>
        </w:tc>
      </w:tr>
      <w:tr>
        <w:trPr>
          <w:trHeight w:val="230"/>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001-36567)</w:t>
            </w:r>
          </w:p>
        </w:tc>
      </w:tr>
      <w:tr>
        <w:trPr>
          <w:trHeight w:val="608"/>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31.1†</w:t>
            </w:r>
          </w:p>
        </w:tc>
        <w:tc>
          <w:tcPr>
            <w:tcW w:w="7700" w:type="dxa"/>
            <w:vAlign w:val="bottom"/>
            <w:gridSpan w:val="2"/>
          </w:tcPr>
          <w:p>
            <w:pPr>
              <w:spacing w:after="0"/>
              <w:rPr>
                <w:sz w:val="20"/>
                <w:szCs w:val="20"/>
                <w:color w:val="auto"/>
              </w:rPr>
            </w:pPr>
            <w:r>
              <w:rPr>
                <w:rFonts w:ascii="Arial" w:cs="Arial" w:eastAsia="Arial" w:hAnsi="Arial"/>
                <w:sz w:val="18"/>
                <w:szCs w:val="18"/>
                <w:color w:val="auto"/>
              </w:rPr>
              <w:t>Rule 13a – 14(a) / 15d – 14(a) Certification (Principal Executive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31.2†</w:t>
            </w:r>
          </w:p>
        </w:tc>
        <w:tc>
          <w:tcPr>
            <w:tcW w:w="7700" w:type="dxa"/>
            <w:vAlign w:val="bottom"/>
            <w:gridSpan w:val="2"/>
          </w:tcPr>
          <w:p>
            <w:pPr>
              <w:spacing w:after="0"/>
              <w:rPr>
                <w:sz w:val="20"/>
                <w:szCs w:val="20"/>
                <w:color w:val="auto"/>
              </w:rPr>
            </w:pPr>
            <w:r>
              <w:rPr>
                <w:rFonts w:ascii="Arial" w:cs="Arial" w:eastAsia="Arial" w:hAnsi="Arial"/>
                <w:sz w:val="18"/>
                <w:szCs w:val="18"/>
                <w:color w:val="auto"/>
              </w:rPr>
              <w:t>Rule 13a – 14(a) / 15d – 14(a) Certification (Principal Financial Officer)</w:t>
            </w:r>
          </w:p>
        </w:tc>
      </w:tr>
      <w:tr>
        <w:trPr>
          <w:trHeight w:val="392"/>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24"/>
                <w:szCs w:val="24"/>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Section 1350 Certification (Principal Executive Officer and Principal Financial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70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70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70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70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70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70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43"/>
        </w:trPr>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_____________</w:t>
            </w:r>
          </w:p>
        </w:tc>
        <w:tc>
          <w:tcPr>
            <w:tcW w:w="440" w:type="dxa"/>
            <w:vAlign w:val="bottom"/>
          </w:tcPr>
          <w:p>
            <w:pPr>
              <w:spacing w:after="0"/>
              <w:rPr>
                <w:sz w:val="21"/>
                <w:szCs w:val="21"/>
                <w:color w:val="auto"/>
              </w:rPr>
            </w:pPr>
          </w:p>
        </w:tc>
        <w:tc>
          <w:tcPr>
            <w:tcW w:w="7260" w:type="dxa"/>
            <w:vAlign w:val="bottom"/>
          </w:tcPr>
          <w:p>
            <w:pPr>
              <w:spacing w:after="0"/>
              <w:rPr>
                <w:sz w:val="21"/>
                <w:szCs w:val="21"/>
                <w:color w:val="auto"/>
              </w:rPr>
            </w:pPr>
          </w:p>
        </w:tc>
      </w:tr>
    </w:tbl>
    <w:p>
      <w:pPr>
        <w:spacing w:after="0" w:line="40"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19"/>
          </w:cols>
          <w:pgMar w:left="240" w:top="125" w:right="1440"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171" w:lineRule="exact"/>
        <w:rPr>
          <w:sz w:val="20"/>
          <w:szCs w:val="20"/>
          <w:color w:val="auto"/>
        </w:rPr>
      </w:pPr>
    </w:p>
    <w:p>
      <w:pPr>
        <w:ind w:left="720" w:hanging="685"/>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98"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440" w:hanging="685"/>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auto"/>
        </w:rPr>
      </w:pPr>
    </w:p>
    <w:p>
      <w:pPr>
        <w:ind w:left="1420" w:right="180" w:hanging="696"/>
        <w:spacing w:after="0" w:line="264" w:lineRule="auto"/>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1420" w:right="280" w:hanging="696"/>
        <w:spacing w:after="0" w:line="342" w:lineRule="auto"/>
        <w:tabs>
          <w:tab w:leader="none" w:pos="14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420" w:right="360" w:hanging="696"/>
        <w:spacing w:after="0" w:line="264" w:lineRule="auto"/>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40" w:hanging="685"/>
        <w:spacing w:after="0" w:line="308"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420" w:right="580" w:hanging="696"/>
        <w:spacing w:after="0" w:line="342" w:lineRule="auto"/>
        <w:tabs>
          <w:tab w:leader="none" w:pos="14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420" w:right="280" w:hanging="696"/>
        <w:spacing w:after="0" w:line="277" w:lineRule="auto"/>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tabs>
          <w:tab w:leader="none" w:pos="700" w:val="left"/>
          <w:tab w:leader="none" w:pos="8440" w:val="left"/>
          <w:tab w:leader="none" w:pos="8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6, 2015</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31750</wp:posOffset>
            </wp:positionV>
            <wp:extent cx="28130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2"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720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4"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171" w:lineRule="exact"/>
        <w:rPr>
          <w:sz w:val="20"/>
          <w:szCs w:val="20"/>
          <w:color w:val="auto"/>
        </w:rPr>
      </w:pPr>
    </w:p>
    <w:p>
      <w:pPr>
        <w:ind w:left="720" w:hanging="685"/>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98"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440" w:hanging="685"/>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auto"/>
        </w:rPr>
      </w:pPr>
    </w:p>
    <w:p>
      <w:pPr>
        <w:ind w:left="1420" w:right="180" w:hanging="696"/>
        <w:spacing w:after="0" w:line="264"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1420" w:right="280" w:hanging="696"/>
        <w:spacing w:after="0" w:line="342" w:lineRule="auto"/>
        <w:tabs>
          <w:tab w:leader="none" w:pos="14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420" w:right="360" w:hanging="696"/>
        <w:spacing w:after="0" w:line="264"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40" w:hanging="685"/>
        <w:spacing w:after="0" w:line="308"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420" w:right="580" w:hanging="696"/>
        <w:spacing w:after="0" w:line="342" w:lineRule="auto"/>
        <w:tabs>
          <w:tab w:leader="none" w:pos="14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420" w:right="280" w:hanging="696"/>
        <w:spacing w:after="0" w:line="277"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tabs>
          <w:tab w:leader="none" w:pos="600" w:val="left"/>
          <w:tab w:leader="none" w:pos="8380" w:val="left"/>
        </w:tabs>
        <w:rPr>
          <w:sz w:val="20"/>
          <w:szCs w:val="20"/>
          <w:color w:val="auto"/>
        </w:rPr>
      </w:pPr>
      <w:r>
        <w:rPr>
          <w:rFonts w:ascii="Arial" w:cs="Arial" w:eastAsia="Arial" w:hAnsi="Arial"/>
          <w:sz w:val="18"/>
          <w:szCs w:val="18"/>
          <w:color w:val="auto"/>
        </w:rPr>
        <w:t>Date:</w:t>
        <w:tab/>
        <w:t>May 6, 2015</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120"/>
        <w:spacing w:after="0"/>
        <w:rPr>
          <w:sz w:val="20"/>
          <w:szCs w:val="20"/>
          <w:color w:val="auto"/>
        </w:rPr>
      </w:pPr>
      <w:r>
        <w:rPr>
          <w:rFonts w:ascii="Arial" w:cs="Arial" w:eastAsia="Arial" w:hAnsi="Arial"/>
          <w:sz w:val="13"/>
          <w:szCs w:val="13"/>
          <w:b w:val="1"/>
          <w:bCs w:val="1"/>
          <w:color w:val="auto"/>
        </w:rPr>
        <w:t>Senior Vice President, Chief Financial Officer Treasurer and Director</w:t>
      </w:r>
    </w:p>
    <w:p>
      <w:pPr>
        <w:spacing w:after="0" w:line="3"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of</w:t>
      </w:r>
    </w:p>
    <w:p>
      <w:pPr>
        <w:jc w:val="center"/>
        <w:ind w:left="7080"/>
        <w:spacing w:after="0" w:line="221" w:lineRule="auto"/>
        <w:rPr>
          <w:sz w:val="20"/>
          <w:szCs w:val="20"/>
          <w:color w:val="auto"/>
        </w:rPr>
      </w:pPr>
      <w:r>
        <w:rPr>
          <w:rFonts w:ascii="Arial" w:cs="Arial" w:eastAsia="Arial" w:hAnsi="Arial"/>
          <w:sz w:val="14"/>
          <w:szCs w:val="14"/>
          <w:b w:val="1"/>
          <w:bCs w:val="1"/>
          <w:color w:val="auto"/>
        </w:rPr>
        <w:t>Westlake Chemical Partners GP LLC</w:t>
      </w:r>
    </w:p>
    <w:p>
      <w:pPr>
        <w:jc w:val="center"/>
        <w:ind w:left="708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4"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i w:val="1"/>
          <w:iCs w:val="1"/>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In connection with the Quarterly Report of Westlake Chemical Partners LP (the "Partnership") on Form 10-Q for the fiscal quarter ended March 31, 2015 as filed with the Securities and Exchange Commission on the date hereof (the "Report"), I, Albert Chao, President, Chief Executive Officer and Director of the Partnership, and I, M. Steven Bender, Senior Vice President, Chief Financial Officer, Treasurer and Director of the Partnership, certify, to the best of our knowledge, pursuant to 18 U.S.C. §1350, as adopted pursuant to §906 of the Sarbanes-Oxley Act of 2002, that:</w:t>
      </w:r>
    </w:p>
    <w:p>
      <w:pPr>
        <w:spacing w:after="0" w:line="63" w:lineRule="exact"/>
        <w:rPr>
          <w:sz w:val="20"/>
          <w:szCs w:val="20"/>
          <w:color w:val="auto"/>
        </w:rPr>
      </w:pPr>
    </w:p>
    <w:p>
      <w:pPr>
        <w:ind w:left="540" w:hanging="316"/>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40" w:hanging="316"/>
        <w:spacing w:after="0"/>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600" w:val="left"/>
          <w:tab w:leader="none" w:pos="8380" w:val="left"/>
          <w:tab w:leader="none" w:pos="8740" w:val="left"/>
        </w:tabs>
        <w:rPr>
          <w:sz w:val="20"/>
          <w:szCs w:val="20"/>
          <w:color w:val="auto"/>
        </w:rPr>
      </w:pPr>
      <w:r>
        <w:rPr>
          <w:rFonts w:ascii="Arial" w:cs="Arial" w:eastAsia="Arial" w:hAnsi="Arial"/>
          <w:sz w:val="18"/>
          <w:szCs w:val="18"/>
          <w:color w:val="auto"/>
        </w:rPr>
        <w:t>Date:</w:t>
        <w:tab/>
        <w:t>May 6, 2015</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708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(Principal Executive Officer)</w:t>
      </w:r>
    </w:p>
    <w:p>
      <w:pPr>
        <w:spacing w:after="0" w:line="385" w:lineRule="exact"/>
        <w:rPr>
          <w:sz w:val="20"/>
          <w:szCs w:val="20"/>
          <w:color w:val="auto"/>
        </w:rPr>
      </w:pPr>
    </w:p>
    <w:p>
      <w:pPr>
        <w:ind w:left="40"/>
        <w:spacing w:after="0"/>
        <w:tabs>
          <w:tab w:leader="none" w:pos="600" w:val="left"/>
          <w:tab w:leader="none" w:pos="8180" w:val="left"/>
          <w:tab w:leader="none" w:pos="8540" w:val="left"/>
        </w:tabs>
        <w:rPr>
          <w:sz w:val="20"/>
          <w:szCs w:val="20"/>
          <w:color w:val="auto"/>
        </w:rPr>
      </w:pPr>
      <w:r>
        <w:rPr>
          <w:rFonts w:ascii="Arial" w:cs="Arial" w:eastAsia="Arial" w:hAnsi="Arial"/>
          <w:sz w:val="18"/>
          <w:szCs w:val="18"/>
          <w:color w:val="auto"/>
        </w:rPr>
        <w:t>Date:</w:t>
        <w:tab/>
        <w:t>May 6, 2015</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Senior Vice President, Chief Financial Officer,</w:t>
      </w:r>
    </w:p>
    <w:p>
      <w:pPr>
        <w:jc w:val="center"/>
        <w:ind w:left="7080"/>
        <w:spacing w:after="0" w:line="226" w:lineRule="auto"/>
        <w:rPr>
          <w:sz w:val="20"/>
          <w:szCs w:val="20"/>
          <w:color w:val="auto"/>
        </w:rPr>
      </w:pPr>
      <w:r>
        <w:rPr>
          <w:rFonts w:ascii="Arial" w:cs="Arial" w:eastAsia="Arial" w:hAnsi="Arial"/>
          <w:sz w:val="14"/>
          <w:szCs w:val="14"/>
          <w:b w:val="1"/>
          <w:bCs w:val="1"/>
          <w:color w:val="auto"/>
        </w:rPr>
        <w:t>Treasurer and Director of</w:t>
      </w:r>
    </w:p>
    <w:p>
      <w:pPr>
        <w:jc w:val="center"/>
        <w:ind w:left="7080"/>
        <w:spacing w:after="0" w:line="222" w:lineRule="auto"/>
        <w:rPr>
          <w:sz w:val="20"/>
          <w:szCs w:val="20"/>
          <w:color w:val="auto"/>
        </w:rPr>
      </w:pPr>
      <w:r>
        <w:rPr>
          <w:rFonts w:ascii="Arial" w:cs="Arial" w:eastAsia="Arial" w:hAnsi="Arial"/>
          <w:sz w:val="14"/>
          <w:szCs w:val="14"/>
          <w:b w:val="1"/>
          <w:bCs w:val="1"/>
          <w:color w:val="auto"/>
        </w:rPr>
        <w:t>Westlake Chemical Partners GP LLC</w:t>
      </w:r>
    </w:p>
    <w:p>
      <w:pPr>
        <w:jc w:val="center"/>
        <w:ind w:left="708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11"/>
    </w:lvl>
  </w:abstractNum>
  <w:abstractNum w:abstractNumId="5">
    <w:nsid w:val="140E0F76"/>
    <w:multiLevelType w:val="hybridMultilevel"/>
    <w:lvl w:ilvl="0">
      <w:lvlJc w:val="left"/>
      <w:lvlText w:val="%1."/>
      <w:numFmt w:val="decimal"/>
      <w:start w:val="14"/>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2020-01-23T12:25:29Z</dcterms:created>
  <dcterms:modified xsi:type="dcterms:W3CDTF">2020-01-23T12:25:29Z</dcterms:modified>
</cp:coreProperties>
</file>