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111760</wp:posOffset>
            </wp:positionV>
            <wp:extent cx="32835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130175</wp:posOffset>
            </wp:positionV>
            <wp:extent cx="3283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376" w:lineRule="exact"/>
        <w:rPr>
          <w:sz w:val="24"/>
          <w:szCs w:val="24"/>
          <w:color w:val="auto"/>
        </w:rPr>
      </w:pPr>
    </w:p>
    <w:p>
      <w:pPr>
        <w:ind w:left="700" w:hanging="65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9" w:lineRule="exact"/>
        <w:rPr>
          <w:sz w:val="24"/>
          <w:szCs w:val="24"/>
          <w:color w:val="auto"/>
        </w:rPr>
      </w:pPr>
    </w:p>
    <w:p>
      <w:pPr>
        <w:ind w:left="700"/>
        <w:spacing w:after="0"/>
        <w:tabs>
          <w:tab w:leader="none" w:pos="3780" w:val="left"/>
        </w:tabs>
        <w:rPr>
          <w:sz w:val="20"/>
          <w:szCs w:val="20"/>
          <w:color w:val="auto"/>
        </w:rPr>
      </w:pPr>
      <w:r>
        <w:rPr>
          <w:rFonts w:ascii="Times New Roman" w:cs="Times New Roman" w:eastAsia="Times New Roman" w:hAnsi="Times New Roman"/>
          <w:sz w:val="18"/>
          <w:szCs w:val="18"/>
          <w:b w:val="1"/>
          <w:bCs w:val="1"/>
          <w:color w:val="auto"/>
        </w:rPr>
        <w:t>For the Fiscal Year Ended</w:t>
      </w:r>
      <w:r>
        <w:rPr>
          <w:sz w:val="20"/>
          <w:szCs w:val="20"/>
          <w:color w:val="auto"/>
        </w:rPr>
        <w:tab/>
      </w:r>
      <w:r>
        <w:rPr>
          <w:rFonts w:ascii="Times New Roman" w:cs="Times New Roman" w:eastAsia="Times New Roman" w:hAnsi="Times New Roman"/>
          <w:sz w:val="16"/>
          <w:szCs w:val="16"/>
          <w:b w:val="1"/>
          <w:bCs w:val="1"/>
          <w:color w:val="auto"/>
        </w:rPr>
        <w:t>December 31, 2023</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3" w:lineRule="exact"/>
        <w:rPr>
          <w:sz w:val="24"/>
          <w:szCs w:val="24"/>
          <w:color w:val="auto"/>
        </w:rPr>
      </w:pPr>
    </w:p>
    <w:p>
      <w:pPr>
        <w:ind w:left="700" w:hanging="664"/>
        <w:spacing w:after="0"/>
        <w:tabs>
          <w:tab w:leader="none" w:pos="7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940" w:orient="portrait"/>
          <w:cols w:equalWidth="0" w:num="1">
            <w:col w:w="11240"/>
          </w:cols>
          <w:pgMar w:left="320" w:top="222" w:right="339" w:bottom="0" w:gutter="0" w:footer="0" w:header="0"/>
        </w:sectPr>
      </w:pPr>
    </w:p>
    <w:p>
      <w:pPr>
        <w:spacing w:after="0" w:line="63" w:lineRule="exact"/>
        <w:rPr>
          <w:sz w:val="24"/>
          <w:szCs w:val="24"/>
          <w:color w:val="auto"/>
        </w:rPr>
      </w:pPr>
    </w:p>
    <w:p>
      <w:pPr>
        <w:ind w:left="700"/>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ectPr>
          <w:pgSz w:w="11900" w:h="16940" w:orient="portrait"/>
          <w:cols w:equalWidth="0" w:num="1">
            <w:col w:w="11240"/>
          </w:cols>
          <w:pgMar w:left="320" w:top="222" w:right="339" w:bottom="0" w:gutter="0" w:footer="0" w:header="0"/>
          <w:type w:val="continuous"/>
        </w:sectPr>
      </w:pP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154940</wp:posOffset>
            </wp:positionV>
            <wp:extent cx="3283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ectPr>
          <w:pgSz w:w="11900" w:h="16940" w:orient="portrait"/>
          <w:cols w:equalWidth="0" w:num="1">
            <w:col w:w="11240"/>
          </w:cols>
          <w:pgMar w:left="320" w:top="222" w:right="339" w:bottom="0" w:gutter="0" w:footer="0" w:header="0"/>
          <w:type w:val="continuous"/>
        </w:sect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Westlake Chemical Partners LP</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1917065</wp:posOffset>
            </wp:positionH>
            <wp:positionV relativeFrom="paragraph">
              <wp:posOffset>43815</wp:posOffset>
            </wp:positionV>
            <wp:extent cx="3283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226" w:lineRule="exact"/>
        <w:rPr>
          <w:sz w:val="24"/>
          <w:szCs w:val="24"/>
          <w:color w:val="auto"/>
        </w:rPr>
      </w:pPr>
    </w:p>
    <w:tbl>
      <w:tblPr>
        <w:tblLayout w:type="fixed"/>
        <w:tblInd w:w="50" w:type="dxa"/>
        <w:tblCellMar>
          <w:top w:w="0" w:type="dxa"/>
          <w:left w:w="0" w:type="dxa"/>
          <w:bottom w:w="0" w:type="dxa"/>
          <w:right w:w="0" w:type="dxa"/>
        </w:tblCellMar>
      </w:tblPr>
      <w:tr>
        <w:trPr>
          <w:trHeight w:val="220"/>
        </w:trPr>
        <w:tc>
          <w:tcPr>
            <w:tcW w:w="3740" w:type="dxa"/>
            <w:vAlign w:val="bottom"/>
            <w:gridSpan w:val="3"/>
          </w:tcPr>
          <w:p>
            <w:pPr>
              <w:jc w:val="center"/>
              <w:ind w:left="1639"/>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80" w:type="dxa"/>
            <w:vAlign w:val="bottom"/>
            <w:gridSpan w:val="3"/>
          </w:tcPr>
          <w:p>
            <w:pPr>
              <w:jc w:val="center"/>
              <w:ind w:left="143"/>
              <w:spacing w:after="0"/>
              <w:rPr>
                <w:sz w:val="20"/>
                <w:szCs w:val="20"/>
                <w:color w:val="auto"/>
              </w:rPr>
            </w:pPr>
            <w:r>
              <w:rPr>
                <w:rFonts w:ascii="Times New Roman" w:cs="Times New Roman" w:eastAsia="Times New Roman" w:hAnsi="Times New Roman"/>
                <w:sz w:val="18"/>
                <w:szCs w:val="18"/>
                <w:b w:val="1"/>
                <w:bCs w:val="1"/>
                <w:color w:val="auto"/>
                <w:w w:val="96"/>
              </w:rPr>
              <w:t>32-0436529</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3740" w:type="dxa"/>
            <w:vAlign w:val="bottom"/>
            <w:gridSpan w:val="3"/>
          </w:tcPr>
          <w:p>
            <w:pPr>
              <w:jc w:val="center"/>
              <w:ind w:left="1639"/>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gridSpan w:val="3"/>
          </w:tcPr>
          <w:p>
            <w:pPr>
              <w:jc w:val="center"/>
              <w:ind w:left="143"/>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40" w:type="dxa"/>
            <w:vAlign w:val="bottom"/>
            <w:gridSpan w:val="3"/>
          </w:tcPr>
          <w:p>
            <w:pPr>
              <w:jc w:val="center"/>
              <w:ind w:left="1639"/>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80" w:type="dxa"/>
            <w:vAlign w:val="bottom"/>
            <w:gridSpan w:val="3"/>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2801 Post Oak Boulevard, Suite 600</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Houston, Texas 77056</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60" w:type="dxa"/>
            <w:vAlign w:val="bottom"/>
          </w:tcPr>
          <w:p>
            <w:pPr>
              <w:jc w:val="center"/>
              <w:ind w:left="760"/>
              <w:spacing w:after="0"/>
              <w:rPr>
                <w:sz w:val="20"/>
                <w:szCs w:val="20"/>
                <w:color w:val="auto"/>
              </w:rPr>
            </w:pPr>
            <w:r>
              <w:rPr>
                <w:rFonts w:ascii="Times New Roman" w:cs="Times New Roman" w:eastAsia="Times New Roman" w:hAnsi="Times New Roman"/>
                <w:sz w:val="18"/>
                <w:szCs w:val="18"/>
                <w:b w:val="1"/>
                <w:bCs w:val="1"/>
                <w:color w:val="auto"/>
                <w:w w:val="97"/>
              </w:rPr>
              <w:t>(713) 585-2900</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gridSpan w:val="2"/>
          </w:tcPr>
          <w:p>
            <w:pPr>
              <w:spacing w:after="0"/>
              <w:rPr>
                <w:sz w:val="11"/>
                <w:szCs w:val="11"/>
                <w:color w:val="auto"/>
              </w:rPr>
            </w:pPr>
          </w:p>
        </w:tc>
        <w:tc>
          <w:tcPr>
            <w:tcW w:w="1580" w:type="dxa"/>
            <w:vAlign w:val="bottom"/>
            <w:tcBorders>
              <w:bottom w:val="single" w:sz="8" w:color="auto"/>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Borders>
              <w:bottom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840" w:type="dxa"/>
            <w:vAlign w:val="bottom"/>
            <w:tcBorders>
              <w:bottom w:val="single" w:sz="8" w:color="auto"/>
            </w:tcBorders>
          </w:tcPr>
          <w:p>
            <w:pPr>
              <w:spacing w:after="0"/>
              <w:rPr>
                <w:sz w:val="16"/>
                <w:szCs w:val="16"/>
                <w:color w:val="auto"/>
              </w:rPr>
            </w:pPr>
          </w:p>
        </w:tc>
        <w:tc>
          <w:tcPr>
            <w:tcW w:w="3760" w:type="dxa"/>
            <w:vAlign w:val="bottom"/>
            <w:tcBorders>
              <w:bottom w:val="single" w:sz="8" w:color="auto"/>
              <w:right w:val="single" w:sz="8" w:color="auto"/>
            </w:tcBorders>
            <w:gridSpan w:val="4"/>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70"/>
        </w:trPr>
        <w:tc>
          <w:tcPr>
            <w:tcW w:w="3240" w:type="dxa"/>
            <w:vAlign w:val="bottom"/>
            <w:tcBorders>
              <w:left w:val="single" w:sz="8" w:color="auto"/>
              <w:right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Common units representing limited</w:t>
            </w:r>
          </w:p>
        </w:tc>
        <w:tc>
          <w:tcPr>
            <w:tcW w:w="500" w:type="dxa"/>
            <w:vAlign w:val="bottom"/>
          </w:tcPr>
          <w:p>
            <w:pPr>
              <w:spacing w:after="0"/>
              <w:rPr>
                <w:sz w:val="14"/>
                <w:szCs w:val="14"/>
                <w:color w:val="auto"/>
              </w:rPr>
            </w:pPr>
          </w:p>
        </w:tc>
        <w:tc>
          <w:tcPr>
            <w:tcW w:w="2860" w:type="dxa"/>
            <w:vAlign w:val="bottom"/>
            <w:tcBorders>
              <w:right w:val="single" w:sz="8" w:color="auto"/>
            </w:tcBorders>
          </w:tcPr>
          <w:p>
            <w:pPr>
              <w:jc w:val="center"/>
              <w:ind w:right="480"/>
              <w:spacing w:after="0" w:line="170" w:lineRule="exact"/>
              <w:rPr>
                <w:sz w:val="20"/>
                <w:szCs w:val="20"/>
                <w:color w:val="auto"/>
              </w:rPr>
            </w:pPr>
            <w:r>
              <w:rPr>
                <w:rFonts w:ascii="Times New Roman" w:cs="Times New Roman" w:eastAsia="Times New Roman" w:hAnsi="Times New Roman"/>
                <w:sz w:val="18"/>
                <w:szCs w:val="18"/>
                <w:b w:val="1"/>
                <w:bCs w:val="1"/>
                <w:color w:val="auto"/>
                <w:w w:val="98"/>
              </w:rPr>
              <w:t>WLKP</w:t>
            </w:r>
          </w:p>
        </w:tc>
        <w:tc>
          <w:tcPr>
            <w:tcW w:w="840" w:type="dxa"/>
            <w:vAlign w:val="bottom"/>
          </w:tcPr>
          <w:p>
            <w:pPr>
              <w:spacing w:after="0"/>
              <w:rPr>
                <w:sz w:val="14"/>
                <w:szCs w:val="14"/>
                <w:color w:val="auto"/>
              </w:rPr>
            </w:pPr>
          </w:p>
        </w:tc>
        <w:tc>
          <w:tcPr>
            <w:tcW w:w="3760" w:type="dxa"/>
            <w:vAlign w:val="bottom"/>
            <w:tcBorders>
              <w:right w:val="single" w:sz="8" w:color="auto"/>
            </w:tcBorders>
            <w:gridSpan w:val="4"/>
          </w:tcPr>
          <w:p>
            <w:pPr>
              <w:jc w:val="center"/>
              <w:ind w:right="792"/>
              <w:spacing w:after="0" w:line="170" w:lineRule="exact"/>
              <w:rPr>
                <w:sz w:val="20"/>
                <w:szCs w:val="20"/>
                <w:color w:val="auto"/>
              </w:rPr>
            </w:pPr>
            <w:r>
              <w:rPr>
                <w:rFonts w:ascii="Times New Roman" w:cs="Times New Roman" w:eastAsia="Times New Roman" w:hAnsi="Times New Roman"/>
                <w:sz w:val="18"/>
                <w:szCs w:val="18"/>
                <w:b w:val="1"/>
                <w:bCs w:val="1"/>
                <w:color w:val="auto"/>
                <w:w w:val="96"/>
              </w:rPr>
              <w:t>The New York Stock Exchange</w:t>
            </w:r>
          </w:p>
        </w:tc>
        <w:tc>
          <w:tcPr>
            <w:tcW w:w="0" w:type="dxa"/>
            <w:vAlign w:val="bottom"/>
          </w:tcPr>
          <w:p>
            <w:pPr>
              <w:spacing w:after="0"/>
              <w:rPr>
                <w:sz w:val="1"/>
                <w:szCs w:val="1"/>
                <w:color w:val="auto"/>
              </w:rPr>
            </w:pPr>
          </w:p>
        </w:tc>
      </w:tr>
      <w:tr>
        <w:trPr>
          <w:trHeight w:val="234"/>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partner interests</w:t>
            </w:r>
          </w:p>
        </w:tc>
        <w:tc>
          <w:tcPr>
            <w:tcW w:w="50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000" w:type="dxa"/>
            <w:vAlign w:val="bottom"/>
          </w:tcPr>
          <w:p>
            <w:pPr>
              <w:spacing w:after="0"/>
              <w:rPr>
                <w:sz w:val="24"/>
                <w:szCs w:val="24"/>
                <w:color w:val="auto"/>
              </w:rPr>
            </w:pPr>
          </w:p>
        </w:tc>
        <w:tc>
          <w:tcPr>
            <w:tcW w:w="576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 NONE</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5180" w:type="dxa"/>
            <w:vAlign w:val="bottom"/>
            <w:tcBorders>
              <w:bottom w:val="single" w:sz="8" w:color="auto"/>
            </w:tcBorders>
            <w:gridSpan w:val="5"/>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7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2"/>
        </w:trPr>
        <w:tc>
          <w:tcPr>
            <w:tcW w:w="876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w w:val="99"/>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76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17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60" w:lineRule="exact"/>
        <w:rPr>
          <w:sz w:val="24"/>
          <w:szCs w:val="24"/>
          <w:color w:val="auto"/>
        </w:rPr>
      </w:pPr>
    </w:p>
    <w:p>
      <w:pPr>
        <w:ind w:right="180" w:firstLine="39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240"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2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4" w:lineRule="exact"/>
        <w:rPr>
          <w:sz w:val="24"/>
          <w:szCs w:val="24"/>
          <w:color w:val="auto"/>
        </w:rPr>
      </w:pPr>
    </w:p>
    <w:p>
      <w:pPr>
        <w:ind w:right="60"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4"/>
          <w:szCs w:val="24"/>
          <w:color w:val="auto"/>
        </w:rPr>
      </w:pPr>
    </w:p>
    <w:p>
      <w:pPr>
        <w:ind w:right="140" w:firstLine="39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7" w:lineRule="exact"/>
        <w:rPr>
          <w:sz w:val="24"/>
          <w:szCs w:val="24"/>
          <w:color w:val="auto"/>
        </w:rPr>
      </w:pPr>
    </w:p>
    <w:p>
      <w:pPr>
        <w:ind w:right="180"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6" w:lineRule="exact"/>
        <w:rPr>
          <w:sz w:val="24"/>
          <w:szCs w:val="24"/>
          <w:color w:val="auto"/>
        </w:rPr>
      </w:pPr>
    </w:p>
    <w:p>
      <w:pPr>
        <w:ind w:right="620"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4"/>
          <w:szCs w:val="24"/>
          <w:color w:val="auto"/>
        </w:rPr>
      </w:pPr>
    </w:p>
    <w:p>
      <w:pPr>
        <w:ind w:left="400"/>
        <w:spacing w:after="0" w:line="207" w:lineRule="exact"/>
        <w:tabs>
          <w:tab w:leader="none" w:pos="7780" w:val="left"/>
          <w:tab w:leader="none" w:pos="84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7" w:lineRule="exact"/>
        <w:rPr>
          <w:sz w:val="24"/>
          <w:szCs w:val="24"/>
          <w:color w:val="auto"/>
        </w:rPr>
      </w:pPr>
    </w:p>
    <w:p>
      <w:pPr>
        <w:ind w:right="60" w:firstLine="395"/>
        <w:spacing w:after="0" w:line="303" w:lineRule="auto"/>
        <w:rPr>
          <w:sz w:val="20"/>
          <w:szCs w:val="20"/>
          <w:color w:val="auto"/>
        </w:rPr>
      </w:pPr>
      <w:r>
        <w:rPr>
          <w:rFonts w:ascii="Times New Roman" w:cs="Times New Roman" w:eastAsia="Times New Roman" w:hAnsi="Times New Roman"/>
          <w:sz w:val="16"/>
          <w:szCs w:val="16"/>
          <w:color w:val="auto"/>
        </w:rPr>
        <w:t>The aggregate market value of registrant's common units held by non-affiliates of the registrant on June 30, 2023, the end of the registrant's most recently completed second fiscal quarter, based on the closing price on June 30, 2023 of $21.69 on the New York Stock Exchange, was approximately $420.2 million. Common units held by executive officers and directors of the registrant's general partner and its affiliates are not included in the computation. The registrant,</w:t>
      </w:r>
    </w:p>
    <w:p>
      <w:pPr>
        <w:sectPr>
          <w:pgSz w:w="11900" w:h="16940" w:orient="portrait"/>
          <w:cols w:equalWidth="0" w:num="1">
            <w:col w:w="11240"/>
          </w:cols>
          <w:pgMar w:left="320" w:top="222" w:right="339" w:bottom="0" w:gutter="0" w:footer="0" w:header="0"/>
          <w:type w:val="continuous"/>
        </w:sectPr>
      </w:pPr>
    </w:p>
    <w:bookmarkStart w:id="1" w:name="page2"/>
    <w:bookmarkEnd w:id="1"/>
    <w:p>
      <w:pPr>
        <w:spacing w:after="0" w:line="268" w:lineRule="auto"/>
        <w:rPr>
          <w:sz w:val="20"/>
          <w:szCs w:val="20"/>
          <w:color w:val="auto"/>
        </w:rPr>
      </w:pPr>
      <w:r>
        <w:rPr>
          <w:rFonts w:ascii="Times New Roman" w:cs="Times New Roman" w:eastAsia="Times New Roman" w:hAnsi="Times New Roman"/>
          <w:sz w:val="18"/>
          <w:szCs w:val="18"/>
          <w:color w:val="auto"/>
        </w:rPr>
        <w:t>solely for the purpose of this required presentation, has deemed the directors and executive officers of its general partner and those of its affiliates to be affiliates.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registrant had 35,228,134 common units outstanding as of 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964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1"/>
        </w:trPr>
        <w:tc>
          <w:tcPr>
            <w:tcW w:w="70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Item</w:t>
            </w:r>
          </w:p>
        </w:tc>
        <w:tc>
          <w:tcPr>
            <w:tcW w:w="9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96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2"/>
        </w:trPr>
        <w:tc>
          <w:tcPr>
            <w:tcW w:w="700" w:type="dxa"/>
            <w:vAlign w:val="bottom"/>
            <w:vMerge w:val="continue"/>
          </w:tcPr>
          <w:p>
            <w:pPr>
              <w:spacing w:after="0"/>
              <w:rPr>
                <w:sz w:val="24"/>
                <w:szCs w:val="24"/>
                <w:color w:val="auto"/>
              </w:rPr>
            </w:pPr>
          </w:p>
        </w:tc>
        <w:tc>
          <w:tcPr>
            <w:tcW w:w="9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1A)</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1B)</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1C)</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Cybersecurity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Mine Safety Disclosure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700" w:type="dxa"/>
            <w:vAlign w:val="bottom"/>
          </w:tcPr>
          <w:p>
            <w:pPr>
              <w:spacing w:after="0"/>
              <w:rPr>
                <w:sz w:val="24"/>
                <w:szCs w:val="24"/>
                <w:color w:val="auto"/>
              </w:rPr>
            </w:pPr>
          </w:p>
        </w:tc>
        <w:tc>
          <w:tcPr>
            <w:tcW w:w="9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9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Equity Securities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7A)</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9A)</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Controls and Procedures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9B)</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9C)</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700" w:type="dxa"/>
            <w:vAlign w:val="bottom"/>
          </w:tcPr>
          <w:p>
            <w:pPr>
              <w:spacing w:after="0"/>
              <w:rPr>
                <w:sz w:val="24"/>
                <w:szCs w:val="24"/>
                <w:color w:val="auto"/>
              </w:rPr>
            </w:pPr>
          </w:p>
        </w:tc>
        <w:tc>
          <w:tcPr>
            <w:tcW w:w="9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700" w:type="dxa"/>
            <w:vAlign w:val="bottom"/>
          </w:tcPr>
          <w:p>
            <w:pPr>
              <w:spacing w:after="0"/>
              <w:rPr>
                <w:sz w:val="24"/>
                <w:szCs w:val="24"/>
                <w:color w:val="auto"/>
              </w:rPr>
            </w:pPr>
          </w:p>
        </w:tc>
        <w:tc>
          <w:tcPr>
            <w:tcW w:w="9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10-K Summary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7"/>
        </w:trPr>
        <w:tc>
          <w:tcPr>
            <w:tcW w:w="7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7"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Unless otherwise indicated, references in this Annual Report on Form 10-K (this "report") to "we," "our," "us" or like terms refer to Westlake Chemical Partners LP ("Westlake Chemical Partners LP" or the "Partnership"), Westlake Chemical OpCo LP ("OpCo") and Westlake Chemical OpCo GP LLC ("OpCo GP"). References to "Westlake" refer to Westlake Corporation and its consolidated subsidiaries other than the Partnership, OpCo GP and OpCo. Unless the context otherwise requires, references to our "board of directors" or our "directors" refer to the board of directors of our general partner and such board's directors, respectively.</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7" w:lineRule="exact"/>
        <w:rPr>
          <w:sz w:val="20"/>
          <w:szCs w:val="20"/>
          <w:color w:val="auto"/>
        </w:rPr>
      </w:pPr>
    </w:p>
    <w:p>
      <w:pPr>
        <w:ind w:right="40" w:firstLine="395"/>
        <w:spacing w:after="0" w:line="289" w:lineRule="auto"/>
        <w:rPr>
          <w:sz w:val="20"/>
          <w:szCs w:val="20"/>
          <w:color w:val="auto"/>
        </w:rPr>
      </w:pPr>
      <w:r>
        <w:rPr>
          <w:rFonts w:ascii="Times New Roman" w:cs="Times New Roman" w:eastAsia="Times New Roman" w:hAnsi="Times New Roman"/>
          <w:sz w:val="16"/>
          <w:szCs w:val="16"/>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129" w:lineRule="exact"/>
        <w:rPr>
          <w:sz w:val="20"/>
          <w:szCs w:val="20"/>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caused by the conflicts in the Middle East and between Russia and Ukraine;</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82" w:lineRule="exact"/>
        <w:rPr>
          <w:rFonts w:ascii="Times New Roman" w:cs="Times New Roman" w:eastAsia="Times New Roman" w:hAnsi="Times New Roman"/>
          <w:sz w:val="18"/>
          <w:szCs w:val="18"/>
          <w:color w:val="auto"/>
        </w:rPr>
      </w:pPr>
    </w:p>
    <w:p>
      <w:pPr>
        <w:ind w:left="640" w:hanging="319"/>
        <w:spacing w:after="0" w:line="256"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"Part 1. Item 1A. Risk Factors" of this report and the following:</w:t>
      </w:r>
    </w:p>
    <w:p>
      <w:pPr>
        <w:spacing w:after="0" w:line="146" w:lineRule="exact"/>
        <w:rPr>
          <w:sz w:val="20"/>
          <w:szCs w:val="20"/>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81" w:lineRule="exact"/>
        <w:rPr>
          <w:rFonts w:ascii="Arial" w:cs="Arial" w:eastAsia="Arial" w:hAnsi="Arial"/>
          <w:sz w:val="18"/>
          <w:szCs w:val="18"/>
          <w:color w:val="auto"/>
        </w:rPr>
      </w:pPr>
    </w:p>
    <w:p>
      <w:pPr>
        <w:ind w:left="640" w:right="80" w:hanging="319"/>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conflict in the Middle East and elsewhere, including the conflict between Russia and Ukraine;</w:t>
      </w:r>
    </w:p>
    <w:p>
      <w:pPr>
        <w:spacing w:after="0" w:line="3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6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69" w:lineRule="exact"/>
        <w:rPr>
          <w:rFonts w:ascii="Times New Roman" w:cs="Times New Roman" w:eastAsia="Times New Roman" w:hAnsi="Times New Roman"/>
          <w:sz w:val="18"/>
          <w:szCs w:val="18"/>
          <w:color w:val="auto"/>
        </w:rPr>
      </w:pPr>
    </w:p>
    <w:p>
      <w:pPr>
        <w:ind w:left="640" w:right="400" w:hanging="319"/>
        <w:spacing w:after="0" w:line="267" w:lineRule="auto"/>
        <w:tabs>
          <w:tab w:leader="none" w:pos="636"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38"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access to capital markets;</w:t>
      </w:r>
    </w:p>
    <w:p>
      <w:pPr>
        <w:spacing w:after="0" w:line="81"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82"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61"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85"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Industry and market data used throughout this report were obtained through internal research, surveys and studies conducted by unrelated third parties and publicly available industry and general publications. We have not independently verified market and industry data from external sources. While we believe internal partnership estimates are reliable and market definitions are appropriate, neither such estimates nor these definitions have been verified by any independent sources.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Production Capacity</w:t>
      </w:r>
    </w:p>
    <w:p>
      <w:pPr>
        <w:spacing w:after="0" w:line="98"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Unless we state otherwise, annual production capacity estimates used throughout this report represent rated capacity of the facilities at December 31, 2023.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8"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are a Delaware limited partnership formed by Westlake in March 2014 to operate, acquire and develop ethylene production facilities and related assets. On August 4, 2014, we completed our initial public offering (the "IPO") of 12,937,500 common units representing limited partner interests. In connection with the IPO, we acquired an initial 10.6% interest in OpCo and a 100% interest in OpCo GP, which is the general partner of OpCo. As of December 31, 2018, we had an aggregate 18.3% limited partner interest in OpCo.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3"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Our business and operations are conducted through OpCo. Because we own OpCo's general partner, we have control over all of OpCo's assets and operations. As of December 31, 2023, Westlake held a 77.2% limited partner interest in OpCo and held a 40.1% limited partner interest in us (consisting of 14,122,230 common units), our general partner interest and our incentive distribution rights.</w:t>
      </w:r>
    </w:p>
    <w:p>
      <w:pPr>
        <w:spacing w:after="0" w:line="127" w:lineRule="exact"/>
        <w:rPr>
          <w:sz w:val="20"/>
          <w:szCs w:val="20"/>
          <w:color w:val="auto"/>
        </w:rPr>
      </w:pPr>
    </w:p>
    <w:p>
      <w:pPr>
        <w:jc w:val="both"/>
        <w:ind w:right="160" w:firstLine="395"/>
        <w:spacing w:after="0" w:line="280" w:lineRule="auto"/>
        <w:rPr>
          <w:sz w:val="20"/>
          <w:szCs w:val="20"/>
          <w:color w:val="auto"/>
        </w:rPr>
      </w:pPr>
      <w:r>
        <w:rPr>
          <w:rFonts w:ascii="Times New Roman" w:cs="Times New Roman" w:eastAsia="Times New Roman" w:hAnsi="Times New Roman"/>
          <w:sz w:val="16"/>
          <w:szCs w:val="16"/>
          <w:color w:val="auto"/>
        </w:rPr>
        <w:t>OpCo's assets are comprised of three ethylene production facilities, which primarily convert ethane into ethylene and have an aggregate annual capacity of approximately 3.7 billion pounds, and a 200-mile ethylene pipeline. OpCo derives substantially all of its revenue from these ethylene production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22.8% limited partner interest in OpCo.</w:t>
      </w:r>
    </w:p>
    <w:p>
      <w:pPr>
        <w:spacing w:after="0" w:line="135" w:lineRule="exact"/>
        <w:rPr>
          <w:sz w:val="20"/>
          <w:szCs w:val="20"/>
          <w:color w:val="auto"/>
        </w:rPr>
      </w:pPr>
    </w:p>
    <w:p>
      <w:pPr>
        <w:ind w:right="300" w:firstLine="395"/>
        <w:spacing w:after="0" w:line="332" w:lineRule="auto"/>
        <w:rPr>
          <w:sz w:val="20"/>
          <w:szCs w:val="20"/>
          <w:color w:val="auto"/>
        </w:rPr>
      </w:pPr>
      <w:r>
        <w:rPr>
          <w:rFonts w:ascii="Times New Roman" w:cs="Times New Roman" w:eastAsia="Times New Roman" w:hAnsi="Times New Roman"/>
          <w:sz w:val="16"/>
          <w:szCs w:val="16"/>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70"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Among other agreements entered into in connection with the closing of the IPO, OpCo entered into a 12-year ethylene sales agreement with Westlake,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ethane (and any other feedstocks) required for OpCo to produce ethylene under the Ethylene Sales Agreement (the "Feedstock Supply Agreement"). OpCo primarily uses ethane (a component of natural gas liquids, or NGLs) to produce ethylene.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Westlake Chemical Partners LP</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simplified diagram depicts our organizational structure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5715000" cy="4578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000" cy="457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Common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59.9 %</w:t>
            </w:r>
          </w:p>
        </w:tc>
      </w:tr>
      <w:tr>
        <w:trPr>
          <w:trHeight w:val="224"/>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 of Westlake:</w:t>
            </w:r>
          </w:p>
        </w:tc>
        <w:tc>
          <w:tcPr>
            <w:tcW w:w="1560" w:type="dxa"/>
            <w:vAlign w:val="bottom"/>
          </w:tcPr>
          <w:p>
            <w:pPr>
              <w:spacing w:after="0"/>
              <w:rPr>
                <w:sz w:val="19"/>
                <w:szCs w:val="19"/>
                <w:color w:val="auto"/>
              </w:rPr>
            </w:pPr>
          </w:p>
        </w:tc>
      </w:tr>
      <w:tr>
        <w:trPr>
          <w:trHeight w:val="224"/>
        </w:trPr>
        <w:tc>
          <w:tcPr>
            <w:tcW w:w="9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r>
      <w:tr>
        <w:trPr>
          <w:trHeight w:val="224"/>
        </w:trPr>
        <w:tc>
          <w:tcPr>
            <w:tcW w:w="9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Non-Economic General Partner Interest</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Incentive Distribution Rights </w:t>
            </w:r>
            <w:r>
              <w:rPr>
                <w:rFonts w:ascii="Times New Roman" w:cs="Times New Roman" w:eastAsia="Times New Roman" w:hAnsi="Times New Roman"/>
                <w:sz w:val="22"/>
                <w:szCs w:val="22"/>
                <w:color w:val="auto"/>
                <w:vertAlign w:val="superscript"/>
              </w:rPr>
              <w:t>(1)</w:t>
            </w: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966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9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3" w:lineRule="exact"/>
        <w:rPr>
          <w:sz w:val="20"/>
          <w:szCs w:val="20"/>
          <w:color w:val="auto"/>
        </w:rPr>
      </w:pPr>
    </w:p>
    <w:p>
      <w:pPr>
        <w:ind w:left="400" w:right="60" w:hanging="395"/>
        <w:spacing w:after="0" w:line="268" w:lineRule="auto"/>
        <w:tabs>
          <w:tab w:leader="none" w:pos="3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Assets and Operations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sole revenue generating asset is our 22.8% limited partner interest in OpCo. We also own the general partner interest of OpCo. OpCo owns:</w:t>
      </w:r>
    </w:p>
    <w:p>
      <w:pPr>
        <w:spacing w:after="0" w:line="96" w:lineRule="exact"/>
        <w:rPr>
          <w:sz w:val="20"/>
          <w:szCs w:val="20"/>
          <w:color w:val="auto"/>
        </w:rPr>
      </w:pPr>
    </w:p>
    <w:p>
      <w:pPr>
        <w:ind w:left="640" w:right="60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ethylene production facilities at Westlake's Lake Charles, Louisiana site ("Petro 1" and "Petro 2," collectively referred to as "Lake Charles Olefins"), with an annual combined capacity of approximately 3.0 billion pounds;</w:t>
      </w:r>
    </w:p>
    <w:p>
      <w:pPr>
        <w:spacing w:after="0" w:line="50" w:lineRule="exact"/>
        <w:rPr>
          <w:rFonts w:ascii="Times New Roman" w:cs="Times New Roman" w:eastAsia="Times New Roman" w:hAnsi="Times New Roman"/>
          <w:sz w:val="18"/>
          <w:szCs w:val="18"/>
          <w:color w:val="auto"/>
        </w:rPr>
      </w:pPr>
    </w:p>
    <w:p>
      <w:pPr>
        <w:ind w:left="640" w:right="4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ethylene production facility at Westlake's Calvert City, Kentucky site ("Calvert City Olefins"), with an annual capacity of approximately 730 million pounds; and</w:t>
      </w:r>
    </w:p>
    <w:p>
      <w:pPr>
        <w:spacing w:after="0" w:line="37" w:lineRule="exact"/>
        <w:rPr>
          <w:rFonts w:ascii="Times New Roman" w:cs="Times New Roman" w:eastAsia="Times New Roman" w:hAnsi="Times New Roman"/>
          <w:sz w:val="18"/>
          <w:szCs w:val="18"/>
          <w:color w:val="auto"/>
        </w:rPr>
      </w:pPr>
    </w:p>
    <w:p>
      <w:pPr>
        <w:ind w:left="640" w:right="3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200-mile common carrier ethylene pipeline that runs from Mont Belvieu, Texas to the Longview, Texas chemical site, which includes Westlake's Longview PE production facility (the "Longview Pipeline").</w:t>
      </w:r>
    </w:p>
    <w:p>
      <w:pPr>
        <w:spacing w:after="0" w:line="117"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As the owner of the general partner interest of OpCo, we control all aspects of the management of OpCo, including its cash distribution policy. See "— OpCo's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OpCo's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Production Facilities</w:t>
      </w:r>
    </w:p>
    <w:p>
      <w:pPr>
        <w:spacing w:after="0" w:line="87"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OpCo operates three ethylene production facilities that are situated on real property leased to OpCo by Westlake pursuant to two 50-year site lease agreements. See "Our Agreements with Westlake—Site Lease Agreements"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regarding OpCo's ethylene production facilities as of December 31,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Production</w:t>
            </w: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right"/>
              <w:ind w:right="322"/>
              <w:spacing w:after="0" w:line="133"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Primary Uses of</w:t>
            </w:r>
          </w:p>
        </w:tc>
        <w:tc>
          <w:tcPr>
            <w:tcW w:w="0" w:type="dxa"/>
            <w:vAlign w:val="bottom"/>
          </w:tcPr>
          <w:p>
            <w:pPr>
              <w:spacing w:after="0"/>
              <w:rPr>
                <w:sz w:val="1"/>
                <w:szCs w:val="1"/>
                <w:color w:val="auto"/>
              </w:rPr>
            </w:pPr>
          </w:p>
        </w:tc>
      </w:tr>
      <w:tr>
        <w:trPr>
          <w:trHeight w:val="145"/>
        </w:trPr>
        <w:tc>
          <w:tcPr>
            <w:tcW w:w="4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Plant Location (Description)</w:t>
            </w:r>
          </w:p>
        </w:tc>
        <w:tc>
          <w:tcPr>
            <w:tcW w:w="13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(millions of</w:t>
            </w:r>
          </w:p>
        </w:tc>
        <w:tc>
          <w:tcPr>
            <w:tcW w:w="120" w:type="dxa"/>
            <w:vAlign w:val="bottom"/>
          </w:tcPr>
          <w:p>
            <w:pPr>
              <w:spacing w:after="0"/>
              <w:rPr>
                <w:sz w:val="12"/>
                <w:szCs w:val="12"/>
                <w:color w:val="auto"/>
              </w:rPr>
            </w:pPr>
          </w:p>
        </w:tc>
        <w:tc>
          <w:tcPr>
            <w:tcW w:w="3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Feedstock</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80" w:type="dxa"/>
            <w:vAlign w:val="bottom"/>
            <w:gridSpan w:val="2"/>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pounds)</w:t>
            </w:r>
          </w:p>
        </w:tc>
        <w:tc>
          <w:tcPr>
            <w:tcW w:w="120" w:type="dxa"/>
            <w:vAlign w:val="bottom"/>
          </w:tcPr>
          <w:p>
            <w:pPr>
              <w:spacing w:after="0"/>
              <w:rPr>
                <w:sz w:val="16"/>
                <w:szCs w:val="16"/>
                <w:color w:val="auto"/>
              </w:rPr>
            </w:pPr>
          </w:p>
        </w:tc>
        <w:tc>
          <w:tcPr>
            <w:tcW w:w="38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Ethylene</w:t>
            </w:r>
          </w:p>
        </w:tc>
        <w:tc>
          <w:tcPr>
            <w:tcW w:w="0" w:type="dxa"/>
            <w:vAlign w:val="bottom"/>
          </w:tcPr>
          <w:p>
            <w:pPr>
              <w:spacing w:after="0"/>
              <w:rPr>
                <w:sz w:val="1"/>
                <w:szCs w:val="1"/>
                <w:color w:val="auto"/>
              </w:rPr>
            </w:pPr>
          </w:p>
        </w:tc>
      </w:tr>
      <w:tr>
        <w:trPr>
          <w:trHeight w:val="222"/>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Lake Charles, Louisiana (Petro 1)</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top w:val="single" w:sz="8" w:color="CCEEFF"/>
            </w:tcBorders>
            <w:shd w:val="clear" w:color="auto" w:fill="CCEEFF"/>
          </w:tcPr>
          <w:p>
            <w:pPr>
              <w:spacing w:after="0"/>
              <w:rPr>
                <w:sz w:val="19"/>
                <w:szCs w:val="19"/>
                <w:color w:val="auto"/>
              </w:rPr>
            </w:pPr>
          </w:p>
        </w:tc>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Ethane</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and PVC</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Ethane, ethane/propane mix, propane,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Lake Charles, Louisiana (Petro 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20"/>
                <w:szCs w:val="20"/>
                <w:color w:val="auto"/>
              </w:rPr>
            </w:pP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butane or naphtha</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and PVC</w:t>
            </w:r>
          </w:p>
        </w:tc>
        <w:tc>
          <w:tcPr>
            <w:tcW w:w="0" w:type="dxa"/>
            <w:vAlign w:val="bottom"/>
          </w:tcPr>
          <w:p>
            <w:pPr>
              <w:spacing w:after="0"/>
              <w:rPr>
                <w:sz w:val="1"/>
                <w:szCs w:val="1"/>
                <w:color w:val="auto"/>
              </w:rPr>
            </w:pPr>
          </w:p>
        </w:tc>
      </w:tr>
      <w:tr>
        <w:trPr>
          <w:trHeight w:val="224"/>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Calvert City, Kentucky (Calvert City Olefins)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Ethane or propane</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PVC</w:t>
            </w:r>
          </w:p>
        </w:tc>
        <w:tc>
          <w:tcPr>
            <w:tcW w:w="0" w:type="dxa"/>
            <w:vAlign w:val="bottom"/>
          </w:tcPr>
          <w:p>
            <w:pPr>
              <w:spacing w:after="0"/>
              <w:rPr>
                <w:sz w:val="1"/>
                <w:szCs w:val="1"/>
                <w:color w:val="auto"/>
              </w:rPr>
            </w:pPr>
          </w:p>
        </w:tc>
      </w:tr>
      <w:tr>
        <w:trPr>
          <w:trHeight w:val="217"/>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Lake Charles Olefins</w:t>
      </w:r>
    </w:p>
    <w:p>
      <w:pPr>
        <w:spacing w:after="0" w:line="100"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Two of OpCo's ethylene production facilities, which we refer to as Petro 1 and Petro 2 and, collectively, as Lake Charles Olefins, are located at Westlake's Lake Charles site. The combined capacity of these two ethylene production facilities is approximately 3.0 billion pounds per year.</w:t>
      </w:r>
    </w:p>
    <w:p>
      <w:pPr>
        <w:spacing w:after="0" w:line="117"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Within Westlake's Lake Charles site, Petro 1 and Petro 2 are connected by pipeline systems to Westlake's polyethylene plants. Westlake may use the ethylene it purchases from OpCo at its Lake Charles facilities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31"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In addition, OpCo produces ethylene co-products including chemical grade propylene, crude butadiene, pyrolysis gasoline and hydrogen. OpCo sells its output of these co-products to external customers.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Calvert City Olefins</w:t>
      </w:r>
    </w:p>
    <w:p>
      <w:pPr>
        <w:spacing w:after="0" w:line="87"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One of OpCo's ethylene production facilities is located at Westlake's Calvert City site, which we refer to as Calvert City Olefins. The capacity of Calvert City Olefins is approximately 730 million pounds per year.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87" w:lineRule="exact"/>
        <w:rPr>
          <w:sz w:val="20"/>
          <w:szCs w:val="20"/>
          <w:color w:val="auto"/>
        </w:rPr>
      </w:pPr>
    </w:p>
    <w:p>
      <w:pPr>
        <w:jc w:val="both"/>
        <w:ind w:right="40" w:firstLine="395"/>
        <w:spacing w:after="0" w:line="250" w:lineRule="auto"/>
        <w:rPr>
          <w:sz w:val="20"/>
          <w:szCs w:val="20"/>
          <w:color w:val="auto"/>
        </w:rPr>
      </w:pPr>
      <w:r>
        <w:rPr>
          <w:rFonts w:ascii="Times New Roman" w:cs="Times New Roman" w:eastAsia="Times New Roman" w:hAnsi="Times New Roman"/>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 system is subject to rate regulation under the Texas Utilities Code, as implemented by the Texas Railroad Commission, or the TRRC, and has a tariff on file with the TRRC.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OpCo has perpetual and paid-up licenses for steam cracking and process recovery technology used at its ethylene plants.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Agreements with Westlake</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Except as otherwise indicated, the agreements described below became effective on August 4, 2014, concurrent with the closing of the IPO.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Sales Agreement</w:t>
      </w:r>
    </w:p>
    <w:p>
      <w:pPr>
        <w:spacing w:after="0" w:line="87" w:lineRule="exact"/>
        <w:rPr>
          <w:sz w:val="20"/>
          <w:szCs w:val="20"/>
          <w:color w:val="auto"/>
        </w:rPr>
      </w:pPr>
    </w:p>
    <w:p>
      <w:pPr>
        <w:ind w:firstLine="395"/>
        <w:spacing w:after="0" w:line="281" w:lineRule="auto"/>
        <w:rPr>
          <w:sz w:val="20"/>
          <w:szCs w:val="20"/>
          <w:color w:val="auto"/>
        </w:rPr>
      </w:pPr>
      <w:r>
        <w:rPr>
          <w:rFonts w:ascii="Times New Roman" w:cs="Times New Roman" w:eastAsia="Times New Roman" w:hAnsi="Times New Roman"/>
          <w:sz w:val="16"/>
          <w:szCs w:val="16"/>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purchases by Westlake are rebated to Westlake. Under specified circumstances, unrecovered costs may be carried forward for recovery in subsequent years.</w:t>
      </w:r>
    </w:p>
    <w:p>
      <w:pPr>
        <w:spacing w:after="0" w:line="114"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(as described below), and not the Ethylene Sales Agreement.</w:t>
      </w:r>
    </w:p>
    <w:p>
      <w:pPr>
        <w:spacing w:after="0" w:line="127" w:lineRule="exact"/>
        <w:rPr>
          <w:sz w:val="20"/>
          <w:szCs w:val="20"/>
          <w:color w:val="auto"/>
        </w:rPr>
      </w:pPr>
    </w:p>
    <w:p>
      <w:pPr>
        <w:ind w:right="460" w:firstLine="395"/>
        <w:spacing w:after="0" w:line="268" w:lineRule="auto"/>
        <w:rPr>
          <w:sz w:val="20"/>
          <w:szCs w:val="20"/>
          <w:color w:val="auto"/>
        </w:rPr>
      </w:pPr>
      <w:r>
        <w:rPr>
          <w:rFonts w:ascii="Times New Roman" w:cs="Times New Roman" w:eastAsia="Times New Roman" w:hAnsi="Times New Roman"/>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17"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the Partnership recognizes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 in which the force majeure event occurred.</w:t>
      </w:r>
    </w:p>
    <w:p>
      <w:pPr>
        <w:spacing w:after="0" w:line="134"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131"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compliance.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87"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sells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100"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OpCo and Westlake are parties to the Services and Secondment Agreement, pursuant to which OpCo provides Westlake with various utilities and utility services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Lease Agreements</w:t>
      </w:r>
    </w:p>
    <w:p>
      <w:pPr>
        <w:spacing w:after="0" w:line="100"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Westlake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Westlake's property or operations and provided that any assets that are not timely removed by OpCo will be deemed to have been surrendered to Westlake.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87"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We, OpCo and Westlake are parties to the Omnibus Agreement,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100" w:lineRule="exact"/>
        <w:rPr>
          <w:sz w:val="20"/>
          <w:szCs w:val="20"/>
          <w:color w:val="auto"/>
        </w:rPr>
      </w:pPr>
    </w:p>
    <w:p>
      <w:pPr>
        <w:jc w:val="both"/>
        <w:ind w:right="40" w:firstLine="395"/>
        <w:spacing w:after="0" w:line="303" w:lineRule="auto"/>
        <w:rPr>
          <w:sz w:val="20"/>
          <w:szCs w:val="20"/>
          <w:color w:val="auto"/>
        </w:rPr>
      </w:pPr>
      <w:r>
        <w:rPr>
          <w:rFonts w:ascii="Times New Roman" w:cs="Times New Roman" w:eastAsia="Times New Roman" w:hAnsi="Times New Roman"/>
          <w:sz w:val="16"/>
          <w:szCs w:val="16"/>
          <w:color w:val="auto"/>
        </w:rPr>
        <w:t>OpCo and Westlake are parties to an exchange agreement, which had an initial term through August 1, 2015 and continues on an annual basis unless and until terminated by either party. Under the exchange agreement, OpCo may require Westlake to deliver up to 200 million pounds of ethylene for OpCo per year from the Site Leases to an ethylene hub in Mont Belvieu, Texas, for which OpCo would be required to pay Westlake an exchange fee of $0.006 per pound.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100"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87" w:lineRule="exact"/>
        <w:rPr>
          <w:sz w:val="20"/>
          <w:szCs w:val="20"/>
          <w:color w:val="auto"/>
        </w:rPr>
      </w:pPr>
    </w:p>
    <w:p>
      <w:pPr>
        <w:ind w:firstLine="395"/>
        <w:spacing w:after="0" w:line="303" w:lineRule="auto"/>
        <w:rPr>
          <w:sz w:val="20"/>
          <w:szCs w:val="20"/>
          <w:color w:val="auto"/>
        </w:rPr>
      </w:pPr>
      <w:r>
        <w:rPr>
          <w:rFonts w:ascii="Times New Roman" w:cs="Times New Roman" w:eastAsia="Times New Roman" w:hAnsi="Times New Roman"/>
          <w:sz w:val="16"/>
          <w:szCs w:val="16"/>
          <w:color w:val="auto"/>
        </w:rPr>
        <w:t>On August 1, 2017, we, OpCo and Westlake executed an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w:t>
      </w:r>
    </w:p>
    <w:p>
      <w:pPr>
        <w:spacing w:after="0" w:line="93"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See "Liquidity and Capital Resources" in Item 7. "Management's Discussion and Analysis of Financial Condition and Results of Operations" for a discussion of the Partnership's and OpCo's debt agreements with Westlake and "Interest Rate Risk" in Item 7A. "Quantitative and Qualitative Disclosures about Market Risk" for a discussion of the Partnership's interest rate contract with Westlake.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98"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As is common in our industry, we and OpCo are subject to environmental laws and regulations related to the use, storage, handling, generation, transportation, emission, discharge, disposal and remediation of, and exposure to, hazardous and non-hazardous substances and wastes in all of the jurisdictions in which we do business. National, state or provincial and local standards regulating air, water and land quality affect substantially all of our manufacturing locations. Compliance with such laws and regulations has required and will continue to require capital expenditures and increased operating costs. Pursuant to our arrangement with Westlake, Westlake will indemnify us for liabilities that occurred or existed (in connection with compliance with such laws and regulations) prior to August 4, 2014.</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It is our policy to comply with all environmental, health and safety requirements in the jurisdictions in which we and OpCo operate and to provide safe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environmentally sound workplaces for our employees. In some cases, compliance can be achieved only by incurring capital expenditures. In 2023, OpCo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capital expenditures of $0.6 million related to environmental compliance. We estimate that OpCo will make capital expenditures of approximately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 million in 2024 and $3.6 million in 2025, respectively, related to environmental compliance. Additionally, in 2024, capital expenditures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million are expected to be paid by Westlake in connection with corrective actions required by the Environmental Protection Agency (the "EPA") to resolve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flare enforcement matter discussed below. Pursuant to the Omnibus Agreement, Westlake has paid and will continue to pay for all such corrective 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"Business—Our Agreements with Westlake—</w:t>
      </w:r>
      <w:r>
        <w:rPr>
          <w:rFonts w:ascii="Times New Roman" w:cs="Times New Roman" w:eastAsia="Times New Roman" w:hAnsi="Times New Roman"/>
          <w:sz w:val="16"/>
          <w:szCs w:val="16"/>
          <w:i w:val="1"/>
          <w:iCs w:val="1"/>
          <w:color w:val="auto"/>
        </w:rPr>
        <w:t>Omnibus Agreement</w:t>
      </w:r>
      <w:r>
        <w:rPr>
          <w:rFonts w:ascii="Times New Roman" w:cs="Times New Roman" w:eastAsia="Times New Roman" w:hAnsi="Times New Roman"/>
          <w:sz w:val="16"/>
          <w:szCs w:val="16"/>
          <w:color w:val="auto"/>
        </w:rPr>
        <w:t>." We anticipate that stringent environmental regulations will continue to be imposed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and the industry in general. Under the Ethylene Sales Agreement, we may be entitled to charge Westlake a monthly surcharge as a result of complying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changes in law occurring after our IPO. See "Business—Our Agreements with Westlake—</w:t>
      </w:r>
      <w:r>
        <w:rPr>
          <w:rFonts w:ascii="Times New Roman" w:cs="Times New Roman" w:eastAsia="Times New Roman" w:hAnsi="Times New Roman"/>
          <w:sz w:val="16"/>
          <w:szCs w:val="16"/>
          <w:i w:val="1"/>
          <w:iCs w:val="1"/>
          <w:color w:val="auto"/>
        </w:rPr>
        <w:t>Ethylene Sales Agreement.</w:t>
      </w:r>
      <w:r>
        <w:rPr>
          <w:rFonts w:ascii="Times New Roman" w:cs="Times New Roman" w:eastAsia="Times New Roman" w:hAnsi="Times New Roman"/>
          <w:sz w:val="16"/>
          <w:szCs w:val="16"/>
          <w:color w:val="auto"/>
        </w:rPr>
        <w:t>" Although we cannot predict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certainty future expenditures, management believes that our current spending trends for environmental compliance will continue.</w:t>
      </w:r>
    </w:p>
    <w:p>
      <w:pPr>
        <w:spacing w:after="0" w:line="142" w:lineRule="exact"/>
        <w:rPr>
          <w:sz w:val="20"/>
          <w:szCs w:val="20"/>
          <w:color w:val="auto"/>
        </w:rPr>
      </w:pPr>
    </w:p>
    <w:p>
      <w:pPr>
        <w:ind w:right="40"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Flare Modifications</w:t>
      </w:r>
      <w:r>
        <w:rPr>
          <w:rFonts w:ascii="Times New Roman" w:cs="Times New Roman" w:eastAsia="Times New Roman" w:hAnsi="Times New Roman"/>
          <w:sz w:val="18"/>
          <w:szCs w:val="18"/>
          <w:color w:val="auto"/>
        </w:rPr>
        <w:t>. For several years, the EPA has been conducting an enforcement initiative against petroleum refineries and petrochemical plants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emissions from flares. On April 21, 2014, Westlake received a Clean Air Act Section 114 Information Request from the EPA, which sought information regarding flares at the Calvert City and Lake Charles facilities. The EPA informed Westlake that the information provided led it to believe that some of the flares were out of compliance with applicable standards. In June 2022, the Department of Justice announced that certain subsidiaries of Westlake, including OpCo, the EPA and state environmental agencies had reached agreement on a consent decree resolving this matter. The consent decree was entered by the court and became effective in October 2022. The consent decree requires OpCo and other Westlake subsidiaries to install flare gas recovery units, implement fence line monitoring, install and operate flare monitoring and control equipment to meet certain performance standards, and pay a civil penalty of $1 million. We estimate that the total cost to implement the requirements under the decree will be approximately $110 million, which includes capital expenditures associated with installation of the flare gas recovery units and monitoring and control equipment that are required to be installed at our Calvert City and Lake Charles facilities. The substantial majority of the capital expenditures and other costs required to comply with the consent decree were incurred in 2021, 2022, or 2023. Westlake has paid all penalties required under the consent decree and has planned, budgeted for and scheduled all compliance requirements going forward. As discussed above, Westlake is expected to fully indemnify us for such costs. While the final consent decree does provide for stipulated penalties if certain requirements are not met, we do not believe that any stipulated penalties, if incurred and assessed, will have a material adverse effect on our financial condition, results of operations or cash flows.</w:t>
      </w:r>
    </w:p>
    <w:p>
      <w:pPr>
        <w:spacing w:after="0" w:line="135"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Flash Fire at Petro 2. </w:t>
      </w:r>
      <w:r>
        <w:rPr>
          <w:rFonts w:ascii="Times New Roman" w:cs="Times New Roman" w:eastAsia="Times New Roman" w:hAnsi="Times New Roman"/>
          <w:sz w:val="18"/>
          <w:szCs w:val="18"/>
          <w:color w:val="auto"/>
        </w:rPr>
        <w:t>In September 2021, Westlake and OpCo were subject to lawsuits related to a flash fire at the quench tower of the Petro 2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Contractors and employees working on and near the quench tower were injured. Final settlements were reached with all of the plaintiffs to fully resolve the lawsuits by Westlake, but payment by the insurance carriers has not yet been completed. Westlake is responsible for indemnifying the Partnership in connection with any loss OpCo may have incurred as a result of the fire.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Also, see the discussion of our environmental matters contained in "Item 1A. Risk Factors" and "Item 3. Legal Proceedings"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85"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Neither we nor OpCo has any employees. Under the Services and Secondment Agreement with Westlake, Westlake seconds employees to OpCo to allow OpCo to operate its facilities, and we sometimes refer to these individuals, for drafting convenience only, as our employees because they provide services directly to us. Such seconded employees are under OpCo's control while they work on OpCo's facilities. As of December 31, 2023, 152 employees were seconded to OpCo. Of these, 25 are covered by collective bargaining agreements that expire on November 1, 2024. There have been no strikes, lockouts or work stoppages at OpCo's facilities. We believe that Westlake's relationship with the local union officials and bargaining committees is open and positive. Westlake is responsible for human capital management policies, including any human capital measures and objectives that management focuses on in managing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98"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In the ordinary conduct of our business, we and Westlake and our and Westlake's subsidiaries, including OpCo, are subject to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8" w:lineRule="exact"/>
        <w:rPr>
          <w:sz w:val="20"/>
          <w:szCs w:val="20"/>
          <w:color w:val="auto"/>
        </w:rPr>
      </w:pPr>
    </w:p>
    <w:p>
      <w:pPr>
        <w:ind w:right="100" w:firstLine="395"/>
        <w:spacing w:after="0" w:line="303" w:lineRule="auto"/>
        <w:rPr>
          <w:sz w:val="20"/>
          <w:szCs w:val="20"/>
          <w:color w:val="auto"/>
        </w:rPr>
      </w:pPr>
      <w:r>
        <w:rPr>
          <w:rFonts w:ascii="Times New Roman" w:cs="Times New Roman" w:eastAsia="Times New Roman" w:hAnsi="Times New Roman"/>
          <w:sz w:val="16"/>
          <w:szCs w:val="16"/>
          <w:color w:val="auto"/>
        </w:rPr>
        <w:t>Due to the Ethylene Sales Agreement and integration with Westlake, OpCo does not directly compete with other ethylene producers for 95% of the planned volumes it produces. It is only on the 5% of planned ethylene volumes and any excess volumes not sold to Westlake where OpCo competes with other regional merchant ethylene producers, including LyondellBasell Industries, N.V., Shell Chemical Company, BASF Corporation and Motiva Enterprises LLC.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83"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Our website address is www.wlkpartners.com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website content is available for information purposes only. It should not be relied upon for investment purposes, nor is it incorporated by reference in this Form 10-K. We make available on this website under "Investor Relations/SEC Filings," free of charge, our annual reports on Form 10-K, quarterly reports on Form 10-Q, current reports on Form 8-K and amendments to those materials as soon as reasonably practicable after we electronically file those materials with, or furnish those materials to, the Securities Exchange Commission (the "SEC"). The SEC also maintains a website at www.sec.gov that contains reports, proxy statements and other information regarding SEC registrants, including us.</w:t>
      </w:r>
    </w:p>
    <w:p>
      <w:pPr>
        <w:spacing w:after="0" w:line="135"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We intend to satisfy the requirement under Item 5.05 of Form 8-K to disclose any amendments to our Code of Ethics and any waiver from a provision of our Code of Ethics by posting such information on our website at www.wlkpartners.com under "Investor Relations/Corporate Governance."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8"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Limited partner interests are inherently different from the capital stock of a corporation, although many of the business risks to which we are subject are similar to those that would be faced by a corporation engaged in a similar business. Security 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Inherent in Our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Relationship with Westlake</w:t>
      </w:r>
    </w:p>
    <w:p>
      <w:pPr>
        <w:spacing w:after="0" w:line="203" w:lineRule="exact"/>
        <w:rPr>
          <w:sz w:val="20"/>
          <w:szCs w:val="20"/>
          <w:color w:val="auto"/>
        </w:rPr>
      </w:pPr>
    </w:p>
    <w:p>
      <w:pPr>
        <w:ind w:left="640" w:right="20" w:hanging="319"/>
        <w:spacing w:after="0" w:line="242"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25" w:lineRule="exact"/>
        <w:rPr>
          <w:rFonts w:ascii="Arial" w:cs="Arial" w:eastAsia="Arial" w:hAnsi="Arial"/>
          <w:sz w:val="21"/>
          <w:szCs w:val="21"/>
          <w:color w:val="auto"/>
        </w:rPr>
      </w:pPr>
    </w:p>
    <w:p>
      <w:pPr>
        <w:ind w:left="640" w:right="120" w:hanging="319"/>
        <w:spacing w:after="0" w:line="234"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OpCo is subject to the credit risk of Westlake on a substantial majority of its revenues, and Westlake's leverage and creditworthiness could adversely affect our ability to make distributions to our unitholders.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OpCo is a restricted subsidiary under certain indentures governing Westlake's senior notes.</w:t>
      </w:r>
    </w:p>
    <w:p>
      <w:pPr>
        <w:spacing w:after="0" w:line="21" w:lineRule="exact"/>
        <w:rPr>
          <w:rFonts w:ascii="Arial" w:cs="Arial" w:eastAsia="Arial" w:hAnsi="Arial"/>
          <w:sz w:val="21"/>
          <w:szCs w:val="21"/>
          <w:color w:val="auto"/>
        </w:rPr>
      </w:pPr>
    </w:p>
    <w:p>
      <w:pPr>
        <w:ind w:left="640" w:right="280" w:hanging="319"/>
        <w:spacing w:after="0" w:line="234"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The ethylene sales price charged under the Ethylene Sales Agreement is designed to permit OpCo to cover the substantial majority of its operating costs, but not our public partnership and other OpCo costs, which reduce our net operating profit.</w:t>
      </w:r>
    </w:p>
    <w:p>
      <w:pPr>
        <w:spacing w:after="0" w:line="23" w:lineRule="exact"/>
        <w:rPr>
          <w:rFonts w:ascii="Arial" w:cs="Arial" w:eastAsia="Arial" w:hAnsi="Arial"/>
          <w:sz w:val="21"/>
          <w:szCs w:val="21"/>
          <w:color w:val="auto"/>
        </w:rPr>
      </w:pPr>
    </w:p>
    <w:p>
      <w:pPr>
        <w:ind w:left="640" w:right="180" w:hanging="319"/>
        <w:spacing w:after="0" w:line="237"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23" w:lineRule="exact"/>
        <w:rPr>
          <w:rFonts w:ascii="Arial" w:cs="Arial" w:eastAsia="Arial" w:hAnsi="Arial"/>
          <w:sz w:val="21"/>
          <w:szCs w:val="21"/>
          <w:color w:val="auto"/>
        </w:rPr>
      </w:pPr>
    </w:p>
    <w:p>
      <w:pPr>
        <w:jc w:val="both"/>
        <w:ind w:left="640" w:right="180" w:hanging="319"/>
        <w:spacing w:after="0" w:line="237"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OpCo depends upon Westlake for numerous services and for its labor force.</w:t>
      </w:r>
    </w:p>
    <w:p>
      <w:pPr>
        <w:spacing w:after="0" w:line="34" w:lineRule="exact"/>
        <w:rPr>
          <w:rFonts w:ascii="Arial" w:cs="Arial" w:eastAsia="Arial" w:hAnsi="Arial"/>
          <w:sz w:val="21"/>
          <w:szCs w:val="21"/>
          <w:color w:val="auto"/>
        </w:rPr>
      </w:pPr>
    </w:p>
    <w:p>
      <w:pPr>
        <w:ind w:left="640" w:right="120" w:hanging="319"/>
        <w:spacing w:after="0" w:line="234"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Cost reimbursements due to our general partner and Westlake for services provided to us or on our behalf reduce our earnings and therefore our cash available for distribution to our unitholders. The amount and timing of such reimbursements are determined by our general partner.</w:t>
      </w:r>
    </w:p>
    <w:p>
      <w:pPr>
        <w:spacing w:after="0" w:line="23" w:lineRule="exact"/>
        <w:rPr>
          <w:rFonts w:ascii="Arial" w:cs="Arial" w:eastAsia="Arial" w:hAnsi="Arial"/>
          <w:sz w:val="21"/>
          <w:szCs w:val="21"/>
          <w:color w:val="auto"/>
        </w:rPr>
      </w:pPr>
    </w:p>
    <w:p>
      <w:pPr>
        <w:ind w:left="640" w:right="220" w:hanging="319"/>
        <w:spacing w:after="0" w:line="234"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The impact and effects of public health crises, pandemics and epidemics could materially adversely affect OpCo's business, financial condition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03" w:lineRule="exact"/>
        <w:rPr>
          <w:sz w:val="20"/>
          <w:szCs w:val="20"/>
          <w:color w:val="auto"/>
        </w:rPr>
      </w:pPr>
    </w:p>
    <w:p>
      <w:pPr>
        <w:ind w:left="640" w:right="20" w:hanging="319"/>
        <w:spacing w:after="0" w:line="234"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10" w:lineRule="exact"/>
        <w:rPr>
          <w:rFonts w:ascii="Arial" w:cs="Arial" w:eastAsia="Arial" w:hAnsi="Arial"/>
          <w:sz w:val="21"/>
          <w:szCs w:val="21"/>
          <w:color w:val="auto"/>
        </w:rPr>
      </w:pPr>
    </w:p>
    <w:p>
      <w:pPr>
        <w:ind w:left="640" w:hanging="319"/>
        <w:spacing w:after="0" w:line="241"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10" w:lineRule="exact"/>
        <w:rPr>
          <w:rFonts w:ascii="Arial" w:cs="Arial" w:eastAsia="Arial" w:hAnsi="Arial"/>
          <w:sz w:val="21"/>
          <w:szCs w:val="21"/>
          <w:color w:val="auto"/>
        </w:rPr>
      </w:pPr>
    </w:p>
    <w:p>
      <w:pPr>
        <w:ind w:left="640" w:right="160" w:hanging="319"/>
        <w:spacing w:after="0" w:line="234"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1" w:lineRule="exact"/>
        <w:rPr>
          <w:rFonts w:ascii="Arial" w:cs="Arial" w:eastAsia="Arial" w:hAnsi="Arial"/>
          <w:sz w:val="21"/>
          <w:szCs w:val="21"/>
          <w:color w:val="auto"/>
        </w:rPr>
      </w:pPr>
    </w:p>
    <w:p>
      <w:pPr>
        <w:ind w:left="640" w:hanging="319"/>
        <w:spacing w:after="0" w:line="235" w:lineRule="auto"/>
        <w:tabs>
          <w:tab w:leader="none" w:pos="6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operations and assets are subject to climate-related risks and uncertainties.</w:t>
      </w:r>
    </w:p>
    <w:p>
      <w:pPr>
        <w:spacing w:after="0" w:line="12" w:lineRule="exact"/>
        <w:rPr>
          <w:rFonts w:ascii="Times New Roman" w:cs="Times New Roman" w:eastAsia="Times New Roman" w:hAnsi="Times New Roman"/>
          <w:sz w:val="21"/>
          <w:szCs w:val="21"/>
          <w:color w:val="auto"/>
        </w:rPr>
      </w:pPr>
    </w:p>
    <w:p>
      <w:pPr>
        <w:ind w:left="640" w:right="140" w:hanging="319"/>
        <w:spacing w:after="0" w:line="225"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Our variable-rate debt exposes us to increases in interest rates, which could have a material impact on our financial position, results of operation and cash flows, and could reduce the price at which our common units trade.</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Partnership Structure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General Partner</w:t>
      </w:r>
    </w:p>
    <w:p>
      <w:pPr>
        <w:spacing w:after="0" w:line="203" w:lineRule="exact"/>
        <w:rPr>
          <w:sz w:val="20"/>
          <w:szCs w:val="20"/>
          <w:color w:val="auto"/>
        </w:rPr>
      </w:pPr>
    </w:p>
    <w:p>
      <w:pPr>
        <w:jc w:val="both"/>
        <w:ind w:left="640" w:right="140" w:hanging="319"/>
        <w:spacing w:after="0" w:line="237" w:lineRule="auto"/>
        <w:tabs>
          <w:tab w:leader="none" w:pos="63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2" w:lineRule="exact"/>
        <w:rPr>
          <w:rFonts w:ascii="Arial" w:cs="Arial" w:eastAsia="Arial" w:hAnsi="Arial"/>
          <w:sz w:val="21"/>
          <w:szCs w:val="21"/>
          <w:color w:val="auto"/>
        </w:rPr>
      </w:pPr>
    </w:p>
    <w:p>
      <w:pPr>
        <w:ind w:left="640" w:hanging="319"/>
        <w:spacing w:after="0" w:line="235" w:lineRule="auto"/>
        <w:tabs>
          <w:tab w:leader="none" w:pos="64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Our general partner has limited its liability regarding our obligations.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Our partnership agreement replaces our general partner's fiduciary duties to holders of our units.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Westlake and other affiliates of our general partner may compete with us.</w:t>
      </w:r>
    </w:p>
    <w:p>
      <w:pPr>
        <w:spacing w:after="0" w:line="35" w:lineRule="exact"/>
        <w:rPr>
          <w:rFonts w:ascii="Arial" w:cs="Arial" w:eastAsia="Arial" w:hAnsi="Arial"/>
          <w:sz w:val="21"/>
          <w:szCs w:val="21"/>
          <w:color w:val="auto"/>
        </w:rPr>
      </w:pPr>
    </w:p>
    <w:p>
      <w:pPr>
        <w:ind w:left="640" w:hanging="319"/>
        <w:spacing w:after="0" w:line="234" w:lineRule="auto"/>
        <w:tabs>
          <w:tab w:leader="none" w:pos="63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Holders of our common units have limited voting rights and are not entitled to elect our general partner or its directors, which could reduce the price at which our common units trade.</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Even if holders of our common units are dissatisfied, they cannot currently remove our general partner without its consent.</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Control of our general partner may be transferred to a third party without unitholder consent.</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Our general partner has a call right that may require unitholders to sell their common units at an undesirable time or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 to Unitholders</w:t>
      </w:r>
    </w:p>
    <w:p>
      <w:pPr>
        <w:spacing w:after="0" w:line="203" w:lineRule="exact"/>
        <w:rPr>
          <w:sz w:val="20"/>
          <w:szCs w:val="20"/>
          <w:color w:val="auto"/>
        </w:rPr>
      </w:pPr>
    </w:p>
    <w:p>
      <w:pPr>
        <w:ind w:left="640" w:hanging="319"/>
        <w:spacing w:after="0" w:line="241"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The board of directors may modify or revoke our cash distribution policy at any time at its discretion. Our partnership agreement does not require us to pay any distributions at all.</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We expect to distribute a significant portion of our available cash to our partners, which could limit our ability to grow and make acquisitions.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Our Common Units</w:t>
      </w:r>
    </w:p>
    <w:p>
      <w:pPr>
        <w:spacing w:after="0" w:line="190" w:lineRule="exact"/>
        <w:rPr>
          <w:sz w:val="20"/>
          <w:szCs w:val="20"/>
          <w:color w:val="auto"/>
        </w:rPr>
      </w:pPr>
    </w:p>
    <w:p>
      <w:pPr>
        <w:ind w:left="640" w:hanging="319"/>
        <w:spacing w:after="0"/>
        <w:tabs>
          <w:tab w:leader="none" w:pos="64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We may issue additional units without unitholder approval, which would dilute existing unitholder ownership interests.</w:t>
      </w:r>
    </w:p>
    <w:p>
      <w:pPr>
        <w:spacing w:after="0" w:line="21" w:lineRule="exact"/>
        <w:rPr>
          <w:rFonts w:ascii="Arial" w:cs="Arial" w:eastAsia="Arial" w:hAnsi="Arial"/>
          <w:sz w:val="21"/>
          <w:szCs w:val="21"/>
          <w:color w:val="auto"/>
        </w:rPr>
      </w:pPr>
    </w:p>
    <w:p>
      <w:pPr>
        <w:ind w:left="640" w:right="540" w:hanging="319"/>
        <w:spacing w:after="0" w:line="234" w:lineRule="auto"/>
        <w:tabs>
          <w:tab w:leader="none" w:pos="63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The market price of our common units could be adversely affected by sales of substantial amounts of our common units in the public or private markets, including sales by Westlake or other large holders.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w:t>
      </w:r>
    </w:p>
    <w:p>
      <w:pPr>
        <w:spacing w:after="0" w:line="205" w:lineRule="exact"/>
        <w:rPr>
          <w:sz w:val="20"/>
          <w:szCs w:val="20"/>
          <w:color w:val="auto"/>
        </w:rPr>
      </w:pPr>
    </w:p>
    <w:p>
      <w:pPr>
        <w:ind w:left="640" w:right="100" w:hanging="319"/>
        <w:spacing w:after="0" w:line="239"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Our tax treatment depends on our status as a partnership for U.S. federal income tax purposes, and not being subject to a material amount of entity-level taxation. Our cash available for distribution to unitholders may be substantially reduced if we become subject to entity-level taxation as a result of the Internal Revenue Service ("IRS") treating us as a corporation or legislative, judicial or administrative changes, and may also be reduced by any audit adjustments if imposed directly on the partnership.</w:t>
      </w:r>
    </w:p>
    <w:p>
      <w:pPr>
        <w:spacing w:after="0" w:line="22" w:lineRule="exact"/>
        <w:rPr>
          <w:rFonts w:ascii="Arial" w:cs="Arial" w:eastAsia="Arial" w:hAnsi="Arial"/>
          <w:sz w:val="21"/>
          <w:szCs w:val="21"/>
          <w:color w:val="auto"/>
        </w:rPr>
      </w:pPr>
    </w:p>
    <w:p>
      <w:pPr>
        <w:ind w:left="640" w:right="200" w:hanging="319"/>
        <w:spacing w:after="0" w:line="237"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Even if unitholders do not receive any cash distributions from us, unitholders will be required to pay taxes on their share of our taxable income. A unitholder's share of our taxable income may be increased as a result of the IRS successfully contesting any of the U.S. federal income tax positions we take.</w:t>
      </w:r>
    </w:p>
    <w:p>
      <w:pPr>
        <w:spacing w:after="0" w:line="23" w:lineRule="exact"/>
        <w:rPr>
          <w:rFonts w:ascii="Arial" w:cs="Arial" w:eastAsia="Arial" w:hAnsi="Arial"/>
          <w:sz w:val="21"/>
          <w:szCs w:val="21"/>
          <w:color w:val="auto"/>
        </w:rPr>
      </w:pPr>
    </w:p>
    <w:p>
      <w:pPr>
        <w:ind w:left="640" w:right="260" w:hanging="319"/>
        <w:spacing w:after="0" w:line="234"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Tax-exempt entities and non-U.S. unitholders face unique tax issues from owning our common units that may result in adverse tax consequences to them.</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Inherent in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Relationship with Westlake</w:t>
      </w:r>
    </w:p>
    <w:p>
      <w:pPr>
        <w:spacing w:after="0" w:line="238"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6"/>
          <w:szCs w:val="16"/>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24"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other than under certain circumstances relating to the occurrence of force majeure. We expect that each of OpCo's facilities will have a turnaround approximately once every five years and will not operate for typically between 30 and 60 days during each separate turnaround. However, the duration of any turnaround activities may be longer than expected or may cost more than originally estimated. Furthermore, facility expansions may also coincide with turnarounds, which may complicate and delay the completion of such turnarounds. A suspension of Westlake's obligations under the Ethylene Sales Agreement, including during periods where OpCo's facilities are not operating due to scheduled or unscheduled maintenance or turnarounds, would reduce OpCo's revenues and cash flows, and could materially adversely affect our ability to make distributions to our unitholders.</w:t>
      </w:r>
    </w:p>
    <w:p>
      <w:pPr>
        <w:spacing w:after="0" w:line="138" w:lineRule="exact"/>
        <w:rPr>
          <w:sz w:val="20"/>
          <w:szCs w:val="20"/>
          <w:color w:val="auto"/>
        </w:rPr>
      </w:pPr>
    </w:p>
    <w:p>
      <w:pPr>
        <w:ind w:right="40" w:firstLine="395"/>
        <w:spacing w:after="0" w:line="280" w:lineRule="auto"/>
        <w:rPr>
          <w:sz w:val="20"/>
          <w:szCs w:val="20"/>
          <w:color w:val="auto"/>
        </w:rPr>
      </w:pPr>
      <w:r>
        <w:rPr>
          <w:rFonts w:ascii="Times New Roman" w:cs="Times New Roman" w:eastAsia="Times New Roman" w:hAnsi="Times New Roman"/>
          <w:sz w:val="16"/>
          <w:szCs w:val="16"/>
          <w:color w:val="auto"/>
        </w:rPr>
        <w:t>Westlake may be unable to generate enough cash flow from operations to meet its minimum obligations under the Ethylene Sales Agreement if its business is adversely impacted by competition, operational problems, general adverse economic conditions or the inability to obtain feedstock. For example, lower prices of crude oil could lead to a reduction in the cost advantage for natural gas liquids-based ethylene derivatives in North America, such as Westlake's, as compared to naphtha-based ethylene derivatives. As a result, Westlake's margins and cash flows could be negatively impacted during such period. If Westlake is not able to meet its minimum payment obligations to OpCo as a result of any one or more of these factors, our ability to make distributions to our unitholders would be reduced or eliminated. The amount paid by Westlake will depend upon its ability to satisfy its minimum obligations under the Ethylene Sales Agreement and its ability and election to increase volumes above the minimums specified in the Ethylene Sales Agreement, which in turn are dependent upon, among other things, the level of polyethylene and polyvinyl chloride production at Westlake's other facilities, as well as industry capacity expansion in these downstream products in North America, a number of which have been recently completed. If Westlake is unable to generate sufficient cash flow from its operations to meet its obligations, or otherwise defaults on its obligations, under the Ethylene Sales Agreement, OpCo will not have sufficient available cash to distribute to us to enable us to pay the minimum quarterly distribution set forth in our cash distribution policy. As a result, our ability to pay the minimum quarterly distribution is based on the following factors, some of which are beyond our control:</w:t>
      </w:r>
    </w:p>
    <w:p>
      <w:pPr>
        <w:spacing w:after="0" w:line="257" w:lineRule="exact"/>
        <w:rPr>
          <w:sz w:val="20"/>
          <w:szCs w:val="20"/>
          <w:color w:val="auto"/>
        </w:rPr>
      </w:pPr>
    </w:p>
    <w:p>
      <w:pPr>
        <w:ind w:left="640" w:right="340" w:hanging="319"/>
        <w:spacing w:after="0" w:line="268"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37" w:lineRule="exact"/>
        <w:rPr>
          <w:rFonts w:ascii="Times New Roman" w:cs="Times New Roman" w:eastAsia="Times New Roman" w:hAnsi="Times New Roman"/>
          <w:sz w:val="18"/>
          <w:szCs w:val="18"/>
          <w:color w:val="auto"/>
        </w:rPr>
      </w:pPr>
    </w:p>
    <w:p>
      <w:pPr>
        <w:ind w:left="640" w:right="660" w:hanging="319"/>
        <w:spacing w:after="0" w:line="268"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cyclical downturns in the chemicals industry and other industries which materially and adversely impact Westlake and our other customers;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Westlake's inability to perform, or any other default on its obligations, under the Ethylene Sales Agreement, the Services and Secondment Agreement and the Omnibus Agreement;</w:t>
      </w:r>
    </w:p>
    <w:p>
      <w:pPr>
        <w:spacing w:after="0" w:line="50" w:lineRule="exact"/>
        <w:rPr>
          <w:rFonts w:ascii="Times New Roman" w:cs="Times New Roman" w:eastAsia="Times New Roman" w:hAnsi="Times New Roman"/>
          <w:sz w:val="18"/>
          <w:szCs w:val="18"/>
          <w:color w:val="auto"/>
        </w:rPr>
      </w:pPr>
    </w:p>
    <w:p>
      <w:pPr>
        <w:ind w:left="640" w:right="260" w:hanging="319"/>
        <w:spacing w:after="0" w:line="268"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3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environmental remediation at OpCo's facilities not covered by Westlake or third parties;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expected operating levels of OpCo's assets;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meet minimum volume requirements, yield standards and ethylene quality requirements in the Ethylene Sales Agreement;</w:t>
      </w:r>
    </w:p>
    <w:p>
      <w:pPr>
        <w:spacing w:after="0" w:line="82"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renew the Ethylene Sales Agreement or to enter into new, long-term agreements for the sale of ethylene under terms that are similar or more favorable;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right="20" w:hanging="319"/>
        <w:spacing w:after="0" w:line="252"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marketplace that may affect supply and demand for ethane or ethylene, including decreased availability of ethane (which may result from greater restrictions on hydraulic fracturing, any reduction in hydraulic fracturing due to low crude oil prices or exports of natural gas liquids from the United States, for example), increased production of ethylene (a number of new ethylene capacity expansions have been recently completed) or export of ethane or ethylene from the United States;</w:t>
      </w:r>
    </w:p>
    <w:p>
      <w:pPr>
        <w:spacing w:after="0" w:line="5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overall levels of production, production capacity, pricing and/or margins for ethylene;</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secure adequate supplies of ethane, other feedstocks and natural gas from Westlake or third parties;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use higher priced or less attractive feedstock due to the unavailability of ethane;</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pipeline, railroad, barge, truck and other transportation performance and costs, including any transportation disruptions;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and fluctuations in interest rates;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labor;</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employees and workplace safety;</w:t>
      </w:r>
    </w:p>
    <w:p>
      <w:pPr>
        <w:spacing w:after="0" w:line="95" w:lineRule="exact"/>
        <w:rPr>
          <w:rFonts w:ascii="Times New Roman" w:cs="Times New Roman" w:eastAsia="Times New Roman" w:hAnsi="Times New Roman"/>
          <w:sz w:val="18"/>
          <w:szCs w:val="18"/>
          <w:color w:val="auto"/>
        </w:rPr>
      </w:pPr>
    </w:p>
    <w:p>
      <w:pPr>
        <w:ind w:left="640" w:right="50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5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specifications for the ethylene that we produce;</w:t>
      </w:r>
    </w:p>
    <w:p>
      <w:pPr>
        <w:spacing w:after="0" w:line="82"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insurance markets and the level, types and costs of coverage available, and the financial ability and willingness of our insurers to meet their obligations;</w:t>
      </w:r>
    </w:p>
    <w:p>
      <w:pPr>
        <w:spacing w:after="0" w:line="5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or new, statutes, regulations or governmental policies by federal, state and local authorities with respect to protection of the environment;</w:t>
      </w:r>
    </w:p>
    <w:p>
      <w:pPr>
        <w:spacing w:after="0" w:line="118"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and/or tax laws or their interpretations;</w:t>
      </w:r>
    </w:p>
    <w:p>
      <w:pPr>
        <w:spacing w:after="0" w:line="82" w:lineRule="exact"/>
        <w:rPr>
          <w:rFonts w:ascii="Times New Roman" w:cs="Times New Roman" w:eastAsia="Times New Roman" w:hAnsi="Times New Roman"/>
          <w:sz w:val="18"/>
          <w:szCs w:val="18"/>
          <w:color w:val="auto"/>
        </w:rPr>
      </w:pPr>
    </w:p>
    <w:p>
      <w:pPr>
        <w:ind w:left="640" w:right="46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or force majeure by, or disputes with or changes in contract terms with, Westlake, our other major customers, suppliers, dealers, distributors or other business partners; and</w:t>
      </w:r>
    </w:p>
    <w:p>
      <w:pPr>
        <w:spacing w:after="0" w:line="5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new, statutes, regulations, governmental policies and taxes, or their interpretations.</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the actual amount of cash we will have available for distribution will depend on other factors, including:</w:t>
      </w:r>
    </w:p>
    <w:p>
      <w:pPr>
        <w:spacing w:after="0" w:line="96" w:lineRule="exact"/>
        <w:rPr>
          <w:sz w:val="20"/>
          <w:szCs w:val="20"/>
          <w:color w:val="auto"/>
        </w:rPr>
      </w:pPr>
    </w:p>
    <w:p>
      <w:pPr>
        <w:ind w:left="640" w:right="320" w:hanging="319"/>
        <w:spacing w:after="0" w:line="252"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we or OpCo are able to generate from sales of ethylene, and associated co-products, to third parties, which will be impacted by changes in prices for ethane (or other feedstocks), natural gas, ethylene and co-products and lower prices of crude oil, new ethylene capacity expansions in North America (a number of which have been completed recently), and could be less than the margin we earn from ethylene sales to Westlake;</w:t>
      </w:r>
    </w:p>
    <w:p>
      <w:pPr>
        <w:spacing w:after="0" w:line="5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capital expenditures we or OpCo make;</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or OpCo's working capital needs;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OpCo's ability to borrow funds (including under our or OpCo's revolving credit facilities) and access capital markets;</w:t>
      </w:r>
    </w:p>
    <w:p>
      <w:pPr>
        <w:spacing w:after="0" w:line="1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OpCo's debt service requirements, including interest owed on variable rate debt, and other liabilities;</w:t>
      </w:r>
    </w:p>
    <w:p>
      <w:pPr>
        <w:spacing w:after="0" w:line="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our or OpCo's existing or future debt agreements; and</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reserves established by our general partner.</w:t>
      </w:r>
    </w:p>
    <w:p>
      <w:pPr>
        <w:spacing w:after="0" w:line="16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will require a significant amount of cash to service our debt and OpCo's debt, including borrowings under our and OpCo's credit facilities with Westlake. Our ability to make payments on and refinance this debt will depend on our ability to generate cash in the future, which is subject to the same factors described above in connection with our ability to pay quarterly distributions to unitholders. Cash that is used to service debt will be unavailable for distributions to our unitholders.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w:t>
      </w:r>
    </w:p>
    <w:p>
      <w:pPr>
        <w:spacing w:after="0" w:line="33"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Our ability to make distributions to unitholders is substantially dependent on Westlake's ability to meet its minimum contractual obligations under the Ethylene Sales Agreement and its obligations under the Services and Secondment Agreement and the Omnibus Agreement. If Westlake defaults on its obligations, our ability to make distributions to our unitholders would be reduced or eliminated. Westlake has not pledged any assets to us as security for the performance of its obligations.</w:t>
      </w:r>
    </w:p>
    <w:p>
      <w:pPr>
        <w:spacing w:after="0" w:line="131"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is a restricted subsidiary under certain indentures governing Westlake's senior notes.</w:t>
      </w:r>
    </w:p>
    <w:p>
      <w:pPr>
        <w:spacing w:after="0" w:line="100"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All of our cash is currently generated from cash distributions from OpCo. Certain indentures governing Westlake's senior notes impose significant operating and financial restrictions on OpCo. These restrictions limit OpCo's ability to:</w:t>
      </w:r>
    </w:p>
    <w:p>
      <w:pPr>
        <w:spacing w:after="0" w:line="51" w:lineRule="exact"/>
        <w:rPr>
          <w:sz w:val="20"/>
          <w:szCs w:val="20"/>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and</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its assets or consolidate or merge with or into other companies.</w:t>
      </w:r>
    </w:p>
    <w:p>
      <w:pPr>
        <w:spacing w:after="0" w:line="161"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w:t>
      </w:r>
    </w:p>
    <w:p>
      <w:pPr>
        <w:spacing w:after="0" w:line="219"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ethylene sales price charged under the Ethylene Sales Agreement is designed to permit OpCo to cover the substantial majority of its operating costs, but not our public partnership and other OpCo costs, which reduce our net operating profit.</w:t>
      </w:r>
    </w:p>
    <w:p>
      <w:pPr>
        <w:spacing w:after="0" w:line="33"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The purchase price under the Ethylene Sales Agreement is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ethylene production facilities associated with the percentage of its production capacity purchased by Westlake and generate a fixed margin per pound of ethylene purchased by Westlake. The price is not designed to allow OpCo to recover any capital expenditures related to expansion. The ethylene sales price also does not increase to cover our cost of debt or public partnership costs. All of these costs reduce our net operating profit.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fee structure of the Ethylene Sales Agreement may limit OpCo's ability to take advantage of favorable market developments in the future.</w:t>
      </w:r>
    </w:p>
    <w:p>
      <w:pPr>
        <w:spacing w:after="0" w:line="10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Ethylene Sales Agreement sets a $0.10 per pound margin for a substantial majority of OpCo's ethylene production, limiting OpCo's ability to take advantage of potential decreased ethane and other feedstock prices, potential increased ethylene prices or other favorable market developments. Under these circumstances, OpCo may not be in a position to enable its partners, including us, to benefit from favorable market developments (including any potential ethylene price increase in the future) through increased distributions. In addition, under these circumstances, OpCo may be disadvantaged relative to those of its competitors that are in a better position to take advantage of favorable market developments.</w:t>
      </w:r>
    </w:p>
    <w:p>
      <w:pPr>
        <w:spacing w:after="0" w:line="208" w:lineRule="exact"/>
        <w:rPr>
          <w:sz w:val="20"/>
          <w:szCs w:val="20"/>
          <w:color w:val="auto"/>
        </w:rPr>
      </w:pPr>
    </w:p>
    <w:p>
      <w:pPr>
        <w:ind w:right="8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Westlake's obligations under the Ethylene Sales Agreement, the Feedstock Supply Agreement and the related Services and Secondment Agreement will become terminable by either party commencing December 31, 2026. If OpCo were unable to reach agreement with Westlake on an extension or replacement of these agreements, then our ability to make distributions on our common units could be materially adversely affected and the value of our common units could decline.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47" w:lineRule="exact"/>
        <w:rPr>
          <w:sz w:val="20"/>
          <w:szCs w:val="20"/>
          <w:color w:val="auto"/>
        </w:rPr>
      </w:pPr>
    </w:p>
    <w:p>
      <w:pPr>
        <w:ind w:right="140" w:firstLine="395"/>
        <w:spacing w:after="0" w:line="246" w:lineRule="auto"/>
        <w:rPr>
          <w:sz w:val="20"/>
          <w:szCs w:val="20"/>
          <w:color w:val="auto"/>
        </w:rPr>
      </w:pPr>
      <w:r>
        <w:rPr>
          <w:rFonts w:ascii="Times New Roman" w:cs="Times New Roman" w:eastAsia="Times New Roman" w:hAnsi="Times New Roman"/>
          <w:sz w:val="18"/>
          <w:szCs w:val="18"/>
          <w:color w:val="auto"/>
        </w:rPr>
        <w:t>Westlake has (1) leased to OpCo the real property underlying Lake Charles Olefins and Calvert City Olefins and (2) granted OpCo rights to access and use certain other portions of Westlake's facilities that are necessary to operate OpCo's units at such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ethylene production facilities at 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depends upon Westlake for numerous services and for its labor force.</w:t>
      </w:r>
    </w:p>
    <w:p>
      <w:pPr>
        <w:spacing w:after="0" w:line="10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Pursuant to the Services and Secondment Agreement, Westlake is obligated to provide OpCo operating services, utility access services and other key site services. Westlake provides the services of certain of its employees, who act as OpCo's agents in operating and maintaining OpCo's ethylene production facilities and other assets.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ethylene production facilities and Westlake's Lake Charles and Calvert City facilities, it may not be practical for us or for a third party to provide site services or labor for OpCo's ethylene production facilities separately.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OpCo's ability to receive greater cash flows from increased production may be limited by the Ethylene Sales Agreement.</w:t>
      </w:r>
    </w:p>
    <w:p>
      <w:pPr>
        <w:spacing w:after="0" w:line="10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 production given the limited volumes available for sale. For example, so long as Westlake is not in default under the Ethylene Sales Agreement, Westlake has the right to purchase 95% of OpCo's production in excess of planned capacity.</w:t>
      </w:r>
    </w:p>
    <w:p>
      <w:pPr>
        <w:spacing w:after="0" w:line="223"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Cost reimbursements due to our general partner and Westlake for services provided to us or on our behalf reduce our earnings and therefore our cash available for distribution to our unitholders. The amount and timing of such reimbursements are determined by our general partner.</w:t>
      </w:r>
    </w:p>
    <w:p>
      <w:pPr>
        <w:spacing w:after="0" w:line="33"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are obligated under our partnership agreement to reimburse our general partner and its affiliates for all expenses they incur and payments they make on our behalf, including expenses we and OpCo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determines the expenses that are allocable to us. The reimbursement of expenses and payment of fees, if any, to our general partner and its affiliates reduce the amount of our earnings and, thereby, our ability to distribute cash to our unitholders.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impact and effects of public health crises, pandemics and epidemics could materially adversely affect OpCo's business, financial condition and results of operations.</w:t>
      </w:r>
    </w:p>
    <w:p>
      <w:pPr>
        <w:spacing w:after="0" w:line="46"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Public health crises, pandemics and epidemics, such as the COVID-19 pandemic, could materially adversely affect OpCo's business, financial condition and results of operations. Such events have resulted in and may again result in authorities implementing numerous measures to try to contain the disease, such as travel bans and restrictions, quarantines, shelter-in-place orders and shutdowns, among others. Such events have had and could again have widespread adverse impacts on the global economy, many of OpCo's facilities and its employees, customers and suppliers. These and similar events have caused and may again cause supply chain constraints and disruptions and workforce availability issues as well.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3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46"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OpCo's operations are subject to significant hazards and risks inherent in ethylene production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133"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For example, OpCo's Lake Charles facility was shut down for a significant period of time in the months of August, September and October 2020 in the aftermath of Hurricanes Laura and Delta. Any similar or other sustained disruption in OpCo's ability to meet its supply obligations under the Ethylene Sales Agreement could have a material adverse effect on our results of operations and therefore our ability to distribute cash to unitholders.</w:t>
      </w:r>
    </w:p>
    <w:p>
      <w:pPr>
        <w:spacing w:after="0" w:line="22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33"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amount of cash we have available for distribution depends primarily upon our cash flow, including cash flow from reserves and working capital or borrowings (including any under our and OpCo's credit facilities) and not solely on profitability, which will be affected by non-cash items. As a result, we may pay cash distributions during periods when we record net losses for financial accounting purposes and may be unable to pay cash distributions during periods when we record net income. We may be unable to access our and OpCo's revolving credit facilities when we do not have sufficient cash flows to pay cash distributions.</w:t>
      </w:r>
    </w:p>
    <w:p>
      <w:pPr>
        <w:spacing w:after="0" w:line="221"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46" w:lineRule="exact"/>
        <w:rPr>
          <w:sz w:val="20"/>
          <w:szCs w:val="20"/>
          <w:color w:val="auto"/>
        </w:rPr>
      </w:pPr>
    </w:p>
    <w:p>
      <w:pPr>
        <w:ind w:right="20" w:firstLine="395"/>
        <w:spacing w:after="0" w:line="289" w:lineRule="auto"/>
        <w:rPr>
          <w:sz w:val="20"/>
          <w:szCs w:val="20"/>
          <w:color w:val="auto"/>
        </w:rPr>
      </w:pPr>
      <w:r>
        <w:rPr>
          <w:rFonts w:ascii="Times New Roman" w:cs="Times New Roman" w:eastAsia="Times New Roman" w:hAnsi="Times New Roman"/>
          <w:sz w:val="16"/>
          <w:szCs w:val="16"/>
          <w:color w:val="auto"/>
        </w:rPr>
        <w:t>Our strategy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24" w:lineRule="exact"/>
        <w:rPr>
          <w:sz w:val="20"/>
          <w:szCs w:val="20"/>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revenues and costs, including synergies;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businesses we acquire;</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hire, train or retain qualified personnel to manage and operate our business and newly acquired assets;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liabilities;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rights to indemnity from the seller;</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the overall costs of equity or debt;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in connection with operating in new product areas or new geographic areas; and</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key employee losses at the acquired businesses.</w:t>
      </w:r>
    </w:p>
    <w:p>
      <w:pPr>
        <w:spacing w:after="0" w:line="161" w:lineRule="exact"/>
        <w:rPr>
          <w:sz w:val="20"/>
          <w:szCs w:val="20"/>
          <w:color w:val="auto"/>
        </w:rPr>
      </w:pPr>
    </w:p>
    <w:p>
      <w:pPr>
        <w:ind w:right="440" w:firstLine="395"/>
        <w:spacing w:after="0" w:line="256" w:lineRule="auto"/>
        <w:rPr>
          <w:sz w:val="20"/>
          <w:szCs w:val="20"/>
          <w:color w:val="auto"/>
        </w:rPr>
      </w:pPr>
      <w:r>
        <w:rPr>
          <w:rFonts w:ascii="Times New Roman" w:cs="Times New Roman" w:eastAsia="Times New Roman" w:hAnsi="Times New Roman"/>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establish cash reserves in order to cover turnaround expenditures, the amounts we reserve may not be sufficient to fully cover such expenditures.</w:t>
      </w:r>
    </w:p>
    <w:p>
      <w:pPr>
        <w:spacing w:after="0" w:line="47" w:lineRule="exact"/>
        <w:rPr>
          <w:sz w:val="20"/>
          <w:szCs w:val="20"/>
          <w:color w:val="auto"/>
        </w:rPr>
      </w:pPr>
    </w:p>
    <w:p>
      <w:pPr>
        <w:ind w:right="20" w:firstLine="395"/>
        <w:spacing w:after="0" w:line="293" w:lineRule="auto"/>
        <w:rPr>
          <w:sz w:val="20"/>
          <w:szCs w:val="20"/>
          <w:color w:val="auto"/>
        </w:rPr>
      </w:pPr>
      <w:r>
        <w:rPr>
          <w:rFonts w:ascii="Times New Roman" w:cs="Times New Roman" w:eastAsia="Times New Roman" w:hAnsi="Times New Roman"/>
          <w:sz w:val="16"/>
          <w:szCs w:val="16"/>
          <w:color w:val="auto"/>
        </w:rPr>
        <w:t>Many of the assets we use to produce ethylene are long-lived assets. As a result, some of those assets have been in service for many decades. The age and condition of these assets could result in increased maintenance or repair expenditures. In addition, while we establish certain cash reserves to cover our expected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production facilities process volatile and hazardous materials that subject us to operating risks that could adversely affect our operating results.</w:t>
      </w:r>
    </w:p>
    <w:p>
      <w:pPr>
        <w:spacing w:after="0" w:line="100"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Our operations are subject to the usual hazards associated with commodity chemical manufacturing and the related use, storage, transportation and disposal of feedstocks, products and wastes, including:</w:t>
      </w:r>
    </w:p>
    <w:p>
      <w:pPr>
        <w:spacing w:after="0" w:line="38" w:lineRule="exact"/>
        <w:rPr>
          <w:sz w:val="20"/>
          <w:szCs w:val="20"/>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leaks and ruptures;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explosions;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and natural disasters;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impacts of climate change; including rising sea levels and changes in weather patterns, such as drought and flooding;</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failure;</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unscheduled downtime;</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difficulties;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interruptions;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chemical spills;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discharges or releases of toxic or hazardous substances or gases;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storage tank leaks;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environmental risks; and</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w:t>
      </w:r>
    </w:p>
    <w:p>
      <w:pPr>
        <w:spacing w:after="0" w:line="161"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All of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Through Westlake, we maintain property, business interruption and casualty insurance that we believe is in accordance with customary industry practices, but we cannot be fully insured against all potential hazards incident to our business, including losses resulting from wars or terrorist acts, among other things. In addition, certain policies may be subject to coverage limitations, which may affect the extent of any recovery thereunder. As a result of market conditions and past claims,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assets are subject to extensive environmental, health and safety laws and regulations.</w:t>
      </w:r>
    </w:p>
    <w:p>
      <w:pPr>
        <w:spacing w:after="0" w:line="87" w:lineRule="exact"/>
        <w:rPr>
          <w:sz w:val="20"/>
          <w:szCs w:val="20"/>
          <w:color w:val="auto"/>
        </w:rPr>
      </w:pPr>
    </w:p>
    <w:p>
      <w:pPr>
        <w:ind w:right="60" w:firstLine="395"/>
        <w:spacing w:after="0" w:line="282" w:lineRule="auto"/>
        <w:rPr>
          <w:sz w:val="20"/>
          <w:szCs w:val="20"/>
          <w:color w:val="auto"/>
        </w:rPr>
      </w:pPr>
      <w:r>
        <w:rPr>
          <w:rFonts w:ascii="Times New Roman" w:cs="Times New Roman" w:eastAsia="Times New Roman" w:hAnsi="Times New Roman"/>
          <w:sz w:val="16"/>
          <w:szCs w:val="16"/>
          <w:color w:val="auto"/>
        </w:rPr>
        <w:t>We use hazardous substances and generate hazardous wastes and emissions in our manufacturing operations. Our industry is highly regulated and monitored by various environmental regulatory authorities such as the EPA.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113" w:lineRule="exact"/>
        <w:rPr>
          <w:sz w:val="20"/>
          <w:szCs w:val="20"/>
          <w:color w:val="auto"/>
        </w:rPr>
      </w:pPr>
    </w:p>
    <w:p>
      <w:pPr>
        <w:ind w:firstLine="395"/>
        <w:spacing w:after="0" w:line="281" w:lineRule="auto"/>
        <w:rPr>
          <w:sz w:val="20"/>
          <w:szCs w:val="20"/>
          <w:color w:val="auto"/>
        </w:rPr>
      </w:pPr>
      <w:r>
        <w:rPr>
          <w:rFonts w:ascii="Times New Roman" w:cs="Times New Roman" w:eastAsia="Times New Roman" w:hAnsi="Times New Roman"/>
          <w:sz w:val="16"/>
          <w:szCs w:val="16"/>
          <w:color w:val="auto"/>
        </w:rPr>
        <w:t>In April 2016, the EPA issued an Information Collection Request ("ICR") for ethylene production facilities to inform the agency's mandatory Risk and Technology Review of the existing ethylene maximum available technology ("MACT") rule, which regulates the emissions of organic Hazardous Air Pollutants (HAP) including benzene, toluene and xylene among others. The EPA evaluated companies' responses and testing data from the ICR and published a final rule amending the ethylene MACT rule in July 2020. Among other things, the final rule strengthens heat exchange system and storage vessel control requirements, adds monitoring and operational requirements for flares, and removes exemptions for periods of startup, shutdown, and malfunctions. On April 27, 2023, the EPA proposed amendments to the National Emission Standards for Hazardous Air Pollutants (NESHAPs) for ethylene production following the receipt of several petitions for reconsideration for the provisions addressing work practice standards for pressure relief devices, emergency flaring, and degassing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roof storage vessels.</w:t>
      </w:r>
    </w:p>
    <w:p>
      <w:pPr>
        <w:spacing w:after="0" w:line="175"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In April 2023, the EPA proposed amendments to new source performance standards for the synthetic organic chemical manufacturing industry and amendments to the national emissions standards for hazardous air pollutants for the synthetic organic chemical manufacturing industry and group I &amp; II polymers and resins industry. These proposed amendments, among other things, would impose tougher emissions limits, additional leak detection and repair obligations, certain performance standards for the operation of flares at applicable facilities, and new fenceline air monitoring for several chemicals. Although we cannot predict the outcome or timing of EPA's final rule amendments, the amendments as proposed would require us to incur further capital expenditures and increase operating costs.</w:t>
      </w:r>
    </w:p>
    <w:p>
      <w:pPr>
        <w:spacing w:after="0" w:line="133"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color w:val="auto"/>
        </w:rPr>
        <w:t>Our operations also produce greenhouse gas ("GHG") emissions, which have been the subject of increased scrutiny and regulation. In December 2015, the United States joined the international community at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United States signed the Paris Agreement in April 2016, and the Paris Agreement went into effect in November 2016. In November 2019, the United States submitted formal notification to the United Nations that it intended to withdraw from the Paris Agreement. The withdrawal took effect in November 2020. However, President Biden signed an executive order on January 20, 2021 for reentry of the United States into the Paris Agreement and on February 19, 2021, President Biden formally rejoined the Paris Agreement. As part of rejoining the Paris Agreement, President Biden announced that the United States would commit to a 50 to 52 percent reduction from 2005 levels of GHG emissions by 2030 and set the goal of reaching net-zero GHG emissions by 2050. To measure progress towards this target, the Paris Agreement requires the parties to complete a global stocktake, assessing members' collective efforts and achievements in reducing GHG emissions and adapting to the impacts of climate change, every five years. On December 13, 2023, the 28th annual United Nations Climate Change Conference ("COP 28"), which was held in Dubai, issued its first global stocktake, which calls on parties, including the United States, to contribute to the transitioning away from fossil fuels, reduce methane emissions, and increase renewable energy capacity, among other things, to achieve net zero emissions by 2050. Legislation to regulate GHG emissions has periodically been introduced in the United States Congress, and such legislation may be proposed or adopted in the future. There has been a wide-ranging policy debate regarding the impact of these gases and possible means for their regulation. Some of the proposals would require industries to meet stringent new standards that would require substantial reductions in carbon emissions. The adoption and implementation of any international, federal or state legislation or regulations that restrict emissions of GHGs could result in increased compliance costs or additional operating restrictions.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processing results in GHG emissions, these and other GHG laws and regulations could affect our costs of doing business.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131"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and similar state laws impose joint and several liability for the costs of remedial investigations and actions on the entities that generated waste, arranged for disposal of the waste, transported to or selected the disposal sites, and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134"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assets are subject to climate-related risks and uncertainties.</w:t>
      </w:r>
    </w:p>
    <w:p>
      <w:pPr>
        <w:spacing w:after="0" w:line="87"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We are subject to increasing climate-related risks and uncertainties, many of which are outside of our control. Climate change may result in more frequent severe weather events, potential changes in precipitation patterns, flooding, sea level rise and variability in weather patterns, which can disrupt our operations as well as those of our customers, partners and suppliers. Climate change may result in heightened hurricane activity in the Gulf of Mexico and other weather and natural disaster hazards that pose a risk to OpCo's facilities, particularly those in Louisiana. The transition to lower greenhouse gas emissions technology, the effects of carbon pricing, changes in public sentiment, regulations, taxes, public mandates or requirements, increases in climate-related lawsuits, insurance premiums and implementation of more robust disaster recovery and business continuity plans may increase costs to maintain or resume our operations, which could in turn negatively impact our business and results of operations.</w:t>
      </w:r>
    </w:p>
    <w:p>
      <w:pPr>
        <w:spacing w:after="0" w:line="223"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operational and financial risks and liabilities associated with the implementation of and efforts to achieve carbon emission reduction goals.</w:t>
      </w:r>
    </w:p>
    <w:p>
      <w:pPr>
        <w:spacing w:after="0" w:line="46"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Westlake has publicly announced a GHG emissions reduction target for 2030 (which includes emissions from our operations), which is a 20% reduction in Westlake's scope 1 and scope 2 carbon dioxide equivalent emissions per ton of production by 2030 from a 2016 baseline. Developing and implementing plans for compliance with voluntary climate commitments can lead to additional capital, personnel, operations and maintenance expenditures and could significantly affect the economic position of existing facilities and proposed projects. Westlake's failure or perceived failure to pursue or fulfill its sustainability-focused goals, targets and objectives within the timelines announced, or at all, could adversely affect our business or reputation, as well as expose us to potential government enforcement actions and private litigation. We cannot predict the ultimate impact of achieving Westlake's emissions reduction goal, or the various implementation aspects, on our financial condition and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critical data and technology systems could materially affect our operations.</w:t>
      </w:r>
    </w:p>
    <w:p>
      <w:pPr>
        <w:spacing w:after="0" w:line="100" w:lineRule="exact"/>
        <w:rPr>
          <w:sz w:val="20"/>
          <w:szCs w:val="20"/>
          <w:color w:val="auto"/>
        </w:rPr>
      </w:pPr>
    </w:p>
    <w:p>
      <w:pPr>
        <w:ind w:right="380" w:firstLine="395"/>
        <w:spacing w:after="0" w:line="332" w:lineRule="auto"/>
        <w:rPr>
          <w:sz w:val="20"/>
          <w:szCs w:val="20"/>
          <w:color w:val="auto"/>
        </w:rPr>
      </w:pPr>
      <w:r>
        <w:rPr>
          <w:rFonts w:ascii="Times New Roman" w:cs="Times New Roman" w:eastAsia="Times New Roman" w:hAnsi="Times New Roman"/>
          <w:sz w:val="16"/>
          <w:szCs w:val="16"/>
          <w:color w:val="auto"/>
        </w:rPr>
        <w:t>We are increasingly dependent on digital technologies and services to conduct our business. We use these technologies for internal and operational purposes, including data storage, processing, and transmission, as well as in our interactions with our business associates, such as customers and suppliers.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Information technology system failures, network disruptions and breaches of data security due to internal or external factors including cyber-attacks could have material adverse impacts on our business or cause disruptions to our operations. Such disruptions could include, but are not limited to, delaying or cancelling customer orders, impeding the manufacture or shipment of products or causing standard business processes to become ineffective, or the unintentional or malicious disclosure of proprietary, confidential or other sensitive information. Cyber-attacks could include, but are not limited to, ransomware attacks, malicious software, attempts to gain unauthorized access to our systems or data or other electronic security breaches that could lead to disruptions in critical systems, unauthorized release, corruption or loss of data including protected information such as personal information of our employees, interruptions in communication, loss of our intellectual property or theft of our sensitive or proprietary technology, loss or damage to our data delivery systems, or other cybersecurity and infrastructure systems, including our property and equipment.</w:t>
      </w:r>
    </w:p>
    <w:p>
      <w:pPr>
        <w:spacing w:after="0" w:line="138" w:lineRule="exact"/>
        <w:rPr>
          <w:sz w:val="20"/>
          <w:szCs w:val="20"/>
          <w:color w:val="auto"/>
        </w:rPr>
      </w:pPr>
    </w:p>
    <w:p>
      <w:pPr>
        <w:ind w:right="100" w:firstLine="395"/>
        <w:spacing w:after="0" w:line="289" w:lineRule="auto"/>
        <w:rPr>
          <w:sz w:val="20"/>
          <w:szCs w:val="20"/>
          <w:color w:val="auto"/>
        </w:rPr>
      </w:pPr>
      <w:r>
        <w:rPr>
          <w:rFonts w:ascii="Times New Roman" w:cs="Times New Roman" w:eastAsia="Times New Roman" w:hAnsi="Times New Roman"/>
          <w:sz w:val="16"/>
          <w:szCs w:val="16"/>
          <w:color w:val="auto"/>
        </w:rPr>
        <w:t>Westlake's and our employees, systems, networks, products, facilities and services remain potentially vulnerable to sophisticated cyber-attacks, including the additional cybersecurity risks posed by the increased use of remote networking technologies and services, and, as such, there can be no assurance that a system failure, network disruption or data security breach will not have a material adverse effect on our operations, business, financial condition, operating results or cash flow. In addition, laws and regulations governing cybersecurity, data privacy, and the unauthorized disclosure of confidential or protected information pose increasingly complex compliance challenges, and failure to comply with these laws could result in penalties and legal liability.</w:t>
      </w:r>
    </w:p>
    <w:p>
      <w:pPr>
        <w:spacing w:after="0" w:line="19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variable-rate debt exposes us to increases in interest rates, which could have a material impact on our financial position, results of operation and cash flows, and could reduce the price at which our common units trade.</w:t>
      </w:r>
    </w:p>
    <w:p>
      <w:pPr>
        <w:spacing w:after="0" w:line="33" w:lineRule="exact"/>
        <w:rPr>
          <w:sz w:val="20"/>
          <w:szCs w:val="20"/>
          <w:color w:val="auto"/>
        </w:rPr>
      </w:pPr>
    </w:p>
    <w:p>
      <w:pPr>
        <w:jc w:val="both"/>
        <w:ind w:right="100" w:firstLine="395"/>
        <w:spacing w:after="0" w:line="303" w:lineRule="auto"/>
        <w:rPr>
          <w:sz w:val="20"/>
          <w:szCs w:val="20"/>
          <w:color w:val="auto"/>
        </w:rPr>
      </w:pPr>
      <w:r>
        <w:rPr>
          <w:rFonts w:ascii="Times New Roman" w:cs="Times New Roman" w:eastAsia="Times New Roman" w:hAnsi="Times New Roman"/>
          <w:sz w:val="16"/>
          <w:szCs w:val="16"/>
          <w:color w:val="auto"/>
        </w:rPr>
        <w:t>We are exposed to interest rate risk with respect to our outstanding debt, all of which is variable-rate debt. At December 31, 2023, we had $399.7 million in principal amount of variable-rate debt outstanding, including $22.6 million outstanding under the OpCo Revolver and $377.1 million outstanding under the MLP Revolver. Each of the OpCo Revolver and the MLP Revolver have interest rates in-part based on SOFR at the time of any borrowing.</w:t>
      </w:r>
    </w:p>
    <w:p>
      <w:pPr>
        <w:spacing w:after="0" w:line="93"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Board of Governors of the Federal Reserve System increased benchmark interest rates seven times in 2022, four times in 2023, and may further raise rates in future periods. Should interest rates increase significantly, the amount of cash required to service our debt would increase. As a result, significant increases in interest rates could have a material impact on our financial position, results of operations and cash flows.</w:t>
      </w:r>
    </w:p>
    <w:p>
      <w:pPr>
        <w:spacing w:after="0" w:line="127"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An increase in interest rates may also cause a corresponding decline in demand for equity securities in general, and in particular, for yield-based equity securities such as our common units. A reduction in demand for our common units may cause their trading price to decline.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terrorist attack or armed conflict could harm our business.</w:t>
      </w:r>
    </w:p>
    <w:p>
      <w:pPr>
        <w:spacing w:after="0" w:line="100"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Terrorist activities, anti-terrorist efforts and other armed conflicts involving the United States or other jurisdictions could adversely affect the United States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 activities and any resulting economic downturn could adversely affect our results of operations, impair our ability to raise capital or otherwise adversely impact our ability to realize certain business strategies.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Partnership Structure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General Partner</w:t>
      </w:r>
    </w:p>
    <w:p>
      <w:pPr>
        <w:spacing w:after="0" w:line="15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60" w:lineRule="exact"/>
        <w:rPr>
          <w:sz w:val="20"/>
          <w:szCs w:val="20"/>
          <w:color w:val="auto"/>
        </w:rPr>
      </w:pPr>
    </w:p>
    <w:p>
      <w:pPr>
        <w:ind w:right="40" w:firstLine="395"/>
        <w:spacing w:after="0" w:line="289" w:lineRule="auto"/>
        <w:rPr>
          <w:sz w:val="20"/>
          <w:szCs w:val="20"/>
          <w:color w:val="auto"/>
        </w:rPr>
      </w:pPr>
      <w:r>
        <w:rPr>
          <w:rFonts w:ascii="Times New Roman" w:cs="Times New Roman" w:eastAsia="Times New Roman" w:hAnsi="Times New Roman"/>
          <w:sz w:val="16"/>
          <w:szCs w:val="16"/>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right="600" w:hanging="319"/>
        <w:spacing w:after="0" w:line="268"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allowed to take into account the interests of parties other than us, such as Westlake, in exercising certain rights under our partnership agreement;</w:t>
      </w:r>
    </w:p>
    <w:p>
      <w:pPr>
        <w:spacing w:after="0" w:line="3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our partnership agreement nor any other agreement requires Westlake to pursue a business strategy that favors us;</w:t>
      </w:r>
    </w:p>
    <w:p>
      <w:pPr>
        <w:spacing w:after="0" w:line="95"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limited circumstances, our general partner has the power and authority to conduct our business without unitholder approval;</w:t>
      </w:r>
    </w:p>
    <w:p>
      <w:pPr>
        <w:spacing w:after="0" w:line="82"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50" w:lineRule="exact"/>
        <w:rPr>
          <w:rFonts w:ascii="Times New Roman" w:cs="Times New Roman" w:eastAsia="Times New Roman" w:hAnsi="Times New Roman"/>
          <w:sz w:val="18"/>
          <w:szCs w:val="18"/>
          <w:color w:val="auto"/>
        </w:rPr>
      </w:pPr>
    </w:p>
    <w:p>
      <w:pPr>
        <w:ind w:left="640" w:right="220" w:hanging="319"/>
        <w:spacing w:after="0" w:line="256"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w:t>
      </w:r>
    </w:p>
    <w:p>
      <w:pPr>
        <w:spacing w:after="0" w:line="61" w:lineRule="exact"/>
        <w:rPr>
          <w:rFonts w:ascii="Times New Roman" w:cs="Times New Roman" w:eastAsia="Times New Roman" w:hAnsi="Times New Roman"/>
          <w:sz w:val="18"/>
          <w:szCs w:val="18"/>
          <w:color w:val="auto"/>
        </w:rPr>
      </w:pPr>
    </w:p>
    <w:p>
      <w:pPr>
        <w:ind w:left="640" w:right="40" w:hanging="319"/>
        <w:spacing w:after="0" w:line="256"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cause us to borrow funds in order to permit the payment of cash distributions, even if the purpose or effect of the borrowing is to make incentive distributions or may cause us not to borrow funds to pay cash distributions when we do not otherwise have the funds to pay such cash distributions;</w:t>
      </w:r>
    </w:p>
    <w:p>
      <w:pPr>
        <w:spacing w:after="0" w:line="48" w:lineRule="exact"/>
        <w:rPr>
          <w:rFonts w:ascii="Times New Roman" w:cs="Times New Roman" w:eastAsia="Times New Roman" w:hAnsi="Times New Roman"/>
          <w:sz w:val="18"/>
          <w:szCs w:val="18"/>
          <w:color w:val="auto"/>
        </w:rPr>
      </w:pPr>
    </w:p>
    <w:p>
      <w:pPr>
        <w:ind w:left="640" w:right="20" w:hanging="319"/>
        <w:spacing w:after="0" w:line="256"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the incentive distribution rights;</w:t>
      </w:r>
    </w:p>
    <w:p>
      <w:pPr>
        <w:spacing w:after="0" w:line="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which costs incurred by it and its affiliates are reimbursable by us;</w:t>
      </w:r>
    </w:p>
    <w:p>
      <w:pPr>
        <w:spacing w:after="0" w:line="95" w:lineRule="exact"/>
        <w:rPr>
          <w:rFonts w:ascii="Times New Roman" w:cs="Times New Roman" w:eastAsia="Times New Roman" w:hAnsi="Times New Roman"/>
          <w:sz w:val="18"/>
          <w:szCs w:val="18"/>
          <w:color w:val="auto"/>
        </w:rPr>
      </w:pPr>
    </w:p>
    <w:p>
      <w:pPr>
        <w:ind w:left="640" w:right="80" w:hanging="319"/>
        <w:spacing w:after="0" w:line="268"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3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intends to limit its liability regarding our contractual and other obligations;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exercise its right to call and purchase common units if it and its affiliates own more than 80% of the common units;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controls the enforcement of obligations that it and its affiliates owe to us;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decides whether to retain separate counsel, accountants or others to perform services for us; and</w:t>
      </w:r>
    </w:p>
    <w:p>
      <w:pPr>
        <w:spacing w:after="0" w:line="95" w:lineRule="exact"/>
        <w:rPr>
          <w:rFonts w:ascii="Times New Roman" w:cs="Times New Roman" w:eastAsia="Times New Roman" w:hAnsi="Times New Roman"/>
          <w:sz w:val="18"/>
          <w:szCs w:val="18"/>
          <w:color w:val="auto"/>
        </w:rPr>
      </w:pPr>
    </w:p>
    <w:p>
      <w:pPr>
        <w:ind w:left="640" w:hanging="319"/>
        <w:spacing w:after="0" w:line="256"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127"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See "—Risks Relating to Our Partnership Structure—</w:t>
      </w:r>
      <w:r>
        <w:rPr>
          <w:rFonts w:ascii="Times New Roman" w:cs="Times New Roman" w:eastAsia="Times New Roman" w:hAnsi="Times New Roman"/>
          <w:sz w:val="18"/>
          <w:szCs w:val="18"/>
          <w:i w:val="1"/>
          <w:iCs w:val="1"/>
          <w:color w:val="auto"/>
        </w:rPr>
        <w:t>Our General Partner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—Westlake and other affiliates of our general partner may compete with us</w:t>
      </w:r>
      <w:r>
        <w:rPr>
          <w:rFonts w:ascii="Times New Roman" w:cs="Times New Roman" w:eastAsia="Times New Roman" w:hAnsi="Times New Roman"/>
          <w:sz w:val="18"/>
          <w:szCs w:val="18"/>
          <w:color w:val="auto"/>
        </w:rPr>
        <w:t>" below.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limited its liability regarding our obligations.</w:t>
      </w:r>
    </w:p>
    <w:p>
      <w:pPr>
        <w:spacing w:after="0" w:line="87" w:lineRule="exact"/>
        <w:rPr>
          <w:sz w:val="20"/>
          <w:szCs w:val="20"/>
          <w:color w:val="auto"/>
        </w:rPr>
      </w:pPr>
    </w:p>
    <w:p>
      <w:pPr>
        <w:ind w:right="20" w:firstLine="395"/>
        <w:spacing w:after="0" w:line="293" w:lineRule="auto"/>
        <w:rPr>
          <w:sz w:val="20"/>
          <w:szCs w:val="20"/>
          <w:color w:val="auto"/>
        </w:rPr>
      </w:pPr>
      <w:r>
        <w:rPr>
          <w:rFonts w:ascii="Times New Roman" w:cs="Times New Roman" w:eastAsia="Times New Roman" w:hAnsi="Times New Roman"/>
          <w:sz w:val="16"/>
          <w:szCs w:val="16"/>
          <w:color w:val="auto"/>
        </w:rPr>
        <w:t>Our general partner has limited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partnership agreement replaces our general partner's fiduciary duties to holders of our units.</w:t>
      </w:r>
    </w:p>
    <w:p>
      <w:pPr>
        <w:spacing w:after="0" w:line="87"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67" w:lineRule="exact"/>
        <w:rPr>
          <w:sz w:val="20"/>
          <w:szCs w:val="20"/>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allocate business opportunities among us and its affiliates;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exercise its call right;</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exercise its voting rights with respect to the units it owns;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exercise its registration rights;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elect to reset target distribution levels; and</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to consent to any merger or consolidation of the partnership or amendment to the partnership agreement.</w:t>
      </w:r>
    </w:p>
    <w:p>
      <w:pPr>
        <w:spacing w:after="0" w:line="161" w:lineRule="exact"/>
        <w:rPr>
          <w:sz w:val="20"/>
          <w:szCs w:val="20"/>
          <w:color w:val="auto"/>
        </w:rPr>
      </w:pPr>
    </w:p>
    <w:p>
      <w:pPr>
        <w:ind w:right="620" w:firstLine="395"/>
        <w:spacing w:after="0" w:line="268" w:lineRule="auto"/>
        <w:rPr>
          <w:sz w:val="20"/>
          <w:szCs w:val="20"/>
          <w:color w:val="auto"/>
        </w:rPr>
      </w:pPr>
      <w:r>
        <w:rPr>
          <w:rFonts w:ascii="Times New Roman" w:cs="Times New Roman" w:eastAsia="Times New Roman" w:hAnsi="Times New Roman"/>
          <w:sz w:val="18"/>
          <w:szCs w:val="18"/>
          <w:color w:val="auto"/>
        </w:rPr>
        <w:t>By purchasing a common unit, a unitholder is treated as having consented to the provisions in the partnership agreement, including the provisions discussed above.</w:t>
      </w:r>
    </w:p>
    <w:p>
      <w:pPr>
        <w:spacing w:after="0" w:line="205"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46"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38" w:lineRule="exact"/>
        <w:rPr>
          <w:sz w:val="20"/>
          <w:szCs w:val="20"/>
          <w:color w:val="auto"/>
        </w:rPr>
      </w:pPr>
    </w:p>
    <w:p>
      <w:pPr>
        <w:ind w:left="640" w:right="280" w:hanging="319"/>
        <w:spacing w:after="0" w:line="256"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61" w:lineRule="exact"/>
        <w:rPr>
          <w:rFonts w:ascii="Times New Roman" w:cs="Times New Roman" w:eastAsia="Times New Roman" w:hAnsi="Times New Roman"/>
          <w:sz w:val="18"/>
          <w:szCs w:val="18"/>
          <w:color w:val="auto"/>
        </w:rPr>
      </w:pPr>
    </w:p>
    <w:p>
      <w:pPr>
        <w:ind w:left="640" w:right="60" w:hanging="319"/>
        <w:spacing w:after="0" w:line="293" w:lineRule="auto"/>
        <w:tabs>
          <w:tab w:leader="none" w:pos="63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35" w:lineRule="exact"/>
        <w:rPr>
          <w:rFonts w:ascii="Times New Roman" w:cs="Times New Roman" w:eastAsia="Times New Roman" w:hAnsi="Times New Roman"/>
          <w:sz w:val="16"/>
          <w:szCs w:val="16"/>
          <w:color w:val="auto"/>
        </w:rPr>
      </w:pPr>
    </w:p>
    <w:p>
      <w:pPr>
        <w:ind w:left="640" w:right="320" w:hanging="319"/>
        <w:spacing w:after="0" w:line="268"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37"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conflicts committee of the board of directors, although our general partner is not obligated to seek such approval; or</w:t>
      </w:r>
    </w:p>
    <w:p>
      <w:pPr>
        <w:spacing w:after="0" w:line="95"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approved by the vote of a majority of the outstanding common units, excluding any common units owned by our general partner and its affiliates.</w:t>
      </w:r>
    </w:p>
    <w:p>
      <w:pPr>
        <w:spacing w:after="0" w:line="18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13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 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and other affiliates of our general partner may compete with us.</w:t>
      </w:r>
    </w:p>
    <w:p>
      <w:pPr>
        <w:spacing w:after="0" w:line="87" w:lineRule="exact"/>
        <w:rPr>
          <w:sz w:val="20"/>
          <w:szCs w:val="20"/>
          <w:color w:val="auto"/>
        </w:rPr>
      </w:pPr>
    </w:p>
    <w:p>
      <w:pPr>
        <w:jc w:val="both"/>
        <w:ind w:right="200" w:firstLine="395"/>
        <w:spacing w:after="0" w:line="332" w:lineRule="auto"/>
        <w:rPr>
          <w:sz w:val="20"/>
          <w:szCs w:val="20"/>
          <w:color w:val="auto"/>
        </w:rPr>
      </w:pPr>
      <w:r>
        <w:rPr>
          <w:rFonts w:ascii="Times New Roman" w:cs="Times New Roman" w:eastAsia="Times New Roman" w:hAnsi="Times New Roman"/>
          <w:sz w:val="16"/>
          <w:szCs w:val="16"/>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70"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23"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46"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publicly-traded corporations, we do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holders of our common units are dissatisfied, they cannot currently remove our general partner without its consent.</w:t>
      </w:r>
    </w:p>
    <w:p>
      <w:pPr>
        <w:spacing w:after="0" w:line="100" w:lineRule="exact"/>
        <w:rPr>
          <w:sz w:val="20"/>
          <w:szCs w:val="20"/>
          <w:color w:val="auto"/>
        </w:rPr>
      </w:pPr>
    </w:p>
    <w:p>
      <w:pPr>
        <w:ind w:right="20" w:firstLine="395"/>
        <w:spacing w:after="0" w:line="237" w:lineRule="auto"/>
        <w:rPr>
          <w:sz w:val="20"/>
          <w:szCs w:val="20"/>
          <w:color w:val="auto"/>
        </w:rPr>
      </w:pPr>
      <w:r>
        <w:rPr>
          <w:rFonts w:ascii="Times New Roman" w:cs="Times New Roman" w:eastAsia="Times New Roman" w:hAnsi="Times New Roman"/>
          <w:sz w:val="18"/>
          <w:szCs w:val="18"/>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of all outstanding common and subordinated units voting together as a single class is required to remove our general partner. As of February 21, 2024, Westlake owned an aggregate of 40.1% of our common units. This condition provides Westlake, at its current ownership levels, the ability to prevent the removal of our general partner.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of our general partner may be transferred to a third party without unitholder consent.</w:t>
      </w:r>
    </w:p>
    <w:p>
      <w:pPr>
        <w:spacing w:after="0" w:line="87"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call right that may require unitholders to sell their common units at an undesirable time or price.</w:t>
      </w:r>
    </w:p>
    <w:p>
      <w:pPr>
        <w:spacing w:after="0" w:line="87"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or the Exchange Act.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 to Unitholders</w:t>
      </w:r>
    </w:p>
    <w:p>
      <w:pPr>
        <w:spacing w:after="0" w:line="15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46" w:lineRule="exact"/>
        <w:rPr>
          <w:sz w:val="20"/>
          <w:szCs w:val="20"/>
          <w:color w:val="auto"/>
        </w:rPr>
      </w:pPr>
    </w:p>
    <w:p>
      <w:pPr>
        <w:ind w:right="60" w:firstLine="395"/>
        <w:spacing w:after="0" w:line="303" w:lineRule="auto"/>
        <w:rPr>
          <w:sz w:val="20"/>
          <w:szCs w:val="20"/>
          <w:color w:val="auto"/>
        </w:rPr>
      </w:pPr>
      <w:r>
        <w:rPr>
          <w:rFonts w:ascii="Times New Roman" w:cs="Times New Roman" w:eastAsia="Times New Roman" w:hAnsi="Times New Roman"/>
          <w:sz w:val="16"/>
          <w:szCs w:val="16"/>
          <w:color w:val="auto"/>
        </w:rPr>
        <w:t>The board of directors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93"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distribute a significant portion of our available cash to our partners, which could limit our ability to grow and make acquisitions.</w:t>
      </w:r>
    </w:p>
    <w:p>
      <w:pPr>
        <w:spacing w:after="0" w:line="165"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 commercial borrowings or other debt to finance our growth strategy would result in increased interest expense, which, in turn, may impact the cash that we have available to distribute to our unitholders.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47" w:lineRule="exact"/>
        <w:rPr>
          <w:sz w:val="20"/>
          <w:szCs w:val="20"/>
          <w:color w:val="auto"/>
        </w:rPr>
      </w:pPr>
    </w:p>
    <w:p>
      <w:pPr>
        <w:jc w:val="both"/>
        <w:ind w:right="300" w:firstLine="395"/>
        <w:spacing w:after="0" w:line="282" w:lineRule="auto"/>
        <w:rPr>
          <w:sz w:val="20"/>
          <w:szCs w:val="20"/>
          <w:color w:val="auto"/>
        </w:rPr>
      </w:pPr>
      <w:r>
        <w:rPr>
          <w:rFonts w:ascii="Times New Roman" w:cs="Times New Roman" w:eastAsia="Times New Roman" w:hAnsi="Times New Roman"/>
          <w:sz w:val="16"/>
          <w:szCs w:val="16"/>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Following a reset election by such 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141"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 of cash distributions that they would have otherwise received had we not issued new common units to the holders of the incentive distribution rights in connection with resetting the target distribution levels.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incentive distribution rights may be transferred to a third party without unitholder consent.</w:t>
      </w:r>
    </w:p>
    <w:p>
      <w:pPr>
        <w:spacing w:after="0" w:line="100" w:lineRule="exact"/>
        <w:rPr>
          <w:sz w:val="20"/>
          <w:szCs w:val="20"/>
          <w:color w:val="auto"/>
        </w:rPr>
      </w:pPr>
    </w:p>
    <w:p>
      <w:pPr>
        <w:ind w:right="240" w:firstLine="395"/>
        <w:spacing w:after="0" w:line="293" w:lineRule="auto"/>
        <w:rPr>
          <w:sz w:val="20"/>
          <w:szCs w:val="20"/>
          <w:color w:val="auto"/>
        </w:rPr>
      </w:pPr>
      <w:r>
        <w:rPr>
          <w:rFonts w:ascii="Times New Roman" w:cs="Times New Roman" w:eastAsia="Times New Roman" w:hAnsi="Times New Roman"/>
          <w:sz w:val="16"/>
          <w:szCs w:val="16"/>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Our Common Units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units without unitholder approval, which would dilute existing unitholder ownership interests.</w:t>
      </w:r>
    </w:p>
    <w:p>
      <w:pPr>
        <w:spacing w:after="0" w:line="100"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Our partnership agreement does not limit the number of additional limited partner interests we may issue at any time without the approval of our unitholders. We are party to an Equity Distribution Agreement pursuant to which we may offer and sell common units from time to time to or through the investment banks, as our sales agents or as principals, having an aggregate offering amount of up to $50.0 million. The issuance of additional common units or other equity interests of equal or senior rank will have the following effects:</w:t>
      </w:r>
    </w:p>
    <w:p>
      <w:pPr>
        <w:spacing w:after="0" w:line="65" w:lineRule="exact"/>
        <w:rPr>
          <w:sz w:val="20"/>
          <w:szCs w:val="20"/>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unitholders' proportionate ownership interest in us will decrease;</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earnings per each unit may decrease;</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unit may be diminished; and</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units may decline.</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33"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voting rights of unitholders owning 20% or more of our common units.</w:t>
      </w:r>
    </w:p>
    <w:p>
      <w:pPr>
        <w:spacing w:after="0" w:line="100"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have liability to repay distributions.</w:t>
      </w:r>
    </w:p>
    <w:p>
      <w:pPr>
        <w:spacing w:after="0" w:line="10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Under certain circumstances, unitholders may have to repay amounts wrongfully returned or distributed to them. Under Delaware law,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0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Public and investor sentiment towards climate change and other environmental, social and governance ("ESG") matters could adversely affect our cost of capital and the price of our common units.</w:t>
      </w:r>
    </w:p>
    <w:p>
      <w:pPr>
        <w:spacing w:after="0" w:line="46" w:lineRule="exact"/>
        <w:rPr>
          <w:sz w:val="20"/>
          <w:szCs w:val="20"/>
          <w:color w:val="auto"/>
        </w:rPr>
      </w:pPr>
    </w:p>
    <w:p>
      <w:pPr>
        <w:ind w:right="460" w:firstLine="395"/>
        <w:spacing w:after="0" w:line="250" w:lineRule="auto"/>
        <w:rPr>
          <w:sz w:val="20"/>
          <w:szCs w:val="20"/>
          <w:color w:val="auto"/>
        </w:rPr>
      </w:pPr>
      <w:r>
        <w:rPr>
          <w:rFonts w:ascii="Times New Roman" w:cs="Times New Roman" w:eastAsia="Times New Roman" w:hAnsi="Times New Roman"/>
          <w:sz w:val="18"/>
          <w:szCs w:val="18"/>
          <w:color w:val="auto"/>
        </w:rPr>
        <w:t>There have been intensifying efforts within the investment community (including investment advisors, investment fund managers, sovereign wealth funds, public pension funds, universities and individual investors) to promote the divestment of, or limit investment in, the equity of companies in the petrochemical industry. There has also been pressure on lenders and other financial services companies to limit or curtail financing of companies in the industry. Because we operate within the petrochemical industry, if these efforts continue or expand, our stock price and our ability to raise capital may be negatively impacted.</w:t>
      </w:r>
    </w:p>
    <w:p>
      <w:pPr>
        <w:spacing w:after="0" w:line="133" w:lineRule="exact"/>
        <w:rPr>
          <w:sz w:val="20"/>
          <w:szCs w:val="20"/>
          <w:color w:val="auto"/>
        </w:rPr>
      </w:pPr>
    </w:p>
    <w:p>
      <w:pPr>
        <w:ind w:right="100" w:firstLine="395"/>
        <w:spacing w:after="0" w:line="247" w:lineRule="auto"/>
        <w:rPr>
          <w:sz w:val="20"/>
          <w:szCs w:val="20"/>
          <w:color w:val="auto"/>
        </w:rPr>
      </w:pPr>
      <w:r>
        <w:rPr>
          <w:rFonts w:ascii="Times New Roman" w:cs="Times New Roman" w:eastAsia="Times New Roman" w:hAnsi="Times New Roman"/>
          <w:sz w:val="18"/>
          <w:szCs w:val="18"/>
          <w:color w:val="auto"/>
        </w:rPr>
        <w:t>Members of the investment community are increasing their focus on ESG practices and disclosures by public companies, including practices and disclosures related to climate change and sustainability, D&amp;I initiatives and heightened governance standards. In March 2022, the SEC proposed enhanced climate-change disclosure requirements. As a result, we may continue to face increasing pressure regarding our ESG disclosures and practices. Additionally, members of the investment community may screen companies such as ours for ESG disclosures and performance before investing in our common units. Over the past few years, there has also been an acceleration in investor demand for ESG investing opportunities, and many large institutional investors have committed to increasing the percentage of their portfolios that are allocated towards ESG investments. With respect to any of these investors, our ESG disclosures and efforts may not satisfy the investor requirements or their requirements may not be made known to us. If we or our securities are unable to meet the ESG standards or investment criteria set by these investors and funds, we may lose investors or investors may allocate a portion of their capital away from us, our cost of capital may increase, and our common unit price may be negatively impacted.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81"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tax treatment depends on our status as a partnership for U.S. federal income tax purposes, and not being subject to a material amount of entity-level taxation. If the Internal Revenue Service ("IRS"), were to treat us as a corporation for U.S. federal income tax purposes, or we become subject to entity-level taxation for state tax purposes, our cash available for distribution to our unitholders would be substantially reduced.</w:t>
      </w:r>
    </w:p>
    <w:p>
      <w:pPr>
        <w:spacing w:after="0" w:line="60"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common units depends largely on our being treated as a partnership for U.S. federal income tax purposes. Despite the fact that we are organized as a limited partnership under Delaware law, we would be treated as a corporation for U.S. federal income tax purposes unless we satisfy a "qualifying income" requirement. Based upon our current operations and current Treasury Regulations, we believe we satisfy the qualifying income requirement.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Prior to our initial public offering, we requested and obtained a favorable private letter ruling from the IRS to the effect that, based on facts presented in the private letter ruling request, our income from the production, transportation, storage and marketing of ethylene and its co-products constitutes "qualifying income" within the meaning of Section 7704 of the Internal Revenue Code of 1986, as amended (the "Code").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3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If we were treated as a corporation for U.S. federal income tax purposes, we would pay U.S. federal income tax on our taxable income at the corporate tax rate. Distributions to our unitholders would generally be taxed again as corporate distributions, and no income, gains, losses or deductions would flow through to our unitholders. Because a tax would be imposed upon us as a corporation, our cash available for distribution to our unitholders would be substantially reduced. Therefore, treatment of us as a corporation would result in a material reduction in the anticipated cash flow and after-tax return to our unitholders, likely causing a substantial reduction in the value of our common units.</w:t>
      </w:r>
    </w:p>
    <w:p>
      <w:pPr>
        <w:spacing w:after="0" w:line="133" w:lineRule="exact"/>
        <w:rPr>
          <w:sz w:val="20"/>
          <w:szCs w:val="20"/>
          <w:color w:val="auto"/>
        </w:rPr>
      </w:pPr>
    </w:p>
    <w:p>
      <w:pPr>
        <w:ind w:right="160" w:firstLine="395"/>
        <w:spacing w:after="0" w:line="248" w:lineRule="auto"/>
        <w:rPr>
          <w:sz w:val="20"/>
          <w:szCs w:val="20"/>
          <w:color w:val="auto"/>
        </w:rPr>
      </w:pPr>
      <w:r>
        <w:rPr>
          <w:rFonts w:ascii="Times New Roman" w:cs="Times New Roman" w:eastAsia="Times New Roman" w:hAnsi="Times New Roman"/>
          <w:sz w:val="18"/>
          <w:szCs w:val="18"/>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 the impact of that law or interpretation on us. At the state level, several states have been evaluating ways to subject partnerships to entity-level taxation through the imposition of state income, franchise or other forms of taxation. We currently own assets and conduct business in several states, most of which impose entity-level franchise or gross receipt taxes on partnerships. In the future, we may expand our operations. Imposition of similar entity-level taxes on us in other jurisdictions that we may expand to, could substantially reduce our cash available for distribution to our unitholders.</w:t>
      </w:r>
    </w:p>
    <w:p>
      <w:pPr>
        <w:spacing w:after="0" w:line="22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publicly-traded partnerships or an investment in our units could be subject to potential legislative, judicial or administrative changes or differing interpretations, possibly applied on a retroactive basis.</w:t>
      </w:r>
    </w:p>
    <w:p>
      <w:pPr>
        <w:spacing w:after="0" w:line="33"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The present U.S. federal income tax treatment of publicly-traded partnerships, including us, or an investment in our common units, may be modified by administrative, legislative or judicial changes or differing interpretations at any time. Members of Congress and the President have frequently proposed and considered substantive changes to the existing U.S. federal income tax laws that would affect publicly-traded partnerships, including proposals that would eliminate our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we rely for our partnership tax treatment. Further, while unitholders of publicly traded partnerships are, subject to certain limitations, entitled to a deduction equal to 20% of their allocable share of a publicly traded partnership's "qualified business income," this deduction is scheduled to expire with respect to taxable years beginning after December 31, 2025.</w:t>
      </w:r>
    </w:p>
    <w:p>
      <w:pPr>
        <w:spacing w:after="0" w:line="7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In addition, the Treasury Department has issued, and in the future may issue, regulations interpreting those laws that affect publicly-traded partnerships. On January 24, 2017, final regulations regarding which activities give rise to qualifying income within the meaning of Section 7704 of the Code (the "Final Regulations") were published in the Federal Register. The Final Regulations, consistent with our private letter ruling, treat our income from the production, transportation, storage and marketing of ethylene and its co-products as "qualifying income."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6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Any modification to the U.S. federal income tax laws and interpretations thereof may or may not be retroactively applied and could make it more difficult or impossible for us to meet the exception for certain publicly-traded partnerships to be treated as partnerships for U.S. federal income tax purposes. We are unable to predict whether any changes or other proposals will ultimately be enacted. Any future legislative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208"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the IRS were to contest the U.S. federal income tax positions we take, it may adversely impact the market for our common units, and the costs of any such contest would reduce our cash available for distribution to our unitholders.</w:t>
      </w:r>
    </w:p>
    <w:p>
      <w:pPr>
        <w:spacing w:after="0" w:line="46" w:lineRule="exact"/>
        <w:rPr>
          <w:sz w:val="20"/>
          <w:szCs w:val="20"/>
          <w:color w:val="auto"/>
        </w:rPr>
      </w:pPr>
    </w:p>
    <w:p>
      <w:pPr>
        <w:jc w:val="both"/>
        <w:ind w:right="20" w:firstLine="395"/>
        <w:spacing w:after="0" w:line="252" w:lineRule="auto"/>
        <w:rPr>
          <w:sz w:val="20"/>
          <w:szCs w:val="20"/>
          <w:color w:val="auto"/>
        </w:rPr>
      </w:pPr>
      <w:r>
        <w:rPr>
          <w:rFonts w:ascii="Times New Roman" w:cs="Times New Roman" w:eastAsia="Times New Roman" w:hAnsi="Times New Roman"/>
          <w:sz w:val="18"/>
          <w:szCs w:val="18"/>
          <w:color w:val="auto"/>
        </w:rPr>
        <w:t>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w:t>
      </w:r>
    </w:p>
    <w:p>
      <w:pPr>
        <w:spacing w:after="0" w:line="52"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 Additionally, we may be required to allocate an adjustment disproportionately among our unitholders, causing our publicly traded units to have different capital accounts, unless the IRS issues further guidance.</w:t>
      </w:r>
    </w:p>
    <w:p>
      <w:pPr>
        <w:spacing w:after="0" w:line="327" w:lineRule="exact"/>
        <w:rPr>
          <w:sz w:val="20"/>
          <w:szCs w:val="20"/>
          <w:color w:val="auto"/>
        </w:rPr>
      </w:pPr>
    </w:p>
    <w:p>
      <w:pPr>
        <w:ind w:right="20" w:firstLine="395"/>
        <w:spacing w:after="0" w:line="293" w:lineRule="auto"/>
        <w:rPr>
          <w:sz w:val="20"/>
          <w:szCs w:val="20"/>
          <w:color w:val="auto"/>
        </w:rPr>
      </w:pPr>
      <w:r>
        <w:rPr>
          <w:rFonts w:ascii="Times New Roman" w:cs="Times New Roman" w:eastAsia="Times New Roman" w:hAnsi="Times New Roman"/>
          <w:sz w:val="16"/>
          <w:szCs w:val="16"/>
          <w:color w:val="auto"/>
        </w:rPr>
        <w:t>In the event the IRS makes an audit adjustment to our income tax returns and we do not or cannot shift the liability to our unitholders in accordance with their interests in us during the year under audit, we will generally have the ability to request that the IRS reduce the determined underpayment by reducing the suspended passive loss carryovers of our unitholders (without any compensation from us to such unitholders), to the extent such underpayment is attributable to a net decrease in passive activity losses allocable to certain partners. Such reduction, if approved by the IRS, will be binding on any affected unitholders.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unitholders do not receive any cash distributions from us, unitholders will be required to pay taxes on their share of our taxable income.</w:t>
      </w:r>
    </w:p>
    <w:p>
      <w:pPr>
        <w:spacing w:after="0" w:line="100"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Unitholders are required to pay U.S. federal income taxes and, in some cases, state and local income taxes, on their share of our taxable income, whether or not they receive cash distributions from us. Unitholders may not receive cash distributions from us equal to their share of our taxable income or even equal to the actual tax due from them with respect to that income.</w:t>
      </w:r>
    </w:p>
    <w:p>
      <w:pPr>
        <w:spacing w:after="0" w:line="127" w:lineRule="exact"/>
        <w:rPr>
          <w:sz w:val="20"/>
          <w:szCs w:val="20"/>
          <w:color w:val="auto"/>
        </w:rPr>
      </w:pPr>
    </w:p>
    <w:p>
      <w:pPr>
        <w:ind w:right="80" w:firstLine="395"/>
        <w:spacing w:after="0" w:line="286" w:lineRule="auto"/>
        <w:rPr>
          <w:sz w:val="20"/>
          <w:szCs w:val="20"/>
          <w:color w:val="auto"/>
        </w:rPr>
      </w:pPr>
      <w:r>
        <w:rPr>
          <w:rFonts w:ascii="Times New Roman" w:cs="Times New Roman" w:eastAsia="Times New Roman" w:hAnsi="Times New Roman"/>
          <w:sz w:val="16"/>
          <w:szCs w:val="16"/>
          <w:color w:val="auto"/>
        </w:rPr>
        <w:t>A unitholder's share of our taxable income, and its relationship to any distributions we make, may be affected by a variety of factors, including our economic performance, which may be affected by numerous business, economic, regulatory, legislative, competitive and political uncertainties beyond our control, and certain transactions in which we might engage. For example, we may engage in transactions that produce substantial taxable income allocations to some or all of our unitholders without a corresponding increase in cash distributions to our unitholders, such as a sale or exchange of assets, the proceeds of which are reinvested in our business or used to reduce our debt, or an actual or deemed satisfaction of our indebtedness for an amount less than the adjusted issue price of the debt. A unitholder's ratio of its share of taxable income to the cash received by it may also be affected by changes in law.</w:t>
      </w:r>
    </w:p>
    <w:p>
      <w:pPr>
        <w:spacing w:after="0" w:line="106" w:lineRule="exact"/>
        <w:rPr>
          <w:sz w:val="20"/>
          <w:szCs w:val="20"/>
          <w:color w:val="auto"/>
        </w:rPr>
      </w:pPr>
    </w:p>
    <w:p>
      <w:pPr>
        <w:ind w:right="100" w:firstLine="395"/>
        <w:spacing w:after="0" w:line="286" w:lineRule="auto"/>
        <w:rPr>
          <w:sz w:val="20"/>
          <w:szCs w:val="20"/>
          <w:color w:val="auto"/>
        </w:rPr>
      </w:pPr>
      <w:r>
        <w:rPr>
          <w:rFonts w:ascii="Times New Roman" w:cs="Times New Roman" w:eastAsia="Times New Roman" w:hAnsi="Times New Roman"/>
          <w:sz w:val="16"/>
          <w:szCs w:val="16"/>
          <w:color w:val="auto"/>
        </w:rPr>
        <w:t>From time to time, in connection with an offering of our common units, we may state an estimate of the ratio of U.S. federal taxable income to cash distributions that a purchaser of common units in that offering may receive in a given period. These estimates depend in part on factors that are unique to the offering with respect to which the estimate is stated, so the expected ratio applicable to other common units will be different, and in many cases less favorable, than these estimates. Moreover, even in the case of common units purchased in the offering to which the estimate relates, the estimate may be incorrect, due to the uncertainties described above, challenges by the IRS to tax reporting positions which we adopt, or other factors. The actual ratio of taxable income to cash distributions could be higher or lower than expected, and any differences could be material and could materially affect the value of the common units.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gain or loss on the disposition of our common units could be more or less than expected.</w:t>
      </w:r>
    </w:p>
    <w:p>
      <w:pPr>
        <w:spacing w:after="0" w:line="100"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If a unitholder sells common units, the unitholder will recognize a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be subject to limitation on their ability to deduct interest expense incurred by us.</w:t>
      </w:r>
    </w:p>
    <w:p>
      <w:pPr>
        <w:spacing w:after="0" w:line="87"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In general, we are entitled to a deduction for interest paid or accrued on indebtedness properly allocable to our trade or business during our taxable year. However,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In the case of taxable years beginning on or after January 1, 2022, our adjusted taxable income is computed by taking into account any deduction allowable for depreciation, amortization, or depletion.</w:t>
      </w:r>
    </w:p>
    <w:p>
      <w:pPr>
        <w:spacing w:after="0" w:line="133" w:lineRule="exact"/>
        <w:rPr>
          <w:sz w:val="20"/>
          <w:szCs w:val="20"/>
          <w:color w:val="auto"/>
        </w:rPr>
      </w:pPr>
    </w:p>
    <w:p>
      <w:pPr>
        <w:ind w:right="460" w:firstLine="395"/>
        <w:spacing w:after="0" w:line="332" w:lineRule="auto"/>
        <w:rPr>
          <w:sz w:val="20"/>
          <w:szCs w:val="20"/>
          <w:color w:val="auto"/>
        </w:rPr>
      </w:pPr>
      <w:r>
        <w:rPr>
          <w:rFonts w:ascii="Times New Roman" w:cs="Times New Roman" w:eastAsia="Times New Roman" w:hAnsi="Times New Roman"/>
          <w:sz w:val="16"/>
          <w:szCs w:val="16"/>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Tax-exempt entities face unique tax issues from owning our common units that may result in adverse tax consequences to them</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("UBTI") and will be taxable to them. Tax-exempt entities should consult a tax advisor before investing in our common units.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Unitholders will be subject to U.S. taxes and withholding with respect to their income and gain from owning our units.</w:t>
      </w:r>
    </w:p>
    <w:p>
      <w:pPr>
        <w:spacing w:after="0" w:line="100"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Non-U.S. unitholders are generally taxed and subject to income tax filing requirements by the United States on income effectively connected with a U.S. trade or business.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addition to the withholding tax imposed on distributions of effectively connected income, distributions to a non-U.S. unitholder will also be subject to a</w:t>
      </w:r>
    </w:p>
    <w:p>
      <w:pPr>
        <w:spacing w:after="0" w:line="4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10% withholding tax on the amount of any distribution in excess of our cumulative net income.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137"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publicly-traded partnership, such as our common units, will generally be the amount of gross proceeds paid to the broker effecting the applicable transfer on behalf of the transferor, and thus will be determined without regard to any decrease in that partner's share of a publicly-traded partnership's liabilities. For a transfer of interests in a publicly traded partnership that is effected through a broker on or after January 1, 2023, the obligation to withhold is imposed on the transferor's broker. Current and prospective non-U.S. unitholders should consult their tax advisors regarding the impact of these rules on an investment in our common units.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3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any sale of common units and could have a negative impact on the value of our common units or result in audit adjustments to a unitholder's tax returns.</w:t>
      </w:r>
    </w:p>
    <w:p>
      <w:pPr>
        <w:spacing w:after="0" w:line="2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60"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(i) certain deductions for depreciation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1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A unitholder whose units are the subject of a securities loan (e.g., a loan to a "short seller" to cover a short sale of units) may be considered to have disposed of those units. If so, such unitholder would no longer be treated for tax purposes as a partner with respect to those units during the period of the loan and may recognize gain or loss from the disposition.</w:t>
      </w:r>
    </w:p>
    <w:p>
      <w:pPr>
        <w:spacing w:after="0" w:line="60" w:lineRule="exact"/>
        <w:rPr>
          <w:sz w:val="20"/>
          <w:szCs w:val="20"/>
          <w:color w:val="auto"/>
        </w:rPr>
      </w:pPr>
    </w:p>
    <w:p>
      <w:pPr>
        <w:jc w:val="both"/>
        <w:ind w:right="120" w:firstLine="395"/>
        <w:spacing w:after="0" w:line="282" w:lineRule="auto"/>
        <w:rPr>
          <w:sz w:val="20"/>
          <w:szCs w:val="20"/>
          <w:color w:val="auto"/>
        </w:rPr>
      </w:pPr>
      <w:r>
        <w:rPr>
          <w:rFonts w:ascii="Times New Roman" w:cs="Times New Roman" w:eastAsia="Times New Roman" w:hAnsi="Times New Roman"/>
          <w:sz w:val="16"/>
          <w:szCs w:val="16"/>
          <w:color w:val="auto"/>
        </w:rPr>
        <w:t>Because there are no specific rules governing the U.S. federal income tax consequence of loaning a partnership interest, a unitholder whose units are the subject of a securities loan may be considered to have disposed of the loaned units. In that case, the unitholder may no longer be treated for tax purposes as a partner with respect to those units during the period of the loan to the short seller and the unitholder may recognize gain or loss from such disposition.</w:t>
      </w:r>
    </w:p>
    <w:p>
      <w:pPr>
        <w:spacing w:after="0" w:line="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225"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3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In determining the items of income, gain, loss and deduction allocable to our unitholders, we must routinely determine the fair market value of our assets. Although we may, from time to time, consult with professional appraisers regarding valuation matters, we make many fair market value estimates using a methodology based on the market value of our common units as a means to measure the fair market value of our assets. The IRS may challenge these valuation methods and the resulting allocations of income, gain, loss and deduction.</w:t>
      </w:r>
    </w:p>
    <w:p>
      <w:pPr>
        <w:spacing w:after="0" w:line="131"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A successful IRS challenge to these methods or allocations could adversely affect the timing or amount of taxable income or loss being allocated to our unitholders. It also could affect the amount of gain recognized from the sale of our common units, have a negative impact on the value of our common units or result in audit adjustments to our unitholders' tax returns without the benefit of additional deductions.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unitholders will likely be subject to state and local taxes and income tax return filing requirements in jurisdictions where they do not live as a result of investing in our common units.</w:t>
      </w:r>
    </w:p>
    <w:p>
      <w:pPr>
        <w:spacing w:after="0" w:line="33"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In addition to U.S. federal income taxes, our unitholders may be subject to other taxes, including foreign, state and local taxes, unincorporated business taxes and estate, inheritance or intangible taxes that are imposed by the various jurisdictions in which we conduct business or own property now or in the future, even if they do not live in any of those jurisdictions. Our unitholders will likely be required to file foreign, state and local income tax returns and pay state and local income taxes in some or all of these various jurisdictions. Further, our unitholders may be subject to penalties for failure to comply with those requirements.</w:t>
      </w:r>
    </w:p>
    <w:p>
      <w:pPr>
        <w:spacing w:after="0" w:line="133"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We currently own property and conduct business in a number of states, most of which currently impose a personal income tax on individuals, and most of which also impose an income or similar tax on corporations and certain other entities. As we make acquisitions or expand our business, we may own assets or conduct business in additional states that impose similar taxes. It is our unitholders' responsibility to file all U.S. federal, foreign, state and local tax returns and pay any taxes due in these jurisdictions. Unitholders should consult with their own tax advisors regarding the filing of such tax returns, the payment of such taxes, and the deductibility of any taxes paid.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98" w:lineRule="exact"/>
        <w:rPr>
          <w:sz w:val="20"/>
          <w:szCs w:val="20"/>
          <w:color w:val="auto"/>
        </w:rPr>
      </w:pPr>
    </w:p>
    <w:p>
      <w:pPr>
        <w:ind w:right="160" w:firstLine="395"/>
        <w:spacing w:after="0" w:line="303" w:lineRule="auto"/>
        <w:rPr>
          <w:sz w:val="20"/>
          <w:szCs w:val="20"/>
          <w:color w:val="auto"/>
        </w:rPr>
      </w:pPr>
      <w:r>
        <w:rPr>
          <w:rFonts w:ascii="Times New Roman" w:cs="Times New Roman" w:eastAsia="Times New Roman" w:hAnsi="Times New Roman"/>
          <w:sz w:val="16"/>
          <w:szCs w:val="16"/>
          <w:color w:val="auto"/>
        </w:rPr>
        <w:t>OpCo has entered into the Services and Secondment Agreement with Westlake and we, OpCo and Westlake have entered into the Omnibus Agreement. Pursuant to these Agreements, Westlake performs various services for us, including those related to cybersecurity. As such, this disclosure addresses our cybersecurity policies and practices, some of which are executed by Westlake under the Services and Secondment Agreement and the Omnibus Agreement.</w:t>
      </w:r>
    </w:p>
    <w:p>
      <w:pPr>
        <w:spacing w:after="0" w:line="9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With Westlake's support, we maintain a comprehensive approach to cybersecurity and data protection, based on a risk-based, defense-in-depth strategy. Westlake follows industry standard cybersecurity frameworks, including the National Institute of Standards and Technology's Cybersecurity Framework to design, assess and update our cybersecurity strategy, controls and processes. Westlake regularly assesses industry best practices and standards and endeavors to implement them in its efforts to manage cybersecurity risk for us. The focus is on protecting our highest-value information assets, which include manufacturing systems, financial systems, and confidential, personal, and private information.</w:t>
      </w:r>
    </w:p>
    <w:p>
      <w:pPr>
        <w:spacing w:after="0" w:line="133"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To safeguard our networks and systems, Westlake has a dedicated cybersecurity organization overseen by its Chief Information Security Officer, which operates within its information technology department overseen by its Chief Information Officer. Westlake's cybersecurity organization employs multiple security controls, such as firewalls, spam protection, web filtering, endpoint detection and response software, controlled access, vulnerability management, redundancies, patching, and regular onsite and offsite backups. Westlake's cybersecurity organization also uses a variety of processes to address cybersecurity threats related to the use of third-party technology and services, including pre-acquisition diligence, imposition of contractual obligations, and risk-based performance monitoring.</w:t>
      </w:r>
    </w:p>
    <w:p>
      <w:pPr>
        <w:spacing w:after="0" w:line="133"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Both Westlake's Chief Information Officer and its Chief Information Security Officer have extensive experience in assessing and managing cybersecurity risks, including through decades of collective experience in information technology and cybersecurity roles of increasing responsibility both at Westlake and in prior positions. Westlake prioritizes cybersecurity awareness among employees and contractors through various training exercises, including formal programs and simulated phishing events. Westlake maintains incident response plans, playbooks, and engages third-party cybersecurity firms for simulated cyberattacks and penetration testing to identify potential risks. Westlake also has a third-party cybersecurity firm on retainer for incident assistance and response. Periodic internal self-assessments are conducted by Westlake's cybersecurity organization using the National Institute of Standards and Technology Cybersecurity Framework.</w:t>
      </w:r>
    </w:p>
    <w:p>
      <w:pPr>
        <w:spacing w:after="0" w:line="134"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From time to time, we and OpCo experience cybersecurity threats and attempted breaches and other incidents. Westlake classifies and tracks these events based on significance and implements remediation actions that it considers appropriate to address the risks to the Partnership and OpCo relating to such incidents. Although we and OpCo have not experienced material impacts to our business strategy, results of operations or financial condition from any such incidents in the past three years, we cannot guarantee that a material incident will not occur in the future. See "Item 1A. Risk Factors—Failure to adequately protect critical data and technology systems could materially affect our operations."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The board of directors has authorized and approved our entry into the Services and Secondment Agreement and the Omnibus Agreement with Westlake, and has thereby charged Westlake's Corporate Risk and Sustainability Committee with assisting the board of directors with its oversight of cybersecurity risks, which is a component of our overall enterprise risk management program. As a result, Westlake's Corporate Risk and Sustainability Committee assists with the oversight of our cybersecurity risks. Westlake's Corporate Risk and Sustainability Committee includes directors with cybersecurity experience and expertise, primarily through supervision of information technology departments as executive officers. The board of directors also receives regular updates from Westlake's Chief Information Officer on cybersecurity risks, incidents and trends, and ongoing and planned projects impacting the Partnership and OpCo. Westlake's Chief Information Officer and our senior management receive regular status reports on the Partnership's and OpCo's cybersecurity risks from Westlake's cybersecurity organization. Further, incident updates are reported to our senior management and the board of directors as Westlake's Chief Information Officer and cybersecurity organization consider appropriate, depending on the severity of the incident.</w:t>
      </w:r>
    </w:p>
    <w:p>
      <w:pPr>
        <w:spacing w:after="0" w:line="136"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As part of our incident response planning, Westlake also maintains cross-functional response teams involving personnel outside of its cybersecurity organization, both globally and regionally, in order to be prepared to respond to an incident.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8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Information regarding our properties is contained in "Item 1. Business—OpCo's Assets" and "Item 7. Management's Discussion and Analysis of Financial Condition and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8"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In the ordinary conduct of our business, we and Westlake and Westlake's subsidiaries, including OpCo, are subject to lawsuits, investigations and claims, including environmental claims and employee related matters. See the discussions of our environmental matters contained in "Item 1.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Environmental" and Note 16 to the consolidated financial statements included in Item 8 of this Form 10-K.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133"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Under the Omnibus Agreement, certain subsidiaries of Westlake have agreed to indemnify the Partnership for certain environmental and other liabilities relating to OpCo's processing facilities and related assets that occurred or existed prior to August 4, 2014.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90" w:lineRule="exact"/>
        <w:rPr>
          <w:sz w:val="20"/>
          <w:szCs w:val="20"/>
          <w:color w:val="auto"/>
        </w:rPr>
      </w:pPr>
    </w:p>
    <w:p>
      <w:pPr>
        <w:ind w:right="2220"/>
        <w:spacing w:after="0" w:line="34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Our common units are listed and traded on the New York Stock Exchange ("NYSE") under the symbol "WLKP." As of the close of business on February 21, 2024, based upon information received from our transfer agent, there were four holders of record of our common units.</w:t>
      </w:r>
    </w:p>
    <w:p>
      <w:pPr>
        <w:spacing w:after="0" w:line="117" w:lineRule="exact"/>
        <w:rPr>
          <w:sz w:val="20"/>
          <w:szCs w:val="20"/>
          <w:color w:val="auto"/>
        </w:rPr>
      </w:pPr>
    </w:p>
    <w:p>
      <w:pPr>
        <w:ind w:right="460" w:firstLine="395"/>
        <w:spacing w:after="0" w:line="268" w:lineRule="auto"/>
        <w:rPr>
          <w:sz w:val="20"/>
          <w:szCs w:val="20"/>
          <w:color w:val="auto"/>
        </w:rPr>
      </w:pPr>
      <w:r>
        <w:rPr>
          <w:rFonts w:ascii="Times New Roman" w:cs="Times New Roman" w:eastAsia="Times New Roman" w:hAnsi="Times New Roman"/>
          <w:sz w:val="18"/>
          <w:szCs w:val="18"/>
          <w:color w:val="auto"/>
        </w:rPr>
        <w:t>We are a publicly-traded partnership and are not subject to federal income tax. Instead, unitholders are required to report their allocable share of our income, gain, loss and deduction, regardless of whether we make distributions.</w:t>
      </w:r>
    </w:p>
    <w:p>
      <w:pPr>
        <w:spacing w:after="0" w:line="117"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Following the Partnership's cash distribution for the second quarter of 2017, the requirement under the Partnership's partnership agreement for the conversion of all subordinated units was satisfied. As a result, effective August 30, 2017, all of the subordinated units owned by Westlake were converted into common units on a one-for-one basis and thereafter participate on terms equal with all other common units in distributions of available cash.</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Information from our Partnership Agreement</w:t>
      </w:r>
    </w:p>
    <w:p>
      <w:pPr>
        <w:spacing w:after="0" w:line="85"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Set forth below is a summary of the significant provisions of our partnership agreement that relate to cash distributions, minimum quarterly distributions and incentive distribution rights.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98" w:lineRule="exact"/>
        <w:rPr>
          <w:sz w:val="20"/>
          <w:szCs w:val="20"/>
          <w:color w:val="auto"/>
        </w:rPr>
      </w:pPr>
    </w:p>
    <w:p>
      <w:pPr>
        <w:ind w:right="80" w:firstLine="395"/>
        <w:spacing w:after="0" w:line="289" w:lineRule="auto"/>
        <w:rPr>
          <w:sz w:val="20"/>
          <w:szCs w:val="20"/>
          <w:color w:val="auto"/>
        </w:rPr>
      </w:pPr>
      <w:r>
        <w:rPr>
          <w:rFonts w:ascii="Times New Roman" w:cs="Times New Roman" w:eastAsia="Times New Roman" w:hAnsi="Times New Roman"/>
          <w:sz w:val="16"/>
          <w:szCs w:val="16"/>
          <w:color w:val="auto"/>
        </w:rPr>
        <w:t>Our partnership agreement provides that our general partner will make a determination as to whether to make a distribution, but our partnership agreement does not require us to pay distributions at any time or in any amount. Instead, the 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103"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98"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Quarterly Distribution</w:t>
      </w:r>
    </w:p>
    <w:p>
      <w:pPr>
        <w:spacing w:after="0" w:line="85"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On July 27, 2018, the partnership agreement was amended to revise the minimum quarterly distribution thresholds for the Partnership's incentive distribution rights. The amended partnership agreement provides that the Partnership will distribute cash each quarter to all the unitholders, pro-rata, until each common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percentage allocations per the amended partnership agreement. For more information on the Partnership's amended distribution allocation percentages, see Note 9, "Distributions and Net Income Per Limited Partner Unit," to the consolidated financial statements included in Item 8 of this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 Interests and Incentive Distribution Rights</w:t>
      </w:r>
    </w:p>
    <w:p>
      <w:pPr>
        <w:spacing w:after="0" w:line="98"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 Incentive distribution rights represent the right to receive increasing percentages (15.0%, 25.0% and 50.0%) of quarterly distributions from operating surplus after the target distribution levels have been achieved. Westlake currently holds the incentive distribution rights, but may transfer these rights separately from its general partner interest.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98"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We did not have any unregistered sales of equity securities during the quarter or fiscal year ended December 31, 2023 that we have not previously reported on a Quarterly Report on Form 10-Q or a Current Report on Form 8-K.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19" w:lineRule="exact"/>
        <w:rPr>
          <w:sz w:val="20"/>
          <w:szCs w:val="20"/>
          <w:color w:val="auto"/>
        </w:rPr>
      </w:pPr>
    </w:p>
    <w:p>
      <w:pPr>
        <w:ind w:right="4000"/>
        <w:spacing w:after="0" w:line="352"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the accompanying consolidated financial statements, the notes thereto, and the other financial information appearing elsewhere in this report. The following discussion includes forward-looking statements that involve certain risks and uncertainties. See "Cautionary Statement Regarding Forward-Looking Statements" and "Item 1A. Risk Factors" included within this report.</w:t>
      </w:r>
    </w:p>
    <w:p>
      <w:pPr>
        <w:spacing w:after="0" w:line="131"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6"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98" w:lineRule="exact"/>
        <w:rPr>
          <w:sz w:val="20"/>
          <w:szCs w:val="20"/>
          <w:color w:val="auto"/>
        </w:rPr>
      </w:pPr>
    </w:p>
    <w:p>
      <w:pPr>
        <w:ind w:right="20" w:firstLine="395"/>
        <w:spacing w:after="0" w:line="280" w:lineRule="auto"/>
        <w:rPr>
          <w:sz w:val="20"/>
          <w:szCs w:val="20"/>
          <w:color w:val="auto"/>
        </w:rPr>
      </w:pPr>
      <w:r>
        <w:rPr>
          <w:rFonts w:ascii="Times New Roman" w:cs="Times New Roman" w:eastAsia="Times New Roman" w:hAnsi="Times New Roman"/>
          <w:sz w:val="16"/>
          <w:szCs w:val="16"/>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327"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compliance.</w:t>
      </w:r>
    </w:p>
    <w:p>
      <w:pPr>
        <w:spacing w:after="0" w:line="127"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2023, all third-party ethylene and associated co-products sales generated 13.8% of our total revenues.</w:t>
      </w:r>
    </w:p>
    <w:p>
      <w:pPr>
        <w:spacing w:after="0" w:line="133"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33" w:lineRule="exact"/>
        <w:rPr>
          <w:sz w:val="20"/>
          <w:szCs w:val="20"/>
          <w:color w:val="auto"/>
        </w:rPr>
      </w:pPr>
    </w:p>
    <w:p>
      <w:pPr>
        <w:ind w:right="820" w:firstLine="395"/>
        <w:spacing w:after="0" w:line="268" w:lineRule="auto"/>
        <w:rPr>
          <w:sz w:val="20"/>
          <w:szCs w:val="20"/>
          <w:color w:val="auto"/>
        </w:rPr>
      </w:pPr>
      <w:r>
        <w:rPr>
          <w:rFonts w:ascii="Times New Roman" w:cs="Times New Roman" w:eastAsia="Times New Roman" w:hAnsi="Times New Roman"/>
          <w:sz w:val="18"/>
          <w:szCs w:val="18"/>
          <w:color w:val="auto"/>
        </w:rPr>
        <w:t>Please refer to Note 2 to the consolidated financial statements included in Item 8 of this form 10-K for more information on the Ethylene Sales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Source Feedstock</w:t>
      </w:r>
    </w:p>
    <w:p>
      <w:pPr>
        <w:spacing w:after="0" w:line="85" w:lineRule="exact"/>
        <w:rPr>
          <w:sz w:val="20"/>
          <w:szCs w:val="20"/>
          <w:color w:val="auto"/>
        </w:rPr>
      </w:pPr>
    </w:p>
    <w:p>
      <w:pPr>
        <w:jc w:val="both"/>
        <w:ind w:right="20" w:firstLine="395"/>
        <w:spacing w:after="0" w:line="252" w:lineRule="auto"/>
        <w:rPr>
          <w:sz w:val="20"/>
          <w:szCs w:val="20"/>
          <w:color w:val="auto"/>
        </w:rPr>
      </w:pPr>
      <w:r>
        <w:rPr>
          <w:rFonts w:ascii="Times New Roman" w:cs="Times New Roman" w:eastAsia="Times New Roman" w:hAnsi="Times New Roman"/>
          <w:sz w:val="18"/>
          <w:szCs w:val="18"/>
          <w:color w:val="auto"/>
        </w:rPr>
        <w:t>OpCo has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For its approximately 5% merchant sales, OpCo may purchase the ethane and other feedstocks to produce ethylene and resulting co-products to sell to unrelated third parties from Westlake Petrochemicals LLC.</w:t>
      </w:r>
    </w:p>
    <w:p>
      <w:pPr>
        <w:spacing w:after="0" w:line="131" w:lineRule="exact"/>
        <w:rPr>
          <w:sz w:val="20"/>
          <w:szCs w:val="20"/>
          <w:color w:val="auto"/>
        </w:rPr>
      </w:pPr>
    </w:p>
    <w:p>
      <w:pPr>
        <w:ind w:right="620" w:firstLine="395"/>
        <w:spacing w:after="0" w:line="268" w:lineRule="auto"/>
        <w:rPr>
          <w:sz w:val="20"/>
          <w:szCs w:val="20"/>
          <w:color w:val="auto"/>
        </w:rPr>
      </w:pPr>
      <w:r>
        <w:rPr>
          <w:rFonts w:ascii="Times New Roman" w:cs="Times New Roman" w:eastAsia="Times New Roman" w:hAnsi="Times New Roman"/>
          <w:sz w:val="18"/>
          <w:szCs w:val="18"/>
          <w:color w:val="auto"/>
        </w:rPr>
        <w:t>Please refer to Note 2 to the consolidated financial statements included in Item 8 of this form 10-K for more information on the Feedstock Supply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Operations</w:t>
      </w:r>
    </w:p>
    <w:p>
      <w:pPr>
        <w:spacing w:after="0" w:line="98" w:lineRule="exact"/>
        <w:rPr>
          <w:sz w:val="20"/>
          <w:szCs w:val="20"/>
          <w:color w:val="auto"/>
        </w:rPr>
      </w:pPr>
    </w:p>
    <w:p>
      <w:pPr>
        <w:jc w:val="both"/>
        <w:ind w:right="440" w:firstLine="395"/>
        <w:spacing w:after="0" w:line="256" w:lineRule="auto"/>
        <w:rPr>
          <w:sz w:val="20"/>
          <w:szCs w:val="20"/>
          <w:color w:val="auto"/>
        </w:rPr>
      </w:pPr>
      <w:r>
        <w:rPr>
          <w:rFonts w:ascii="Times New Roman" w:cs="Times New Roman" w:eastAsia="Times New Roman" w:hAnsi="Times New Roman"/>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Volumes</w:t>
      </w:r>
    </w:p>
    <w:p>
      <w:pPr>
        <w:spacing w:after="0" w:line="100"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61" w:lineRule="exact"/>
        <w:rPr>
          <w:sz w:val="20"/>
          <w:szCs w:val="20"/>
          <w:color w:val="auto"/>
        </w:rPr>
      </w:pPr>
    </w:p>
    <w:p>
      <w:pPr>
        <w:ind w:left="640" w:right="440" w:hanging="319"/>
        <w:spacing w:after="0" w:line="268"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sufficient volumes of ethylene to meet our commitments under the Ethylene Sales Agreement or recover our estimated costs through the pricing provisions of the Ethylene Sales Agreement;</w:t>
      </w:r>
    </w:p>
    <w:p>
      <w:pPr>
        <w:spacing w:after="0" w:line="3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third parties for the remaining uncommitted production capacity;</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or increase capacity at our existing production facilities, or add additional production capacity via organic expansion projects and acquisitions; and</w:t>
      </w:r>
    </w:p>
    <w:p>
      <w:pPr>
        <w:spacing w:after="0" w:line="118"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or exceed the specified yield factors for natural gas, ethane and other feedstock under the Ethylene Sales Agreement.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Maintenance Capital Expenditures and Turnaround Costs</w:t>
      </w:r>
    </w:p>
    <w:p>
      <w:pPr>
        <w:spacing w:after="0" w:line="87"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MLP Distributable Cash Flow and EBITDA</w:t>
      </w:r>
    </w:p>
    <w:p>
      <w:pPr>
        <w:spacing w:after="0" w:line="100"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6" w:lineRule="exact"/>
        <w:rPr>
          <w:sz w:val="20"/>
          <w:szCs w:val="20"/>
          <w:color w:val="auto"/>
        </w:rPr>
      </w:pPr>
    </w:p>
    <w:p>
      <w:pPr>
        <w:ind w:right="20" w:firstLine="395"/>
        <w:spacing w:after="0" w:line="286" w:lineRule="auto"/>
        <w:rPr>
          <w:sz w:val="20"/>
          <w:szCs w:val="20"/>
          <w:color w:val="auto"/>
        </w:rPr>
      </w:pPr>
      <w:r>
        <w:rPr>
          <w:rFonts w:ascii="Times New Roman" w:cs="Times New Roman" w:eastAsia="Times New Roman" w:hAnsi="Times New Roman"/>
          <w:sz w:val="16"/>
          <w:szCs w:val="16"/>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 for Ethylene and Resulting Co-products</w:t>
      </w:r>
    </w:p>
    <w:p>
      <w:pPr>
        <w:spacing w:after="0" w:line="10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output in excess of the planned output on a contract year basis.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34"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purchase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Calvert City Olefins Turnaround</w:t>
      </w:r>
    </w:p>
    <w:p>
      <w:pPr>
        <w:spacing w:after="0" w:line="100"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During May 2023, we performed our planned major maintenance activities, or turnaround, of OpCo's Calvert City Olefins production facility located at Westlake's Calvert City, Kentucky site.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5" w:lineRule="exact"/>
        <w:rPr>
          <w:sz w:val="20"/>
          <w:szCs w:val="20"/>
          <w:color w:val="auto"/>
        </w:rPr>
      </w:pPr>
    </w:p>
    <w:p>
      <w:pPr>
        <w:ind w:right="280" w:firstLine="395"/>
        <w:spacing w:after="0" w:line="303" w:lineRule="auto"/>
        <w:rPr>
          <w:sz w:val="20"/>
          <w:szCs w:val="20"/>
          <w:color w:val="auto"/>
        </w:rPr>
      </w:pPr>
      <w:r>
        <w:rPr>
          <w:rFonts w:ascii="Times New Roman" w:cs="Times New Roman" w:eastAsia="Times New Roman" w:hAnsi="Times New Roman"/>
          <w:sz w:val="16"/>
          <w:szCs w:val="16"/>
          <w:color w:val="auto"/>
        </w:rPr>
        <w:t>The table below and descriptions that follow represent the consolidated results of operations of the Partnership for the years ended December 31, 2023 and 2022. A detailed comparison of the Partnership's 2022 operating results to its 2021 operating results can be found in the Management's Discussion and Analysis of Financial Condition and Results of Operations section in the Partnership's 2022 Annual Report on Form 10-K filed March 1, 2023.</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2"/>
        </w:trPr>
        <w:tc>
          <w:tcPr>
            <w:tcW w:w="8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(in thousands of dollars, except unit amounts</w:t>
            </w: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3"/>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w w:val="99"/>
              </w:rPr>
              <w:t>and per unit data)</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1,342,910</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250,237</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1,190,791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1,593,147</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377,365</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29,678</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347,687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335,439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335,846</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270,656</w:t>
            </w:r>
          </w:p>
        </w:tc>
        <w:tc>
          <w:tcPr>
            <w:tcW w:w="0" w:type="dxa"/>
            <w:vAlign w:val="bottom"/>
          </w:tcPr>
          <w:p>
            <w:pPr>
              <w:spacing w:after="0"/>
              <w:rPr>
                <w:sz w:val="1"/>
                <w:szCs w:val="1"/>
                <w:color w:val="auto"/>
              </w:rPr>
            </w:pPr>
          </w:p>
        </w:tc>
      </w:tr>
      <w:tr>
        <w:trPr>
          <w:trHeight w:val="151"/>
        </w:trPr>
        <w:tc>
          <w:tcPr>
            <w:tcW w:w="8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Net income attributable to Westlake Chemical</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54,283</w:t>
            </w:r>
          </w:p>
        </w:tc>
        <w:tc>
          <w:tcPr>
            <w:tcW w:w="100" w:type="dxa"/>
            <w:vAlign w:val="bottom"/>
          </w:tcPr>
          <w:p>
            <w:pPr>
              <w:spacing w:after="0"/>
              <w:rPr>
                <w:sz w:val="13"/>
                <w:szCs w:val="13"/>
                <w:color w:val="auto"/>
              </w:rPr>
            </w:pPr>
          </w:p>
        </w:tc>
        <w:tc>
          <w:tcPr>
            <w:tcW w:w="5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64,173</w:t>
            </w: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Partners LP and limited partners' interest in net income</w:t>
            </w: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2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Net income per limited partner unit attributable to Westlake Chemical Partners LP</w:t>
            </w: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units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2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Weighted average limited partner units outstanding</w:t>
            </w: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21,102,110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21,095,106</w:t>
            </w:r>
          </w:p>
        </w:tc>
        <w:tc>
          <w:tcPr>
            <w:tcW w:w="0" w:type="dxa"/>
            <w:vAlign w:val="bottom"/>
          </w:tcPr>
          <w:p>
            <w:pPr>
              <w:spacing w:after="0"/>
              <w:rPr>
                <w:sz w:val="1"/>
                <w:szCs w:val="1"/>
                <w:color w:val="auto"/>
              </w:rPr>
            </w:pPr>
          </w:p>
        </w:tc>
      </w:tr>
      <w:tr>
        <w:trPr>
          <w:trHeight w:val="249"/>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units—Westlake</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62,574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75,870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472,143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470,327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0" w:hanging="157"/>
        <w:spacing w:after="0" w:line="231" w:lineRule="auto"/>
        <w:rPr>
          <w:sz w:val="20"/>
          <w:szCs w:val="20"/>
          <w:color w:val="auto"/>
        </w:rPr>
      </w:pPr>
      <w:r>
        <w:rPr>
          <w:rFonts w:ascii="Times New Roman" w:cs="Times New Roman" w:eastAsia="Times New Roman" w:hAnsi="Times New Roman"/>
          <w:sz w:val="18"/>
          <w:szCs w:val="18"/>
          <w:color w:val="auto"/>
        </w:rPr>
        <w:t>Net sales percentage change from prior-year period due to average sales price and volume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40" w:type="dxa"/>
            <w:vAlign w:val="bottom"/>
            <w:tcBorders>
              <w:top w:val="single" w:sz="8" w:color="auto"/>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4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94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Average Sales</w:t>
            </w: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94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Average Sales</w:t>
            </w:r>
          </w:p>
        </w:tc>
        <w:tc>
          <w:tcPr>
            <w:tcW w:w="120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1"/>
        </w:trPr>
        <w:tc>
          <w:tcPr>
            <w:tcW w:w="19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00" w:type="dxa"/>
            <w:vAlign w:val="bottom"/>
            <w:gridSpan w:val="2"/>
            <w:vMerge w:val="continue"/>
          </w:tcPr>
          <w:p>
            <w:pPr>
              <w:spacing w:after="0"/>
              <w:rPr>
                <w:sz w:val="16"/>
                <w:szCs w:val="16"/>
                <w:color w:val="auto"/>
              </w:rPr>
            </w:pPr>
          </w:p>
        </w:tc>
        <w:tc>
          <w:tcPr>
            <w:tcW w:w="19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4"/>
                <w:szCs w:val="2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-257810</wp:posOffset>
            </wp:positionV>
            <wp:extent cx="7135495" cy="259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p>
      <w:pPr>
        <w:sectPr>
          <w:pgSz w:w="11900" w:h="16838" w:orient="portrait"/>
          <w:cols w:equalWidth="0" w:num="2">
            <w:col w:w="4680" w:space="180"/>
            <w:col w:w="63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81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4"/>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-58.5 %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+66.7 %</w:t>
            </w:r>
          </w:p>
        </w:tc>
      </w:tr>
      <w:tr>
        <w:trPr>
          <w:trHeight w:val="224"/>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-48.8 %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3" w:lineRule="exact"/>
        <w:rPr>
          <w:sz w:val="20"/>
          <w:szCs w:val="20"/>
          <w:color w:val="auto"/>
        </w:rPr>
      </w:pPr>
    </w:p>
    <w:p>
      <w:pPr>
        <w:ind w:left="400" w:hanging="395"/>
        <w:spacing w:after="0"/>
        <w:tabs>
          <w:tab w:leader="none" w:pos="4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above for discussions on non-GAAP financial measures. Reconciliations for each of MLP distributable cash flow and EBITDA are included below.</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5"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85"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6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84"/>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451,999</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408,439</w:t>
            </w:r>
          </w:p>
        </w:tc>
      </w:tr>
      <w:tr>
        <w:trPr>
          <w:trHeight w:val="224"/>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17"/>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401,385</w:t>
            </w:r>
          </w:p>
        </w:tc>
      </w:tr>
      <w:tr>
        <w:trPr>
          <w:trHeight w:val="204"/>
        </w:trPr>
        <w:tc>
          <w:tcPr>
            <w:tcW w:w="67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Add:</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71"/>
        </w:trPr>
        <w:tc>
          <w:tcPr>
            <w:tcW w:w="670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Depreciation, amortization and disposition of property, plant and</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7"/>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113,032</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(80,090)</w:t>
            </w: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(87,783)</w:t>
            </w:r>
          </w:p>
        </w:tc>
      </w:tr>
      <w:tr>
        <w:trPr>
          <w:trHeight w:val="171"/>
        </w:trPr>
        <w:tc>
          <w:tcPr>
            <w:tcW w:w="670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Distributable cash flow attributable to noncontrolling interest in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7"/>
        </w:trPr>
        <w:tc>
          <w:tcPr>
            <w:tcW w:w="6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OpCo</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(310,316)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(276,487)</w:t>
            </w:r>
          </w:p>
        </w:tc>
      </w:tr>
      <w:tr>
        <w:trPr>
          <w:trHeight w:val="24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98"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451,999</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408,439</w:t>
            </w:r>
          </w:p>
        </w:tc>
      </w:tr>
      <w:tr>
        <w:trPr>
          <w:trHeight w:val="224"/>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17"/>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401,385</w:t>
            </w:r>
          </w:p>
        </w:tc>
      </w:tr>
      <w:tr>
        <w:trPr>
          <w:trHeight w:val="204"/>
        </w:trPr>
        <w:tc>
          <w:tcPr>
            <w:tcW w:w="67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4"/>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r>
      <w:tr>
        <w:trPr>
          <w:trHeight w:val="224"/>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1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410,688</w:t>
            </w:r>
          </w:p>
        </w:tc>
      </w:tr>
      <w:tr>
        <w:trPr>
          <w:trHeight w:val="204"/>
        </w:trPr>
        <w:tc>
          <w:tcPr>
            <w:tcW w:w="67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Add:</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108,814</w:t>
            </w:r>
          </w:p>
        </w:tc>
      </w:tr>
      <w:tr>
        <w:trPr>
          <w:trHeight w:val="224"/>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519,564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87" w:lineRule="exact"/>
        <w:rPr>
          <w:sz w:val="20"/>
          <w:szCs w:val="20"/>
          <w:color w:val="auto"/>
        </w:rPr>
      </w:pPr>
    </w:p>
    <w:p>
      <w:pPr>
        <w:ind w:firstLine="395"/>
        <w:spacing w:after="0" w:line="284" w:lineRule="auto"/>
        <w:rPr>
          <w:sz w:val="20"/>
          <w:szCs w:val="20"/>
          <w:color w:val="auto"/>
        </w:rPr>
      </w:pPr>
      <w:r>
        <w:rPr>
          <w:rFonts w:ascii="Times New Roman" w:cs="Times New Roman" w:eastAsia="Times New Roman" w:hAnsi="Times New Roman"/>
          <w:sz w:val="16"/>
          <w:szCs w:val="16"/>
          <w:color w:val="auto"/>
        </w:rPr>
        <w:t>For the year ended December 31, 2023, net income was $334.6 million on net sales of $1,190.8 million. This represents a decrease in net income of $0.2 million as compared to net income of $334.8 million on net sales of $1,593.1 million for the year ended December 31, 2022. Net income attributable to the Partnership in 2023 was $54.3 million as compared to $64.2 million in 2022, a decrease of $9.9 million. Income from operations was $357.7 million for 2023, as compared to $347.7 million for 2022. Net sales for 2023 decreased by $402.3 million as compared to 2022 primarily due to lower ethylene and co-products sales prices in 2023 compared to 2022. Additionally, net sales in 2022 includes a buyer deficiency fee of $23.8 million. Income from operations for 2023 increased compared to 2022 due to lower ethane feedstock and natural gas costs, partially offset by lower ethylene and co-products sales prices. Net income and net income attributable to the Partnership for 2023 decreased as compared to 2022 despite the higher income from operations due to higher interest expense.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Compared with 2022</w:t>
      </w:r>
    </w:p>
    <w:p>
      <w:pPr>
        <w:spacing w:after="0" w:line="98" w:lineRule="exact"/>
        <w:rPr>
          <w:sz w:val="20"/>
          <w:szCs w:val="20"/>
          <w:color w:val="auto"/>
        </w:rPr>
      </w:pPr>
    </w:p>
    <w:p>
      <w:pPr>
        <w:jc w:val="both"/>
        <w:ind w:right="10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$402.3 million, or 25.3%, to $1,190.8 million in 2023 from $1,593.1 million in 2022. The decrease in net sales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ethylene and co-products sales prices in 2023 as compared to 2022. Additionally, net sales in 2022 includes a buyer deficiency fee of $23.8 million. Lower average sales prices in 2023 contributed to a 25.5% decrease in net sales compared to 2022. Higher sales volumes in 2023 contributed to a 1.4% increase in net sales compared to 2022.</w:t>
      </w:r>
    </w:p>
    <w:p>
      <w:pPr>
        <w:spacing w:after="0" w:line="127" w:lineRule="exact"/>
        <w:rPr>
          <w:sz w:val="20"/>
          <w:szCs w:val="20"/>
          <w:color w:val="auto"/>
        </w:rPr>
      </w:pPr>
    </w:p>
    <w:p>
      <w:pPr>
        <w:ind w:right="1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was $387.5 million in 2023, as compared to gross profit of $377.4 million in 2022. The gross profit margin was 32.5%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23.7% in 2022. The increased gross profit margin in 2023 was primarily due to lower ethane feedstock and natural gas costs in 2023 as compared to 2022.</w:t>
      </w:r>
    </w:p>
    <w:p>
      <w:pPr>
        <w:spacing w:after="0" w:line="125" w:lineRule="exact"/>
        <w:rPr>
          <w:sz w:val="20"/>
          <w:szCs w:val="20"/>
          <w:color w:val="auto"/>
        </w:rPr>
      </w:pPr>
    </w:p>
    <w:p>
      <w:pPr>
        <w:ind w:right="28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remained relatively unchanged at $29.8 million in 2023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$29.7 million in 2022.</w:t>
      </w:r>
    </w:p>
    <w:p>
      <w:pPr>
        <w:spacing w:after="0" w:line="112" w:lineRule="exact"/>
        <w:rPr>
          <w:sz w:val="20"/>
          <w:szCs w:val="20"/>
          <w:color w:val="auto"/>
        </w:rPr>
      </w:pPr>
    </w:p>
    <w:p>
      <w:pPr>
        <w:ind w:right="1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Interest Expense—Westlake</w:t>
      </w:r>
      <w:r>
        <w:rPr>
          <w:rFonts w:ascii="Times New Roman" w:cs="Times New Roman" w:eastAsia="Times New Roman" w:hAnsi="Times New Roman"/>
          <w:sz w:val="18"/>
          <w:szCs w:val="18"/>
          <w:color w:val="auto"/>
        </w:rPr>
        <w:t>. Interest expense increased by $13.1 million to $26.5 million in 2023 from $13.4 million in 2022 due to a higher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debt owed to Westlake.</w:t>
      </w:r>
    </w:p>
    <w:p>
      <w:pPr>
        <w:spacing w:after="0" w:line="112" w:lineRule="exact"/>
        <w:rPr>
          <w:sz w:val="20"/>
          <w:szCs w:val="20"/>
          <w:color w:val="auto"/>
        </w:rPr>
      </w:pPr>
    </w:p>
    <w:p>
      <w:pPr>
        <w:ind w:right="14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increased by $2.6 million to $4.2 million in 2023 from $1.6 million in 2022 primarily due to an increase in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on the balance with Westlake under the Investment Management Agreement.</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was $0.8 million in 2023 as compared to $1.0 million in 2022.</w:t>
      </w:r>
    </w:p>
    <w:p>
      <w:pPr>
        <w:spacing w:after="0" w:line="161" w:lineRule="exact"/>
        <w:rPr>
          <w:sz w:val="20"/>
          <w:szCs w:val="20"/>
          <w:color w:val="auto"/>
        </w:rPr>
      </w:pPr>
    </w:p>
    <w:p>
      <w:pPr>
        <w:ind w:right="6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decreased by $13.3 million to $62.6 million in 2023 from $75.9 million in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MLP distributable cash flow was primarily a result of higher interest expense.</w:t>
      </w:r>
    </w:p>
    <w:p>
      <w:pPr>
        <w:spacing w:after="0" w:line="112"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$1.8 million to $472.1 million in 2023 from EBITDA of $470.3 million in 2022. The increased EBITDA,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was primarily due to lower ethane feedstock and natural gas costs in 2023 as compared to 2022, partially offset by lower ethylene and co-products sales prices.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0" w:lineRule="exact"/>
        <w:rPr>
          <w:sz w:val="20"/>
          <w:szCs w:val="20"/>
          <w:color w:val="auto"/>
        </w:rPr>
      </w:pPr>
    </w:p>
    <w:p>
      <w:pPr>
        <w:ind w:right="200" w:firstLine="395"/>
        <w:spacing w:after="0" w:line="246" w:lineRule="auto"/>
        <w:rPr>
          <w:sz w:val="20"/>
          <w:szCs w:val="20"/>
          <w:color w:val="auto"/>
        </w:rPr>
      </w:pPr>
      <w:r>
        <w:rPr>
          <w:rFonts w:ascii="Times New Roman" w:cs="Times New Roman" w:eastAsia="Times New Roman" w:hAnsi="Times New Roman"/>
          <w:sz w:val="18"/>
          <w:szCs w:val="18"/>
          <w:color w:val="auto"/>
        </w:rPr>
        <w:t>Operating activities provided cash of $452.0 million in 2023 as compared to cash provided by operating activities of $463.7 million in 2022. The $11.7 million decrease in cash flows from operating activities was mainly due to cash used for the Calvert City Olefins turnaround activity and higher interest expense, which was partially offset by an increase in cash provided by working capital.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and other liabilities, provided cash of $34.4 million in 2023 as compared to $9.5 million of cash provided in 2022, resulting in a favorable change of $24.9 million. The favorable change in working capital was mainly attributable to a favorable change in accounts receivable—third parties, accounts payable—third parties and accrued and other liabilities, primarily due to the timing of payment of accruals and the impact on accounts receivable of the Petro 2 turnaround activities in 2021, which impacted the changes in working capital during 2022. These favorable changes were partially offset by an unfavorable change in net accounts receivable—Westlake due to fluctuating ethane feedstock costs and a smaller buyer deficiency fee and Shortfall collected in 2023 compared to 2022.</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87"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Net cash used for investing activities during 2023 was $75.9 million as compared to net cash used for investing activities of $12.0 million in 2022. The $63.9 million increase in cash used for investing activities was mainly due to an increase in net cash invested under the Investment Management Agreement in 2023 as compared to 2022. During 2023, we invested $174.1 million with Westlake, and $145.0 million of such investments matured. During 2022, we invested $319.9 million with Westlake, and $362.0 million of such investments matured. Capital expenditures were $46.8 million in 2023 as compared to $54.1 million in 2022. Capital expenditures during 2023 and 2022 were related to projects to improve production capacity or reduce costs, maintenance and safety and environmental projects at our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0"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Net cash used for financing activities during 2023 was $382.2 million as compared to net cash used for financing activities of $404.0 million in 2022. The cash outflows during 2023 were related to distributions of $315.8 million to the noncontrolling interest retained in OpCo by Westlake and of $66.4 million to unitholders by the Partnership. The cash outflows during 2022 were related to distributions of $337.6 million to the noncontrolling interest retained in OpCo by Westlake and of $66.4 million to unitholders by the Partnership.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0"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December 31, 2023.</w:t>
      </w:r>
    </w:p>
    <w:p>
      <w:pPr>
        <w:spacing w:after="0" w:line="133"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7"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133" w:lineRule="exact"/>
        <w:rPr>
          <w:sz w:val="20"/>
          <w:szCs w:val="20"/>
          <w:color w:val="auto"/>
        </w:rPr>
      </w:pPr>
    </w:p>
    <w:p>
      <w:pPr>
        <w:ind w:right="20" w:firstLine="395"/>
        <w:spacing w:after="0" w:line="293" w:lineRule="auto"/>
        <w:rPr>
          <w:sz w:val="20"/>
          <w:szCs w:val="20"/>
          <w:color w:val="auto"/>
        </w:rPr>
      </w:pPr>
      <w:r>
        <w:rPr>
          <w:rFonts w:ascii="Times New Roman" w:cs="Times New Roman" w:eastAsia="Times New Roman" w:hAnsi="Times New Roman"/>
          <w:sz w:val="16"/>
          <w:szCs w:val="16"/>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02"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under certain indentures governing Westlake's senior notes, and these restrictions limit OpCo's ability to incur additional debt, among other things. Westlake's credit facility and various indentures do not prevent OpCo from making distributions to us.</w:t>
      </w:r>
    </w:p>
    <w:p>
      <w:pPr>
        <w:spacing w:after="0" w:line="127" w:lineRule="exact"/>
        <w:rPr>
          <w:sz w:val="20"/>
          <w:szCs w:val="20"/>
          <w:color w:val="auto"/>
        </w:rPr>
      </w:pPr>
    </w:p>
    <w:p>
      <w:pPr>
        <w:jc w:val="both"/>
        <w:ind w:right="40" w:firstLine="395"/>
        <w:spacing w:after="0" w:line="303" w:lineRule="auto"/>
        <w:rPr>
          <w:sz w:val="20"/>
          <w:szCs w:val="20"/>
          <w:color w:val="auto"/>
        </w:rPr>
      </w:pPr>
      <w:r>
        <w:rPr>
          <w:rFonts w:ascii="Times New Roman" w:cs="Times New Roman" w:eastAsia="Times New Roman" w:hAnsi="Times New Roman"/>
          <w:sz w:val="16"/>
          <w:szCs w:val="16"/>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93" w:lineRule="exact"/>
        <w:rPr>
          <w:sz w:val="20"/>
          <w:szCs w:val="20"/>
          <w:color w:val="auto"/>
        </w:rPr>
      </w:pPr>
    </w:p>
    <w:p>
      <w:pPr>
        <w:jc w:val="both"/>
        <w:ind w:right="40" w:firstLine="395"/>
        <w:spacing w:after="0" w:line="252" w:lineRule="auto"/>
        <w:rPr>
          <w:sz w:val="20"/>
          <w:szCs w:val="20"/>
          <w:color w:val="auto"/>
        </w:rPr>
      </w:pPr>
      <w:r>
        <w:rPr>
          <w:rFonts w:ascii="Times New Roman" w:cs="Times New Roman" w:eastAsia="Times New Roman" w:hAnsi="Times New Roman"/>
          <w:sz w:val="18"/>
          <w:szCs w:val="18"/>
          <w:color w:val="auto"/>
        </w:rPr>
        <w:t>On January 22, 2024, the board of directors of Westlake Chemical Partners GP LLC, our general partner, approved a quarterly distribution of $0.4714 per unit payable on February 20, 2024 to unitholders of record as of February 2, 2024, which equates to approximately $16.6 million per quarter, or approximately $66.4 million per year in aggregate, based on the number of common units outstanding on December 31, 2023. We do not have a legal or contractual obligation to pay distributions on a quarterly basis or any other basis at our minimum quarterly distribution rate or any other rate.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87"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2023, 2022 or 2021. Total capital expenditures for the years ended December 31, 2023, 2022 and 2021 were $46.8 million, $54.1 million, and $81.2 million, respectively. We expect that Westlake will loan additional cash to OpCo to fund its expansion capital expenditures in the future, but Westlake is under no obligation to do so.</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0" w:lineRule="exact"/>
        <w:rPr>
          <w:sz w:val="20"/>
          <w:szCs w:val="20"/>
          <w:color w:val="auto"/>
        </w:rPr>
      </w:pPr>
    </w:p>
    <w:p>
      <w:pPr>
        <w:ind w:right="360" w:firstLine="395"/>
        <w:spacing w:after="0" w:line="332" w:lineRule="auto"/>
        <w:rPr>
          <w:sz w:val="20"/>
          <w:szCs w:val="20"/>
          <w:color w:val="auto"/>
        </w:rPr>
      </w:pPr>
      <w:r>
        <w:rPr>
          <w:rFonts w:ascii="Times New Roman" w:cs="Times New Roman" w:eastAsia="Times New Roman" w:hAnsi="Times New Roman"/>
          <w:sz w:val="16"/>
          <w:szCs w:val="16"/>
          <w:color w:val="auto"/>
        </w:rPr>
        <w:t>As of December 31, 2023, our cash and cash equivalents totaled $58.6 million. In addition, we have cash invested under the Investment Management Agreement and a revolving credit facility with Westlake available to supplement cash on hand, if needed, as described under "Indebtedness" below.</w:t>
      </w:r>
    </w:p>
    <w:p>
      <w:pPr>
        <w:spacing w:after="0" w:line="70"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As described above, we, OpCo and Westlake are parties to an Investment Management Agreement that authorizes Westlake to invest the Partnership's and OpCo's excess cash with Westlake for durations of up to a maximum of nine months. The Partnership had $94.4 million of cash invested under the Investment Management Agreement at December 31,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98"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December 31, 2023, outstanding borrowings under the OpCo Revolver totaled $22.6 million and bore interest at SOFR plus the Applicable Margin and credit spread adjustment, which is accrued in arrears quarterly.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8" w:lineRule="exact"/>
        <w:rPr>
          <w:sz w:val="20"/>
          <w:szCs w:val="20"/>
          <w:color w:val="auto"/>
        </w:rPr>
      </w:pPr>
    </w:p>
    <w:p>
      <w:pPr>
        <w:ind w:right="100" w:firstLine="395"/>
        <w:spacing w:after="0" w:line="279" w:lineRule="auto"/>
        <w:rPr>
          <w:sz w:val="20"/>
          <w:szCs w:val="20"/>
          <w:color w:val="auto"/>
        </w:rPr>
      </w:pPr>
      <w:r>
        <w:rPr>
          <w:rFonts w:ascii="Times New Roman" w:cs="Times New Roman" w:eastAsia="Times New Roman" w:hAnsi="Times New Roman"/>
          <w:sz w:val="16"/>
          <w:szCs w:val="16"/>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December 31, 2023, the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87"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The Partnership's material cash requirements for contractual obligations and commercial commitments in the near term (next 12 months) and the long-term period (2025 and thereafter) include repayment of long-term debt, interest payments, operating leases and purchase obligations.</w:t>
      </w:r>
    </w:p>
    <w:p>
      <w:pPr>
        <w:spacing w:after="0" w:line="115" w:lineRule="exact"/>
        <w:rPr>
          <w:sz w:val="20"/>
          <w:szCs w:val="20"/>
          <w:color w:val="auto"/>
        </w:rPr>
      </w:pPr>
    </w:p>
    <w:p>
      <w:pPr>
        <w:ind w:right="2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Debt Obligations and Interest Payments. </w:t>
      </w:r>
      <w:r>
        <w:rPr>
          <w:rFonts w:ascii="Times New Roman" w:cs="Times New Roman" w:eastAsia="Times New Roman" w:hAnsi="Times New Roman"/>
          <w:sz w:val="18"/>
          <w:szCs w:val="18"/>
          <w:color w:val="auto"/>
        </w:rPr>
        <w:t>As of December 31, 2023, we had $29.0 million of debt related interest expense due within the near term,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obligations of $399.7 million and related interest expense of $73.2 million due over the long-term period, respectively. All $399.7 million of our outstanding debt matures in 2027. See Note 8, "Long-Term Debt," in the Notes to Consolidated Financial Statements in Item 8 of this form 10-K for further information on our debt obligations and the expected timing of future principal and interest payments.</w:t>
      </w:r>
    </w:p>
    <w:p>
      <w:pPr>
        <w:spacing w:after="0" w:line="127" w:lineRule="exact"/>
        <w:rPr>
          <w:sz w:val="20"/>
          <w:szCs w:val="20"/>
          <w:color w:val="auto"/>
        </w:rPr>
      </w:pPr>
    </w:p>
    <w:p>
      <w:pPr>
        <w:ind w:right="1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As of December 31, 2023, there was $1.6 million in operating lease obligations due within the near term and $3.1 million due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period related to noncancelable operating leases with respect to rail cars that are subleased to OpCo.</w:t>
      </w:r>
    </w:p>
    <w:p>
      <w:pPr>
        <w:spacing w:after="0" w:line="112"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Purchase obligations include agreements to purchase goods and services that are enforceable and legally binding and that specify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significant terms, including a minimum quantity and price. As of December 31, 2023, we had $69.8 million of enforceable and legally binding purchase commitments due within the near term, and none due over the long-term period. Additionally, we are party to various agreements to purchase goods and services, including the Services and Secondment Agreement, in the ordinary course of our business, as well as various agreements related to our capital projects.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8" w:lineRule="exact"/>
        <w:rPr>
          <w:sz w:val="20"/>
          <w:szCs w:val="20"/>
          <w:color w:val="auto"/>
        </w:rPr>
      </w:pPr>
    </w:p>
    <w:p>
      <w:pPr>
        <w:ind w:right="440" w:firstLine="395"/>
        <w:spacing w:after="0" w:line="293" w:lineRule="auto"/>
        <w:rPr>
          <w:sz w:val="20"/>
          <w:szCs w:val="20"/>
          <w:color w:val="auto"/>
        </w:rPr>
      </w:pPr>
      <w:r>
        <w:rPr>
          <w:rFonts w:ascii="Times New Roman" w:cs="Times New Roman" w:eastAsia="Times New Roman" w:hAnsi="Times New Roman"/>
          <w:sz w:val="16"/>
          <w:szCs w:val="16"/>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 Our significant accounting policies are summarized in Note 1 in the Notes to Consolidated Financial Statements in Item 8 of this form 10-K.</w:t>
      </w:r>
    </w:p>
    <w:p>
      <w:pPr>
        <w:spacing w:after="0" w:line="102"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Critical accounting estimates are those estimates made in accordance with GAAP that involve a significant level of estimation uncertainty and have had or are reasonably likely to have a material impact on our financial condition or results of operations. Our more critical accounting estimates include those related to long-lived assets, fair value estimates, goodwill impairment and environmental and legal obligations. Inherent in such estimates are certain key assumptions. We periodically update the estimates used in the preparation of the financial statements based on our latest assessment of the current and projected business and general economic environment. We believe the following to be our most critical accounting estimates required for the preparation of our financial statements.</w:t>
      </w:r>
    </w:p>
    <w:p>
      <w:pPr>
        <w:spacing w:after="0" w:line="101"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Key estimates related to long-lived assets include useful lives, recoverability of carrying values and existence of any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135"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34"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The estimated useful lives of long-lived assets range from three to 40 years. Depreciation and amortization of these assets, including amortization of deferred turnaround costs, under the straight-line method over their estimated useful lives totaled $110.2 million, $121.1 million and $108.8 million in 2023, 2022 and 2021, respectively. If the useful lives of the assets were found to be shorter than originally estimated, depreciation or amortization charges would be accelerated.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defer the costs of planned major maintenance activities, or turnarounds, and amortize the costs over the period until the next planned turnaround of the affected unit. Total costs deferred on turnarounds were $30.9 million, $6.7 million and $131.2 million in 2023, 2022 and 2021, respectively. Amortization of previously deferred turnaround costs was $25.4 million, $26.0 million and $16.5 million in 2023, 2022 and 2021, respectively. As of December 31, 2023, deferred turnaround costs, net of accumulated amortization, totaled $133.2 million. Expensing turnaround costs as incurred would likely result in greater variability of our quarterly operating results and would adversely affect our financial position and results of operations.</w:t>
      </w:r>
    </w:p>
    <w:p>
      <w:pPr>
        <w:spacing w:after="0" w:line="13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Additional information concerning long-lived assets and related depreciation and amortization appears in Notes 5 and 7 to the consolidated financial statements included in Item 8 of this form 10-K.</w:t>
      </w:r>
    </w:p>
    <w:p>
      <w:pPr>
        <w:spacing w:after="0" w:line="115" w:lineRule="exact"/>
        <w:rPr>
          <w:sz w:val="20"/>
          <w:szCs w:val="20"/>
          <w:color w:val="auto"/>
        </w:rPr>
      </w:pPr>
    </w:p>
    <w:p>
      <w:pPr>
        <w:ind w:right="40"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Fair Value Estimates. </w:t>
      </w:r>
      <w:r>
        <w:rPr>
          <w:rFonts w:ascii="Times New Roman" w:cs="Times New Roman" w:eastAsia="Times New Roman" w:hAnsi="Times New Roman"/>
          <w:sz w:val="16"/>
          <w:szCs w:val="16"/>
          <w:color w:val="auto"/>
        </w:rPr>
        <w:t>We develop estimates of fair value to allocate the purchase price paid to acquire a business to the assets acquired and liabilities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assumed in an acquisition, to assess impairment of long-lived assets and goodwill and to record derivative instruments. We use all available information to make these fair value determinations, including the engagement of third-party consultants. We record all derivative instruments at fair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 We settled all derivatives in 2020 and did not enter into any new derivative arrangements during 2021, 2022 or 2023; however, we may enter into derivative arrangements in the future.</w:t>
      </w:r>
    </w:p>
    <w:p>
      <w:pPr>
        <w:spacing w:after="0" w:line="106"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Goodwill impairment. </w:t>
      </w:r>
      <w:r>
        <w:rPr>
          <w:rFonts w:ascii="Times New Roman" w:cs="Times New Roman" w:eastAsia="Times New Roman" w:hAnsi="Times New Roman"/>
          <w:sz w:val="16"/>
          <w:szCs w:val="16"/>
          <w:color w:val="auto"/>
        </w:rPr>
        <w:t>Goodwill is evaluated for impairment when events or changes in circumstances indicate the fair value of a reporting unit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goodwill has been reduced below its carrying value, and otherwise at least annually. At December 31, 2023, recorded goodwill was $5.8 million, all of which was associated with the acquisition of the Longview Pipeline as part of the past acquisition of Westlake's Longview production facilities. We perform our annual impairment assessment in the fourth quarter. We may elect to perform an optional qualitative assessment to determine whether a quantitative impairment analysis is required. The qualitative assessment considers factors such as macroeconomic conditions, industry and market considerations, cost factors related to raw materials and labor, current and projected financial performance, changes in management or strategy, and market capitalization. Alternatively, we may unconditionally elect to bypass the qualitative assessment and perform a quantitative goodwill impairment assessment in any period. Significant assumptions used in the discounted cash flow projection impairment assessment for goodwill include future sales volumes based on production capacities. The future cash flows are discounted to present value using a discount rate. The significant assumptions used in determining the fair value of the reporting unit using the market value methodology include the determination of appropriate market comparables and the estimated multiples of EBITDA a willing buyer is likely to pay. We elected to perform the quantitative assessment during 2023, and such assessment did not indicate impairment of the goodwill. Under the discounted cash flow methodology, even if the fair value of OpCo decreased by 10%, the carrying value of OpCo would not exceed its fair value.</w:t>
      </w:r>
    </w:p>
    <w:p>
      <w:pPr>
        <w:spacing w:after="0" w:line="323" w:lineRule="exact"/>
        <w:rPr>
          <w:sz w:val="20"/>
          <w:szCs w:val="20"/>
          <w:color w:val="auto"/>
        </w:rPr>
      </w:pPr>
    </w:p>
    <w:p>
      <w:pPr>
        <w:ind w:right="20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Environmental and Legal Obligations. </w:t>
      </w:r>
      <w:r>
        <w:rPr>
          <w:rFonts w:ascii="Times New Roman" w:cs="Times New Roman" w:eastAsia="Times New Roman" w:hAnsi="Times New Roman"/>
          <w:sz w:val="16"/>
          <w:szCs w:val="16"/>
          <w:color w:val="auto"/>
        </w:rPr>
        <w:t>We consult with various professionals to assist us in making estimates relating to environmental costs and legal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"Item 1. Business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Environmental" and in Note 16 to the consolidated financial statements included in Item 8 of this form 10-K.</w:t>
      </w:r>
    </w:p>
    <w:p>
      <w:pPr>
        <w:spacing w:after="0" w:line="105"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The Partnership has conditional asset retirement obligations for the removal and disposal of hazardous materials and the remediation of the cause of any such release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85" w:lineRule="exact"/>
        <w:rPr>
          <w:sz w:val="20"/>
          <w:szCs w:val="20"/>
          <w:color w:val="auto"/>
        </w:rPr>
      </w:pPr>
    </w:p>
    <w:p>
      <w:pPr>
        <w:ind w:right="460" w:firstLine="395"/>
        <w:spacing w:after="0" w:line="332" w:lineRule="auto"/>
        <w:rPr>
          <w:sz w:val="20"/>
          <w:szCs w:val="20"/>
          <w:color w:val="auto"/>
        </w:rPr>
      </w:pPr>
      <w:r>
        <w:rPr>
          <w:rFonts w:ascii="Times New Roman" w:cs="Times New Roman" w:eastAsia="Times New Roman" w:hAnsi="Times New Roman"/>
          <w:sz w:val="16"/>
          <w:szCs w:val="16"/>
          <w:color w:val="auto"/>
        </w:rPr>
        <w:t>See Note 1 to the consolidated financial statements included in Item 8 of this form 10-K for a full description of recent accounting pronouncements, including expected dates of adoption and estimated effects on results of operations and financial condition, which is incorporated herein by reference.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0"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All derivative positions were settled as of December 31, 2020 and we did not enter into any new derivative contracts during 2021, 2022 or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87"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As of December 31, 2023,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December 31, 2023 was 7.2%.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December 31, 2023 debt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10100" w:type="dxa"/>
            <w:vAlign w:val="bottom"/>
          </w:tcPr>
          <w:p>
            <w:pPr>
              <w:spacing w:after="0"/>
              <w:rPr>
                <w:sz w:val="16"/>
                <w:szCs w:val="16"/>
                <w:color w:val="auto"/>
              </w:rPr>
            </w:pP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
        </w:trPr>
        <w:tc>
          <w:tcPr>
            <w:tcW w:w="10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4"/>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4"/>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100" w:type="dxa"/>
            <w:vAlign w:val="bottom"/>
          </w:tcPr>
          <w:p>
            <w:pPr>
              <w:spacing w:after="0"/>
              <w:rPr>
                <w:sz w:val="19"/>
                <w:szCs w:val="19"/>
                <w:color w:val="auto"/>
              </w:rPr>
            </w:pPr>
          </w:p>
        </w:tc>
      </w:tr>
      <w:tr>
        <w:trPr>
          <w:trHeight w:val="224"/>
        </w:trPr>
        <w:tc>
          <w:tcPr>
            <w:tcW w:w="10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4"/>
        </w:trPr>
        <w:tc>
          <w:tcPr>
            <w:tcW w:w="10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2023, 2022 and 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4"/>
        </w:trPr>
        <w:tc>
          <w:tcPr>
            <w:tcW w:w="10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Statements of Changes in Equity for the Years Ended December 31, 2023, 2022 and 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4"/>
        </w:trPr>
        <w:tc>
          <w:tcPr>
            <w:tcW w:w="10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10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166"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Financial statement schedules not included in this Form 10-K have been omitted because they are not applicable or because the required information is shown in the consolidated financial statements or notes thereto.</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ind w:firstLine="395"/>
        <w:spacing w:after="0" w:line="303" w:lineRule="auto"/>
        <w:rPr>
          <w:sz w:val="20"/>
          <w:szCs w:val="20"/>
          <w:color w:val="auto"/>
        </w:rPr>
      </w:pPr>
      <w:r>
        <w:rPr>
          <w:rFonts w:ascii="Times New Roman" w:cs="Times New Roman" w:eastAsia="Times New Roman" w:hAnsi="Times New Roman"/>
          <w:sz w:val="16"/>
          <w:szCs w:val="16"/>
          <w:color w:val="auto"/>
        </w:rPr>
        <w:t>The management of Westlake Chemical Partners LP (the "Partnership") is responsible for establishing and maintaining adequate internal control over financial reporting. The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3"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 xml:space="preserve">The management of the Partnership assessed the effectiveness of the Partnership's internal control over financial reporting as of December 31, 2023.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w:t>
      </w:r>
      <w:r>
        <w:rPr>
          <w:rFonts w:ascii="Times New Roman" w:cs="Times New Roman" w:eastAsia="Times New Roman" w:hAnsi="Times New Roman"/>
          <w:sz w:val="18"/>
          <w:szCs w:val="18"/>
          <w:color w:val="auto"/>
        </w:rPr>
        <w:t>(2013). Based on its assessment, the Partnership's management has concluded that the Partnership's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as of December 31, 2023 based on those criteria.</w:t>
      </w:r>
    </w:p>
    <w:p>
      <w:pPr>
        <w:spacing w:after="0" w:line="131" w:lineRule="exact"/>
        <w:rPr>
          <w:sz w:val="20"/>
          <w:szCs w:val="20"/>
          <w:color w:val="auto"/>
        </w:rPr>
      </w:pPr>
    </w:p>
    <w:p>
      <w:pPr>
        <w:jc w:val="both"/>
        <w:ind w:right="60" w:firstLine="395"/>
        <w:spacing w:after="0" w:line="256" w:lineRule="auto"/>
        <w:rPr>
          <w:sz w:val="20"/>
          <w:szCs w:val="20"/>
          <w:color w:val="auto"/>
        </w:rPr>
      </w:pPr>
      <w:r>
        <w:rPr>
          <w:rFonts w:ascii="Times New Roman" w:cs="Times New Roman" w:eastAsia="Times New Roman" w:hAnsi="Times New Roman"/>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2023 as stated in their report that appears on the following page.</w:t>
      </w: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Westlake Chemical Partners LP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Westlake Chemical Partners GP LLC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Westlake Chemical Partners LP and its subsidiaries (the "Partnership") as of December 31, 2023 and 2022, and the related consolidated statements of operations, of changes in equity and of cash flows for each of the three years in the period ended December 31, 2023, including the related notes (collectively referred to as the "consolidated financial statements"). We also have audited the Partnership's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2"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Partnership as of December 31, 2023 and 2022, and the results of its operations and its cash flows for each of the three years in the period ended December 31, 2023 in conformity with accounting principles generally accepted in the United States of America. Also in our opinion, the Partnership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4" w:lineRule="exact"/>
        <w:rPr>
          <w:sz w:val="20"/>
          <w:szCs w:val="20"/>
          <w:color w:val="auto"/>
        </w:rPr>
      </w:pPr>
    </w:p>
    <w:p>
      <w:pPr>
        <w:ind w:right="340" w:firstLine="395"/>
        <w:spacing w:after="0" w:line="249" w:lineRule="auto"/>
        <w:rPr>
          <w:sz w:val="20"/>
          <w:szCs w:val="20"/>
          <w:color w:val="auto"/>
        </w:rPr>
      </w:pPr>
      <w:r>
        <w:rPr>
          <w:rFonts w:ascii="Times New Roman" w:cs="Times New Roman" w:eastAsia="Times New Roman" w:hAnsi="Times New Roman"/>
          <w:sz w:val="18"/>
          <w:szCs w:val="18"/>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6" w:lineRule="exact"/>
        <w:rPr>
          <w:sz w:val="20"/>
          <w:szCs w:val="20"/>
          <w:color w:val="auto"/>
        </w:rPr>
      </w:pPr>
    </w:p>
    <w:p>
      <w:pPr>
        <w:ind w:right="20" w:firstLine="395"/>
        <w:spacing w:after="0" w:line="284"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4" w:lineRule="exact"/>
        <w:rPr>
          <w:sz w:val="20"/>
          <w:szCs w:val="20"/>
          <w:color w:val="auto"/>
        </w:rPr>
      </w:pPr>
    </w:p>
    <w:p>
      <w:pPr>
        <w:ind w:right="60" w:firstLine="395"/>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4"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the Ethylene Sales Agreement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described in Notes 2 and 11 to the consolidated financial statements, the Partnership recognized net sales to Westlake Corporation ("Westlake")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$1,027 million for the year ended December 31, 2023. The Ethylene Sales Agreement requires Westlake to purchase a minimum volume of ethylene each year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equal to 95% of Westlake Chemical OpCo LP's ("OpCo") planned ethylene production per year, subject to certain exceptions and a maximum commitment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billion pounds per year. The fee for each pound of ethylene purchased by Westlake from OpCo will equal (i) the actual price OpCo pays Westlake to</w:t>
      </w:r>
    </w:p>
    <w:p>
      <w:pPr>
        <w:spacing w:after="0"/>
        <w:rPr>
          <w:sz w:val="20"/>
          <w:szCs w:val="20"/>
          <w:color w:val="auto"/>
        </w:rPr>
      </w:pPr>
      <w:r>
        <w:rPr>
          <w:rFonts w:ascii="Times New Roman" w:cs="Times New Roman" w:eastAsia="Times New Roman" w:hAnsi="Times New Roman"/>
          <w:sz w:val="16"/>
          <w:szCs w:val="16"/>
          <w:color w:val="auto"/>
        </w:rPr>
        <w:t>purchase ethane, (ii) plus the actual price OpCo pays Westlake to purchase natural gas, (iii) plus OpCo's estimated operating costs divided by OpCo's planned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ethylene production for the year, (iv) plus a five-year average of OpCo's expected future maintenance capital expenditures and other turnaround expenditures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divided by OpCo's planned ethylene production capacity for the year, (v) less the proceeds received by OpCo from the sale of co-products associated with</w:t>
      </w:r>
    </w:p>
    <w:p>
      <w:pPr>
        <w:spacing w:after="0" w:line="228" w:lineRule="auto"/>
        <w:rPr>
          <w:sz w:val="20"/>
          <w:szCs w:val="20"/>
          <w:color w:val="auto"/>
        </w:rPr>
      </w:pPr>
      <w:r>
        <w:rPr>
          <w:rFonts w:ascii="Times New Roman" w:cs="Times New Roman" w:eastAsia="Times New Roman" w:hAnsi="Times New Roman"/>
          <w:sz w:val="18"/>
          <w:szCs w:val="18"/>
          <w:color w:val="auto"/>
        </w:rPr>
        <w:t>producing the ethylene purchased by Westlake, (vi) plus a $0.10 per pound margin. The result of the fee structure is that OpCo should generally recover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portion of its total operating costs and maintenance capital expenditures and other turnaround expenditures corresponding to the portion of OpCo's aggregate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that is purchased by Westlake. Any shortfall in recovery of such costs is generally recognized during the period in which the related operating,</w:t>
      </w:r>
    </w:p>
    <w:p>
      <w:pPr>
        <w:spacing w:after="0"/>
        <w:rPr>
          <w:sz w:val="20"/>
          <w:szCs w:val="20"/>
          <w:color w:val="auto"/>
        </w:rPr>
      </w:pPr>
      <w:r>
        <w:rPr>
          <w:rFonts w:ascii="Times New Roman" w:cs="Times New Roman" w:eastAsia="Times New Roman" w:hAnsi="Times New Roman"/>
          <w:sz w:val="16"/>
          <w:szCs w:val="16"/>
          <w:color w:val="auto"/>
        </w:rPr>
        <w:t>maintenance or turnaround activities occur and is recoverable from Westlake in the subsequent year. Under the Ethylene Sales Agreement, if production costs</w:t>
      </w:r>
    </w:p>
    <w:p>
      <w:pPr>
        <w:spacing w:after="0"/>
        <w:rPr>
          <w:sz w:val="20"/>
          <w:szCs w:val="20"/>
          <w:color w:val="auto"/>
        </w:rPr>
      </w:pPr>
      <w:r>
        <w:rPr>
          <w:rFonts w:ascii="Times New Roman" w:cs="Times New Roman" w:eastAsia="Times New Roman" w:hAnsi="Times New Roman"/>
          <w:sz w:val="16"/>
          <w:szCs w:val="16"/>
          <w:color w:val="auto"/>
        </w:rPr>
        <w:t>billed to Westlake on an annual basis are less than 95% of the actual production costs incurred by OpCo during the contract year, OpCo is entitled to recover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shortfall in such production costs (proportionate to the volume sold to Westlake) in the subsequent year ("Shortfall"). In the event Westlake purchases less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 its annual commitment, the Partnership recognizes buyer deficiency fees representing fixed margin and all expenses and expenditures incurred per pound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volume committed but not taken by Westlake. There was no Shortfall or buyer deficiency fee recognized by the Partnership in 2023.</w:t>
      </w:r>
    </w:p>
    <w:p>
      <w:pPr>
        <w:spacing w:after="0" w:line="220" w:lineRule="exact"/>
        <w:rPr>
          <w:sz w:val="20"/>
          <w:szCs w:val="20"/>
          <w:color w:val="auto"/>
        </w:rPr>
      </w:pPr>
    </w:p>
    <w:p>
      <w:pPr>
        <w:jc w:val="both"/>
        <w:ind w:right="220" w:firstLine="395"/>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from the Ethylene Sales Agreement is a critical audit matter are the significant audit effort in performing procedures and evaluating the calculation of the fee for each pound of ethylene and the buyer deficiency fee.</w:t>
      </w:r>
    </w:p>
    <w:p>
      <w:pPr>
        <w:spacing w:after="0" w:line="206"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of the fees used to determine revenue from the Ethylene Sales Agreement. These procedures also included, among others, testing the completeness and accuracy of underlying inputs used in the fee for each pound of ethylene purchased by Westlake, buyer deficiency fee and Shortfall calculation, and testing the accuracy of the volume of ethylene purchased by Westlake as part of the Ethylene Sales Agreement.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2"/>
        </w:trPr>
        <w:tc>
          <w:tcPr>
            <w:tcW w:w="8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190"/>
        </w:trPr>
        <w:tc>
          <w:tcPr>
            <w:tcW w:w="8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except unit amounts)</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64,782</w:t>
            </w:r>
          </w:p>
        </w:tc>
        <w:tc>
          <w:tcPr>
            <w:tcW w:w="0" w:type="dxa"/>
            <w:vAlign w:val="bottom"/>
          </w:tcPr>
          <w:p>
            <w:pPr>
              <w:spacing w:after="0"/>
              <w:rPr>
                <w:sz w:val="1"/>
                <w:szCs w:val="1"/>
                <w:color w:val="auto"/>
              </w:rPr>
            </w:pPr>
          </w:p>
        </w:tc>
      </w:tr>
      <w:tr>
        <w:trPr>
          <w:trHeight w:val="171"/>
        </w:trPr>
        <w:tc>
          <w:tcPr>
            <w:tcW w:w="830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Receivable under the Investment Management Agreement—Westlake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Corporation ("Westlake")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64,996</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90,965</w:t>
            </w:r>
          </w:p>
        </w:tc>
        <w:tc>
          <w:tcPr>
            <w:tcW w:w="0" w:type="dxa"/>
            <w:vAlign w:val="bottom"/>
          </w:tcPr>
          <w:p>
            <w:pPr>
              <w:spacing w:after="0"/>
              <w:rPr>
                <w:sz w:val="1"/>
                <w:szCs w:val="1"/>
                <w:color w:val="auto"/>
              </w:rPr>
            </w:pPr>
          </w:p>
        </w:tc>
      </w:tr>
      <w:tr>
        <w:trPr>
          <w:trHeight w:val="224"/>
        </w:trPr>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245,793</w:t>
            </w:r>
          </w:p>
        </w:tc>
        <w:tc>
          <w:tcPr>
            <w:tcW w:w="0" w:type="dxa"/>
            <w:vAlign w:val="bottom"/>
          </w:tcPr>
          <w:p>
            <w:pPr>
              <w:spacing w:after="0"/>
              <w:rPr>
                <w:sz w:val="1"/>
                <w:szCs w:val="1"/>
                <w:color w:val="auto"/>
              </w:rPr>
            </w:pP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990,213</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130,159</w:t>
            </w:r>
          </w:p>
        </w:tc>
        <w:tc>
          <w:tcPr>
            <w:tcW w:w="0" w:type="dxa"/>
            <w:vAlign w:val="bottom"/>
          </w:tcPr>
          <w:p>
            <w:pPr>
              <w:spacing w:after="0"/>
              <w:rPr>
                <w:sz w:val="1"/>
                <w:szCs w:val="1"/>
                <w:color w:val="auto"/>
              </w:rPr>
            </w:pPr>
          </w:p>
        </w:tc>
      </w:tr>
      <w:tr>
        <w:trPr>
          <w:trHeight w:val="242"/>
        </w:trPr>
        <w:tc>
          <w:tcPr>
            <w:tcW w:w="83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1,316,842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1,371,979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payable—Westlake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34,087</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66,941</w:t>
            </w:r>
          </w:p>
        </w:tc>
        <w:tc>
          <w:tcPr>
            <w:tcW w:w="0" w:type="dxa"/>
            <w:vAlign w:val="bottom"/>
          </w:tcPr>
          <w:p>
            <w:pPr>
              <w:spacing w:after="0"/>
              <w:rPr>
                <w:sz w:val="1"/>
                <w:szCs w:val="1"/>
                <w:color w:val="auto"/>
              </w:rPr>
            </w:pP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460,592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468,271</w:t>
            </w:r>
          </w:p>
        </w:tc>
        <w:tc>
          <w:tcPr>
            <w:tcW w:w="0" w:type="dxa"/>
            <w:vAlign w:val="bottom"/>
          </w:tcPr>
          <w:p>
            <w:pPr>
              <w:spacing w:after="0"/>
              <w:rPr>
                <w:sz w:val="1"/>
                <w:szCs w:val="1"/>
                <w:color w:val="auto"/>
              </w:rPr>
            </w:pPr>
          </w:p>
        </w:tc>
      </w:tr>
      <w:tr>
        <w:trPr>
          <w:trHeight w:val="204"/>
        </w:trPr>
        <w:tc>
          <w:tcPr>
            <w:tcW w:w="83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 (Note 16)</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3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Common unitholders—publicly and privately held (21,105,904 and 21,099,638 units issued</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 respectively)</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480,643</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 at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and December 31, 2022, respectively)</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291,930</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611,778</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903,708</w:t>
            </w:r>
          </w:p>
        </w:tc>
        <w:tc>
          <w:tcPr>
            <w:tcW w:w="0" w:type="dxa"/>
            <w:vAlign w:val="bottom"/>
          </w:tcPr>
          <w:p>
            <w:pPr>
              <w:spacing w:after="0"/>
              <w:rPr>
                <w:sz w:val="1"/>
                <w:szCs w:val="1"/>
                <w:color w:val="auto"/>
              </w:rPr>
            </w:pPr>
          </w:p>
        </w:tc>
      </w:tr>
      <w:tr>
        <w:trPr>
          <w:trHeight w:val="217"/>
        </w:trPr>
        <w:tc>
          <w:tcPr>
            <w:tcW w:w="8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1,316,842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1,371,979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0"/>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0" w:type="dxa"/>
            <w:vAlign w:val="bottom"/>
            <w:gridSpan w:val="6"/>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except unit amounts and per unit data)</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1,026,655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1,342,910</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1,026,586</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188,272</w:t>
            </w: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1,190,791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1,214,858</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773,152</w:t>
            </w: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441,706</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31,018</w:t>
            </w: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410,688</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401,934</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401,385</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318,838</w:t>
            </w:r>
          </w:p>
        </w:tc>
        <w:tc>
          <w:tcPr>
            <w:tcW w:w="0" w:type="dxa"/>
            <w:vAlign w:val="bottom"/>
          </w:tcPr>
          <w:p>
            <w:pPr>
              <w:spacing w:after="0"/>
              <w:rPr>
                <w:sz w:val="1"/>
                <w:szCs w:val="1"/>
                <w:color w:val="auto"/>
              </w:rPr>
            </w:pPr>
          </w:p>
        </w:tc>
      </w:tr>
      <w:tr>
        <w:trPr>
          <w:trHeight w:val="151"/>
        </w:trPr>
        <w:tc>
          <w:tcPr>
            <w:tcW w:w="670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Net income attributable to Westlake Chemical Partners LP and limited partners'</w:t>
            </w:r>
          </w:p>
        </w:tc>
        <w:tc>
          <w:tcPr>
            <w:tcW w:w="3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54,283</w:t>
            </w:r>
          </w:p>
        </w:tc>
        <w:tc>
          <w:tcPr>
            <w:tcW w:w="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64,173</w:t>
            </w:r>
          </w:p>
        </w:tc>
        <w:tc>
          <w:tcPr>
            <w:tcW w:w="100" w:type="dxa"/>
            <w:vAlign w:val="bottom"/>
          </w:tcPr>
          <w:p>
            <w:pPr>
              <w:spacing w:after="0"/>
              <w:rPr>
                <w:sz w:val="13"/>
                <w:szCs w:val="13"/>
                <w:color w:val="auto"/>
              </w:rPr>
            </w:pPr>
          </w:p>
        </w:tc>
        <w:tc>
          <w:tcPr>
            <w:tcW w:w="4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82,547</w:t>
            </w:r>
          </w:p>
        </w:tc>
        <w:tc>
          <w:tcPr>
            <w:tcW w:w="0" w:type="dxa"/>
            <w:vAlign w:val="bottom"/>
          </w:tcPr>
          <w:p>
            <w:pPr>
              <w:spacing w:after="0"/>
              <w:rPr>
                <w:sz w:val="1"/>
                <w:szCs w:val="1"/>
                <w:color w:val="auto"/>
              </w:rPr>
            </w:pPr>
          </w:p>
        </w:tc>
      </w:tr>
      <w:tr>
        <w:trPr>
          <w:trHeight w:val="211"/>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in net income</w:t>
            </w: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7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Net income per limited partner unit attributable to Westlake Chemical Partners LP (basic and</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7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Weighted average limited partner units outstanding</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21,102,110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21,095,106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21,084,103</w:t>
            </w: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Partnership</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6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General</w:t>
            </w:r>
          </w:p>
        </w:tc>
        <w:tc>
          <w:tcPr>
            <w:tcW w:w="11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Unitholders—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Unitholder—</w:t>
            </w: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w w:val="98"/>
              </w:rPr>
              <w:t>Partner—</w:t>
            </w:r>
          </w:p>
        </w:tc>
        <w:tc>
          <w:tcPr>
            <w:tcW w:w="180" w:type="dxa"/>
            <w:vAlign w:val="bottom"/>
          </w:tcPr>
          <w:p>
            <w:pPr>
              <w:spacing w:after="0"/>
              <w:rPr>
                <w:sz w:val="11"/>
                <w:szCs w:val="11"/>
                <w:color w:val="auto"/>
              </w:rPr>
            </w:pPr>
          </w:p>
        </w:tc>
        <w:tc>
          <w:tcPr>
            <w:tcW w:w="96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1"/>
                <w:szCs w:val="11"/>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Westlake</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Westlake</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6"/>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915,137</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401,385</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(66,379)</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(277,856)</w:t>
            </w: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481,796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54,754</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678,720</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972,698</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334,829</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(337,598)</w:t>
            </w:r>
          </w:p>
        </w:tc>
        <w:tc>
          <w:tcPr>
            <w:tcW w:w="0" w:type="dxa"/>
            <w:vAlign w:val="bottom"/>
          </w:tcPr>
          <w:p>
            <w:pPr>
              <w:spacing w:after="0"/>
              <w:rPr>
                <w:sz w:val="1"/>
                <w:szCs w:val="1"/>
                <w:color w:val="auto"/>
              </w:rPr>
            </w:pPr>
          </w:p>
        </w:tc>
      </w:tr>
      <w:tr>
        <w:trPr>
          <w:trHeight w:val="217"/>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611,778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903,708</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(66,420)</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(315,805)</w:t>
            </w: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(242,572)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of dollars)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401,385</w:t>
            </w:r>
          </w:p>
        </w:tc>
      </w:tr>
      <w:tr>
        <w:trPr>
          <w:trHeight w:val="171"/>
        </w:trPr>
        <w:tc>
          <w:tcPr>
            <w:tcW w:w="67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7"/>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4"/>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108,814</w:t>
            </w: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24"/>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losses (gains),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(31,756)</w:t>
            </w:r>
          </w:p>
        </w:tc>
      </w:tr>
      <w:tr>
        <w:trPr>
          <w:trHeight w:val="224"/>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19,782</w:t>
            </w:r>
          </w:p>
        </w:tc>
      </w:tr>
      <w:tr>
        <w:trPr>
          <w:trHeight w:val="224"/>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37,574</w:t>
            </w:r>
          </w:p>
        </w:tc>
      </w:tr>
      <w:tr>
        <w:trPr>
          <w:trHeight w:val="224"/>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(131,322)</w:t>
            </w:r>
          </w:p>
        </w:tc>
      </w:tr>
      <w:tr>
        <w:trPr>
          <w:trHeight w:val="217"/>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408,439</w:t>
            </w:r>
          </w:p>
        </w:tc>
      </w:tr>
      <w:tr>
        <w:trPr>
          <w:trHeight w:val="204"/>
        </w:trPr>
        <w:tc>
          <w:tcPr>
            <w:tcW w:w="67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(81,171)</w:t>
            </w: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(276,000)</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293,000</w:t>
            </w: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7"/>
        </w:trPr>
        <w:tc>
          <w:tcPr>
            <w:tcW w:w="67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(64,301)</w:t>
            </w:r>
          </w:p>
        </w:tc>
      </w:tr>
      <w:tr>
        <w:trPr>
          <w:trHeight w:val="204"/>
        </w:trPr>
        <w:tc>
          <w:tcPr>
            <w:tcW w:w="67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(277,856)</w:t>
            </w:r>
          </w:p>
        </w:tc>
      </w:tr>
      <w:tr>
        <w:trPr>
          <w:trHeight w:val="224"/>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(66,379)</w:t>
            </w:r>
          </w:p>
        </w:tc>
      </w:tr>
      <w:tr>
        <w:trPr>
          <w:trHeight w:val="217"/>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(344,235)</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17,057</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620" w:firstLine="5"/>
        <w:spacing w:after="0" w:line="344" w:lineRule="auto"/>
        <w:tabs>
          <w:tab w:leader="none" w:pos="1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380" w:firstLine="395"/>
        <w:spacing w:after="0" w:line="25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connection with the IPO, the Partnership acquired a 10.6% limited partner interest in Westlake Chemical OpCo LP ("OpCo") and a 100% interest 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Westlake Chemical OpCo GP LLC ("OpCo GP"), which is the general partner of OpCo. OpCo owns three ethylene production facilities and one common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carrier ethylene pipeline (collectively, the "Contributed Assets"). Since the IPO, the Partnership has periodically purchased additional limited partner interest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OpCo. Most recently, on March 29, 2019, the Partnership purchased an additional 4.5% newly-issued limited partner interest in OpCo for approximately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$201,445, resulting in an aggregate 22.8% limited partner interest in OpCo, effective January 1, 2019. The remaining 77.2% limited partner interest in OpCo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owned by Westlake Corporation. References to "Westlake" refer collectively to Westlake Corporation and its subsidiaries, other than the Partnership, OpCo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OpCo GP.</w:t>
      </w:r>
    </w:p>
    <w:p>
      <w:pPr>
        <w:spacing w:after="0" w:line="144"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OpCo and Westlake entered into an ethylene sales agreement (the "Ethylene Sales Agreement") pursuant to which the Partnership generates a substantial majority of its revenue. For more information, see Note 2.</w:t>
      </w:r>
    </w:p>
    <w:p>
      <w:pPr>
        <w:spacing w:after="0" w:line="117"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are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the Partnership's exposure to fluctuations in the market prices of these co-products.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7"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the accounting principles generally accepted in the United States.</w:t>
      </w:r>
    </w:p>
    <w:p>
      <w:pPr>
        <w:spacing w:after="0" w:line="117"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87"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Cash equivalents consist of highly liquid investments that are readily convertible into cash and have a maturity of three months or less at the date of acquisition.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00"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The determination of the allowance for credit losses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customer specific collectability analysis and an evaluation of economic conditions. The allowance for credit losses is reviewed quarterly. Past due balances over 90 days and high risk accounts, as determined by the analysis of financial strength of customers, are reviewed individually for collectability.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00"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Inventories primarily include product, material and supplies. Inventories are stated at the lower of cost or net realizable value. Cost is determined using the first-in, first-out ("FIFO") or average method.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87" w:lineRule="exact"/>
        <w:rPr>
          <w:sz w:val="20"/>
          <w:szCs w:val="20"/>
          <w:color w:val="auto"/>
        </w:rPr>
      </w:pPr>
    </w:p>
    <w:p>
      <w:pPr>
        <w:ind w:right="380" w:firstLine="395"/>
        <w:spacing w:after="0" w:line="268" w:lineRule="auto"/>
        <w:rPr>
          <w:sz w:val="20"/>
          <w:szCs w:val="20"/>
          <w:color w:val="auto"/>
        </w:rPr>
      </w:pPr>
      <w:r>
        <w:rPr>
          <w:rFonts w:ascii="Times New Roman" w:cs="Times New Roman" w:eastAsia="Times New Roman" w:hAnsi="Times New Roman"/>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117" w:lineRule="exact"/>
        <w:rPr>
          <w:sz w:val="20"/>
          <w:szCs w:val="20"/>
          <w:color w:val="auto"/>
        </w:rPr>
      </w:pPr>
    </w:p>
    <w:p>
      <w:pPr>
        <w:ind w:right="300" w:firstLine="395"/>
        <w:spacing w:after="0" w:line="252" w:lineRule="auto"/>
        <w:rPr>
          <w:sz w:val="20"/>
          <w:szCs w:val="20"/>
          <w:color w:val="auto"/>
        </w:rPr>
      </w:pPr>
      <w:r>
        <w:rPr>
          <w:rFonts w:ascii="Times New Roman" w:cs="Times New Roman" w:eastAsia="Times New Roman" w:hAnsi="Times New Roman"/>
          <w:sz w:val="18"/>
          <w:szCs w:val="18"/>
          <w:color w:val="auto"/>
        </w:rPr>
        <w:t>Interest expense is capitalized for qualifying assets under construction. Capitalized interest costs are included in property, plant and equipment and are depreciated over the useful life of the related asset. Capitalized interest was $164, $80 and $0 for the years ended December 31, 2023, 2022 and 2021, respectively. Repair and maintenance costs are charged to operations as incurred. Gains and losses on the disposal or retirement of property, plant and equipment are reflected in the statement of operations when the assets are sold or retired.</w:t>
      </w:r>
    </w:p>
    <w:p>
      <w:pPr>
        <w:spacing w:after="0" w:line="131"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Depreciation is provided by utilizing the straight-line method over the estimated useful lives of the assets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4"/>
        </w:trPr>
        <w:tc>
          <w:tcPr>
            <w:tcW w:w="380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r>
      <w:tr>
        <w:trPr>
          <w:trHeight w:val="22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7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22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Ethylene pipeline</w:t>
            </w:r>
          </w:p>
        </w:tc>
        <w:tc>
          <w:tcPr>
            <w:tcW w:w="7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r>
      <w:tr>
        <w:trPr>
          <w:trHeight w:val="22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9"/>
                <w:szCs w:val="19"/>
                <w:color w:val="auto"/>
              </w:rPr>
            </w:pPr>
          </w:p>
        </w:tc>
      </w:tr>
      <w:tr>
        <w:trPr>
          <w:trHeight w:val="876"/>
        </w:trPr>
        <w:tc>
          <w:tcPr>
            <w:tcW w:w="3800" w:type="dxa"/>
            <w:vAlign w:val="bottom"/>
          </w:tcPr>
          <w:p>
            <w:pPr>
              <w:spacing w:after="0"/>
              <w:rPr>
                <w:sz w:val="24"/>
                <w:szCs w:val="24"/>
                <w:color w:val="auto"/>
              </w:rPr>
            </w:pPr>
          </w:p>
        </w:tc>
        <w:tc>
          <w:tcPr>
            <w:tcW w:w="5900" w:type="dxa"/>
            <w:vAlign w:val="bottom"/>
          </w:tcPr>
          <w:p>
            <w:pPr>
              <w:jc w:val="right"/>
              <w:ind w:right="389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3800" w:type="dxa"/>
            <w:vAlign w:val="bottom"/>
            <w:tcBorders>
              <w:bottom w:val="single" w:sz="8" w:color="9A9A9A"/>
            </w:tcBorders>
          </w:tcPr>
          <w:p>
            <w:pPr>
              <w:spacing w:after="0"/>
              <w:rPr>
                <w:sz w:val="9"/>
                <w:szCs w:val="9"/>
                <w:color w:val="auto"/>
              </w:rPr>
            </w:pPr>
          </w:p>
        </w:tc>
        <w:tc>
          <w:tcPr>
            <w:tcW w:w="5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87"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by asset group, the lowest level for which identifiable cash flows are largely independent of the cash flows of other groups of assets and liabilities. Recoverability of assets to be held and used is measured by a comparison of the carrying amount of an asset to future net undiscounted cash flows expected to be generated by the asset group.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00"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accounting guidance requires that goodwill be tested for impairment at least annually, or when events or changes in circumstances indicate the fair value of a reporting unit with goodwill has been reduced below its carrying amount. The impairment test for the recorded goodwill was performed in the fourth quarter of 2023 and did not indicate impairment of the goodwill. As of December 31, 2023, the Partnership's recorded goodwill was $5,814. See Note 6 for more information on the Partnership's annual goodwill impairment test.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Turnaround Costs</w:t>
      </w:r>
    </w:p>
    <w:p>
      <w:pPr>
        <w:spacing w:after="0" w:line="100"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typically ranges from five to six years. Deferred turnaround costs are presented as a component of deferred charges and other assets, net. The cash outflows related to these costs are included in operating activities in the consolidated statement of cash flows.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87"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0"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Revenue is recognized when OpCo transfers control of inventories to customers. Amounts recognized as revenues reflect the consideration to which OpCo expects to be entitled in exchange for those inventories. The Partnership and OpCo incorporate production volume and production cost forecasts in the estimated transaction prices from sales to Westlake under the Ethylene Sales Agreement.</w:t>
      </w:r>
    </w:p>
    <w:p>
      <w:pPr>
        <w:spacing w:after="0" w:line="127"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The Partnership recognizes revenue and accounts receivable upon transferring control of inventories to its customers. Ethylene sold to Westlake under the Ethylene Sales Agreement is transferred to Westlake immediately after production and recognized in sales. Control of inventories sold to third parties generally transfers upon shipment to the customer. The Partnership excludes taxes collected on behalf of customers from the estimated contract price. Provisions for discounts, rebates and returns are incorporated in the estimate of variable consideration and reflected as reduction to revenue in the same period as the related sales.</w:t>
      </w:r>
    </w:p>
    <w:p>
      <w:pPr>
        <w:spacing w:after="0" w:line="133"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The Partnership does not disclose the value of unsatisfied performance obligations because its contracts with customers (1) have an original expected duration of one year or less or (2) have only variable consideration that is calculated based on market prices at a specified date and is allocated to wholly unsatisfied performance obligations.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25"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Partnership generates a substantial majority of its revenue from sales to Westlake under the Ethylene Sales Agreement. The Ethylene Sales Agreement is intended to generate a long-term, fixed cash margin per pound. See Note 2 for a description of the terms of the Ethylene Sales Agreement. The Partnership's direct commodity price risk is limited to the sales to third parties. See the Partnership's consolidated statement of operations for the disaggregation of net sales to Westlake and net sales to third parties.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Transportation and Freight</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Amounts billed to customers for freight and handling costs on outbound shipments are included in net sales in the consolidated statements of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Transportation and freight costs incurred by the Partnership on outbound shipments are included in cost of sales in the consolidated statements of operations.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Costs</w:t>
      </w:r>
    </w:p>
    <w:p>
      <w:pPr>
        <w:spacing w:after="0" w:line="10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0"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Deferred tax expense or benefit is the result of changes in the deferred tax assets and liabilities during the period. Valuation allowances are recorded against deferred tax assets when it is considered more likely than not that the deferred tax assets will not be realized on a separate tax return basis.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Partnership only operates one segment (ethylene production) and all of its operations are located in the United States.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p>
      <w:pPr>
        <w:spacing w:after="0" w:line="100"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The Partnership has not reported consolidated statements of comprehensive income for the years ended December 31, 2023, 2022 and 2021 due to immateriality of the components of other comprehensive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(ASU No. 2023-07)</w:t>
      </w:r>
    </w:p>
    <w:p>
      <w:pPr>
        <w:spacing w:after="0" w:line="98"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an accounting standards update. The update requires public entities to disclose on an annual and interim basis, significant segment expenses that are regularly provided to the chief operating decision maker ("CODM"), the title and position of the CODM and an explanation of how the CODM uses the reported measure(s) of segment profit or loss in assessing segment performance and deciding how to allocate resources. The update also requires that a public entity that has a single reportable segment provide all disclosures required by the update as well as all existing segment disclosures in Topic 280. The amendments in this update will be effective for fiscal years beginning after December 15, 2023, and interim periods within fiscal years beginning after December 15, 2024 and are to be applied retrospectively to all prior periods presented in the financial statements. Early adoption is permitted. The Partnership is currently evaluating the impact of the update on the disclosures in the Partnership's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No. 2023-09)</w:t>
      </w:r>
    </w:p>
    <w:p>
      <w:pPr>
        <w:spacing w:after="0" w:line="85"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an accounting standards update to require additional tax disclosures under Topic 740 primarily related to the rate reconciliation and income taxes paid disclosures. The amendments in this update will be effective for fiscal years beginning after December 15, 2024 and are to be applied on a prospective basis. Retrospective application is also permitted. The update is not expected to have a material impact on the Partnership's disclosures.</w:t>
      </w:r>
    </w:p>
    <w:p>
      <w:pPr>
        <w:spacing w:after="0" w:line="221" w:lineRule="exact"/>
        <w:rPr>
          <w:sz w:val="20"/>
          <w:szCs w:val="20"/>
          <w:color w:val="auto"/>
        </w:rPr>
      </w:pPr>
    </w:p>
    <w:p>
      <w:pPr>
        <w:ind w:right="7540" w:firstLine="5"/>
        <w:spacing w:after="0" w:line="344" w:lineRule="auto"/>
        <w:tabs>
          <w:tab w:leader="none" w:pos="17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Agreements with Westlake and Related Parties </w:t>
      </w:r>
      <w:r>
        <w:rPr>
          <w:rFonts w:ascii="Times New Roman" w:cs="Times New Roman" w:eastAsia="Times New Roman" w:hAnsi="Times New Roman"/>
          <w:sz w:val="18"/>
          <w:szCs w:val="18"/>
          <w:b w:val="1"/>
          <w:bCs w:val="1"/>
          <w:i w:val="1"/>
          <w:iCs w:val="1"/>
          <w:color w:val="auto"/>
        </w:rPr>
        <w:t>Ethylene Sales Agreement</w:t>
      </w:r>
    </w:p>
    <w:p>
      <w:pPr>
        <w:spacing w:after="0" w:line="1"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OpCo has entered into a 12-year ethylene sales agreement with Westlake (the "Ethylene Sales Agreement").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fee for each pound of ethylene purchased by Westlake from OpCo up to the Minimum Commitment in any calendar year will equal:</w:t>
      </w:r>
    </w:p>
    <w:p>
      <w:pPr>
        <w:spacing w:after="0" w:line="96" w:lineRule="exact"/>
        <w:rPr>
          <w:sz w:val="20"/>
          <w:szCs w:val="20"/>
          <w:color w:val="auto"/>
        </w:rPr>
      </w:pPr>
    </w:p>
    <w:p>
      <w:pPr>
        <w:ind w:left="640" w:right="2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50"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37"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estimated operating costs (including selling, general and administrative expenses), divided by OpCo's planned ethylene production for the year (in pounds); plus</w:t>
      </w:r>
    </w:p>
    <w:p>
      <w:pPr>
        <w:spacing w:after="0" w:line="50" w:lineRule="exact"/>
        <w:rPr>
          <w:rFonts w:ascii="Times New Roman" w:cs="Times New Roman" w:eastAsia="Times New Roman" w:hAnsi="Times New Roman"/>
          <w:sz w:val="18"/>
          <w:szCs w:val="18"/>
          <w:color w:val="auto"/>
        </w:rPr>
      </w:pPr>
    </w:p>
    <w:p>
      <w:pPr>
        <w:ind w:left="640" w:right="54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five-year average of OpCo's expected future maintenance capital expenditures and other turnaround expenditures, divided by OpCo's planned ethylene production capacity for the year (in pounds); less</w:t>
      </w:r>
    </w:p>
    <w:p>
      <w:pPr>
        <w:spacing w:after="0" w:line="50" w:lineRule="exact"/>
        <w:rPr>
          <w:rFonts w:ascii="Times New Roman" w:cs="Times New Roman" w:eastAsia="Times New Roman" w:hAnsi="Times New Roman"/>
          <w:sz w:val="18"/>
          <w:szCs w:val="18"/>
          <w:color w:val="auto"/>
        </w:rPr>
      </w:pPr>
    </w:p>
    <w:p>
      <w:pPr>
        <w:ind w:left="640" w:right="60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3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$0.10 per pound margin.</w:t>
      </w:r>
    </w:p>
    <w:p>
      <w:pPr>
        <w:spacing w:after="0" w:line="161"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17"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117"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17"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(as described below), and not the Ethylene Sales Agreement.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25" w:lineRule="exact"/>
        <w:rPr>
          <w:sz w:val="20"/>
          <w:szCs w:val="20"/>
          <w:color w:val="auto"/>
        </w:rPr>
      </w:pPr>
    </w:p>
    <w:p>
      <w:pPr>
        <w:ind w:right="160" w:firstLine="395"/>
        <w:spacing w:after="0" w:line="248" w:lineRule="auto"/>
        <w:rPr>
          <w:sz w:val="20"/>
          <w:szCs w:val="20"/>
          <w:color w:val="auto"/>
        </w:rPr>
      </w:pPr>
      <w:r>
        <w:rPr>
          <w:rFonts w:ascii="Times New Roman" w:cs="Times New Roman" w:eastAsia="Times New Roman" w:hAnsi="Times New Roman"/>
          <w:sz w:val="18"/>
          <w:szCs w:val="18"/>
          <w:color w:val="auto"/>
        </w:rPr>
        <w:t>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the Partnership recognizes buyer deficiency fees representing fixed margin and unavoided operating and maintenance capital expenditures and maintenance expenses per pound of volume committed by Westlake during the force majeure period. In the event Westlake purchases less than its annual commitment, the Partnership recognizes buyer deficiency fees representing fixed margin and all expenses and expenditures incurred per pound of volume committed but not taken by Westlake. Payment for the buyer deficiency fee is scheduled to be received by the Partnership after the conclusion of the year in which the force majeure event occurred.</w:t>
      </w:r>
    </w:p>
    <w:p>
      <w:pPr>
        <w:spacing w:after="0" w:line="13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The result of the fee structure is that OpCo should generally recover the portion of its total operating costs and maintenance capital expenditures and other turnaround expenditures corresponding to the portion of OpCo's aggregate production that is purchased by Westlake. Any shortfall in recovery of such costs is generally recognized during the period in which the related operating, maintenance or turnaround activities occur and is recoverable from Westlake in the subsequent year.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w:t>
      </w:r>
    </w:p>
    <w:p>
      <w:pPr>
        <w:spacing w:after="0" w:line="133" w:lineRule="exact"/>
        <w:rPr>
          <w:sz w:val="20"/>
          <w:szCs w:val="20"/>
          <w:color w:val="auto"/>
        </w:rPr>
      </w:pPr>
    </w:p>
    <w:p>
      <w:pPr>
        <w:ind w:right="240" w:firstLine="395"/>
        <w:spacing w:after="0" w:line="332" w:lineRule="auto"/>
        <w:rPr>
          <w:sz w:val="20"/>
          <w:szCs w:val="20"/>
          <w:color w:val="auto"/>
        </w:rPr>
      </w:pPr>
      <w:r>
        <w:rPr>
          <w:rFonts w:ascii="Times New Roman" w:cs="Times New Roman" w:eastAsia="Times New Roman" w:hAnsi="Times New Roman"/>
          <w:sz w:val="16"/>
          <w:szCs w:val="16"/>
          <w:color w:val="auto"/>
        </w:rPr>
        <w:t>The Ethylene Sales Agreement provides that, if compliance with any law adopted or modified following the IPO results in OpCo incurring additional costs in excess of $500 in any contract year, OpCo is entitled to charge Westlake a monthly surcharge following efforts to mitigate the effects of such matter.</w:t>
      </w:r>
    </w:p>
    <w:p>
      <w:pPr>
        <w:spacing w:after="0" w:line="70"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Ethylene Sales Agreement has an initial term extending until December 31, 2026 and automatically renews thereafter for successive 12-month terms unless terminated.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87"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OpCo has entered into a feedstock supply agreement with Westlake, pursuant to which Westlake sells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33" w:lineRule="exact"/>
        <w:rPr>
          <w:sz w:val="20"/>
          <w:szCs w:val="20"/>
          <w:color w:val="auto"/>
        </w:rPr>
      </w:pPr>
    </w:p>
    <w:p>
      <w:pPr>
        <w:ind w:right="40" w:firstLine="395"/>
        <w:spacing w:after="0" w:line="303" w:lineRule="auto"/>
        <w:rPr>
          <w:sz w:val="20"/>
          <w:szCs w:val="20"/>
          <w:color w:val="auto"/>
        </w:rPr>
      </w:pPr>
      <w:r>
        <w:rPr>
          <w:rFonts w:ascii="Times New Roman" w:cs="Times New Roman" w:eastAsia="Times New Roman" w:hAnsi="Times New Roman"/>
          <w:sz w:val="16"/>
          <w:szCs w:val="16"/>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10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OpCo has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are under the control of OpCo while they work on OpCo's facilities.</w:t>
      </w:r>
    </w:p>
    <w:p>
      <w:pPr>
        <w:spacing w:after="0" w:line="133"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Lease Agreements</w:t>
      </w:r>
    </w:p>
    <w:p>
      <w:pPr>
        <w:spacing w:after="0" w:line="87"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OpCo has entered into two site lease agreements with Westlake pursuant to which Westlake leases to OpCo the real property underlying Lake Charles Olefins and Calvert City Olefins and grants OpCo rights to access and use certain other portions of Westlake's ethylene production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100"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The Partnership has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100"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OpCo and Westlake are parties to an exchange agreement, which continues on an annual basis, unless and until terminated by either party. Under the exchange agreement, OpCo may require Westlake to deliver up to 200 million pounds of ethylene for OpCo per year from the Site Leases to an ethylene hub in Mt. Belvieu, Texas, for which OpCo would be required to pay an exchange fee of $0.006 per pound.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87" w:lineRule="exact"/>
        <w:rPr>
          <w:sz w:val="20"/>
          <w:szCs w:val="20"/>
          <w:color w:val="auto"/>
        </w:rPr>
      </w:pPr>
    </w:p>
    <w:p>
      <w:pPr>
        <w:ind w:right="260" w:firstLine="395"/>
        <w:spacing w:after="0" w:line="303" w:lineRule="auto"/>
        <w:rPr>
          <w:sz w:val="20"/>
          <w:szCs w:val="20"/>
          <w:color w:val="auto"/>
        </w:rPr>
      </w:pPr>
      <w:r>
        <w:rPr>
          <w:rFonts w:ascii="Times New Roman" w:cs="Times New Roman" w:eastAsia="Times New Roman" w:hAnsi="Times New Roman"/>
          <w:sz w:val="16"/>
          <w:szCs w:val="16"/>
          <w:color w:val="auto"/>
        </w:rPr>
        <w:t>The Partnership,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The Partnership controls OpCo GP, as its sole member, subject to certain approval rights held by Westlake.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100"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Partnership, OpCo and Westlake are parties to an Investment Management Agreement that authorizes Westlake to invest the Partnership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$94,444 of invested cash under the Investment Management Agreement at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Receivable—Third Parties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49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60" w:type="dxa"/>
            <w:vAlign w:val="bottom"/>
            <w:tcBorders>
              <w:bottom w:val="single" w:sz="8" w:color="CCEEFF"/>
            </w:tcBorders>
          </w:tcPr>
          <w:p>
            <w:pPr>
              <w:spacing w:after="0"/>
              <w:rPr>
                <w:sz w:val="16"/>
                <w:szCs w:val="16"/>
                <w:color w:val="auto"/>
              </w:rPr>
            </w:pPr>
          </w:p>
        </w:tc>
        <w:tc>
          <w:tcPr>
            <w:tcW w:w="41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4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15,622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0" w:type="dxa"/>
            <w:vAlign w:val="bottom"/>
          </w:tcPr>
          <w:p>
            <w:pPr>
              <w:spacing w:after="0"/>
              <w:rPr>
                <w:sz w:val="1"/>
                <w:szCs w:val="1"/>
                <w:color w:val="auto"/>
              </w:rPr>
            </w:pPr>
          </w:p>
        </w:tc>
      </w:tr>
      <w:tr>
        <w:trPr>
          <w:trHeight w:val="22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4100" w:type="dxa"/>
            <w:vAlign w:val="bottom"/>
          </w:tcPr>
          <w:p>
            <w:pPr>
              <w:spacing w:after="0"/>
              <w:rPr>
                <w:sz w:val="18"/>
                <w:szCs w:val="18"/>
                <w:color w:val="auto"/>
              </w:rPr>
            </w:pP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18,701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100" w:type="dxa"/>
            <w:vAlign w:val="bottom"/>
            <w:vMerge w:val="restart"/>
          </w:tcPr>
          <w:p>
            <w:pPr>
              <w:jc w:val="right"/>
              <w:ind w:right="2452"/>
              <w:spacing w:after="0"/>
              <w:rPr>
                <w:sz w:val="20"/>
                <w:szCs w:val="20"/>
                <w:color w:val="auto"/>
              </w:rPr>
            </w:pPr>
            <w:r>
              <w:rPr>
                <w:rFonts w:ascii="Times New Roman" w:cs="Times New Roman" w:eastAsia="Times New Roman" w:hAnsi="Times New Roman"/>
                <w:sz w:val="18"/>
                <w:szCs w:val="18"/>
                <w:color w:val="auto"/>
              </w:rPr>
              <w:t>60</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1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16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1,936,295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1,937,439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110,984</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2,067,128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2,066,974</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(1,161,032)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(1,102,800)</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964,174</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26,039</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943,843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990,213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Depreciation expense on property, plant and equipment of $84,511, $94,744 and $91,852 is included in cost of sales in the consolidated statements of operations for the years ended December 31, 2023, 2022 and 2021,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98"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The Partnership's goodwill balance was $5,814 at December 31, 2023 and 2022. The impairment assessment for the recorded goodwill was performed during the fourth quarter of 2023 and did not indicate impairment of the goodwill. The fair value of the reporting unit was calculated using both a discounted cash flow methodology and a market value methodology. The discounted cash flow projections were based on a long-term forecast to reflect the cyclicality of the Partnership's business. The forecast was based on projected market prices and spreads and estimates by management, including its strategic and operational plans. Other significant assumptions used in the discounted cash flow projection included sales volumes based on production capacities. The future cash flows were discounted to present value using a discount rate of 10.5%. The significant assumptions used in determining the fair value of the reporting unit using the market value methodology include the determination of appropriate market comparables and the estimated multiples of net income before interest expense, income taxes, depreciation and amortization (EBITDA) a willing buyer is likely to pay.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Deferred Charges and Other Assets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Turnaround costs, net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127,647</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130,159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Amortization expense on deferred charges and other assets of $25,692, $26,330 and $16,962 is included in cost of sales in the consolidated statements of operations for the years ended December 31, 2023, 2022 and 2021, respectively. Certain other assets are amortized over periods ranging from five to twenty years using the straight-line method.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20" w:firstLine="395"/>
        <w:spacing w:after="0" w:line="282" w:lineRule="auto"/>
        <w:rPr>
          <w:sz w:val="20"/>
          <w:szCs w:val="20"/>
          <w:color w:val="auto"/>
        </w:rPr>
      </w:pPr>
      <w:r>
        <w:rPr>
          <w:rFonts w:ascii="Times New Roman" w:cs="Times New Roman" w:eastAsia="Times New Roman" w:hAnsi="Times New Roman"/>
          <w:sz w:val="16"/>
          <w:szCs w:val="16"/>
          <w:color w:val="auto"/>
        </w:rPr>
        <w:t>On August 4, 2014, OpCo entered into a $600,000 senior unsecured revolving credit facility agreement with Westlake (as subsequently amended, the "OpCo Revolver"). On July 12, 2022, OpCo entered into the Second Amendment (the "OpCo Revolver Amendment") to the OpCo Revolver. Prior to the OpCo Revolver Amendment, the OpCo Revolver bore interest at the London Interbank Offered Rate ("LIBOR") plus 2.0%. The OpCo Revolver Amendment, among other things, extended the maturity date of the OpCo Revolver from September 25, 2023 to July 12, 2027 and provided for the replacement of LIBOR with the Secured Overnight Financing Rate, as administered by the Federal Reserve Bank of New York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 As of December 31, 2023, outstanding borrowings under the OpCo Revolver bore interest at SOFR plus the Applicable Margin and credit spread adjustment.</w:t>
      </w:r>
    </w:p>
    <w:p>
      <w:pPr>
        <w:spacing w:after="0" w:line="113" w:lineRule="exact"/>
        <w:rPr>
          <w:sz w:val="20"/>
          <w:szCs w:val="20"/>
          <w:color w:val="auto"/>
        </w:rPr>
      </w:pPr>
    </w:p>
    <w:p>
      <w:pPr>
        <w:ind w:firstLine="395"/>
        <w:spacing w:after="0" w:line="277" w:lineRule="auto"/>
        <w:rPr>
          <w:sz w:val="20"/>
          <w:szCs w:val="20"/>
          <w:color w:val="auto"/>
        </w:rPr>
      </w:pPr>
      <w:r>
        <w:rPr>
          <w:rFonts w:ascii="Times New Roman" w:cs="Times New Roman" w:eastAsia="Times New Roman" w:hAnsi="Times New Roman"/>
          <w:sz w:val="16"/>
          <w:szCs w:val="16"/>
          <w:color w:val="auto"/>
        </w:rPr>
        <w:t>On April 29, 2015, the Partnership entered into a $300,000 revolving credit facility agreement with an affiliate of Westlake (as subsequently amended, the "MLP Revolver") to fund the Partnership's purchase of an additional 2.7% newly-issued, limited partner interest in OpCo for $135,341. In 2017, the Partnership entered into an amendment to the MLP Revolver credit agreement, increasing borrowing capacity from $300,000 to $600,000. On March 29, 2019, the Partnership borrowed $123,511 under the MLP Revolver to partially fund the purchase of the additional 4.5% interest in OpCo. On July 12, 2022, the Partnership entered into the Fourth Amendment (the "MLP Revolver Amendment") to the MLP Revolver. Prior to the MLP Revolver Amendment, the MLP Revolver bore interest at a variable rate of either (a) LIBOR plus 2.0% or, if LIBOR were no longer available, (b) the Alternate Base Rate plus 1.0%. The MLP Revolver Amendment, among other things, extended the maturity date of the MLP Revolver from March 19, 2023 to July 12, 2027 and provided for the replacement of LIBOR with SOFR as the reference rate. Borrowings under the MLP Revolver now bear interest at a variable rate of either (a) SOFR plus the Applicable Margin plus a 0.10% credit spread adjustment or, if SOFR is no longer available, (b) the Alternate Base Rate plus the Applicable Margin minus</w:t>
      </w:r>
    </w:p>
    <w:p>
      <w:pPr>
        <w:spacing w:after="0" w:line="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1.0%. The Applicable Margin under the MLP Revolver varies between 1.75% and 2.75%, depending on the Partnership's Consolidated Leverage Ratio. As of December 31, 2023, outstanding borrowings under the MLP Revolver bore interest at SOFR plus the Applicable Margin and credit spread adjustment.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w:t>
      </w:r>
    </w:p>
    <w:p>
      <w:pPr>
        <w:spacing w:after="0" w:line="2"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18"/>
          <w:szCs w:val="18"/>
          <w:color w:val="auto"/>
        </w:rPr>
        <w:t>4.50:1.00 or less. The MLP Revolver also contains certain other customary covenants. The repayment of borrowings under the MLP Revolver is subject to acceleration upon the occurrence of an event of default.</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2023, the Partnership was in compliance with all of the covenants under the OpCo Revolver and the MLP Revolver.</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7.2% and 4.8% at December 31, 2023 and 2022, respectively.</w:t>
      </w:r>
    </w:p>
    <w:p>
      <w:pPr>
        <w:spacing w:after="0" w:line="161"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the Partnership had no scheduled maturities of long-term debt until 2027. The OpCo Revolver and the MLP Revolver are scheduled to mature on July 12, 2027.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Distributions and Net Income Per Limited Partner Unit</w:t>
      </w:r>
    </w:p>
    <w:p>
      <w:pPr>
        <w:spacing w:after="0" w:line="98"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On January 22, 2024, the board of directors of Westlake Chemical Partners GP LLC ("Westlake GP"), the Partnership's general partner, declared a quarterly cash distribution for the period from October 1, 2023 to December 31, 2023 of $0.4714 per common unit. This distribution was paid on February 20, 2024 to unitholders of record as of February 2, 2024.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25"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6"/>
              </w:rPr>
              <w:t>54,283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64,173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82,547</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6"/>
              </w:rPr>
              <w:t>66,421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66,403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66,388</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in excess of distribution (Distribution in excess of net income)</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357"/>
              <w:spacing w:after="0"/>
              <w:rPr>
                <w:sz w:val="20"/>
                <w:szCs w:val="20"/>
                <w:color w:val="auto"/>
              </w:rPr>
            </w:pPr>
            <w:r>
              <w:rPr>
                <w:rFonts w:ascii="Times New Roman" w:cs="Times New Roman" w:eastAsia="Times New Roman" w:hAnsi="Times New Roman"/>
                <w:sz w:val="18"/>
                <w:szCs w:val="18"/>
                <w:color w:val="auto"/>
                <w:w w:val="97"/>
              </w:rPr>
              <w:t>(12,138)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8"/>
              </w:rPr>
              <w:t>(2,230)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16,159</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6"/>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2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4"/>
                <w:szCs w:val="14"/>
                <w:b w:val="1"/>
                <w:bCs w:val="1"/>
                <w:color w:val="auto"/>
                <w:w w:val="99"/>
              </w:rPr>
              <w:t>Limited Partners'</w:t>
            </w:r>
          </w:p>
        </w:tc>
        <w:tc>
          <w:tcPr>
            <w:tcW w:w="100" w:type="dxa"/>
            <w:vAlign w:val="bottom"/>
          </w:tcPr>
          <w:p>
            <w:pPr>
              <w:spacing w:after="0"/>
              <w:rPr>
                <w:sz w:val="11"/>
                <w:szCs w:val="11"/>
                <w:color w:val="auto"/>
              </w:rPr>
            </w:pPr>
          </w:p>
        </w:tc>
        <w:tc>
          <w:tcPr>
            <w:tcW w:w="154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40" w:type="dxa"/>
            <w:vAlign w:val="bottom"/>
          </w:tcPr>
          <w:p>
            <w:pPr>
              <w:spacing w:after="0"/>
              <w:rPr>
                <w:sz w:val="11"/>
                <w:szCs w:val="11"/>
                <w:color w:val="auto"/>
              </w:rPr>
            </w:pP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66,421</w:t>
            </w:r>
          </w:p>
        </w:tc>
        <w:tc>
          <w:tcPr>
            <w:tcW w:w="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66,421</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0" w:type="dxa"/>
            <w:vAlign w:val="bottom"/>
          </w:tcPr>
          <w:p>
            <w:pPr>
              <w:spacing w:after="0"/>
              <w:rPr>
                <w:sz w:val="1"/>
                <w:szCs w:val="1"/>
                <w:color w:val="auto"/>
              </w:rPr>
            </w:pPr>
          </w:p>
        </w:tc>
      </w:tr>
      <w:tr>
        <w:trPr>
          <w:trHeight w:val="217"/>
        </w:trPr>
        <w:tc>
          <w:tcPr>
            <w:tcW w:w="4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35,224,340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35,224,340</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6"/>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ind w:right="59"/>
              <w:spacing w:after="0" w:line="125" w:lineRule="exact"/>
              <w:rPr>
                <w:sz w:val="20"/>
                <w:szCs w:val="20"/>
                <w:color w:val="auto"/>
              </w:rPr>
            </w:pPr>
            <w:r>
              <w:rPr>
                <w:rFonts w:ascii="Times New Roman" w:cs="Times New Roman" w:eastAsia="Times New Roman" w:hAnsi="Times New Roman"/>
                <w:sz w:val="14"/>
                <w:szCs w:val="14"/>
                <w:b w:val="1"/>
                <w:bCs w:val="1"/>
                <w:color w:val="auto"/>
                <w:w w:val="99"/>
              </w:rPr>
              <w:t>Limited Partners'</w:t>
            </w:r>
          </w:p>
        </w:tc>
        <w:tc>
          <w:tcPr>
            <w:tcW w:w="100" w:type="dxa"/>
            <w:vAlign w:val="bottom"/>
          </w:tcPr>
          <w:p>
            <w:pPr>
              <w:spacing w:after="0"/>
              <w:rPr>
                <w:sz w:val="10"/>
                <w:szCs w:val="10"/>
                <w:color w:val="auto"/>
              </w:rPr>
            </w:pPr>
          </w:p>
        </w:tc>
        <w:tc>
          <w:tcPr>
            <w:tcW w:w="154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40" w:type="dxa"/>
            <w:vAlign w:val="bottom"/>
          </w:tcPr>
          <w:p>
            <w:pPr>
              <w:spacing w:after="0"/>
              <w:rPr>
                <w:sz w:val="10"/>
                <w:szCs w:val="10"/>
                <w:color w:val="auto"/>
              </w:rPr>
            </w:pP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66,403</w:t>
            </w:r>
          </w:p>
        </w:tc>
        <w:tc>
          <w:tcPr>
            <w:tcW w:w="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66,403</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7"/>
        </w:trPr>
        <w:tc>
          <w:tcPr>
            <w:tcW w:w="4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35,217,336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35,217,336</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40" w:type="dxa"/>
            <w:vAlign w:val="bottom"/>
            <w:vMerge w:val="restart"/>
          </w:tcPr>
          <w:p>
            <w:pPr>
              <w:jc w:val="right"/>
              <w:ind w:right="912"/>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2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6"/>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right"/>
              <w:ind w:right="99"/>
              <w:spacing w:after="0" w:line="125"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0"/>
                <w:szCs w:val="10"/>
                <w:color w:val="auto"/>
              </w:rPr>
            </w:pPr>
          </w:p>
        </w:tc>
        <w:tc>
          <w:tcPr>
            <w:tcW w:w="154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40" w:type="dxa"/>
            <w:vAlign w:val="bottom"/>
          </w:tcPr>
          <w:p>
            <w:pPr>
              <w:spacing w:after="0"/>
              <w:rPr>
                <w:sz w:val="10"/>
                <w:szCs w:val="10"/>
                <w:color w:val="auto"/>
              </w:rPr>
            </w:pP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66,388</w:t>
            </w:r>
          </w:p>
        </w:tc>
        <w:tc>
          <w:tcPr>
            <w:tcW w:w="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66,388</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16,159</w:t>
            </w:r>
          </w:p>
        </w:tc>
        <w:tc>
          <w:tcPr>
            <w:tcW w:w="0" w:type="dxa"/>
            <w:vAlign w:val="bottom"/>
          </w:tcPr>
          <w:p>
            <w:pPr>
              <w:spacing w:after="0"/>
              <w:rPr>
                <w:sz w:val="1"/>
                <w:szCs w:val="1"/>
                <w:color w:val="auto"/>
              </w:rPr>
            </w:pPr>
          </w:p>
        </w:tc>
      </w:tr>
      <w:tr>
        <w:trPr>
          <w:trHeight w:val="21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82,547</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35,206,333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35,206,333</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operating surplus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4"/>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16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20" w:type="dxa"/>
            <w:vAlign w:val="bottom"/>
            <w:gridSpan w:val="2"/>
            <w:vMerge w:val="continue"/>
          </w:tcPr>
          <w:p>
            <w:pPr>
              <w:spacing w:after="0"/>
              <w:rPr>
                <w:sz w:val="16"/>
                <w:szCs w:val="16"/>
                <w:color w:val="auto"/>
              </w:rPr>
            </w:pP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4"/>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160" w:firstLine="395"/>
        <w:spacing w:after="0" w:line="332" w:lineRule="auto"/>
        <w:rPr>
          <w:sz w:val="20"/>
          <w:szCs w:val="20"/>
          <w:color w:val="auto"/>
        </w:rPr>
      </w:pPr>
      <w:r>
        <w:rPr>
          <w:rFonts w:ascii="Times New Roman" w:cs="Times New Roman" w:eastAsia="Times New Roman" w:hAnsi="Times New Roman"/>
          <w:sz w:val="16"/>
          <w:szCs w:val="16"/>
          <w:color w:val="auto"/>
        </w:rPr>
        <w:t>The Partnership's distribution for each quarter in the year ended December 31, 2023 did not exceed the $1.2938 per unit threshold, and, as a result, no distribution was made with respect to the Partnership's incentive distribution rights to Westlake, as the holder of the Partnership's incentive distribution rights.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Per Common Unit</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Distributions per common unit for the years ended December 31, 2023, 2022 and 2021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88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Partners' Equity</w:t>
      </w:r>
    </w:p>
    <w:p>
      <w:pPr>
        <w:spacing w:after="0" w:line="98" w:lineRule="exact"/>
        <w:rPr>
          <w:sz w:val="20"/>
          <w:szCs w:val="20"/>
          <w:color w:val="auto"/>
        </w:rPr>
      </w:pPr>
    </w:p>
    <w:p>
      <w:pPr>
        <w:ind w:right="20" w:firstLine="395"/>
        <w:spacing w:after="0" w:line="289" w:lineRule="auto"/>
        <w:rPr>
          <w:sz w:val="20"/>
          <w:szCs w:val="20"/>
          <w:color w:val="auto"/>
        </w:rPr>
      </w:pPr>
      <w:r>
        <w:rPr>
          <w:rFonts w:ascii="Times New Roman" w:cs="Times New Roman" w:eastAsia="Times New Roman" w:hAnsi="Times New Roman"/>
          <w:sz w:val="16"/>
          <w:szCs w:val="16"/>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To date, no common units have been issued under this program.</w:t>
      </w:r>
    </w:p>
    <w:p>
      <w:pPr>
        <w:spacing w:after="0" w:line="103"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Partnership and OpCo regularly enter into related party transactions with Westlake. See below for a description of transactions with related parties.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0"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Sales to related parties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1,026,586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right="240" w:firstLine="395"/>
        <w:spacing w:after="0" w:line="293" w:lineRule="auto"/>
        <w:rPr>
          <w:sz w:val="20"/>
          <w:szCs w:val="20"/>
          <w:color w:val="auto"/>
        </w:rPr>
      </w:pPr>
      <w:r>
        <w:rPr>
          <w:rFonts w:ascii="Times New Roman" w:cs="Times New Roman" w:eastAsia="Times New Roman" w:hAnsi="Times New Roman"/>
          <w:sz w:val="16"/>
          <w:szCs w:val="16"/>
          <w:color w:val="auto"/>
        </w:rPr>
        <w:t>Based on OpCo's 2022 production, the Partnership recognized buyer deficiency fees of $23,835 during the year ended December 31, 2022. The buyer deficiency fee is measured periodically based upon the lower of the actual production deficiency at period end or the estimated annual production deficiency based upon OpCo's annual anticipated production. These periodic estimates are updated at the end of the year based on actual annual production. The buyer deficiency fees are classified as a component of net sales—Westlake. The buyer deficiency fee was received by the Partnership in January 2023.</w:t>
      </w:r>
    </w:p>
    <w:p>
      <w:pPr>
        <w:spacing w:after="0" w:line="10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OpCo declared force majeure events in 2021 related to the flash fire at OpCo's Petro 2 facility, OpCo's Petro 1 facility outage, and due to the severe winter storm. As a result of these force majeure events in 2021, the Partnership recognized revenue for a buyer deficiency fee and Shortfall in 2021 of $51,395 and of $58,906, respectively. The buyer deficiency fee is measured periodically based upon the lower of the actual production deficiency at period end or the estimated annual production deficiency based upon OpCo's annual anticipated production. These periodic estimates are updated at the end of the year based on actual annual production. The buyer deficiency fees and Shortfall are classified as a component of net sales—Westlake. The buyer deficiency fee recognized in 2021 was received by the Partnership in January 2022 and out of the total Shortfall of $58,906 recognized in 2021, $51,713 was received by the Partnership in 2022 and $7,004 was received in 2023 pursuant to the terms of the Ethylene Sales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87" w:lineRule="exact"/>
        <w:rPr>
          <w:sz w:val="20"/>
          <w:szCs w:val="20"/>
          <w:color w:val="auto"/>
        </w:rPr>
      </w:pPr>
    </w:p>
    <w:p>
      <w:pPr>
        <w:ind w:right="700" w:firstLine="395"/>
        <w:spacing w:after="0" w:line="268"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Charges from related parties in cost of sales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6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16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404,359</w:t>
            </w:r>
          </w:p>
        </w:tc>
        <w:tc>
          <w:tcPr>
            <w:tcW w:w="0" w:type="dxa"/>
            <w:vAlign w:val="bottom"/>
          </w:tcPr>
          <w:p>
            <w:pPr>
              <w:spacing w:after="0"/>
              <w:rPr>
                <w:sz w:val="1"/>
                <w:szCs w:val="1"/>
                <w:color w:val="auto"/>
              </w:rPr>
            </w:pPr>
          </w:p>
        </w:tc>
      </w:tr>
      <w:tr>
        <w:trPr>
          <w:trHeight w:val="224"/>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1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130,541</w:t>
            </w:r>
          </w:p>
        </w:tc>
        <w:tc>
          <w:tcPr>
            <w:tcW w:w="0" w:type="dxa"/>
            <w:vAlign w:val="bottom"/>
          </w:tcPr>
          <w:p>
            <w:pPr>
              <w:spacing w:after="0"/>
              <w:rPr>
                <w:sz w:val="1"/>
                <w:szCs w:val="1"/>
                <w:color w:val="auto"/>
              </w:rPr>
            </w:pPr>
          </w:p>
        </w:tc>
      </w:tr>
      <w:tr>
        <w:trPr>
          <w:trHeight w:val="24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534,900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912"/>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506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87"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7"/>
        </w:trPr>
        <w:tc>
          <w:tcPr>
            <w:tcW w:w="67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Services received from Westlake and included in selling, general and</w:t>
            </w:r>
          </w:p>
        </w:tc>
        <w:tc>
          <w:tcPr>
            <w:tcW w:w="880" w:type="dxa"/>
            <w:vAlign w:val="bottom"/>
            <w:vMerge w:val="restart"/>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27,085</w:t>
            </w: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w:t>
            </w:r>
          </w:p>
        </w:tc>
        <w:tc>
          <w:tcPr>
            <w:tcW w:w="0" w:type="dxa"/>
            <w:vAlign w:val="bottom"/>
          </w:tcPr>
          <w:p>
            <w:pPr>
              <w:spacing w:after="0"/>
              <w:rPr>
                <w:sz w:val="1"/>
                <w:szCs w:val="1"/>
                <w:color w:val="auto"/>
              </w:rPr>
            </w:pPr>
          </w:p>
        </w:tc>
      </w:tr>
      <w:tr>
        <w:trPr>
          <w:trHeight w:val="231"/>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administrative expenses</w:t>
            </w:r>
          </w:p>
        </w:tc>
        <w:tc>
          <w:tcPr>
            <w:tcW w:w="880" w:type="dxa"/>
            <w:vAlign w:val="bottom"/>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100" w:lineRule="exact"/>
        <w:rPr>
          <w:sz w:val="20"/>
          <w:szCs w:val="20"/>
          <w:color w:val="auto"/>
        </w:rPr>
      </w:pPr>
    </w:p>
    <w:p>
      <w:pPr>
        <w:jc w:val="both"/>
        <w:ind w:right="80" w:firstLine="395"/>
        <w:spacing w:after="0" w:line="268"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p>
        </w:tc>
        <w:tc>
          <w:tcPr>
            <w:tcW w:w="92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00"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$1,272 and $940 was included in the receivable under the Investment Management Agreement balance at December 31, 2023 and 2022, respectively. Total interest earned related to the Investment Management Agreement was $4,424, $1,875 and $296 for the years ended December 31, 2023, 2022 and 2021, respectively.</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1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30480</wp:posOffset>
            </wp:positionV>
            <wp:extent cx="18884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0"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67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6" w:lineRule="exact"/>
        <w:rPr>
          <w:sz w:val="20"/>
          <w:szCs w:val="20"/>
          <w:color w:val="auto"/>
        </w:rPr>
      </w:pPr>
    </w:p>
    <w:p>
      <w:pPr>
        <w:ind w:left="20"/>
        <w:spacing w:after="0"/>
        <w:tabs>
          <w:tab w:leader="none" w:pos="8260" w:val="left"/>
          <w:tab w:leader="none" w:pos="9140" w:val="left"/>
          <w:tab w:leader="none" w:pos="9800" w:val="left"/>
          <w:tab w:leader="none" w:pos="10680" w:val="left"/>
        </w:tabs>
        <w:rPr>
          <w:sz w:val="20"/>
          <w:szCs w:val="20"/>
          <w:color w:val="auto"/>
        </w:rPr>
      </w:pPr>
      <w:r>
        <w:rPr>
          <w:rFonts w:ascii="Times New Roman" w:cs="Times New Roman" w:eastAsia="Times New Roman" w:hAnsi="Times New Roman"/>
          <w:sz w:val="18"/>
          <w:szCs w:val="18"/>
          <w:color w:val="auto"/>
        </w:rPr>
        <w:t>Receivable under the Investment Management Agreement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94,444</w:t>
        <w:tab/>
        <w:t>$</w:t>
      </w:r>
      <w:r>
        <w:rPr>
          <w:sz w:val="20"/>
          <w:szCs w:val="20"/>
          <w:color w:val="auto"/>
        </w:rPr>
        <w:tab/>
      </w:r>
      <w:r>
        <w:rPr>
          <w:rFonts w:ascii="Times New Roman" w:cs="Times New Roman" w:eastAsia="Times New Roman" w:hAnsi="Times New Roman"/>
          <w:sz w:val="16"/>
          <w:szCs w:val="16"/>
          <w:color w:val="auto"/>
        </w:rPr>
        <w:t>64,996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38735</wp:posOffset>
            </wp:positionV>
            <wp:extent cx="18884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87"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any buyer deficiency fee and Shortfall recognized under the Ethylene Sales Agreement. As discussed above under "Sales to Related Parties", the buyer deficiency fee for the year ended December 31, 2022 was received by the Partnership in January 2023. Further, out of the total Shortfall recognized in 2021, $7,193 remained to be collected by the Partnership as of December 31, 2022. Of this amount, $7,004 was received during the year ended December 31, 2023 pursuant to the terms of the Ethylene Sales Agreement.</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9"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30480</wp:posOffset>
            </wp:positionV>
            <wp:extent cx="18884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0"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67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6" w:lineRule="exact"/>
        <w:rPr>
          <w:sz w:val="20"/>
          <w:szCs w:val="20"/>
          <w:color w:val="auto"/>
        </w:rPr>
      </w:pPr>
    </w:p>
    <w:p>
      <w:pPr>
        <w:ind w:left="20"/>
        <w:spacing w:after="0"/>
        <w:tabs>
          <w:tab w:leader="none" w:pos="8260" w:val="left"/>
          <w:tab w:leader="none" w:pos="9140" w:val="left"/>
          <w:tab w:leader="none" w:pos="9800" w:val="left"/>
          <w:tab w:leader="none" w:pos="10680" w:val="left"/>
        </w:tabs>
        <w:rPr>
          <w:sz w:val="20"/>
          <w:szCs w:val="20"/>
          <w:color w:val="auto"/>
        </w:rPr>
      </w:pPr>
      <w:r>
        <w:rPr>
          <w:rFonts w:ascii="Times New Roman" w:cs="Times New Roman" w:eastAsia="Times New Roman" w:hAnsi="Times New Roman"/>
          <w:sz w:val="18"/>
          <w:szCs w:val="18"/>
          <w:color w:val="auto"/>
        </w:rPr>
        <w:t>Accounts receivable—Westlake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49,565</w:t>
        <w:tab/>
        <w:t>$</w:t>
      </w:r>
      <w:r>
        <w:rPr>
          <w:sz w:val="20"/>
          <w:szCs w:val="20"/>
          <w:color w:val="auto"/>
        </w:rPr>
        <w:tab/>
      </w:r>
      <w:r>
        <w:rPr>
          <w:rFonts w:ascii="Times New Roman" w:cs="Times New Roman" w:eastAsia="Times New Roman" w:hAnsi="Times New Roman"/>
          <w:sz w:val="16"/>
          <w:szCs w:val="16"/>
          <w:color w:val="auto"/>
        </w:rPr>
        <w:t>90,965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38735</wp:posOffset>
            </wp:positionV>
            <wp:extent cx="18884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87"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9"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30480</wp:posOffset>
            </wp:positionV>
            <wp:extent cx="18884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0"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67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6" w:lineRule="exact"/>
        <w:rPr>
          <w:sz w:val="20"/>
          <w:szCs w:val="20"/>
          <w:color w:val="auto"/>
        </w:rPr>
      </w:pPr>
    </w:p>
    <w:p>
      <w:pPr>
        <w:ind w:left="20"/>
        <w:spacing w:after="0"/>
        <w:tabs>
          <w:tab w:leader="none" w:pos="8260" w:val="left"/>
          <w:tab w:leader="none" w:pos="9140" w:val="left"/>
          <w:tab w:leader="none" w:pos="9800" w:val="left"/>
          <w:tab w:leader="none" w:pos="10680" w:val="left"/>
        </w:tabs>
        <w:rPr>
          <w:sz w:val="20"/>
          <w:szCs w:val="20"/>
          <w:color w:val="auto"/>
        </w:rPr>
      </w:pPr>
      <w:r>
        <w:rPr>
          <w:rFonts w:ascii="Times New Roman" w:cs="Times New Roman" w:eastAsia="Times New Roman" w:hAnsi="Times New Roman"/>
          <w:sz w:val="18"/>
          <w:szCs w:val="18"/>
          <w:color w:val="auto"/>
        </w:rPr>
        <w:t>Accounts payable—Westlake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15,166</w:t>
        <w:tab/>
        <w:t>$</w:t>
      </w:r>
      <w:r>
        <w:rPr>
          <w:sz w:val="20"/>
          <w:szCs w:val="20"/>
          <w:color w:val="auto"/>
        </w:rPr>
        <w:tab/>
      </w:r>
      <w:r>
        <w:rPr>
          <w:rFonts w:ascii="Times New Roman" w:cs="Times New Roman" w:eastAsia="Times New Roman" w:hAnsi="Times New Roman"/>
          <w:sz w:val="16"/>
          <w:szCs w:val="16"/>
          <w:color w:val="auto"/>
        </w:rPr>
        <w:t>34,087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38735</wp:posOffset>
            </wp:positionV>
            <wp:extent cx="18884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8 for a description of related party debt payable balances.</w:t>
      </w:r>
    </w:p>
    <w:p>
      <w:pPr>
        <w:spacing w:after="0" w:line="161"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years ended December 31, 2023, 2022 and 2021 was $26,501, $13,407 and $8,816, respectively. Interest on related party debt payable is presented as interest expense—Westlake in the consolidated statements of operations. At December 31, 2023 and 2022, accrued interest on related party debt was $6,675 and $4,733, respectively, and is reflected as a component of accrued and other liabilities in the consolidated balance sheets.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29"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30480</wp:posOffset>
            </wp:positionV>
            <wp:extent cx="18884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0"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67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6" w:lineRule="exact"/>
        <w:rPr>
          <w:sz w:val="20"/>
          <w:szCs w:val="20"/>
          <w:color w:val="auto"/>
        </w:rPr>
      </w:pPr>
    </w:p>
    <w:p>
      <w:pPr>
        <w:ind w:left="20"/>
        <w:spacing w:after="0"/>
        <w:tabs>
          <w:tab w:leader="none" w:pos="8260" w:val="left"/>
          <w:tab w:leader="none" w:pos="9040" w:val="left"/>
          <w:tab w:leader="none" w:pos="9800" w:val="left"/>
          <w:tab w:leader="none" w:pos="10580" w:val="left"/>
        </w:tabs>
        <w:rPr>
          <w:sz w:val="20"/>
          <w:szCs w:val="20"/>
          <w:color w:val="auto"/>
        </w:rPr>
      </w:pPr>
      <w:r>
        <w:rPr>
          <w:rFonts w:ascii="Times New Roman" w:cs="Times New Roman" w:eastAsia="Times New Roman" w:hAnsi="Times New Roman"/>
          <w:sz w:val="18"/>
          <w:szCs w:val="18"/>
          <w:color w:val="auto"/>
        </w:rPr>
        <w:t>Long-term debt payable to 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399,674</w:t>
        <w:tab/>
        <w:t>$</w:t>
      </w:r>
      <w:r>
        <w:rPr>
          <w:sz w:val="20"/>
          <w:szCs w:val="20"/>
          <w:color w:val="auto"/>
        </w:rPr>
        <w:tab/>
      </w:r>
      <w:r>
        <w:rPr>
          <w:rFonts w:ascii="Times New Roman" w:cs="Times New Roman" w:eastAsia="Times New Roman" w:hAnsi="Times New Roman"/>
          <w:sz w:val="16"/>
          <w:szCs w:val="16"/>
          <w:color w:val="auto"/>
        </w:rPr>
        <w:t>399,674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38735</wp:posOffset>
            </wp:positionV>
            <wp:extent cx="18884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0"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cars and land. Operating lease rentals paid to Westlake for such leases were $1,869, $2,624 and $3,037 for the years ended December 31, 2023, 2022 and 2021, respectively, and are reflected in other charges from Westlake that are included in cost of sales.</w:t>
      </w:r>
    </w:p>
    <w:p>
      <w:pPr>
        <w:spacing w:after="0" w:line="127"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100"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2023, 2022 and 2021, Westlake accounted for approximately 86.2%, 84.3% and 84.5%, respectively, of the Partnership's net sales.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87"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Partnership reimbursed $347, $243 and $186, respectively, to Westlake for certain state tax payments.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10 above for an additional related party transaction.</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Unit-based Compensation</w:t>
      </w:r>
    </w:p>
    <w:p>
      <w:pPr>
        <w:spacing w:after="0" w:line="85"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The phantom units along with a corresponding number of DERs were granted to certain non-employee directors of the general partner of the Partnership during the years ended December 31, 2023, 2022 and 2021. These phantom units vest on the first anniversary of the grant date. There were no forfeitures under the Plan during 2023, 2022 and 2021. The total fair value of phantom units that vested during the year ended December 31, 2023 was $278.</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Non-vested phantom unit awards as of December 31, 2023 and 2022 and changes during the respective periods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90"/>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7"/>
              </w:rPr>
              <w:t>Average Fair Value</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2021</w:t>
            </w:r>
          </w:p>
        </w:tc>
        <w:tc>
          <w:tcPr>
            <w:tcW w:w="1440" w:type="dxa"/>
            <w:vAlign w:val="bottom"/>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6"/>
              </w:rPr>
              <w:t>11,178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center"/>
              <w:ind w:left="756"/>
              <w:spacing w:after="0"/>
              <w:rPr>
                <w:sz w:val="20"/>
                <w:szCs w:val="20"/>
                <w:color w:val="auto"/>
              </w:rPr>
            </w:pPr>
            <w:r>
              <w:rPr>
                <w:rFonts w:ascii="Times New Roman" w:cs="Times New Roman" w:eastAsia="Times New Roman" w:hAnsi="Times New Roman"/>
                <w:sz w:val="18"/>
                <w:szCs w:val="18"/>
                <w:color w:val="auto"/>
                <w:w w:val="96"/>
              </w:rPr>
              <w:t>12,531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97"/>
              </w:rPr>
              <w:t>(11,178)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2022</w:t>
            </w:r>
          </w:p>
        </w:tc>
        <w:tc>
          <w:tcPr>
            <w:tcW w:w="1440" w:type="dxa"/>
            <w:vAlign w:val="bottom"/>
          </w:tcPr>
          <w:p>
            <w:pPr>
              <w:jc w:val="center"/>
              <w:ind w:left="756"/>
              <w:spacing w:after="0"/>
              <w:rPr>
                <w:sz w:val="20"/>
                <w:szCs w:val="20"/>
                <w:color w:val="auto"/>
              </w:rPr>
            </w:pPr>
            <w:r>
              <w:rPr>
                <w:rFonts w:ascii="Times New Roman" w:cs="Times New Roman" w:eastAsia="Times New Roman" w:hAnsi="Times New Roman"/>
                <w:sz w:val="18"/>
                <w:szCs w:val="18"/>
                <w:color w:val="auto"/>
                <w:w w:val="96"/>
              </w:rPr>
              <w:t>12,531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6"/>
              </w:rPr>
              <w:t>18,564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center"/>
              <w:ind w:left="716"/>
              <w:spacing w:after="0"/>
              <w:rPr>
                <w:sz w:val="20"/>
                <w:szCs w:val="20"/>
                <w:color w:val="auto"/>
              </w:rPr>
            </w:pPr>
            <w:r>
              <w:rPr>
                <w:rFonts w:ascii="Times New Roman" w:cs="Times New Roman" w:eastAsia="Times New Roman" w:hAnsi="Times New Roman"/>
                <w:sz w:val="18"/>
                <w:szCs w:val="18"/>
                <w:color w:val="auto"/>
                <w:w w:val="97"/>
              </w:rPr>
              <w:t>(12,531)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2023</w:t>
            </w:r>
          </w:p>
        </w:tc>
        <w:tc>
          <w:tcPr>
            <w:tcW w:w="1440" w:type="dxa"/>
            <w:vAlign w:val="bottom"/>
            <w:tcBorders>
              <w:bottom w:val="single" w:sz="8" w:color="auto"/>
            </w:tcBorders>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6"/>
              </w:rPr>
              <w:t>18,564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32" w:lineRule="exact"/>
        <w:rPr>
          <w:sz w:val="20"/>
          <w:szCs w:val="20"/>
          <w:color w:val="auto"/>
        </w:rPr>
      </w:pPr>
    </w:p>
    <w:p>
      <w:pPr>
        <w:jc w:val="both"/>
        <w:ind w:right="80" w:firstLine="395"/>
        <w:spacing w:after="0" w:line="268" w:lineRule="auto"/>
        <w:rPr>
          <w:sz w:val="20"/>
          <w:szCs w:val="20"/>
          <w:color w:val="auto"/>
        </w:rPr>
      </w:pPr>
      <w:r>
        <w:rPr>
          <w:rFonts w:ascii="Times New Roman" w:cs="Times New Roman" w:eastAsia="Times New Roman" w:hAnsi="Times New Roman"/>
          <w:sz w:val="18"/>
          <w:szCs w:val="18"/>
          <w:color w:val="auto"/>
        </w:rPr>
        <w:t>Each phantom unit represents the right to receive, upon vesting, either a cash payment equal to the fair market value of one Partnership common unit or a Partnership common unit. Each DER has distribution rights only so long as the phantom units to which it relates to has not vested or been settled.</w:t>
      </w:r>
    </w:p>
    <w:p>
      <w:pPr>
        <w:spacing w:after="0" w:line="11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awards, which are classified as liability awards for financial accounting purposes, are re-measured at each reporting date until they vest. The total units available for grant at December 31, 2023 were 1,198,853. The total compensation cost recognized during the years ended December 31, 2023, 2022 and 2021 was $349, $282 and $436, respectively, and is included in selling, general and administrative expenses and the related liability is classified as accrued and other liabilities in the consolidated financial statements of the Partnership. The unrecognized compensation cost associated with all grants under the Plan at December 31, 2023 was $214 and the weighted average remaining term of the units at December 31, 2023 was 0.6 years.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85"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25"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December 31, 2023 and December 31, 2022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5"/>
        </w:trPr>
        <w:tc>
          <w:tcPr>
            <w:tcW w:w="51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444"/>
              <w:spacing w:after="0" w:line="125"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464"/>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w:t>
            </w:r>
          </w:p>
        </w:tc>
      </w:tr>
      <w:tr>
        <w:trPr>
          <w:trHeight w:val="191"/>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520" w:type="dxa"/>
            <w:vAlign w:val="bottom"/>
          </w:tcPr>
          <w:p>
            <w:pPr>
              <w:spacing w:after="0"/>
              <w:rPr>
                <w:sz w:val="16"/>
                <w:szCs w:val="16"/>
                <w:color w:val="auto"/>
              </w:rPr>
            </w:pPr>
          </w:p>
        </w:tc>
        <w:tc>
          <w:tcPr>
            <w:tcW w:w="10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540" w:type="dxa"/>
            <w:vAlign w:val="bottom"/>
          </w:tcPr>
          <w:p>
            <w:pPr>
              <w:spacing w:after="0"/>
              <w:rPr>
                <w:sz w:val="16"/>
                <w:szCs w:val="16"/>
                <w:color w:val="auto"/>
              </w:rPr>
            </w:pPr>
          </w:p>
        </w:tc>
        <w:tc>
          <w:tcPr>
            <w:tcW w:w="900" w:type="dxa"/>
            <w:vAlign w:val="bottom"/>
          </w:tcPr>
          <w:p>
            <w:pPr>
              <w:jc w:val="center"/>
              <w:ind w:right="464"/>
              <w:spacing w:after="0"/>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408,110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405,879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98" w:lineRule="exact"/>
        <w:rPr>
          <w:sz w:val="20"/>
          <w:szCs w:val="20"/>
          <w:color w:val="auto"/>
        </w:rPr>
      </w:pPr>
    </w:p>
    <w:p>
      <w:pPr>
        <w:ind w:right="320" w:firstLine="395"/>
        <w:spacing w:after="0" w:line="268" w:lineRule="auto"/>
        <w:rPr>
          <w:sz w:val="20"/>
          <w:szCs w:val="20"/>
          <w:color w:val="auto"/>
        </w:rPr>
      </w:pPr>
      <w:r>
        <w:rPr>
          <w:rFonts w:ascii="Times New Roman" w:cs="Times New Roman" w:eastAsia="Times New Roman" w:hAnsi="Times New Roman"/>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income tax of the Partnership are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98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837</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561</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(12)</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549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reconciliation of income tax expense at the U.S. statutory rate to the income tax expense is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federal income tax, at statutory rate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84,406</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provision, net of federal income tax effect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income not subject to entity-level federal income tax</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(84,406)</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tax effects of the principal temporary differences between financial reporting and income tax reporting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2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24"/>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Turnaround costs</w:t>
            </w:r>
          </w:p>
        </w:tc>
        <w:tc>
          <w:tcPr>
            <w:tcW w:w="43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2"/>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classifications</w:t>
            </w:r>
          </w:p>
        </w:tc>
        <w:tc>
          <w:tcPr>
            <w:tcW w:w="4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5220" w:type="dxa"/>
            <w:vAlign w:val="bottom"/>
            <w:gridSpan w:val="2"/>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(1,632)</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42"/>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3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452"/>
              <w:spacing w:after="0"/>
              <w:rPr>
                <w:sz w:val="20"/>
                <w:szCs w:val="20"/>
                <w:color w:val="auto"/>
              </w:rPr>
            </w:pPr>
            <w:r>
              <w:rPr>
                <w:rFonts w:ascii="Times New Roman" w:cs="Times New Roman" w:eastAsia="Times New Roman" w:hAnsi="Times New Roman"/>
                <w:sz w:val="18"/>
                <w:szCs w:val="18"/>
                <w:color w:val="auto"/>
              </w:rPr>
              <w:t>69</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39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2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980" w:firstLine="5"/>
        <w:spacing w:after="0" w:line="387" w:lineRule="auto"/>
        <w:tabs>
          <w:tab w:leader="none" w:pos="263"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Supplemental Information </w:t>
      </w:r>
      <w:r>
        <w:rPr>
          <w:rFonts w:ascii="Times New Roman" w:cs="Times New Roman" w:eastAsia="Times New Roman" w:hAnsi="Times New Roman"/>
          <w:sz w:val="16"/>
          <w:szCs w:val="16"/>
          <w:b w:val="1"/>
          <w:bCs w:val="1"/>
          <w:i w:val="1"/>
          <w:iCs w:val="1"/>
          <w:color w:val="auto"/>
        </w:rPr>
        <w:t>Accrued and Other Liabilities</w:t>
      </w:r>
    </w:p>
    <w:p>
      <w:pPr>
        <w:spacing w:after="0" w:line="1"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Accrued and other liabilities were $24,980 and $17,537 at December 31, 2023 and 2022, respectively. Accrued maintenance expense, accrued capital expenditures, accrued interest on related party debt and accrued taxes, which are components of accrued and other liabilities, were $5,170, $4,627, $6,675 and $3,033 at December 31, 2023, respectively, and were $3,752, $2,442, $4,733 and $2,652 at December 31, 2022, respectively. No other component of accrued and other liabilities was more than five percent of total current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0"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$7,809, $6,372, and $14,415 at December 31, 2023, 2022, and 2021,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Income Taxes</w:t>
      </w:r>
    </w:p>
    <w:p>
      <w:pPr>
        <w:spacing w:after="0" w:line="87"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Interest paid by the Partnership, net of interest capitalized, was $24,537, $10,850 and $8,976 for the years ended December 31, 2023, 2022 and 2021, respectively. Income tax paid by the Partnership was $827, $683 and $676 for the years ended December 31, 2023, 2022 and 2021, respectively, of which $480, $440 and $490 was paid directly to the tax authorities for the years ended December 31, 2023, 2022 and 2021, and $347, $243 and $186 was paid to Westlake as reimbursements for the years ended December 31, 2023, 2022 and 2021.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00"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obligations were $5,079, $0 and $0 for the years ended December 31, 2023, 2022 and 2021,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98" w:lineRule="exact"/>
        <w:rPr>
          <w:sz w:val="20"/>
          <w:szCs w:val="20"/>
          <w:color w:val="auto"/>
        </w:rPr>
      </w:pPr>
    </w:p>
    <w:p>
      <w:pPr>
        <w:ind w:right="60" w:firstLine="395"/>
        <w:spacing w:after="0" w:line="282" w:lineRule="auto"/>
        <w:rPr>
          <w:sz w:val="20"/>
          <w:szCs w:val="20"/>
          <w:color w:val="auto"/>
        </w:rPr>
      </w:pPr>
      <w:r>
        <w:rPr>
          <w:rFonts w:ascii="Times New Roman" w:cs="Times New Roman" w:eastAsia="Times New Roman" w:hAnsi="Times New Roman"/>
          <w:sz w:val="16"/>
          <w:szCs w:val="16"/>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liabilities that occurred or existed prior to August 4, 2014.</w:t>
      </w:r>
    </w:p>
    <w:p>
      <w:pPr>
        <w:spacing w:after="0" w:line="113"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In September 2021, shortly after the turnaround on OpCo's Petro 2 facility commenced, there was a flash fire at the quench tower of the Petro 2 facility. Contractors and employees working on and near the quench tower were injured and multiple lawsuits were filed against Westlake and OpCo. Final settlements were reached with all of the plaintiffs to fully resolve the lawsuits by Westlake, but payment by the insurance carriers has not yet been completed. Westlake is responsible for indemnifying the Partnership in connection to any loss OpCo may have incurred as a result of the fire.</w:t>
      </w:r>
    </w:p>
    <w:p>
      <w:pPr>
        <w:spacing w:after="0" w:line="131"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87" w:lineRule="exact"/>
        <w:rPr>
          <w:sz w:val="20"/>
          <w:szCs w:val="20"/>
          <w:color w:val="auto"/>
        </w:rPr>
      </w:pPr>
    </w:p>
    <w:p>
      <w:pPr>
        <w:ind w:right="380" w:firstLine="395"/>
        <w:spacing w:after="0" w:line="268" w:lineRule="auto"/>
        <w:rPr>
          <w:sz w:val="20"/>
          <w:szCs w:val="20"/>
          <w:color w:val="auto"/>
        </w:rPr>
      </w:pPr>
      <w:r>
        <w:rPr>
          <w:rFonts w:ascii="Times New Roman" w:cs="Times New Roman" w:eastAsia="Times New Roman" w:hAnsi="Times New Roman"/>
          <w:sz w:val="18"/>
          <w:szCs w:val="18"/>
          <w:color w:val="auto"/>
        </w:rPr>
        <w:t>The Partnership has various purchase commitments for its capital projects and for materials, supplies and services incident to the ordinary conduct of business.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85"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Exchange Act, as of the end of the period covered by this Annual Report on Form 10-K. Based upon that evaluation, our President and Chief Executive Officer and our Executive Vice President and Chief Financial Officer concluded that our disclosure controls and procedures were effective as of December 31, 2023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98"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Management's report on internal control over financial reporting appears on page 46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2023, as stated in their report that appears on page 47 of this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8" w:lineRule="exact"/>
        <w:rPr>
          <w:sz w:val="20"/>
          <w:szCs w:val="20"/>
          <w:color w:val="auto"/>
        </w:rPr>
      </w:pPr>
    </w:p>
    <w:p>
      <w:pPr>
        <w:ind w:right="700" w:firstLine="395"/>
        <w:spacing w:after="0" w:line="26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2023,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83" w:lineRule="exact"/>
        <w:rPr>
          <w:sz w:val="20"/>
          <w:szCs w:val="20"/>
          <w:color w:val="auto"/>
        </w:rPr>
      </w:pPr>
    </w:p>
    <w:p>
      <w:pPr>
        <w:ind w:right="20" w:firstLine="395"/>
        <w:spacing w:after="0" w:line="335" w:lineRule="auto"/>
        <w:rPr>
          <w:sz w:val="20"/>
          <w:szCs w:val="20"/>
          <w:color w:val="auto"/>
        </w:rPr>
      </w:pPr>
      <w:r>
        <w:rPr>
          <w:rFonts w:ascii="Times New Roman" w:cs="Times New Roman" w:eastAsia="Times New Roman" w:hAnsi="Times New Roman"/>
          <w:sz w:val="16"/>
          <w:szCs w:val="16"/>
          <w:i w:val="1"/>
          <w:iCs w:val="1"/>
          <w:color w:val="auto"/>
        </w:rPr>
        <w:t>Rule 10b5-1 Trading Arrangements</w:t>
      </w:r>
      <w:r>
        <w:rPr>
          <w:rFonts w:ascii="Times New Roman" w:cs="Times New Roman" w:eastAsia="Times New Roman" w:hAnsi="Times New Roman"/>
          <w:sz w:val="16"/>
          <w:szCs w:val="16"/>
          <w:color w:val="auto"/>
        </w:rPr>
        <w:t>. During the three months ended December 31, 2023, no director or officer of the Partnership's general partner adopted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terminated a "Rule 10b5-1 trading arrangement" or "non-Rule 10b5-1 trading arrangement," as each term is defined in Item 408 of Regulation 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85"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are managed and operated by the board of directors and executive officers of our general partner, Westlake Chemical Partners GP LLC, a wholly-owned subsidiary of Westlake. As a result of owning our general partner, Westlake has the right to appoint all members of the board of directors of our general partner (the "board of directors"), including at least three directors meeting the independence standards established by the NYSE and the Exchange Act.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3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Our general partner has seven directors, three of whom are independent as defined under the standards established by the NYSE and the Exchange Act. The NYSE does not require a listed, publicly-traded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3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3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reimburse our general partner and its affiliates, including Westlake, for all expenses they incur and payments they make on our behalf. The Partnership Agreement does not set a limit on the amount of expenses for which our general partner and its affiliates may be reimbursed. For the year ended December 31, 2023, we paid approximately $194.1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33" w:lineRule="exact"/>
        <w:rPr>
          <w:sz w:val="20"/>
          <w:szCs w:val="20"/>
          <w:color w:val="auto"/>
        </w:rPr>
      </w:pPr>
    </w:p>
    <w:p>
      <w:pPr>
        <w:ind w:right="580" w:firstLine="395"/>
        <w:spacing w:after="0" w:line="256" w:lineRule="auto"/>
        <w:rPr>
          <w:sz w:val="20"/>
          <w:szCs w:val="20"/>
          <w:color w:val="auto"/>
        </w:rPr>
      </w:pPr>
      <w:r>
        <w:rPr>
          <w:rFonts w:ascii="Times New Roman" w:cs="Times New Roman" w:eastAsia="Times New Roman" w:hAnsi="Times New Roman"/>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Our General Partner</w:t>
      </w:r>
    </w:p>
    <w:p>
      <w:pPr>
        <w:spacing w:after="0" w:line="98"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The following table shows information for the executive officers and directors of our general partner as of February 28, 2024. Directors hold office until their successors have been elected or qualified or until the earlier of their death, resignation, removal or disqualification. Executive officers serve at the discretion of the board. The President, Chief Executive Officer and Director and the Chairman of the Board of Directors are brothers. Otherwise, there are no familial relationships among any of our general partner's directors or executive officers. Some of the directors and most of the executive officers of our general partner also serve as executive officers of Westlake. The directors and executive officers of our general partner have a fiduciary duty to manage our general partner in a manner beneficial to Westlake. Please read "Item 1A. Risk Factors—Risks Relating to Our Partnership Structure." Each director and executive officer of our general partner will be fully indemnified by us for actions associated with being a director or executive officer to the fullest extent permitted under Delaware law pursuant to the Partnership Agreement.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Age (as of February 28,</w:t>
            </w:r>
          </w:p>
        </w:tc>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With Our General Partner</w:t>
            </w:r>
          </w:p>
        </w:tc>
        <w:tc>
          <w:tcPr>
            <w:tcW w:w="0" w:type="dxa"/>
            <w:vAlign w:val="bottom"/>
          </w:tcPr>
          <w:p>
            <w:pPr>
              <w:spacing w:after="0"/>
              <w:rPr>
                <w:sz w:val="1"/>
                <w:szCs w:val="1"/>
                <w:color w:val="auto"/>
              </w:rPr>
            </w:pPr>
          </w:p>
        </w:tc>
      </w:tr>
      <w:tr>
        <w:trPr>
          <w:trHeight w:val="191"/>
        </w:trPr>
        <w:tc>
          <w:tcPr>
            <w:tcW w:w="386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2024)</w:t>
            </w:r>
          </w:p>
        </w:tc>
        <w:tc>
          <w:tcPr>
            <w:tcW w:w="100" w:type="dxa"/>
            <w:vAlign w:val="bottom"/>
          </w:tcPr>
          <w:p>
            <w:pPr>
              <w:spacing w:after="0"/>
              <w:rPr>
                <w:sz w:val="16"/>
                <w:szCs w:val="16"/>
                <w:color w:val="auto"/>
              </w:rPr>
            </w:pPr>
          </w:p>
        </w:tc>
        <w:tc>
          <w:tcPr>
            <w:tcW w:w="5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Albert Y. Chao</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00" w:type="dxa"/>
            <w:vAlign w:val="bottom"/>
            <w:tcBorders>
              <w:top w:val="single" w:sz="8" w:color="CCEEFF"/>
            </w:tcBorders>
            <w:shd w:val="clear" w:color="auto" w:fill="CCEEFF"/>
          </w:tcPr>
          <w:p>
            <w:pPr>
              <w:spacing w:after="0"/>
              <w:rPr>
                <w:sz w:val="18"/>
                <w:szCs w:val="18"/>
                <w:color w:val="auto"/>
              </w:rPr>
            </w:pPr>
          </w:p>
        </w:tc>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0" w:type="dxa"/>
            <w:vAlign w:val="bottom"/>
          </w:tcPr>
          <w:p>
            <w:pPr>
              <w:spacing w:after="0"/>
              <w:rPr>
                <w:sz w:val="1"/>
                <w:szCs w:val="1"/>
                <w:color w:val="auto"/>
              </w:rPr>
            </w:pPr>
          </w:p>
        </w:tc>
      </w:tr>
      <w:tr>
        <w:trPr>
          <w:trHeight w:val="20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James Y. Chao</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Board of Directors</w:t>
            </w: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 Steven Bender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Financial Officer and Director</w:t>
            </w:r>
          </w:p>
        </w:tc>
        <w:tc>
          <w:tcPr>
            <w:tcW w:w="0" w:type="dxa"/>
            <w:vAlign w:val="bottom"/>
          </w:tcPr>
          <w:p>
            <w:pPr>
              <w:spacing w:after="0"/>
              <w:rPr>
                <w:sz w:val="1"/>
                <w:szCs w:val="1"/>
                <w:color w:val="auto"/>
              </w:rPr>
            </w:pPr>
          </w:p>
        </w:tc>
      </w:tr>
      <w:tr>
        <w:trPr>
          <w:trHeight w:val="158"/>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 Benjamin Ederington</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tcPr>
          <w:p>
            <w:pPr>
              <w:spacing w:after="0"/>
              <w:rPr>
                <w:sz w:val="13"/>
                <w:szCs w:val="13"/>
                <w:color w:val="auto"/>
              </w:rPr>
            </w:pPr>
          </w:p>
        </w:tc>
        <w:tc>
          <w:tcPr>
            <w:tcW w:w="56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Executive Vice President, Performance &amp; Essential Materials, General Counsel, Chief</w:t>
            </w:r>
          </w:p>
        </w:tc>
        <w:tc>
          <w:tcPr>
            <w:tcW w:w="0" w:type="dxa"/>
            <w:vAlign w:val="bottom"/>
          </w:tcPr>
          <w:p>
            <w:pPr>
              <w:spacing w:after="0"/>
              <w:rPr>
                <w:sz w:val="1"/>
                <w:szCs w:val="1"/>
                <w:color w:val="auto"/>
              </w:rPr>
            </w:pPr>
          </w:p>
        </w:tc>
      </w:tr>
      <w:tr>
        <w:trPr>
          <w:trHeight w:val="209"/>
        </w:trPr>
        <w:tc>
          <w:tcPr>
            <w:tcW w:w="386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Administrative Officer and Director</w:t>
            </w: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 Stephen Finley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Lisa A. Friel</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Andrew F. Kenner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Vice President, Olefin Materials &amp; Corporate Procurement</w:t>
            </w:r>
          </w:p>
        </w:tc>
        <w:tc>
          <w:tcPr>
            <w:tcW w:w="0" w:type="dxa"/>
            <w:vAlign w:val="bottom"/>
          </w:tcPr>
          <w:p>
            <w:pPr>
              <w:spacing w:after="0"/>
              <w:rPr>
                <w:sz w:val="1"/>
                <w:szCs w:val="1"/>
                <w:color w:val="auto"/>
              </w:rPr>
            </w:pPr>
          </w:p>
        </w:tc>
      </w:tr>
      <w:tr>
        <w:trPr>
          <w:trHeight w:val="20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Randy G. Woelfel</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Johnathan S. Zoeller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Vice President and Chief Accounting Officer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Albert Y. Chao</w:t>
      </w:r>
      <w:r>
        <w:rPr>
          <w:rFonts w:ascii="Times New Roman" w:cs="Times New Roman" w:eastAsia="Times New Roman" w:hAnsi="Times New Roman"/>
          <w:sz w:val="18"/>
          <w:szCs w:val="18"/>
          <w:color w:val="auto"/>
        </w:rPr>
        <w:t>. Mr. Chao has been our general partner's President and Chief Executive Officer and a director since our general partner's formation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2014. Additionally, Mr. Chao has been Westlake's President since May 1996 and a director since June 2003. Mr. Chao became Westlake's Chief Executive Officer in July 2004. Mr. Chao has over 40 years of global experience in the chemical industry. In 1985, Mr. Chao assisted his father, T.T. Chao, and his brother, James Chao, in founding Westlake, where he served as Executive Vice President until he succeeded James Chao as President.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received a bachelor's degree from Brandeis University and an M.B.A. from Columbia University.</w:t>
      </w:r>
    </w:p>
    <w:p>
      <w:pPr>
        <w:spacing w:after="0" w:line="128"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James Y. Chao</w:t>
      </w:r>
      <w:r>
        <w:rPr>
          <w:rFonts w:ascii="Times New Roman" w:cs="Times New Roman" w:eastAsia="Times New Roman" w:hAnsi="Times New Roman"/>
          <w:sz w:val="18"/>
          <w:szCs w:val="18"/>
          <w:color w:val="auto"/>
        </w:rPr>
        <w:t>. Mr. Chao has been a director since our general partner's formation in March 2014 and Chairman of the Board since July 2014. Mr. Chao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also been Westlake's Chairman of the Board since July 2004 and became a director in June 2003. From May 1996 to July 2004, he served as Westlake's Vice Chairman. Mr. Chao has over 45 years of global experience in the chemical industry.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received his B.S. degree from the Massachusetts Institute of Technology and an M.B.A. from Columbia University.</w:t>
      </w:r>
    </w:p>
    <w:p>
      <w:pPr>
        <w:spacing w:after="0" w:line="128" w:lineRule="exact"/>
        <w:rPr>
          <w:sz w:val="20"/>
          <w:szCs w:val="20"/>
          <w:color w:val="auto"/>
        </w:rPr>
      </w:pPr>
    </w:p>
    <w:p>
      <w:pPr>
        <w:ind w:right="80" w:firstLine="395"/>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M. Steven Bender</w:t>
      </w:r>
      <w:r>
        <w:rPr>
          <w:rFonts w:ascii="Times New Roman" w:cs="Times New Roman" w:eastAsia="Times New Roman" w:hAnsi="Times New Roman"/>
          <w:sz w:val="18"/>
          <w:szCs w:val="18"/>
          <w:color w:val="auto"/>
        </w:rPr>
        <w:t>. Mr. Bender has been our general partner's Executive Vice President and Chief Financial Officer since February 2021 and a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our general partner's formation in March 2014. Mr. Bender served as our general partner's Senior Vice President and Chief Financial Officer from March 2014 to February 2021 and as Treasurer from April 2015 to February 2019. Mr. Bender has also been Westlake's Executive Vice President and Chief Financial Officer since July 2017. From February 2008 to July 2017, Mr. Bender served as Westlake's Senior Vice President and Chief Financial Officer. In addition, Mr. Bender served as Westlake's Treasurer from July 2011 to April 2017, a position he also held from February 2008 until December 2010. From February 2007 to February 2008, Mr. Bender served as Westlake's Vice President, Chief Financial Officer and Treasurer and, from June 2005 to February 2007, he was its Vice President and Treasurer. Prior to joining Westlake,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firstLine="395"/>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L. Benjamin Ederington</w:t>
      </w:r>
      <w:r>
        <w:rPr>
          <w:rFonts w:ascii="Times New Roman" w:cs="Times New Roman" w:eastAsia="Times New Roman" w:hAnsi="Times New Roman"/>
          <w:sz w:val="16"/>
          <w:szCs w:val="16"/>
          <w:color w:val="auto"/>
        </w:rPr>
        <w:t>. Mr. Ederington has been our general partner's Executive Vice President, Performance and Essential Materials, General Counsel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Chief Administrative Officer since May 2023 and a director since our general partner's formation in March 2014. Mr. Ederington served as our general</w:t>
      </w:r>
    </w:p>
    <w:p>
      <w:pPr>
        <w:spacing w:after="0" w:line="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partner's Executive Vice President, General Counsel, Chief Administrative Officer and Corporate Secretary from March 2022 to May 2023</w:t>
      </w:r>
      <w:r>
        <w:rPr>
          <w:rFonts w:ascii="Times New Roman" w:cs="Times New Roman" w:eastAsia="Times New Roman" w:hAnsi="Times New Roman"/>
          <w:sz w:val="20"/>
          <w:szCs w:val="20"/>
          <w:color w:val="008080"/>
        </w:rPr>
        <w:t>,</w:t>
      </w:r>
      <w:r>
        <w:rPr>
          <w:rFonts w:ascii="Times New Roman" w:cs="Times New Roman" w:eastAsia="Times New Roman" w:hAnsi="Times New Roman"/>
          <w:sz w:val="17"/>
          <w:szCs w:val="17"/>
          <w:color w:val="auto"/>
        </w:rPr>
        <w:t xml:space="preserve"> Senior Vice President, General Counsel, Chief Administrative Officer and Corporate Secretary from February 2021 to March 2022 and as Vice President, General Counsel and Secretary from March 2014 to February 2021. Mr. Ederington has also been Westlake's Executive Vice President, Performance and Essential Materials, General Counsel and Chief Administrative Officer since April 2023. From March 2022 to April 2023 Mr. Ederington served as Westlake's Executive Vice</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President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General Counsel, Chief Administrative Officer and Corporate Secretary; from July 2017 to March 2022, he was its Senior Vice President, General Counsel, Chief Administrative Officer and Corporate Secretary; from December 2015 to July 2017, he was its Vice President, General Counsel, Chief Administrative Officer and Corporate Secretary; and, from October 2013 to December 2015, he was its Vice President, General Counsel and Corporate Secretary.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He began his legal career more than 25 years ago at the law firm of Steptoe &amp; Johnson, LLP. Mr. Ederington holds a B.A. from Yale University and received his J.D. from Harvard University.</w:t>
      </w:r>
    </w:p>
    <w:p>
      <w:pPr>
        <w:spacing w:after="0" w:line="135"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G. Stephen Finley</w:t>
      </w:r>
      <w:r>
        <w:rPr>
          <w:rFonts w:ascii="Times New Roman" w:cs="Times New Roman" w:eastAsia="Times New Roman" w:hAnsi="Times New Roman"/>
          <w:sz w:val="18"/>
          <w:szCs w:val="18"/>
          <w:color w:val="auto"/>
        </w:rPr>
        <w:t>. Mr. Finley has been a director of our general partner since March 2020 and serves on the audit and conflicts committees. Mr. Finley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the Senior Vice President, Finance &amp; Administration and Chief Financial Officer of Baker Hughes Incorporated from April 1999 until his retirement in April 2006. Prior to that, from February 1982 to April 1999, Mr. Finley held various financial and administrative management positions with Baker Hughes. From June 2007 to May 2022, Mr. Finley served on the Board of Directors of Newpark Resources, Inc. and, from November 2006 to April 2018, he served on the Board of Directors of Archrock GP, LLC (previously known as Exterran GP, LLC), the general partner of Archrock Partners, L.P. He also served on the Board of Directors of Columbia Pipeline Partners LP from March 2015 to February 2017, Microseismic, Inc. from April 2012 to December 2014, Total Safety U.S., Inc. from December 2006 until November 2011, and Ocean Rig ASA from June 2006 to June 2008. Mr. Finley received a Bachelor of Science degree in Accounting from Indiana State University.</w:t>
      </w:r>
    </w:p>
    <w:p>
      <w:pPr>
        <w:spacing w:after="0" w:line="131"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Lisa A. Friel</w:t>
      </w:r>
      <w:r>
        <w:rPr>
          <w:rFonts w:ascii="Times New Roman" w:cs="Times New Roman" w:eastAsia="Times New Roman" w:hAnsi="Times New Roman"/>
          <w:sz w:val="18"/>
          <w:szCs w:val="18"/>
          <w:color w:val="auto"/>
        </w:rPr>
        <w:t>. Ms. Friel has been a director of our general partner since April 2023 and serves on the audit and conflicts committees. Ms. Friel was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Partner of Ernst &amp; Young LLP's San Antonio, Texas office from July 2012 until her retirement in September 2020. Ms. Friel began her career with Ernst &amp; Young LLP in 1988. Ms. Friel holds a bachelor's of science degree in Accounting and Business Administration from the University of Kansas and is a Certified Public Accountant.</w:t>
      </w:r>
    </w:p>
    <w:p>
      <w:pPr>
        <w:spacing w:after="0" w:line="127"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Andrew F. Kenner</w:t>
      </w:r>
      <w:r>
        <w:rPr>
          <w:rFonts w:ascii="Times New Roman" w:cs="Times New Roman" w:eastAsia="Times New Roman" w:hAnsi="Times New Roman"/>
          <w:sz w:val="18"/>
          <w:szCs w:val="18"/>
          <w:color w:val="auto"/>
        </w:rPr>
        <w:t>. Mr. Kenner has been our general partner's Senior Vice President, Olefin Materials &amp; Corporate Procurement since March 2022.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Kenner has also been Westlake's Senior Vice President, Olefin Materials &amp; Corporate Procurement since March 2022. From January 2021 to March 2022, Mr. Kenner served as Westlake's Senior Vice President, Operations; from July 2017 to December 2020, he was its Senior Vice President, Chemical Manufacturing and, from July 2008 to July 2017, he was its Vice President, Manufacturing. Mr. Kenner joined Westlake after a 19-year career at Valero Energy Corporation where he served as Vice President and General Manager of Valero's Delaware City Refinery and its Houston Refinery, as well as other leadership positions in Valero's refining system. Mr. Kenner received a B.S. in Aerospace Engineering from Texas A&amp;M University and a M.S. in Chemical Engineering from the University of Texas at Austin.</w:t>
      </w:r>
    </w:p>
    <w:p>
      <w:pPr>
        <w:spacing w:after="0" w:line="128" w:lineRule="exact"/>
        <w:rPr>
          <w:sz w:val="20"/>
          <w:szCs w:val="20"/>
          <w:color w:val="auto"/>
        </w:rPr>
      </w:pPr>
    </w:p>
    <w:p>
      <w:pPr>
        <w:jc w:val="both"/>
        <w:ind w:right="180" w:firstLine="395"/>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Randy G. Woelfel</w:t>
      </w:r>
      <w:r>
        <w:rPr>
          <w:rFonts w:ascii="Times New Roman" w:cs="Times New Roman" w:eastAsia="Times New Roman" w:hAnsi="Times New Roman"/>
          <w:sz w:val="16"/>
          <w:szCs w:val="16"/>
          <w:color w:val="auto"/>
        </w:rPr>
        <w:t>. Mr. Woelfel has been a director of our general partner since November 2019 and serves on the audit and conflicts committees.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March 2013, Mr. Woelfel has served as a director of Black &amp; Veatch Holding Company, where he is currently a member of the Audit and Compensation and Development committees. Mr. Woelfel was Chief Executive Officer and a director of NOVA Chemicals Corporation from November 2009 until May 2014.</w:t>
      </w:r>
    </w:p>
    <w:p>
      <w:pPr>
        <w:ind w:right="40"/>
        <w:spacing w:after="0" w:line="244" w:lineRule="auto"/>
        <w:rPr>
          <w:sz w:val="20"/>
          <w:szCs w:val="20"/>
          <w:color w:val="auto"/>
        </w:rPr>
      </w:pPr>
      <w:r>
        <w:rPr>
          <w:rFonts w:ascii="Times New Roman" w:cs="Times New Roman" w:eastAsia="Times New Roman" w:hAnsi="Times New Roman"/>
          <w:sz w:val="18"/>
          <w:szCs w:val="18"/>
          <w:color w:val="auto"/>
        </w:rPr>
        <w:t>Prior to joining NOVA, Mr. Woelfel was Managing Director of Energy for the Houston Technology Center and President of Cereplast, Inc. He began his career with Shell Oil Company in 1977. While at Shell Oil and affiliated companies, he served in a variety of senior positions, including President of Basell International, President of Basell North America and as a board member of numerous Basell International petrochemical ventures. Since 2014, Mr. Woelfel has provided services as a business consultant through Woelfel Associates Inc., a company that provides strategic advice to boards of directors and businesses. Mr. Woelfel received a Bachelor of Science degree in Chemical Engineering from Rice University and a Master's degree in Management from the Massachusetts Institute of Technology.</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Johnathan S. Zoeller</w:t>
      </w:r>
      <w:r>
        <w:rPr>
          <w:rFonts w:ascii="Times New Roman" w:cs="Times New Roman" w:eastAsia="Times New Roman" w:hAnsi="Times New Roman"/>
          <w:sz w:val="18"/>
          <w:szCs w:val="18"/>
          <w:color w:val="auto"/>
        </w:rPr>
        <w:t>. Mr. Zoeller has been our general partner's Vice President and Chief Accounting Officer since March 2020. Mr. Zoeller has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Westlake's Vice President and Chief Accounting Officer since March 2020. From August 2018 to March 2020, he served as Westlake's Vice President and Corporate Controller. Mr. Zoeller joined Westlake with over 19 years of public accounting experience, the majority of which was spent at KPMG LLP, where he was responsible for clients in the chemicals, oilfield services and oil/gas exploration and production industries. Mr. Zoeller held a variety of senior accounting positions at KPMG, including most recently as Partner, Audit from October 2011 to August 2018. He began his career with Arthur Andersen LLP in 1998. Mr. Zoeller holds a Bachelor of Accounting degree and a Master of Accounting degree from the University of Mississippi. He is a Certified Public Accountant.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85"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In accordance with the rules of the NYSE, the board of directors of our general partner currently has three independent directors. The board of directors of our general partner has determined that each of Messrs. Finley and Woelfel and Ms. Friel is independent as defined under the independence standards established by the NYSE and the Exchange Act.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of our General Partner</w:t>
      </w:r>
    </w:p>
    <w:p>
      <w:pPr>
        <w:spacing w:after="0" w:line="98"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The board of directors of our general partner has one standing committee: the audit committee. The board of directors of our general partner may also form a conflicts committee from time to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0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audit committee of our general partner's board of directors (the "audit committee") has been established in accordance with Section 3(a)(58)(A) of the Exchange Act, and consists of Messrs. Finley and Woelfel and Ms. Friel, all of whom are independent. Mr. Finley is the current chairman of the audit committee. The board of directors of our general partner has determined that each of Messrs. Finley and Woelfel and Ms. Friel is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Times New Roman" w:cs="Times New Roman" w:eastAsia="Times New Roman" w:hAnsi="Times New Roman"/>
          <w:sz w:val="18"/>
          <w:szCs w:val="18"/>
          <w:i w:val="1"/>
          <w:iCs w:val="1"/>
          <w:color w:val="auto"/>
        </w:rPr>
        <w:t>www.wlkpartners.com</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180" w:firstLine="395"/>
        <w:spacing w:after="0" w:line="286" w:lineRule="auto"/>
        <w:rPr>
          <w:sz w:val="20"/>
          <w:szCs w:val="20"/>
          <w:color w:val="auto"/>
        </w:rPr>
      </w:pPr>
      <w:r>
        <w:rPr>
          <w:rFonts w:ascii="Times New Roman" w:cs="Times New Roman" w:eastAsia="Times New Roman" w:hAnsi="Times New Roman"/>
          <w:sz w:val="16"/>
          <w:szCs w:val="16"/>
          <w:color w:val="auto"/>
        </w:rPr>
        <w:t>The audit committee assists the board of directors of our general partner in its oversight of the integrity of our consolidated and combined financial statements and our compliance with legal and regulatory requirements and partnership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Committee</w:t>
      </w:r>
    </w:p>
    <w:p>
      <w:pPr>
        <w:spacing w:after="0" w:line="87"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As set forth in the limited liability company agreement of our general partner, our general partner's board of directors may, from time to time, form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the Partnership Agreement. Messrs. Finley and Woelfel and Ms. Friel serve on the conflicts committee. Mr. Woelfel is the current chair of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98"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During the last fiscal year, our general partner's board of directors held nine meetings and our general partner's audit committee held seven meetings. Our general partner's conflicts committee did not hold any meetings in the last fiscal year. None of the directors attended fewer than 75% of the aggregate number of meetings of the board of directors and committees of the board on which the director served.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00" w:firstLine="395"/>
        <w:spacing w:after="0" w:line="252" w:lineRule="auto"/>
        <w:rPr>
          <w:sz w:val="20"/>
          <w:szCs w:val="20"/>
          <w:color w:val="auto"/>
        </w:rPr>
      </w:pPr>
      <w:r>
        <w:rPr>
          <w:rFonts w:ascii="Times New Roman" w:cs="Times New Roman" w:eastAsia="Times New Roman" w:hAnsi="Times New Roman"/>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85" w:lineRule="exact"/>
        <w:rPr>
          <w:sz w:val="20"/>
          <w:szCs w:val="20"/>
          <w:color w:val="auto"/>
        </w:rPr>
      </w:pPr>
    </w:p>
    <w:p>
      <w:pPr>
        <w:ind w:right="240" w:firstLine="395"/>
        <w:spacing w:after="0" w:line="293" w:lineRule="auto"/>
        <w:rPr>
          <w:sz w:val="20"/>
          <w:szCs w:val="20"/>
          <w:color w:val="auto"/>
        </w:rPr>
      </w:pPr>
      <w:r>
        <w:rPr>
          <w:rFonts w:ascii="Times New Roman" w:cs="Times New Roman" w:eastAsia="Times New Roman" w:hAnsi="Times New Roman"/>
          <w:sz w:val="16"/>
          <w:szCs w:val="16"/>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 and Code of Ethics</w:t>
      </w:r>
    </w:p>
    <w:p>
      <w:pPr>
        <w:spacing w:after="0" w:line="98"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 xml:space="preserve">We have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Principles of Corporate Governance and a charter for our audit committee. Each of the foregoing is available on our website at </w:t>
      </w:r>
      <w:r>
        <w:rPr>
          <w:rFonts w:ascii="Times New Roman" w:cs="Times New Roman" w:eastAsia="Times New Roman" w:hAnsi="Times New Roman"/>
          <w:sz w:val="18"/>
          <w:szCs w:val="18"/>
          <w:i w:val="1"/>
          <w:iCs w:val="1"/>
          <w:color w:val="auto"/>
        </w:rPr>
        <w:t xml:space="preserve">www.wlkpartners.com </w:t>
      </w:r>
      <w:r>
        <w:rPr>
          <w:rFonts w:ascii="Times New Roman" w:cs="Times New Roman" w:eastAsia="Times New Roman" w:hAnsi="Times New Roman"/>
          <w:sz w:val="18"/>
          <w:szCs w:val="18"/>
          <w:color w:val="auto"/>
        </w:rPr>
        <w:t>in the "Corporate Governance" section of our Investor Relations tab. We provide copies, free of charge, of any of the foregoing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NYSE Corporate Governance Listing Standards</w:t>
      </w:r>
    </w:p>
    <w:p>
      <w:pPr>
        <w:spacing w:after="0" w:line="9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2023 without qualification. You can also find information about us at the offices of the NYSE, 20 Broad Street, New York, New York 10005 or at the NYSE's Internet site (</w:t>
      </w:r>
      <w:r>
        <w:rPr>
          <w:rFonts w:ascii="Times New Roman" w:cs="Times New Roman" w:eastAsia="Times New Roman" w:hAnsi="Times New Roman"/>
          <w:sz w:val="18"/>
          <w:szCs w:val="18"/>
          <w:i w:val="1"/>
          <w:iCs w:val="1"/>
          <w:color w:val="auto"/>
        </w:rPr>
        <w:t>www.nyse.com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0" w:lineRule="exact"/>
        <w:rPr>
          <w:sz w:val="20"/>
          <w:szCs w:val="20"/>
          <w:color w:val="auto"/>
        </w:rPr>
      </w:pPr>
    </w:p>
    <w:p>
      <w:pPr>
        <w:ind w:right="20" w:firstLine="395"/>
        <w:spacing w:after="0" w:line="280" w:lineRule="auto"/>
        <w:rPr>
          <w:sz w:val="20"/>
          <w:szCs w:val="20"/>
          <w:color w:val="auto"/>
        </w:rPr>
      </w:pPr>
      <w:r>
        <w:rPr>
          <w:rFonts w:ascii="Times New Roman" w:cs="Times New Roman" w:eastAsia="Times New Roman" w:hAnsi="Times New Roman"/>
          <w:sz w:val="16"/>
          <w:szCs w:val="16"/>
          <w:color w:val="auto"/>
        </w:rPr>
        <w:t>Neither we nor our general partner directly employ any of the persons responsible for managing our business. All of our general partner's executive officers are employees of Westlake. In accordance with the terms of the Omnibus Agreement, effective August 4, 2014, we reimburse Westlake for compensation-related expenses attributable to the portion of our executive officers' time dedicated to providing services to us. In connection with Westlake's annual budget process, Westlake determines a budgeted allocation rate, which represents an estimated average percentage of expected time that will be spent by each of the executive officers on our business during the succeeding year. The executive officers provide input as to what those estimated percentages should be. Those estimates are revised each year based on historical experience and business plans for the following year. The executive officers do not keep logs of their time spent on our matters. Since the allocation rate is initially estimated, the actual time spent by an executive officer on our behalf may vary from the budgeted allocation rate, and we may recognize an adjustment at the end of the year if allocating more or less of that executive officer's compensation than the actual percentage of his time spent on our behalf in a given year. During 2023, Mr. Albert Chao devoted approximately 10% of his total business time to our general partner, our consolidated subsidiaries (including OpCo) and us and Mr. Steven Bender devoted approximately 10% of his total business time to our general partner, our consolidated subsidiaries (including OpCo) and us. The allocation of the executive officers' time in future years and, in turn, future compensation allocations may differ from the time and compensation allocated for each executive officer in 2023.</w:t>
      </w:r>
    </w:p>
    <w:p>
      <w:pPr>
        <w:spacing w:after="0" w:line="323"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Westlake equity awards and annual and quarterly cash incentive plans are determined based on the achievement of specific performance goals of Westlake's business, and not our business. Westlake has significant assets and holdings outside of us and our general partner.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87"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For 2023, our named executive officers ("NEOs") consisted of our general partner's principal executive officer, Mr. Albert Chao, and our general partner's principal financial officer, Mr. Steven Bender. The compensation allocated to us in 2023 for each of the other executive officers of our general partner did not exceed $100,000. Therefore, none of the other executive officers are considered NEOs for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Decisions</w:t>
      </w:r>
    </w:p>
    <w:p>
      <w:pPr>
        <w:spacing w:after="0" w:line="100"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Westlake has ultimate decision-making authority with respect to the total compensation of our NEOs because our NEOs are employed by Westlake. Any such compensation decisions will not be subject to any approvals by us, the board of directors or any committees thereof.</w:t>
      </w:r>
    </w:p>
    <w:p>
      <w:pPr>
        <w:spacing w:after="0" w:line="3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Except for amounts that we pay to Westlake under the Omnibus Agreement, we do not otherwise pay or reimburse any compensation amounts to or for our NEOs. Each of our executive officers (including our NEOs) is eligible to receive grants of unit-based awards under the Westlake Chemical Partners LP Long Term Incentive Plan (the "LTIP"), but none has to date received any awards under the LTIP. Any awards under the LTIP must be approved by the board of directors.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Compensation Committee Oversight</w:t>
      </w:r>
    </w:p>
    <w:p>
      <w:pPr>
        <w:spacing w:after="0" w:line="100"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 officer of Westlake (the "Westlake PEO"), the other named executive officers of Westlake (together with the Westlake PEO, the "Westlake NEOs") and other employees designated as executive officers of Westlake (collectively, the "Westlake Executives").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Advisors</w:t>
      </w:r>
    </w:p>
    <w:p>
      <w:pPr>
        <w:spacing w:after="0" w:line="100"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 with executive compensation and offer opinions as to the effectiveness and competitiveness of the program. For 2023, the Westlake Compensation Committee directly engaged the services of Willis Towers Watson as a compensation consultant to advise the Westlake Compensation Committee on executive compensation matters. Willis Towers Watson assists the Westlake Compensation Committee by providing comparative market data on compensation programs and practices of peer competitors, the broader-based chemical and building products industries and general industry. Willis Towers Watson also assists Westlake with general compensation consultation regarding employees other than the Westlake NEOs. In 2023, Westlake paid Willis Towers Watson approximately $213,000 for compensation advisory services and approximately $2.7 million for other services (primarily related to the administration of Westlake's legacy defined benefit retirement plans). The decision to engage Willis Towers Watson for the non-executive-compensation services of Westlake was made by Westlake management and approved or ratified by the Westlake Compensation Committee. In February 2024, the Westlake Compensation Committee assessed whether the work of Willis Towers Watson for Westlake during 2023 raised any conflict of interest and concluded that no conflict of interest exists.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Deliberative Process</w:t>
      </w:r>
    </w:p>
    <w:p>
      <w:pPr>
        <w:spacing w:after="0" w:line="87" w:lineRule="exact"/>
        <w:rPr>
          <w:sz w:val="20"/>
          <w:szCs w:val="20"/>
          <w:color w:val="auto"/>
        </w:rPr>
      </w:pPr>
    </w:p>
    <w:p>
      <w:pPr>
        <w:ind w:right="120" w:firstLine="395"/>
        <w:spacing w:after="0" w:line="247" w:lineRule="auto"/>
        <w:rPr>
          <w:sz w:val="20"/>
          <w:szCs w:val="20"/>
          <w:color w:val="auto"/>
        </w:rPr>
      </w:pPr>
      <w:r>
        <w:rPr>
          <w:rFonts w:ascii="Times New Roman" w:cs="Times New Roman" w:eastAsia="Times New Roman" w:hAnsi="Times New Roman"/>
          <w:sz w:val="18"/>
          <w:szCs w:val="18"/>
          <w:color w:val="auto"/>
        </w:rPr>
        <w:t>In establishing targeted levels of executive compensation, the Westlake Compensation Committee has selected a set of peer group companies (the "Peer Group") from among companies of relative comparable size to Westlake, with executive positions of similar scope and responsibility, and from among companies with which Westlake may compete for executive talent. With the assistance of Willis Towers Watson, the Westlake Compensation Committee reviews the Peer Group on a regular basis. To validate current peers and identify potential new peer companies, Willis Towers Watson conducts a comprehensive review using both objective and qualitative criteria that the Westlake Compensation Committee deems to be appropriate, including recent developments with current peer companies (e.g., merger and acquisition activity and changes in financial performance), revenue, industry classification, market capitalization and other financial data, peers of peers analysis, business and product portfolios, peers as identified by proxy advisory firms such as ISS and Glass Lewis, and business and labor market competitors, with an overall objective of achieving approximately a median ranking for Westlake within the Peer Group.</w:t>
      </w:r>
    </w:p>
    <w:p>
      <w:pPr>
        <w:spacing w:after="0" w:line="136"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The following companies from both the chemicals and building products industries made up the Peer Group as adopted by the Westlake Compensation Committee for purposes of determining compensation for the Westlake NEOs for 2023:</w:t>
      </w:r>
    </w:p>
    <w:p>
      <w:pPr>
        <w:spacing w:after="0" w:line="96"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Builders FirstSource, Inc.</w:t>
            </w:r>
          </w:p>
        </w:tc>
        <w:tc>
          <w:tcPr>
            <w:tcW w:w="68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Huntsman Corporation</w:t>
            </w: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Celanese Corporation</w:t>
            </w:r>
          </w:p>
        </w:tc>
        <w:tc>
          <w:tcPr>
            <w:tcW w:w="68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Masco Corporation</w:t>
            </w:r>
          </w:p>
        </w:tc>
      </w:tr>
      <w:tr>
        <w:trPr>
          <w:trHeight w:val="22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Corteva Inc.</w:t>
            </w:r>
          </w:p>
        </w:tc>
        <w:tc>
          <w:tcPr>
            <w:tcW w:w="68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The Mosaic Company</w:t>
            </w: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Chemours Company</w:t>
            </w:r>
          </w:p>
        </w:tc>
        <w:tc>
          <w:tcPr>
            <w:tcW w:w="68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Olin Corporation</w:t>
            </w:r>
          </w:p>
        </w:tc>
      </w:tr>
      <w:tr>
        <w:trPr>
          <w:trHeight w:val="22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DuPont de Nemours, Inc.</w:t>
            </w:r>
          </w:p>
        </w:tc>
        <w:tc>
          <w:tcPr>
            <w:tcW w:w="68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Owens Corning</w:t>
            </w: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Eastman Chemical Company</w:t>
            </w:r>
          </w:p>
        </w:tc>
        <w:tc>
          <w:tcPr>
            <w:tcW w:w="68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PPG Industries, Inc.</w:t>
            </w:r>
          </w:p>
        </w:tc>
      </w:tr>
      <w:tr>
        <w:trPr>
          <w:trHeight w:val="22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Fortune Brands Innovations, Inc.</w:t>
            </w:r>
          </w:p>
        </w:tc>
        <w:tc>
          <w:tcPr>
            <w:tcW w:w="68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RPM International Inc.</w:t>
            </w:r>
          </w:p>
        </w:tc>
      </w:tr>
    </w:tbl>
    <w:p>
      <w:pPr>
        <w:spacing w:after="0" w:line="232" w:lineRule="exact"/>
        <w:rPr>
          <w:sz w:val="20"/>
          <w:szCs w:val="20"/>
          <w:color w:val="auto"/>
        </w:rPr>
      </w:pPr>
    </w:p>
    <w:p>
      <w:pPr>
        <w:ind w:right="160" w:firstLine="395"/>
        <w:spacing w:after="0" w:line="248" w:lineRule="auto"/>
        <w:rPr>
          <w:sz w:val="20"/>
          <w:szCs w:val="20"/>
          <w:color w:val="auto"/>
        </w:rPr>
      </w:pPr>
      <w:r>
        <w:rPr>
          <w:rFonts w:ascii="Times New Roman" w:cs="Times New Roman" w:eastAsia="Times New Roman" w:hAnsi="Times New Roman"/>
          <w:sz w:val="18"/>
          <w:szCs w:val="18"/>
          <w:color w:val="auto"/>
        </w:rPr>
        <w:t>As proposed by Willis Towers Watson, the Westlake Compensation Committee recommended, and the Westlake board of directors approved, adjustments to the Peer Group in November 2023 for purposes of determining compensation for 2024. In consideration of the criteria previously mentioned and to achieve an approximately median ranking for Westlake relative to its peer group, Dow Inc., Ecolab Inc., LyondellBasell Industries N.V. and The Sherwin-Williams Company were added to the Peer Group and Corteva, Inc. and Fortune Brands Innovations, Inc. were removed from the Peer Group. The Westlake Compensation Committee will continue to make changes in the Peer Group as warranted to reflect changes in the size, business profile and publicly-listed status of the companies to help ensure that companies comparable in size and business profile to Westlake are included and continue to be appropriate for the compensation decision-making process.</w:t>
      </w:r>
    </w:p>
    <w:p>
      <w:pPr>
        <w:spacing w:after="0" w:line="134" w:lineRule="exact"/>
        <w:rPr>
          <w:sz w:val="20"/>
          <w:szCs w:val="20"/>
          <w:color w:val="auto"/>
        </w:rPr>
      </w:pPr>
    </w:p>
    <w:p>
      <w:pPr>
        <w:ind w:right="100" w:firstLine="395"/>
        <w:spacing w:after="0" w:line="281" w:lineRule="auto"/>
        <w:rPr>
          <w:sz w:val="20"/>
          <w:szCs w:val="20"/>
          <w:color w:val="auto"/>
        </w:rPr>
      </w:pPr>
      <w:r>
        <w:rPr>
          <w:rFonts w:ascii="Times New Roman" w:cs="Times New Roman" w:eastAsia="Times New Roman" w:hAnsi="Times New Roman"/>
          <w:sz w:val="16"/>
          <w:szCs w:val="16"/>
          <w:color w:val="auto"/>
        </w:rPr>
        <w:t>In addition to referring to the Peer Group, Willis Towers Watson utilizes survey data from its proprietary compensation databases, including, but not limited to, the Willis Towers Watson CDB Executive Survey and other relevant market information. These surveys compare the compensation of executives at numerous companies to similar positions as the Westlake NEOs (the "Market Survey"). The Market Survey is used in conjunction with the Peer Group data (collectively, the "Reference Points") to help validate the market findings and more specifically establish market compensation rates for positions with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incentives, so that as long as the composite total compensation of a Westlake NEO is competitive with the Reference Points, individual components may fall below or above the median of the Reference Points. In conducting its surveys for the Reference Points, Willis Towers Watson reports directly to the Westlake Compensation Committee on each component and on a composite total compensation basis.</w:t>
      </w:r>
    </w:p>
    <w:p>
      <w:pPr>
        <w:spacing w:after="0" w:line="114" w:lineRule="exact"/>
        <w:rPr>
          <w:sz w:val="20"/>
          <w:szCs w:val="20"/>
          <w:color w:val="auto"/>
        </w:rPr>
      </w:pPr>
    </w:p>
    <w:p>
      <w:pPr>
        <w:ind w:right="280" w:firstLine="395"/>
        <w:spacing w:after="0" w:line="247" w:lineRule="auto"/>
        <w:rPr>
          <w:sz w:val="20"/>
          <w:szCs w:val="20"/>
          <w:color w:val="auto"/>
        </w:rPr>
      </w:pPr>
      <w:r>
        <w:rPr>
          <w:rFonts w:ascii="Times New Roman" w:cs="Times New Roman" w:eastAsia="Times New Roman" w:hAnsi="Times New Roman"/>
          <w:sz w:val="18"/>
          <w:szCs w:val="18"/>
          <w:color w:val="auto"/>
        </w:rPr>
        <w:t>The Westlake Compensation Committee meets annually in February to address the compensation of the Westlake NEOs and other Westlake Executives, including each of our NEOs. During this meeting, the Westlake Compensation Committee reviews the achievement of Westlake's goals and objectives, including Westlake's Economic Value Added (defined as the net operating profit after taxes in relation to capital employed) and performance relative to its competitors within the chemical and building products industries, including those direct competitors within the Peer Group, the Reference Points and other relevant factors established by the Westlake Compensation Committee. During this deliberation, the Westlake PEO is excused from the meeting to allow the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Program Objectives of Westlake</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Westlake has designed and maintains a comprehensive executive compensation program as a means of:</w:t>
      </w:r>
    </w:p>
    <w:p>
      <w:pPr>
        <w:spacing w:after="0" w:line="96" w:lineRule="exact"/>
        <w:rPr>
          <w:sz w:val="20"/>
          <w:szCs w:val="20"/>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rewarding and retaining top executive talent in support of Westlake's vision, mission and objectives;</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market competitiveness with Westlake's peer group compensation programs and practices;</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and rewarding the achievement of specific individual, business segment and corporate goals and objectives;</w:t>
      </w:r>
    </w:p>
    <w:p>
      <w:pPr>
        <w:spacing w:after="0" w:line="95"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5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management interests with the interests of Westlake's stockholders; and</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balancing short-term objectives with long-term strategic initiatives.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Establishing Compensation Levels</w:t>
      </w:r>
    </w:p>
    <w:p>
      <w:pPr>
        <w:spacing w:after="0" w:line="100"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136"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b w:val="1"/>
          <w:bCs w:val="1"/>
          <w:color w:val="auto"/>
        </w:rPr>
        <w:t>Base Pay—</w:t>
      </w:r>
      <w:r>
        <w:rPr>
          <w:rFonts w:ascii="Times New Roman" w:cs="Times New Roman" w:eastAsia="Times New Roman" w:hAnsi="Times New Roman"/>
          <w:sz w:val="18"/>
          <w:szCs w:val="18"/>
          <w:color w:val="auto"/>
        </w:rPr>
        <w:t>This element is the principal cash compensation component of Westlake's program and is designed to provide the Westlake Executive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market-competitive minimum level of compensation. In setting base pay rates for 2023,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Willis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 Westlake Compensation Committee may authorize an adjustment to:</w:t>
      </w:r>
    </w:p>
    <w:p>
      <w:pPr>
        <w:spacing w:after="0" w:line="62" w:lineRule="exact"/>
        <w:rPr>
          <w:sz w:val="20"/>
          <w:szCs w:val="20"/>
          <w:color w:val="auto"/>
        </w:rPr>
      </w:pPr>
    </w:p>
    <w:p>
      <w:pPr>
        <w:ind w:left="640" w:hanging="319"/>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that the Westlake Executive's current base pay is within the acceptable target level as determined by the Westlake Compensation Committee;</w:t>
      </w:r>
    </w:p>
    <w:p>
      <w:pPr>
        <w:spacing w:after="0" w:line="118"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internal equity;</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individual performance and contributions; or</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changes in responsibility or the scope of the Westlake Executive's position.</w:t>
      </w:r>
    </w:p>
    <w:p>
      <w:pPr>
        <w:spacing w:after="0" w:line="96"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For additional information regarding compensation decisions made by the Westlake Compensation Committee during 2023, including Westlake's equity awards and annual and quarterly cash incentive plans, see the proxy statement that is expected to be filed by Westlake in connection with its 2024 annual meeting of stockholders. In February 2024, the Westlake Compensation Committee elected to increase the base salary for Mr. Albert Chao to $1,301,000 from $1,263,000 and for Mr. Bender to $755,000 from $730,000.</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Termination or Change-in-Control Arrangements</w:t>
      </w:r>
    </w:p>
    <w:p>
      <w:pPr>
        <w:spacing w:after="0" w:line="85" w:lineRule="exact"/>
        <w:rPr>
          <w:sz w:val="20"/>
          <w:szCs w:val="20"/>
          <w:color w:val="auto"/>
        </w:rPr>
      </w:pPr>
    </w:p>
    <w:p>
      <w:pPr>
        <w:ind w:right="240" w:firstLine="395"/>
        <w:spacing w:after="0" w:line="257" w:lineRule="auto"/>
        <w:rPr>
          <w:sz w:val="20"/>
          <w:szCs w:val="20"/>
          <w:color w:val="auto"/>
        </w:rPr>
      </w:pPr>
      <w:r>
        <w:rPr>
          <w:rFonts w:ascii="Times New Roman" w:cs="Times New Roman" w:eastAsia="Times New Roman" w:hAnsi="Times New Roman"/>
          <w:sz w:val="18"/>
          <w:szCs w:val="18"/>
          <w:b w:val="1"/>
          <w:bCs w:val="1"/>
          <w:color w:val="auto"/>
        </w:rPr>
        <w:t>Employment Agreements</w:t>
      </w:r>
      <w:r>
        <w:rPr>
          <w:rFonts w:ascii="Times New Roman" w:cs="Times New Roman" w:eastAsia="Times New Roman" w:hAnsi="Times New Roman"/>
          <w:sz w:val="18"/>
          <w:szCs w:val="18"/>
          <w:color w:val="auto"/>
        </w:rPr>
        <w:t>—Westlake does not have employment agreements with any of the Westlake NEOs; however, each Westlake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each of the Westlake NEOs, is typically provided an offer letter of employment containing the principal elements of the employment arrangement, including compensation.</w:t>
      </w:r>
    </w:p>
    <w:p>
      <w:pPr>
        <w:spacing w:after="0" w:line="125"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b w:val="1"/>
          <w:bCs w:val="1"/>
          <w:color w:val="auto"/>
        </w:rPr>
        <w:t>Termination or Change-in-Control Arrangements—</w:t>
      </w:r>
      <w:r>
        <w:rPr>
          <w:rFonts w:ascii="Times New Roman" w:cs="Times New Roman" w:eastAsia="Times New Roman" w:hAnsi="Times New Roman"/>
          <w:sz w:val="18"/>
          <w:szCs w:val="18"/>
          <w:color w:val="auto"/>
        </w:rPr>
        <w:t>Although none of the offer letters contain a provision for payments by us upon termination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in 2023, following shareholder approval, Westlake incorporated change in control provisions into its annual cash incentive plan and long-term equity incentive plan that provide for certain benefits on a qualifying termination of employment within a twenty-four month period following a change in control of Westlake for awards that are assumed or replaced with equivalent awards or protections in connection with a change in control of Westlake if such awards were not assumed or replaced with equivalent awards. Furthermore, award agreements under Westlake's long-term equity incentive plan contain provisions that provide for certain accelerated vesting benefits in the event of termination by reason of death or normal retirement and Westlake's annual cash incentive plan provides for the payment of a prorated bonus and certain banked amounts in the event of termination by reason of death, permanent disability, normal retirement or an approved reduction-in-force. For additional information on termination and change in control provisions, see the section titled "2023 Potential Payments Upon Termination or Change in Control" of the proxy statement that is expected to be filed by Westlake in connection with its 2024 annual meeting of stockholders. We are not required to reimburse Westlake for any portion of such benefits that may become payable to our NEOs either in connection with or following a termination of employment or a change in control of Westlake.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Recovery of Erroneously Awarded Compensation</w:t>
      </w:r>
    </w:p>
    <w:p>
      <w:pPr>
        <w:spacing w:after="0" w:line="100" w:lineRule="exact"/>
        <w:rPr>
          <w:sz w:val="20"/>
          <w:szCs w:val="20"/>
          <w:color w:val="auto"/>
        </w:rPr>
      </w:pPr>
    </w:p>
    <w:p>
      <w:pPr>
        <w:ind w:right="120" w:firstLine="395"/>
        <w:spacing w:after="0" w:line="247" w:lineRule="auto"/>
        <w:rPr>
          <w:sz w:val="20"/>
          <w:szCs w:val="20"/>
          <w:color w:val="auto"/>
        </w:rPr>
      </w:pPr>
      <w:r>
        <w:rPr>
          <w:rFonts w:ascii="Times New Roman" w:cs="Times New Roman" w:eastAsia="Times New Roman" w:hAnsi="Times New Roman"/>
          <w:sz w:val="18"/>
          <w:szCs w:val="18"/>
          <w:color w:val="auto"/>
        </w:rPr>
        <w:t>In November 2023, the board of directors approved a policy for recovering erroneously awarded compensation, or "clawback" policy, applicable to executive officers. The policy implements the incentive-based compensation recovery provisions of the Dodd-Frank Wall Street Reform and Consumer Protection Act of 2010 as required under the listing standards of the New York Stock Exchange, and requires recovery of incentive-based compensation received by current or former executive officers during the three fiscal years preceding the date it is determined that the Partnership is required to prepare an accounting restatement, including to correct an error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 As of the date hereof, none of our current or former executive officers have received incentive-based compensation from us for their services.</w:t>
      </w:r>
    </w:p>
    <w:p>
      <w:pPr>
        <w:spacing w:after="0" w:line="2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98"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Neither we nor our general partner has a compensation committee. The board of directors has reviewed and discussed the Partnership's Compensation Discussion and Analysis with management and, based upon this review, has approved it for inclusion in this report.</w:t>
      </w:r>
    </w:p>
    <w:p>
      <w:pPr>
        <w:spacing w:after="0" w:line="117"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Partnership specifically incorporates it by reference into a document filed under the Securities Act or the Exchange Act.</w:t>
      </w:r>
    </w:p>
    <w:p>
      <w:pPr>
        <w:spacing w:after="0" w:line="2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THE BOARD OF DIRECTORS OF</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WESTLAKE CHEMICAL PARTNERS GP LLC</w:t>
      </w:r>
    </w:p>
    <w:p>
      <w:pPr>
        <w:spacing w:after="0" w:line="30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Albert Y. Chao</w:t>
      </w:r>
    </w:p>
    <w:p>
      <w:pPr>
        <w:spacing w:after="0" w:line="9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James Y. Chao</w:t>
      </w:r>
    </w:p>
    <w:p>
      <w:pPr>
        <w:spacing w:after="0" w:line="9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M. Steven Bender</w:t>
      </w:r>
    </w:p>
    <w:p>
      <w:pPr>
        <w:spacing w:after="0" w:line="8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L. Benjamin Ederington</w:t>
      </w:r>
    </w:p>
    <w:p>
      <w:pPr>
        <w:spacing w:after="0" w:line="9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G. Stephen Finley</w:t>
      </w:r>
    </w:p>
    <w:p>
      <w:pPr>
        <w:spacing w:after="0" w:line="9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Lisa A. Friel</w:t>
      </w:r>
    </w:p>
    <w:p>
      <w:pPr>
        <w:spacing w:after="0" w:line="8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Randy G. Woelfel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85"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The compensation of our NEOs included in the tables below is established by Westlake as described above. We have included in the following tables the full base salary paid by Westlake to each of the NEOs, together with an estimate of the approximate time spent by each NEO on our behalf. The following table provides information regarding the NEO compensation actually allocated to us during 2023, 2022 and 2021.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Base Salary </w:t>
            </w:r>
            <w:r>
              <w:rPr>
                <w:rFonts w:ascii="Times New Roman" w:cs="Times New Roman" w:eastAsia="Times New Roman" w:hAnsi="Times New Roman"/>
                <w:sz w:val="9"/>
                <w:szCs w:val="9"/>
                <w:b w:val="1"/>
                <w:bCs w:val="1"/>
                <w:color w:val="auto"/>
              </w:rPr>
              <w:t>(1)</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Portion Allocation </w:t>
            </w:r>
            <w:r>
              <w:rPr>
                <w:rFonts w:ascii="Times New Roman" w:cs="Times New Roman" w:eastAsia="Times New Roman" w:hAnsi="Times New Roman"/>
                <w:sz w:val="9"/>
                <w:szCs w:val="9"/>
                <w:b w:val="1"/>
                <w:bCs w:val="1"/>
                <w:color w:val="auto"/>
              </w:rPr>
              <w:t>(2)</w:t>
            </w:r>
          </w:p>
        </w:tc>
        <w:tc>
          <w:tcPr>
            <w:tcW w:w="11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24"/>
        </w:trPr>
        <w:tc>
          <w:tcPr>
            <w:tcW w:w="5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Albert Y. Chao</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1,256,000</w:t>
            </w:r>
          </w:p>
        </w:tc>
        <w:tc>
          <w:tcPr>
            <w:tcW w:w="10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10.0 %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125,600</w:t>
            </w:r>
          </w:p>
        </w:tc>
        <w:tc>
          <w:tcPr>
            <w:tcW w:w="0" w:type="dxa"/>
            <w:vAlign w:val="bottom"/>
          </w:tcPr>
          <w:p>
            <w:pPr>
              <w:spacing w:after="0"/>
              <w:rPr>
                <w:sz w:val="1"/>
                <w:szCs w:val="1"/>
                <w:color w:val="auto"/>
              </w:rPr>
            </w:pPr>
          </w:p>
        </w:tc>
      </w:tr>
      <w:tr>
        <w:trPr>
          <w:trHeight w:val="224"/>
        </w:trPr>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00" w:type="dxa"/>
            <w:vAlign w:val="bottom"/>
          </w:tcPr>
          <w:p>
            <w:pPr>
              <w:spacing w:after="0"/>
              <w:rPr>
                <w:sz w:val="19"/>
                <w:szCs w:val="19"/>
                <w:color w:val="auto"/>
              </w:rPr>
            </w:pPr>
          </w:p>
        </w:tc>
        <w:tc>
          <w:tcPr>
            <w:tcW w:w="156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7"/>
              </w:rPr>
              <w:t>10.0 %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120,100</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7"/>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116,317</w:t>
            </w:r>
          </w:p>
        </w:tc>
        <w:tc>
          <w:tcPr>
            <w:tcW w:w="0" w:type="dxa"/>
            <w:vAlign w:val="bottom"/>
          </w:tcPr>
          <w:p>
            <w:pPr>
              <w:spacing w:after="0"/>
              <w:rPr>
                <w:sz w:val="1"/>
                <w:szCs w:val="1"/>
                <w:color w:val="auto"/>
              </w:rPr>
            </w:pPr>
          </w:p>
        </w:tc>
      </w:tr>
      <w:tr>
        <w:trPr>
          <w:trHeight w:val="179"/>
        </w:trPr>
        <w:tc>
          <w:tcPr>
            <w:tcW w:w="512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M. Steven Bender</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Executive Vice President and</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721,000</w:t>
            </w:r>
          </w:p>
        </w:tc>
        <w:tc>
          <w:tcPr>
            <w:tcW w:w="100" w:type="dxa"/>
            <w:vAlign w:val="bottom"/>
          </w:tcPr>
          <w:p>
            <w:pPr>
              <w:spacing w:after="0"/>
              <w:rPr>
                <w:sz w:val="15"/>
                <w:szCs w:val="15"/>
                <w:color w:val="auto"/>
              </w:rPr>
            </w:pPr>
          </w:p>
        </w:tc>
        <w:tc>
          <w:tcPr>
            <w:tcW w:w="156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color w:val="auto"/>
                <w:w w:val="97"/>
              </w:rPr>
              <w:t>10.0 %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72,100</w:t>
            </w:r>
          </w:p>
        </w:tc>
        <w:tc>
          <w:tcPr>
            <w:tcW w:w="0" w:type="dxa"/>
            <w:vAlign w:val="bottom"/>
          </w:tcPr>
          <w:p>
            <w:pPr>
              <w:spacing w:after="0"/>
              <w:rPr>
                <w:sz w:val="1"/>
                <w:szCs w:val="1"/>
                <w:color w:val="auto"/>
              </w:rPr>
            </w:pPr>
          </w:p>
        </w:tc>
      </w:tr>
      <w:tr>
        <w:trPr>
          <w:trHeight w:val="224"/>
        </w:trPr>
        <w:tc>
          <w:tcPr>
            <w:tcW w:w="5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7"/>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0" w:type="dxa"/>
            <w:vAlign w:val="bottom"/>
          </w:tcPr>
          <w:p>
            <w:pPr>
              <w:spacing w:after="0"/>
              <w:rPr>
                <w:sz w:val="1"/>
                <w:szCs w:val="1"/>
                <w:color w:val="auto"/>
              </w:rPr>
            </w:pPr>
          </w:p>
        </w:tc>
      </w:tr>
      <w:tr>
        <w:trPr>
          <w:trHeight w:val="228"/>
        </w:trPr>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638,833</w:t>
            </w:r>
          </w:p>
        </w:tc>
        <w:tc>
          <w:tcPr>
            <w:tcW w:w="100" w:type="dxa"/>
            <w:vAlign w:val="bottom"/>
          </w:tcPr>
          <w:p>
            <w:pPr>
              <w:spacing w:after="0"/>
              <w:rPr>
                <w:sz w:val="19"/>
                <w:szCs w:val="19"/>
                <w:color w:val="auto"/>
              </w:rPr>
            </w:pPr>
          </w:p>
        </w:tc>
        <w:tc>
          <w:tcPr>
            <w:tcW w:w="156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7"/>
              </w:rPr>
              <w:t>10.0 %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63,883</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79" w:lineRule="exact"/>
        <w:rPr>
          <w:sz w:val="20"/>
          <w:szCs w:val="20"/>
          <w:color w:val="auto"/>
        </w:rPr>
      </w:pPr>
    </w:p>
    <w:p>
      <w:pPr>
        <w:ind w:left="320" w:hanging="315"/>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Analysis—Establishing Compensation Levels—Base Pay" for more information on base salary.</w:t>
      </w:r>
    </w:p>
    <w:p>
      <w:pPr>
        <w:spacing w:after="0" w:line="95"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Analysis—Overview" for more information on the portion of base salary allocated to us by Westlake.</w:t>
      </w:r>
    </w:p>
    <w:p>
      <w:pPr>
        <w:spacing w:after="0" w:line="95" w:lineRule="exact"/>
        <w:rPr>
          <w:rFonts w:ascii="Times New Roman" w:cs="Times New Roman" w:eastAsia="Times New Roman" w:hAnsi="Times New Roman"/>
          <w:sz w:val="18"/>
          <w:szCs w:val="18"/>
          <w:color w:val="auto"/>
        </w:rPr>
      </w:pPr>
    </w:p>
    <w:p>
      <w:pPr>
        <w:ind w:left="320" w:right="360" w:hanging="315"/>
        <w:spacing w:after="0" w:line="268" w:lineRule="auto"/>
        <w:tabs>
          <w:tab w:leader="none" w:pos="3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base salary allocated to us by Westlake for the periods from January 1, 2023 through December 31, 2023, from January 1, 2022 through December 31, 2022 and from January 1, 2021 through December 31,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98"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Officers or employees of Westlake or its affiliates who also serve as directors do not receive additional compensation for such service. The directors who are not also officers or employees of Westlake or its affiliates (i.e., Ms. Friel and Messrs. Finley and Woelfel) receive compensation from our general partner for their service.</w:t>
      </w:r>
    </w:p>
    <w:p>
      <w:pPr>
        <w:spacing w:after="0" w:line="127" w:lineRule="exact"/>
        <w:rPr>
          <w:sz w:val="20"/>
          <w:szCs w:val="20"/>
          <w:color w:val="auto"/>
        </w:rPr>
      </w:pPr>
    </w:p>
    <w:p>
      <w:pPr>
        <w:jc w:val="both"/>
        <w:ind w:right="60" w:firstLine="395"/>
        <w:spacing w:after="0" w:line="293" w:lineRule="auto"/>
        <w:rPr>
          <w:sz w:val="20"/>
          <w:szCs w:val="20"/>
          <w:color w:val="auto"/>
        </w:rPr>
      </w:pPr>
      <w:r>
        <w:rPr>
          <w:rFonts w:ascii="Times New Roman" w:cs="Times New Roman" w:eastAsia="Times New Roman" w:hAnsi="Times New Roman"/>
          <w:sz w:val="16"/>
          <w:szCs w:val="16"/>
          <w:color w:val="auto"/>
        </w:rPr>
        <w:t>In 2023, Messrs. Finley and Woelfel and Ms. Friel each received an annual retainer valued at approximately $205,000, of which $100,000 was paid in the form of a cash retainer and the remaining $105,000 was paid in the form of a grant of phantom unit awards under the LTIP. In addition, in connection with her appointment to the board of directors, Ms. Friel received a grant of phantom unit awards valued at $105,000, effective May 10, 2023. All phantom unit awards vest on the first anniversary of their grant date. Mr. Finley, the audit committee chairman, received an additional cash retainer of $20,000.</w:t>
      </w:r>
    </w:p>
    <w:p>
      <w:pPr>
        <w:spacing w:after="0" w:line="102"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the Partnership Agreement.</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paid to non-employee directors in 2023:</w:t>
      </w:r>
    </w:p>
    <w:p>
      <w:pPr>
        <w:spacing w:after="0" w:line="37" w:lineRule="exact"/>
        <w:rPr>
          <w:sz w:val="20"/>
          <w:szCs w:val="20"/>
          <w:color w:val="auto"/>
        </w:rPr>
      </w:pPr>
    </w:p>
    <w:tbl>
      <w:tblPr>
        <w:tblLayout w:type="fixed"/>
        <w:tblInd w:w="2380" w:type="dxa"/>
        <w:tblCellMar>
          <w:top w:w="0" w:type="dxa"/>
          <w:left w:w="0" w:type="dxa"/>
          <w:bottom w:w="0" w:type="dxa"/>
          <w:right w:w="0" w:type="dxa"/>
        </w:tblCellMar>
      </w:tblPr>
      <w:tr>
        <w:trPr>
          <w:trHeight w:val="182"/>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20" w:type="dxa"/>
            <w:vAlign w:val="bottom"/>
          </w:tcPr>
          <w:p>
            <w:pPr>
              <w:jc w:val="center"/>
              <w:ind w:left="111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6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Phantom Unit Awards</w:t>
            </w:r>
          </w:p>
        </w:tc>
        <w:tc>
          <w:tcPr>
            <w:tcW w:w="164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1600" w:type="dxa"/>
            <w:vAlign w:val="bottom"/>
            <w:vMerge w:val="continue"/>
          </w:tcPr>
          <w:p>
            <w:pPr>
              <w:spacing w:after="0"/>
              <w:rPr>
                <w:sz w:val="13"/>
                <w:szCs w:val="13"/>
                <w:color w:val="auto"/>
              </w:rPr>
            </w:pPr>
          </w:p>
        </w:tc>
        <w:tc>
          <w:tcPr>
            <w:tcW w:w="2720" w:type="dxa"/>
            <w:vAlign w:val="bottom"/>
          </w:tcPr>
          <w:p>
            <w:pPr>
              <w:jc w:val="center"/>
              <w:ind w:left="1110"/>
              <w:spacing w:after="0" w:line="158"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600" w:type="dxa"/>
            <w:vAlign w:val="bottom"/>
          </w:tcPr>
          <w:p>
            <w:pPr>
              <w:jc w:val="right"/>
              <w:ind w:right="742"/>
              <w:spacing w:after="0"/>
              <w:rPr>
                <w:sz w:val="20"/>
                <w:szCs w:val="20"/>
                <w:color w:val="auto"/>
              </w:rPr>
            </w:pPr>
            <w:r>
              <w:rPr>
                <w:rFonts w:ascii="Times New Roman" w:cs="Times New Roman" w:eastAsia="Times New Roman" w:hAnsi="Times New Roman"/>
                <w:sz w:val="9"/>
                <w:szCs w:val="9"/>
                <w:b w:val="1"/>
                <w:bCs w:val="1"/>
                <w:color w:val="auto"/>
              </w:rPr>
              <w:t>(1)</w:t>
            </w:r>
          </w:p>
        </w:tc>
        <w:tc>
          <w:tcPr>
            <w:tcW w:w="1640" w:type="dxa"/>
            <w:vAlign w:val="bottom"/>
          </w:tcPr>
          <w:p>
            <w:pPr>
              <w:jc w:val="center"/>
              <w:ind w:right="210"/>
              <w:spacing w:after="0" w:line="158" w:lineRule="exact"/>
              <w:rPr>
                <w:sz w:val="20"/>
                <w:szCs w:val="20"/>
                <w:color w:val="auto"/>
              </w:rPr>
            </w:pPr>
            <w:r>
              <w:rPr>
                <w:rFonts w:ascii="Times New Roman" w:cs="Times New Roman" w:eastAsia="Times New Roman" w:hAnsi="Times New Roman"/>
                <w:sz w:val="14"/>
                <w:szCs w:val="14"/>
                <w:b w:val="1"/>
                <w:bCs w:val="1"/>
                <w:color w:val="auto"/>
                <w:w w:val="96"/>
              </w:rPr>
              <w:t xml:space="preserve">Compensation </w:t>
            </w:r>
            <w:r>
              <w:rPr>
                <w:rFonts w:ascii="Times New Roman" w:cs="Times New Roman" w:eastAsia="Times New Roman" w:hAnsi="Times New Roman"/>
                <w:sz w:val="18"/>
                <w:szCs w:val="18"/>
                <w:b w:val="1"/>
                <w:bCs w:val="1"/>
                <w:color w:val="auto"/>
                <w:w w:val="96"/>
                <w:vertAlign w:val="superscript"/>
              </w:rPr>
              <w:t>(2)</w:t>
            </w: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 Stephen Finley</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233,237</w:t>
            </w:r>
          </w:p>
        </w:tc>
      </w:tr>
      <w:tr>
        <w:trPr>
          <w:trHeight w:val="22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A. Friel</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289,063</w:t>
            </w:r>
          </w:p>
        </w:tc>
      </w:tr>
      <w:tr>
        <w:trPr>
          <w:trHeight w:val="224"/>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G. Woelfel</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213,237</w:t>
            </w:r>
          </w:p>
        </w:tc>
      </w:tr>
      <w:tr>
        <w:trPr>
          <w:trHeight w:val="30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Angela A. Minas </w:t>
            </w:r>
            <w:r>
              <w:rPr>
                <w:rFonts w:ascii="Times New Roman" w:cs="Times New Roman" w:eastAsia="Times New Roman" w:hAnsi="Times New Roman"/>
                <w:sz w:val="22"/>
                <w:szCs w:val="22"/>
                <w:color w:val="auto"/>
                <w:vertAlign w:val="superscript"/>
              </w:rPr>
              <w:t>(3)</w:t>
            </w: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hanging="315"/>
        <w:spacing w:after="0" w:line="249" w:lineRule="auto"/>
        <w:tabs>
          <w:tab w:leader="none" w:pos="3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this column represent the grant date fair value of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For a discussion of the related valuation assumptions, please see Note 12 to our consolidated financial statements included in this report. As of December 31, 2023, Ms. Friel held 9,444 phantom units, 4,884 of which will become fully vested on May 10, 2024 and 4,560 of which will become fully vested on August 9, 2024, and Mr. Finley and Mr. Woelfel each held 4,560 phantom units, which will become fully vested on August 9, 2024.</w:t>
      </w:r>
    </w:p>
    <w:p>
      <w:pPr>
        <w:spacing w:after="0" w:line="53" w:lineRule="exact"/>
        <w:rPr>
          <w:rFonts w:ascii="Times New Roman" w:cs="Times New Roman" w:eastAsia="Times New Roman" w:hAnsi="Times New Roman"/>
          <w:sz w:val="18"/>
          <w:szCs w:val="18"/>
          <w:color w:val="auto"/>
        </w:rPr>
      </w:pPr>
    </w:p>
    <w:p>
      <w:pPr>
        <w:ind w:left="320" w:right="180" w:hanging="315"/>
        <w:spacing w:after="0" w:line="268" w:lineRule="auto"/>
        <w:tabs>
          <w:tab w:leader="none" w:pos="3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this column represent the amount of cash paid with respect to distribution equivalent rights granted in tandem with the phantom unit awards.</w:t>
      </w:r>
    </w:p>
    <w:p>
      <w:pPr>
        <w:spacing w:after="0" w:line="5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Minas retired from the board of directors effective April 27,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 Analysis</w:t>
      </w:r>
    </w:p>
    <w:p>
      <w:pPr>
        <w:spacing w:after="0" w:line="85"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The table below sets forth comparative information regarding: (1) the annual total compensation of our Chief Executive Officer, Mr. Albert Chao, for the year ended December 31, 2023, determined on the basis set forth in the Summary Compensation Table; (2) the median of the annual total compensation of all seconded employees of Westlake that provide services to OpCo under the Services and Secondment Agreement, which excludes our Chief Executive Officer, for the year ended December 31, 2023, determined on the basis described below; and (3) a ratio comparison of those two amounts. These amounts were determined in accordance with rules prescribed by the SEC.</w:t>
      </w:r>
    </w:p>
    <w:p>
      <w:pPr>
        <w:spacing w:after="0" w:line="133" w:lineRule="exact"/>
        <w:rPr>
          <w:sz w:val="20"/>
          <w:szCs w:val="20"/>
          <w:color w:val="auto"/>
        </w:rPr>
      </w:pPr>
    </w:p>
    <w:p>
      <w:pPr>
        <w:ind w:firstLine="395"/>
        <w:spacing w:after="0" w:line="278" w:lineRule="auto"/>
        <w:rPr>
          <w:sz w:val="20"/>
          <w:szCs w:val="20"/>
          <w:color w:val="auto"/>
        </w:rPr>
      </w:pPr>
      <w:r>
        <w:rPr>
          <w:rFonts w:ascii="Times New Roman" w:cs="Times New Roman" w:eastAsia="Times New Roman" w:hAnsi="Times New Roman"/>
          <w:sz w:val="16"/>
          <w:szCs w:val="16"/>
          <w:color w:val="auto"/>
        </w:rPr>
        <w:t>Neither we nor OpCo have any employees. However, for purposes of this disclosure, we have included the employees of Westlake and its other affiliates who are seconded to OpCo under the Services and Secondment Agreement for the production of ethylene (the "Seconded Employees"). SEC rules allow us to identify our median employee once every three years unless there has been a change in our Seconded Employee population or employee compensation arrangements that we reasonably believe would result in a significant change in our pay ratio disclosure. Accordingly, our 2023 CEO pay ratio is calculated utilizing the same median Seconded Employee identified in 2022. In determining that it was still appropriate to utilize our 2022 median Seconded Employee for this disclosure, we considered the change to our Seconded Employee population and compensation programs during 2023, as well as the absence of material changes in that Seconded Employee's job description or compensation during 2023. For purposes of determining the median of the annual total compensation of such Seconded Employees for the year ended December 31, 2022, the applicable SEC rules required us to identify the median employee, by using either annual total compensation for all such employees or another consistently applied compensation measure. For these purposes, we used total taxable earnings, plus certain non-taxable items, including retirement plan contributions and perquisites, as determined from the payroll records of Westlake and its affiliates providing the services of the Seconded Employees to OpCo for the period from January 1, 2022 through December 31, 2022 (the "Measurement Date"), as our consistently applied compensation measure. We included all Seconded Employees of Westlake who provided services to OpCo as of the Measurement Date whether employed on a full-time, part-time or seasonal basis. We did not use statistical sampling or include any cost-of-living adjustments for purposes of this determination. We calculated 2023 total compensation for the median Seconded Employee identified in 2022 and the Chief Executive Officer using the same methodology we used for determining total compensation for 2023 for our NEOs as set forth in the Summary Compensation Table.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annual total compensation (A)</w:t>
            </w:r>
          </w:p>
        </w:tc>
        <w:tc>
          <w:tcPr>
            <w:tcW w:w="2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125,600</w:t>
            </w:r>
          </w:p>
        </w:tc>
      </w:tr>
      <w:tr>
        <w:trPr>
          <w:trHeight w:val="224"/>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Median annual total compensation of all employees (excluding Chief Executive Officer) (B)</w:t>
            </w:r>
          </w:p>
        </w:tc>
        <w:tc>
          <w:tcPr>
            <w:tcW w:w="2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154,978</w:t>
            </w:r>
          </w:p>
        </w:tc>
      </w:tr>
      <w:tr>
        <w:trPr>
          <w:trHeight w:val="22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(A) to (B)</w:t>
            </w:r>
          </w:p>
        </w:tc>
        <w:tc>
          <w:tcPr>
            <w:tcW w:w="2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as of February 23, 2024, the beneficial ownership of our outstanding common units and subordinated units held by:</w:t>
      </w:r>
    </w:p>
    <w:p>
      <w:pPr>
        <w:spacing w:after="0" w:line="96" w:lineRule="exact"/>
        <w:rPr>
          <w:sz w:val="20"/>
          <w:szCs w:val="20"/>
          <w:color w:val="auto"/>
        </w:rPr>
      </w:pPr>
    </w:p>
    <w:p>
      <w:pPr>
        <w:ind w:left="640" w:hanging="319"/>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Westlake;</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named executive officer of our general partner; and</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directors and executive officers of our general partner as a group.</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February 23, 2024,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91"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 of</w:t>
      </w: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Common Units of Westlake Chemical Partners LP</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340" w:type="dxa"/>
            <w:vAlign w:val="bottom"/>
            <w:tcBorders>
              <w:top w:val="single" w:sz="8" w:color="auto"/>
            </w:tcBorders>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980" w:type="dxa"/>
            <w:vAlign w:val="bottom"/>
            <w:tcBorders>
              <w:top w:val="single" w:sz="8" w:color="auto"/>
            </w:tcBorders>
          </w:tcPr>
          <w:p>
            <w:pPr>
              <w:jc w:val="center"/>
              <w:ind w:left="35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Percentage of Common</w:t>
            </w:r>
          </w:p>
        </w:tc>
        <w:tc>
          <w:tcPr>
            <w:tcW w:w="0" w:type="dxa"/>
            <w:vAlign w:val="bottom"/>
          </w:tcPr>
          <w:p>
            <w:pPr>
              <w:spacing w:after="0"/>
              <w:rPr>
                <w:sz w:val="1"/>
                <w:szCs w:val="1"/>
                <w:color w:val="auto"/>
              </w:rPr>
            </w:pPr>
          </w:p>
        </w:tc>
      </w:tr>
      <w:tr>
        <w:trPr>
          <w:trHeight w:val="185"/>
        </w:trPr>
        <w:tc>
          <w:tcPr>
            <w:tcW w:w="78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rPr>
              <w:t>Units Beneficially Owned</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18" w:right="359" w:bottom="1440" w:gutter="0" w:footer="0" w:header="0"/>
        </w:sectPr>
      </w:pPr>
    </w:p>
    <w:tbl>
      <w:tblPr>
        <w:tblLayout w:type="fixed"/>
        <w:tblInd w:w="20" w:type="dxa"/>
        <w:tblCellMar>
          <w:top w:w="0" w:type="dxa"/>
          <w:left w:w="0" w:type="dxa"/>
          <w:bottom w:w="0" w:type="dxa"/>
          <w:right w:w="0" w:type="dxa"/>
        </w:tblCellMar>
      </w:tblPr>
      <w:tr>
        <w:trPr>
          <w:trHeight w:val="224"/>
        </w:trPr>
        <w:tc>
          <w:tcPr>
            <w:tcW w:w="7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Westlake Corporation</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14,122,230</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Chemical Partners GP LLC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Albert Y. Chao</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175,528</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Y. Chao</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13,908</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 Steven Bender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 Benjamin Ederington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5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 Stephen Finley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22,488</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A. Friel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G. Woelfel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22,773</w:t>
            </w:r>
          </w:p>
        </w:tc>
      </w:tr>
      <w:tr>
        <w:trPr>
          <w:trHeight w:val="22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(9 persons)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-1151890</wp:posOffset>
            </wp:positionV>
            <wp:extent cx="7118985" cy="142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8985" cy="14224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-868045</wp:posOffset>
            </wp:positionV>
            <wp:extent cx="7118985" cy="142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8985" cy="14224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-583565</wp:posOffset>
            </wp:positionV>
            <wp:extent cx="7118985" cy="158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8985" cy="1587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-283210</wp:posOffset>
            </wp:positionV>
            <wp:extent cx="7118985" cy="142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8985" cy="14224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-1444625</wp:posOffset>
            </wp:positionV>
            <wp:extent cx="7118985" cy="150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8985" cy="150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color w:val="auto"/>
        </w:rPr>
        <w:t>(1)</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40.1 %</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1.1 %</w:t>
      </w:r>
    </w:p>
    <w:p>
      <w:pPr>
        <w:spacing w:after="0" w:line="216" w:lineRule="exact"/>
        <w:rPr>
          <w:sz w:val="20"/>
          <w:szCs w:val="20"/>
          <w:color w:val="auto"/>
        </w:rPr>
      </w:pPr>
    </w:p>
    <w:p>
      <w:pPr>
        <w:sectPr>
          <w:pgSz w:w="11900" w:h="16838" w:orient="portrait"/>
          <w:cols w:equalWidth="0" w:num="3">
            <w:col w:w="9340" w:space="20"/>
            <w:col w:w="620" w:space="720"/>
            <w:col w:w="520"/>
          </w:cols>
          <w:pgMar w:left="320" w:top="118" w:right="35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the outstanding common units.</w:t>
      </w:r>
    </w:p>
    <w:p>
      <w:pPr>
        <w:spacing w:after="0" w:line="96" w:lineRule="exact"/>
        <w:rPr>
          <w:sz w:val="20"/>
          <w:szCs w:val="20"/>
          <w:color w:val="auto"/>
        </w:rPr>
      </w:pPr>
    </w:p>
    <w:p>
      <w:pPr>
        <w:ind w:left="320" w:hanging="315"/>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common units are held of record by WPT LLC, a wholly-owned subsidiary of Westlake Corporation.</w:t>
      </w:r>
    </w:p>
    <w:p>
      <w:pPr>
        <w:spacing w:after="0" w:line="82" w:lineRule="exact"/>
        <w:rPr>
          <w:rFonts w:ascii="Times New Roman" w:cs="Times New Roman" w:eastAsia="Times New Roman" w:hAnsi="Times New Roman"/>
          <w:sz w:val="18"/>
          <w:szCs w:val="18"/>
          <w:color w:val="auto"/>
        </w:rPr>
      </w:pPr>
    </w:p>
    <w:p>
      <w:pPr>
        <w:ind w:left="320" w:hanging="315"/>
        <w:spacing w:after="0" w:line="268" w:lineRule="auto"/>
        <w:tabs>
          <w:tab w:leader="none" w:pos="3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includes 9,093 common units held in family trusts for the benefit of Mr. Albert Chao and his family members with respect to which Mr. Albert Chao serves as trustee.</w:t>
      </w:r>
    </w:p>
    <w:p>
      <w:pPr>
        <w:spacing w:after="0" w:line="117"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sets forth, as of February 23, 2024, the number of shares of common stock of Westlake Corporation beneficially owned by each beneficial owner of more than 5% of the common stock of Westlake Corporation, each director and named executive officer of our general partner and by all directors and executive officers of our general partner as a group:</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20" w:type="dxa"/>
            <w:vAlign w:val="bottom"/>
            <w:gridSpan w:val="3"/>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Amount and Nature of</w:t>
            </w:r>
          </w:p>
        </w:tc>
      </w:tr>
      <w:tr>
        <w:trPr>
          <w:trHeight w:val="197"/>
        </w:trPr>
        <w:tc>
          <w:tcPr>
            <w:tcW w:w="7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bottom w:val="single" w:sz="8" w:color="auto"/>
            </w:tcBorders>
            <w:gridSpan w:val="3"/>
          </w:tcPr>
          <w:p>
            <w:pPr>
              <w:jc w:val="right"/>
              <w:spacing w:after="0" w:line="197" w:lineRule="exact"/>
              <w:rPr>
                <w:sz w:val="20"/>
                <w:szCs w:val="20"/>
                <w:color w:val="auto"/>
              </w:rPr>
            </w:pPr>
            <w:r>
              <w:rPr>
                <w:rFonts w:ascii="Times New Roman" w:cs="Times New Roman" w:eastAsia="Times New Roman" w:hAnsi="Times New Roman"/>
                <w:sz w:val="14"/>
                <w:szCs w:val="14"/>
                <w:b w:val="1"/>
                <w:bCs w:val="1"/>
                <w:color w:val="auto"/>
                <w:w w:val="99"/>
              </w:rPr>
              <w:t xml:space="preserve">Beneficial Ownership of Common Stock of Westlake </w:t>
            </w:r>
            <w:r>
              <w:rPr>
                <w:rFonts w:ascii="Times New Roman" w:cs="Times New Roman" w:eastAsia="Times New Roman" w:hAnsi="Times New Roman"/>
                <w:sz w:val="18"/>
                <w:szCs w:val="18"/>
                <w:b w:val="1"/>
                <w:bCs w:val="1"/>
                <w:color w:val="auto"/>
                <w:w w:val="99"/>
                <w:vertAlign w:val="superscript"/>
              </w:rPr>
              <w:t>(1)</w:t>
            </w:r>
          </w:p>
        </w:tc>
      </w:tr>
      <w:tr>
        <w:trPr>
          <w:trHeight w:val="18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 and Named Executive Officers of Our General Partner</w:t>
            </w:r>
          </w:p>
        </w:tc>
        <w:tc>
          <w:tcPr>
            <w:tcW w:w="14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32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Percent of Class</w:t>
            </w:r>
          </w:p>
        </w:tc>
      </w:tr>
      <w:tr>
        <w:trPr>
          <w:trHeight w:val="223"/>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TTWF LP and TTWFGP LLC</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93,405,554</w:t>
            </w:r>
          </w:p>
        </w:tc>
        <w:tc>
          <w:tcPr>
            <w:tcW w:w="320" w:type="dxa"/>
            <w:vAlign w:val="bottom"/>
            <w:tcBorders>
              <w:top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93"/>
              </w:rPr>
              <w:t>(2)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Albert Y. Chao</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1,104,662</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Y. Chao</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181,157</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 Steven Bender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81,823</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 Benjamin Ederington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130,057</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 Stephen Finley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A. Friel</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G. Woelfel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(9 persons)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1,536,828</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40" w:lineRule="exact"/>
        <w:rPr>
          <w:sz w:val="20"/>
          <w:szCs w:val="20"/>
          <w:color w:val="auto"/>
        </w:rPr>
      </w:pPr>
    </w:p>
    <w:p>
      <w:pPr>
        <w:ind w:left="260" w:hanging="255"/>
        <w:spacing w:after="0"/>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Less than 1% of the outstanding shares of common stock.</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shares beneficially owned by the directors or officers are pledged as security.</w:t>
      </w:r>
    </w:p>
    <w:p>
      <w:pPr>
        <w:spacing w:after="0" w:line="82" w:lineRule="exact"/>
        <w:rPr>
          <w:rFonts w:ascii="Times New Roman" w:cs="Times New Roman" w:eastAsia="Times New Roman" w:hAnsi="Times New Roman"/>
          <w:sz w:val="18"/>
          <w:szCs w:val="18"/>
          <w:color w:val="auto"/>
        </w:rPr>
      </w:pPr>
    </w:p>
    <w:p>
      <w:pPr>
        <w:ind w:left="320" w:right="80" w:hanging="315"/>
        <w:spacing w:after="0" w:line="250" w:lineRule="auto"/>
        <w:tabs>
          <w:tab w:leader="none" w:pos="3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TTWF LP, a Delaware limited partnership, holds 92,010,554 shares of common stock of Westlake Corporation and TTWFGP LLC, the general partner of TTWF LP, holds 1,395,000 of the 93,405,554 shares of common stock of Westlake Corporation reported herein. Two trusts for the benefit of members of the Chao family are the managers of TTWFGP LLC. Decisions regarding the voting and disposition of the securities held of record by TTWF LP and TTWFGP LLC are made by a committee comprised of members of the Chao family. Each member of the committee disclaims beneficial ownership of the securities reported herein.</w:t>
      </w:r>
    </w:p>
    <w:p>
      <w:pPr>
        <w:spacing w:after="0" w:line="13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sets forth each person known to us who is the beneficial owner of 5% or more of our outstanding common units, other than Westlake, the holdings of which are listed in the first table of this section.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vMerge w:val="restart"/>
          </w:tcPr>
          <w:p>
            <w:pPr>
              <w:spacing w:after="0"/>
              <w:rPr>
                <w:sz w:val="13"/>
                <w:szCs w:val="13"/>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Common</w:t>
            </w:r>
          </w:p>
        </w:tc>
        <w:tc>
          <w:tcPr>
            <w:tcW w:w="0" w:type="dxa"/>
            <w:vAlign w:val="bottom"/>
          </w:tcPr>
          <w:p>
            <w:pPr>
              <w:spacing w:after="0"/>
              <w:rPr>
                <w:sz w:val="1"/>
                <w:szCs w:val="1"/>
                <w:color w:val="auto"/>
              </w:rPr>
            </w:pPr>
          </w:p>
        </w:tc>
      </w:tr>
      <w:tr>
        <w:trPr>
          <w:trHeight w:val="190"/>
        </w:trPr>
        <w:tc>
          <w:tcPr>
            <w:tcW w:w="8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Units Beneficially Owned</w:t>
            </w:r>
          </w:p>
        </w:tc>
        <w:tc>
          <w:tcPr>
            <w:tcW w:w="0" w:type="dxa"/>
            <w:vAlign w:val="bottom"/>
          </w:tcPr>
          <w:p>
            <w:pPr>
              <w:spacing w:after="0"/>
              <w:rPr>
                <w:sz w:val="1"/>
                <w:szCs w:val="1"/>
                <w:color w:val="auto"/>
              </w:rPr>
            </w:pPr>
          </w:p>
        </w:tc>
      </w:tr>
      <w:tr>
        <w:trPr>
          <w:trHeight w:val="204"/>
        </w:trPr>
        <w:tc>
          <w:tcPr>
            <w:tcW w:w="814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TTWF LP and TTWFGP LLC</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2801 Post Oak Boulevard, Suite 150</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Houston, Texas 77056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15,524,099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05"/>
        </w:trPr>
        <w:tc>
          <w:tcPr>
            <w:tcW w:w="8140" w:type="dxa"/>
            <w:vAlign w:val="bottom"/>
            <w:gridSpan w:val="2"/>
          </w:tcPr>
          <w:p>
            <w:pPr>
              <w:ind w:left="20"/>
              <w:spacing w:after="0" w:line="206" w:lineRule="exact"/>
              <w:rPr>
                <w:sz w:val="20"/>
                <w:szCs w:val="20"/>
                <w:color w:val="auto"/>
              </w:rPr>
            </w:pPr>
            <w:r>
              <w:rPr>
                <w:rFonts w:ascii="Times New Roman" w:cs="Times New Roman" w:eastAsia="Times New Roman" w:hAnsi="Times New Roman"/>
                <w:sz w:val="18"/>
                <w:szCs w:val="18"/>
                <w:color w:val="auto"/>
              </w:rPr>
              <w:t>Energy Income Partners, LLC</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 Wright Street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Westport, CT 06880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2,081,811</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6"/>
        </w:trPr>
        <w:tc>
          <w:tcPr>
            <w:tcW w:w="8140" w:type="dxa"/>
            <w:vAlign w:val="bottom"/>
            <w:gridSpan w:val="2"/>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First Trust Portfolios L.P., First Trust Advisors L.P. and The Charger Corporation</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120 East Liberty Drive, Suite 400</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Wheaton, Illinois 60187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0" w:type="dxa"/>
            <w:vAlign w:val="bottom"/>
          </w:tcPr>
          <w:p>
            <w:pPr>
              <w:spacing w:after="0"/>
              <w:rPr>
                <w:sz w:val="1"/>
                <w:szCs w:val="1"/>
                <w:color w:val="auto"/>
              </w:rPr>
            </w:pPr>
          </w:p>
        </w:tc>
      </w:tr>
      <w:tr>
        <w:trPr>
          <w:trHeight w:val="232"/>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Invesco Ltd.</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1555 Peachtree Street NE, Suite 1800</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Atlanta, GA 30309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5,264,187</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right="260" w:hanging="315"/>
        <w:spacing w:after="0" w:line="250" w:lineRule="auto"/>
        <w:tabs>
          <w:tab w:leader="none" w:pos="31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Amendment No. 1 to a Schedule 13D filed on February 14, 2024. According to the filing, TTWF LP and TTWFGP LLC had shared voting and dispositive power over 14,122,230 common units held by Westlake Corporation, and TTWFGP LLC had sole voting and dispositive power over 1,401,869 common units. TTWF LP is the holder of record of 92,010,554 shares of common stock of Westlake Corporation and TTWFGP LLC, the general partner of TTWF LP, is the holder of record of 1,395,000 of Westlake Corporation. TTWF LP and TTWF GP LLC may be deemed to share beneficial ownership of the common units of which WPT LLC is the record owner.</w:t>
      </w:r>
    </w:p>
    <w:p>
      <w:pPr>
        <w:spacing w:after="0" w:line="53" w:lineRule="exact"/>
        <w:rPr>
          <w:rFonts w:ascii="Times New Roman" w:cs="Times New Roman" w:eastAsia="Times New Roman" w:hAnsi="Times New Roman"/>
          <w:sz w:val="18"/>
          <w:szCs w:val="18"/>
          <w:color w:val="auto"/>
        </w:rPr>
      </w:pPr>
    </w:p>
    <w:p>
      <w:pPr>
        <w:ind w:left="320" w:right="140" w:hanging="315"/>
        <w:spacing w:after="0" w:line="293" w:lineRule="auto"/>
        <w:tabs>
          <w:tab w:leader="none" w:pos="31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an Amendment No. 4 to a Schedule 13G filed on February 14, 2024. According to the filing, Energy Income Partners, LLC had shared voting and shared dispositive power over 2,081,811 common units. In addition, each of James J. Murchie, Eva Pao and John K. Tysseland had shared voting and shared dispositive power over 2,081,811 common units as portfolios managers with respect to the portfolios managed by Energy Income Partners, LLC, and Saul Ballesteros had shared voting and shared dispositive power over 2,081,811 common units as a control person of Energy Income Partners, LLC.</w:t>
      </w:r>
    </w:p>
    <w:p>
      <w:pPr>
        <w:spacing w:after="0" w:line="35" w:lineRule="exact"/>
        <w:rPr>
          <w:rFonts w:ascii="Times New Roman" w:cs="Times New Roman" w:eastAsia="Times New Roman" w:hAnsi="Times New Roman"/>
          <w:sz w:val="16"/>
          <w:szCs w:val="16"/>
          <w:color w:val="auto"/>
        </w:rPr>
      </w:pPr>
    </w:p>
    <w:p>
      <w:pPr>
        <w:ind w:left="320" w:right="60" w:hanging="315"/>
        <w:spacing w:after="0" w:line="248" w:lineRule="auto"/>
        <w:tabs>
          <w:tab w:leader="none" w:pos="31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Amendment No. 3 to a Schedule 13G filed on February 7, 2024. According to the filing, First Trust Advisors L.P. and The Charger Corporation had shared voting power over 1,605,572 common units and shared dispositive power over 1,608,700 common units. First Trust Portfolios L.P. had shared voting power and shared dispositive power over 0 common units. According to the filing, The Charger Corporation is the general partner of both of First Trust Portfolios L.P. and First Trust Advisors L.P.; First Trust Portfolios L.P. acts as sponsor of certain unit investment trusts which holds common units of the Partnership; none of First Trust Portfolios L.P., First Trust Advisors L.P. and The Charger Corporation have the power to vote the units of the Partnership held by these unit investment trusts sponsored by First Trust Portfolios L.P; and the units are voted by the trustee of the unit investment trusts.</w:t>
      </w:r>
    </w:p>
    <w:p>
      <w:pPr>
        <w:spacing w:after="0" w:line="68" w:lineRule="exact"/>
        <w:rPr>
          <w:rFonts w:ascii="Times New Roman" w:cs="Times New Roman" w:eastAsia="Times New Roman" w:hAnsi="Times New Roman"/>
          <w:sz w:val="18"/>
          <w:szCs w:val="18"/>
          <w:color w:val="auto"/>
        </w:rPr>
      </w:pPr>
    </w:p>
    <w:p>
      <w:pPr>
        <w:ind w:left="320" w:right="280" w:hanging="315"/>
        <w:spacing w:after="0" w:line="268" w:lineRule="auto"/>
        <w:tabs>
          <w:tab w:leader="none" w:pos="31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Amendment No. 5 to a Schedule 13G filed on February 13, 2024. According to the filing, Invesco Ltd. had sole voting and sole dispositive power over 5,264,187 common units.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Common units authorized for issuance under the Partnership's Long-Term Incentive Plan (the "LTIP") are summarized in the following table.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3"/>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Number of units</w:t>
            </w:r>
          </w:p>
        </w:tc>
        <w:tc>
          <w:tcPr>
            <w:tcW w:w="14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for future issuance under</w:t>
            </w:r>
          </w:p>
        </w:tc>
        <w:tc>
          <w:tcPr>
            <w:tcW w:w="0" w:type="dxa"/>
            <w:vAlign w:val="bottom"/>
          </w:tcPr>
          <w:p>
            <w:pPr>
              <w:spacing w:after="0"/>
              <w:rPr>
                <w:sz w:val="1"/>
                <w:szCs w:val="1"/>
                <w:color w:val="auto"/>
              </w:rPr>
            </w:pPr>
          </w:p>
        </w:tc>
      </w:tr>
      <w:tr>
        <w:trPr>
          <w:trHeight w:val="145"/>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420" w:type="dxa"/>
            <w:vAlign w:val="bottom"/>
          </w:tcPr>
          <w:p>
            <w:pPr>
              <w:jc w:val="center"/>
              <w:ind w:left="265"/>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420" w:type="dxa"/>
            <w:vAlign w:val="bottom"/>
          </w:tcPr>
          <w:p>
            <w:pPr>
              <w:jc w:val="center"/>
              <w:ind w:left="265"/>
              <w:spacing w:after="0" w:line="133"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3"/>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exercise of outstanding</w:t>
            </w:r>
          </w:p>
        </w:tc>
        <w:tc>
          <w:tcPr>
            <w:tcW w:w="1420" w:type="dxa"/>
            <w:vAlign w:val="bottom"/>
          </w:tcPr>
          <w:p>
            <w:pPr>
              <w:jc w:val="center"/>
              <w:ind w:left="225"/>
              <w:spacing w:after="0" w:line="143" w:lineRule="exact"/>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5"/>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1420" w:type="dxa"/>
            <w:vAlign w:val="bottom"/>
          </w:tcPr>
          <w:p>
            <w:pPr>
              <w:jc w:val="center"/>
              <w:ind w:left="265"/>
              <w:spacing w:after="0" w:line="145" w:lineRule="exact"/>
              <w:rPr>
                <w:sz w:val="20"/>
                <w:szCs w:val="20"/>
                <w:color w:val="auto"/>
              </w:rPr>
            </w:pPr>
            <w:r>
              <w:rPr>
                <w:rFonts w:ascii="Times New Roman" w:cs="Times New Roman" w:eastAsia="Times New Roman" w:hAnsi="Times New Roman"/>
                <w:sz w:val="14"/>
                <w:szCs w:val="14"/>
                <w:b w:val="1"/>
                <w:bCs w:val="1"/>
                <w:color w:val="auto"/>
                <w:w w:val="98"/>
              </w:rPr>
              <w:t>and rights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91"/>
        </w:trPr>
        <w:tc>
          <w:tcPr>
            <w:tcW w:w="5760" w:type="dxa"/>
            <w:vAlign w:val="bottom"/>
            <w:gridSpan w:val="2"/>
            <w:vMerge w:val="continue"/>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2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Equity compensation plan approved by security holders </w:t>
            </w:r>
            <w:r>
              <w:rPr>
                <w:rFonts w:ascii="Times New Roman" w:cs="Times New Roman" w:eastAsia="Times New Roman" w:hAnsi="Times New Roman"/>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18,564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24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1,198,853</w:t>
            </w:r>
          </w:p>
        </w:tc>
        <w:tc>
          <w:tcPr>
            <w:tcW w:w="0" w:type="dxa"/>
            <w:vAlign w:val="bottom"/>
          </w:tcPr>
          <w:p>
            <w:pPr>
              <w:spacing w:after="0"/>
              <w:rPr>
                <w:sz w:val="1"/>
                <w:szCs w:val="1"/>
                <w:color w:val="auto"/>
              </w:rPr>
            </w:pPr>
          </w:p>
        </w:tc>
      </w:tr>
      <w:tr>
        <w:trPr>
          <w:trHeight w:val="22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 not approved by security holders</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18,564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4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3" w:lineRule="exact"/>
        <w:rPr>
          <w:sz w:val="20"/>
          <w:szCs w:val="20"/>
          <w:color w:val="auto"/>
        </w:rPr>
      </w:pPr>
    </w:p>
    <w:p>
      <w:pPr>
        <w:ind w:left="320" w:right="200" w:hanging="315"/>
        <w:spacing w:after="0" w:line="268" w:lineRule="auto"/>
        <w:tabs>
          <w:tab w:leader="none" w:pos="3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by our general partner's board of directors in connection with our initial public offering. Only phantom unit awards have been granted under the LTIP. There is no weighted-average exercise price associated with these awards.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98"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Westlake owns 14,122,230 common units, representing an aggregate approximate 40.1% limited partner interest in us; a 100% interest in our general partner; and our incentive distribution rights. Transactions with Westlake and its affiliated entities are considered to be related party transactions because Westlake and its affiliates own more than 5% of our equity interests; in addition, certain of Westlake's directors and executive officers also serve as directors and executive officers of our general partner.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the Partnership Agreement, of any agreement contemplated thereby or of any duty, if the resolution, course of action or transaction in respect of such conflict of interest is:</w:t>
      </w:r>
    </w:p>
    <w:p>
      <w:pPr>
        <w:spacing w:after="0" w:line="65" w:lineRule="exact"/>
        <w:rPr>
          <w:sz w:val="20"/>
          <w:szCs w:val="20"/>
          <w:color w:val="auto"/>
        </w:rPr>
      </w:pPr>
    </w:p>
    <w:p>
      <w:pPr>
        <w:ind w:left="640" w:hanging="319"/>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conflicts committee of our general partner; or</w:t>
      </w:r>
    </w:p>
    <w:p>
      <w:pPr>
        <w:spacing w:after="0" w:line="8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approved by the holders of a majority of our outstanding common units, excluding any such units owned by our general partner or any of its affiliates.</w:t>
      </w:r>
    </w:p>
    <w:p>
      <w:pPr>
        <w:spacing w:after="0" w:line="184"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the Partnership Agreement, the board of directors or its conflicts committee, as applicable, may consider any factors it determines in good faith to consider when resolving a conflict. An independent third party is not required to evaluate the resolution. Under the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Item 407(a) of Regulation S-K is included in "Item 10. Directors, Executive Officers and Corporate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Review, Approval and Ratification of Transactions with Related Persons</w:t>
      </w:r>
    </w:p>
    <w:p>
      <w:pPr>
        <w:spacing w:after="0" w:line="98"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and Payments to our General Partner and its Affiliates</w:t>
      </w:r>
    </w:p>
    <w:p>
      <w:pPr>
        <w:spacing w:after="0" w:line="98"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127"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Assuming we have sufficient available cash to pay the full minimum quarterly distribution of $0.2750 per unit on all of our outstanding units for four quarters, Westlake would receive an aggregate annual distribution of approximately $15.5 million on its common units. During 2023, we made aggregate distributions of $1.8856 per unit to all of our unitholders, resulting in Westlake receiving approximately $26.6 million.</w:t>
      </w:r>
    </w:p>
    <w:p>
      <w:pPr>
        <w:spacing w:after="0" w:line="127" w:lineRule="exact"/>
        <w:rPr>
          <w:sz w:val="20"/>
          <w:szCs w:val="20"/>
          <w:color w:val="auto"/>
        </w:rPr>
      </w:pPr>
    </w:p>
    <w:p>
      <w:pPr>
        <w:jc w:val="both"/>
        <w:ind w:right="20" w:firstLine="395"/>
        <w:spacing w:after="0" w:line="289" w:lineRule="auto"/>
        <w:rPr>
          <w:sz w:val="20"/>
          <w:szCs w:val="20"/>
          <w:color w:val="auto"/>
        </w:rPr>
      </w:pPr>
      <w:r>
        <w:rPr>
          <w:rFonts w:ascii="Times New Roman" w:cs="Times New Roman" w:eastAsia="Times New Roman" w:hAnsi="Times New Roman"/>
          <w:sz w:val="16"/>
          <w:szCs w:val="16"/>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 to the extent specified in the Omnibus Agreement or the Services and Secondment Agreement, our general partner will determine the expenses that are allocable to us in good faith, but there is no limit on the amount of expenses for which our general partner and its affiliates will be reimbursed. For the year ended December 31, 2023, we paid approximately $194.1 million for such expenses.</w:t>
      </w:r>
    </w:p>
    <w:p>
      <w:pPr>
        <w:spacing w:after="0" w:line="103"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117"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If we are ever liquidated, the partners, including Westlake, will be entitled to receive liquidating distributions according to their respective capital account balances.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Westlake</w:t>
      </w:r>
    </w:p>
    <w:p>
      <w:pPr>
        <w:spacing w:after="0" w:line="85"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Except as otherwise indicated, the agreements described below became effective on August 4, 2014, concurrent with the closing of the IPO. For amounts paid by us or Westlake, as applicable, under the agreements described below, see Note 2 to our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Sales Agreement</w:t>
      </w:r>
    </w:p>
    <w:p>
      <w:pPr>
        <w:spacing w:after="0" w:line="100" w:lineRule="exact"/>
        <w:rPr>
          <w:sz w:val="20"/>
          <w:szCs w:val="20"/>
          <w:color w:val="auto"/>
        </w:rPr>
      </w:pPr>
    </w:p>
    <w:p>
      <w:pPr>
        <w:ind w:firstLine="395"/>
        <w:spacing w:after="0" w:line="281" w:lineRule="auto"/>
        <w:rPr>
          <w:sz w:val="20"/>
          <w:szCs w:val="20"/>
          <w:color w:val="auto"/>
        </w:rPr>
      </w:pPr>
      <w:r>
        <w:rPr>
          <w:rFonts w:ascii="Times New Roman" w:cs="Times New Roman" w:eastAsia="Times New Roman" w:hAnsi="Times New Roman"/>
          <w:sz w:val="16"/>
          <w:szCs w:val="16"/>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Under specified circumstances, unrecovered costs may be carried forward for recovery in subsequent years. Variable costs not incurred by OpCo due to deficiencies in purchases by Westlake are rebated to Westlake.</w:t>
      </w:r>
    </w:p>
    <w:p>
      <w:pPr>
        <w:spacing w:after="0" w:line="114"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and not the Ethylene Sales Agreement.</w:t>
      </w:r>
    </w:p>
    <w:p>
      <w:pPr>
        <w:spacing w:after="0" w:line="127"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On November 1, 2018, OpCo and Westlake entered into an amendment to the Ethylene Sales Agreement that provides OpCo with the option to curtail up to 5% of its ethylene production annually in the event OpCo reasonably determines that its sales of such ethylene to third parties during the relevant period would be uneconomic.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100"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agreed to sell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87"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OpCo and Westlake are parties to the Services and Secondment Agreement, pursuant to which OpCo provides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 leases and land.</w:t>
      </w:r>
    </w:p>
    <w:p>
      <w:pPr>
        <w:spacing w:after="0" w:line="161"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87" w:lineRule="exact"/>
        <w:rPr>
          <w:sz w:val="20"/>
          <w:szCs w:val="20"/>
          <w:color w:val="auto"/>
        </w:rPr>
      </w:pPr>
    </w:p>
    <w:p>
      <w:pPr>
        <w:ind w:right="20" w:firstLine="395"/>
        <w:spacing w:after="0" w:line="284" w:lineRule="auto"/>
        <w:rPr>
          <w:sz w:val="20"/>
          <w:szCs w:val="20"/>
          <w:color w:val="auto"/>
        </w:rPr>
      </w:pPr>
      <w:r>
        <w:rPr>
          <w:rFonts w:ascii="Times New Roman" w:cs="Times New Roman" w:eastAsia="Times New Roman" w:hAnsi="Times New Roman"/>
          <w:sz w:val="16"/>
          <w:szCs w:val="16"/>
          <w:color w:val="auto"/>
        </w:rPr>
        <w:t>We, OpCo and Westlake are parties to the Omnibus Agreement, pursuant to which we granted Westlake, among other things, a right of first refusal on any proposed transfer of our equity interests in OpCo, the ethylene production facilities that serve Westlake's other facilities, or certain other assets we may acquire from Westlake. The Omnibus Agreement also provides for reimbursement to Westlake for the provision of various administrative and professional services and direct expenses incurred on our behalf and in connection with the operation of our business, including, but not limited to, legal, accounting services, audit services, human resources, insurance, tax, credit, finance, government affairs and regulatory affairs.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100"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We, OpCo GP and Westlake are parties to an amended and restated agreement of limited partnership of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 The OpCo LP Agreement was amended in December 2017 in connection with the passage of the Bipartisan Budget Act of 2015, which amended certain partnership tax audit rules.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Revolver</w:t>
      </w:r>
    </w:p>
    <w:p>
      <w:pPr>
        <w:spacing w:after="0" w:line="100"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On August 4, 2014, OpCo entered into a $600 million senior unsecured revolving credit facility agreement with Westlake (as subsequently amended, the "OpCo Revolver"). The OpCo Revolver matures on July 12, 2027. Borrowings under the OpCo Revolver bear interest at a variable rate of either (a) SOFR plus the Applicable Margin plus a 0.10% credit spread adjustment or (b) if SOFR is no longer available, the Alternate Base Rate plus the Applicable Margin minus 1.0%. The Applicable Margin under the OpCo Revolver is 1.75%.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MLP Revolver</w:t>
      </w:r>
    </w:p>
    <w:p>
      <w:pPr>
        <w:spacing w:after="0" w:line="87"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On April 29, 2015, we entered into a $300 million revolving credit facility agreement with an affiliate of Westlake (as subsequently amended, the "MLP Revolver") to fund our purchase of an additional 2.7% newly-issued, limited partner interest in OpCo for approximately $135.3 million. In 2017, we entered into an amendment to the MLP Revolver credit agreement, increasing borrowing capacity from $300 million to $600 million. On March 29, 2019, we borrowed approximately $123.5 million under the MLP Revolver to partially fund the purchase of the additional 4.5% interest in OpCo. The MLP Revolver matures on July 12, 2027. Borrowings under the MLP Revolver bear interest at a variable rate of either (a) SOFR plus the Applicable Margin plus a 0.10% credit spread adjustment or (b) if SOFR is no longer available, the Alternate Base Rate plus the Applicable Margin minus 1.0%. The Applicable Margin under the MLP Revolver varies between 1.75% and 2.75%, depending on our Consolidated Leverage Ratio. The MLP Revolver provides that we may pay all or a portion of the interest on any borrowings in kind, in which case any such amounts would be added to the principal amount of the loan.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100"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OpCo and Westlake are parties 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100"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On August 1, 2017, we, OpCo and Westlake executed an Investment Management Agreement that authorizes Westlake to invest our and OpCo's excess cash with Westlake for durations of up to a maximum of nine months. Per the terms of the Investment Management Agreement, we earn a market return plus five basis points and Westlake provides daily availability of the invested cash to meet any liquidity needs of us or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PricewaterhouseCoopers LLP serves as our independent registered public accounting firm.</w:t>
      </w:r>
    </w:p>
    <w:p>
      <w:pPr>
        <w:spacing w:after="0" w:line="161"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PricewaterhouseCoopers LLP in connection with the 2023 and 2022 audits and fees billed by PricewaterhouseCoopers LLP for other services rendered in the years ended December 31,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362,652</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1,202,652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79" w:lineRule="exact"/>
        <w:rPr>
          <w:sz w:val="20"/>
          <w:szCs w:val="20"/>
          <w:color w:val="auto"/>
        </w:rPr>
      </w:pPr>
    </w:p>
    <w:p>
      <w:pPr>
        <w:ind w:left="400" w:right="120" w:hanging="395"/>
        <w:spacing w:after="0" w:line="332" w:lineRule="auto"/>
        <w:tabs>
          <w:tab w:leader="none" w:pos="39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represent fees billed for professional services rendered for the audits of our annual consolidated financial statements, audit of internal controls and quarterly review of our consolidated financial statements in 2023 and 2022 and review of a registration statement filed with the SEC in 2023.</w:t>
      </w:r>
    </w:p>
    <w:p>
      <w:pPr>
        <w:spacing w:after="0" w:line="4" w:lineRule="exact"/>
        <w:rPr>
          <w:rFonts w:ascii="Times New Roman" w:cs="Times New Roman" w:eastAsia="Times New Roman" w:hAnsi="Times New Roman"/>
          <w:sz w:val="16"/>
          <w:szCs w:val="16"/>
          <w:color w:val="auto"/>
        </w:rPr>
      </w:pPr>
    </w:p>
    <w:p>
      <w:pPr>
        <w:ind w:left="400" w:right="180" w:hanging="395"/>
        <w:spacing w:after="0" w:line="268" w:lineRule="auto"/>
        <w:tabs>
          <w:tab w:leader="none" w:pos="3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tax services with respect to the preparation of the Partnership's 2022 K-1 and K-3 statements in 2023 and the preparation of the Partnership's 2021 K-1 and K-3 statements in 2022, tax consulting services in 2023 and compliance services in 2023 and 2022,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Policy</w:t>
      </w:r>
    </w:p>
    <w:p>
      <w:pPr>
        <w:spacing w:after="0" w:line="98"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charter of the audit committee of our general partner's board of directors, which is available on our website at </w:t>
      </w:r>
      <w:r>
        <w:rPr>
          <w:rFonts w:ascii="Times New Roman" w:cs="Times New Roman" w:eastAsia="Times New Roman" w:hAnsi="Times New Roman"/>
          <w:sz w:val="18"/>
          <w:szCs w:val="18"/>
          <w:i w:val="1"/>
          <w:iCs w:val="1"/>
          <w:color w:val="auto"/>
        </w:rPr>
        <w:t>www.wlkpartners.com</w:t>
      </w:r>
      <w:r>
        <w:rPr>
          <w:rFonts w:ascii="Times New Roman" w:cs="Times New Roman" w:eastAsia="Times New Roman" w:hAnsi="Times New Roman"/>
          <w:sz w:val="18"/>
          <w:szCs w:val="18"/>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The audit committee pre-approved all services provided by PricewaterhouseCoopers during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8. Financial Statements and Supplementary Data" contained elsewhere in this report.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All schedules are omitted because the information is not applicable, not required, or has been furnished in the Consolidated Financial Statements or Notes thereto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00"/>
          </w:cols>
          <w:pgMar w:left="320" w:top="118" w:right="7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760" w:type="dxa"/>
            <w:vAlign w:val="bottom"/>
            <w:gridSpan w:val="21"/>
          </w:tcPr>
          <w:p>
            <w:pPr>
              <w:ind w:left="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05"/>
        </w:trPr>
        <w:tc>
          <w:tcPr>
            <w:tcW w:w="15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640" w:type="dxa"/>
            <w:vAlign w:val="bottom"/>
            <w:gridSpan w:val="23"/>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1"/>
        </w:trPr>
        <w:tc>
          <w:tcPr>
            <w:tcW w:w="152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w w:val="88"/>
              </w:rPr>
              <w:t>3.1</w:t>
            </w:r>
          </w:p>
        </w:tc>
        <w:tc>
          <w:tcPr>
            <w:tcW w:w="9640" w:type="dxa"/>
            <w:vAlign w:val="bottom"/>
            <w:gridSpan w:val="23"/>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51"/>
        </w:trPr>
        <w:tc>
          <w:tcPr>
            <w:tcW w:w="152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Partners LP's Registration Statement on Form S-1 (File No. 333-195551), filed on April 29, 2014).</w:t>
              </w:r>
            </w:hyperlink>
          </w:p>
        </w:tc>
        <w:tc>
          <w:tcPr>
            <w:tcW w:w="2380" w:type="dxa"/>
            <w:vAlign w:val="bottom"/>
            <w:tcBorders>
              <w:top w:val="single" w:sz="8" w:color="0000FF"/>
            </w:tcBorders>
            <w:gridSpan w:val="11"/>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2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w w:val="88"/>
              </w:rPr>
              <w:t>3.2</w:t>
            </w:r>
          </w:p>
        </w:tc>
        <w:tc>
          <w:tcPr>
            <w:tcW w:w="9640" w:type="dxa"/>
            <w:vAlign w:val="bottom"/>
            <w:gridSpan w:val="23"/>
          </w:tcPr>
          <w:p>
            <w:pPr>
              <w:spacing w:after="0"/>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First Amended and Restated Agreement of Limited Partnership of Westlake Chemical Partners LP (incorporated by reference to Exhibit</w:t>
              </w:r>
            </w:hyperlink>
          </w:p>
        </w:tc>
      </w:tr>
      <w:tr>
        <w:trPr>
          <w:trHeight w:val="151"/>
        </w:trPr>
        <w:tc>
          <w:tcPr>
            <w:tcW w:w="1520" w:type="dxa"/>
            <w:vAlign w:val="bottom"/>
          </w:tcPr>
          <w:p>
            <w:pPr>
              <w:spacing w:after="0"/>
              <w:rPr>
                <w:sz w:val="13"/>
                <w:szCs w:val="13"/>
                <w:color w:val="auto"/>
              </w:rPr>
            </w:pPr>
          </w:p>
        </w:tc>
        <w:tc>
          <w:tcPr>
            <w:tcW w:w="956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Westlake Chemical Partners LP's Current Report on Form 8-K (File No. 001-36567) filed on August 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2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w w:val="88"/>
              </w:rPr>
              <w:t>3.3</w:t>
            </w:r>
          </w:p>
        </w:tc>
        <w:tc>
          <w:tcPr>
            <w:tcW w:w="95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Amendment No. 1 to the First Amended and Restated Agreement of Limited Partnership of Westlake Chemical Partners LP dated as of</w:t>
              </w:r>
            </w:hyperlink>
          </w:p>
        </w:tc>
        <w:tc>
          <w:tcPr>
            <w:tcW w:w="140" w:type="dxa"/>
            <w:vAlign w:val="bottom"/>
            <w:gridSpan w:val="5"/>
          </w:tcPr>
          <w:p>
            <w:pPr>
              <w:spacing w:after="0"/>
              <w:rPr>
                <w:sz w:val="23"/>
                <w:szCs w:val="23"/>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3"/>
          </w:tcPr>
          <w:p>
            <w:pPr>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November 16, 2017 (incorporated by Reference to Exhibit 3.1 to Westlake Chemical Partners LP's Current Report on Form 8-K, filed on</w:t>
              </w:r>
            </w:hyperlink>
          </w:p>
        </w:tc>
      </w:tr>
      <w:tr>
        <w:trPr>
          <w:trHeight w:val="151"/>
        </w:trPr>
        <w:tc>
          <w:tcPr>
            <w:tcW w:w="1520" w:type="dxa"/>
            <w:vAlign w:val="bottom"/>
          </w:tcPr>
          <w:p>
            <w:pPr>
              <w:spacing w:after="0"/>
              <w:rPr>
                <w:sz w:val="13"/>
                <w:szCs w:val="13"/>
                <w:color w:val="auto"/>
              </w:rPr>
            </w:pPr>
          </w:p>
        </w:tc>
        <w:tc>
          <w:tcPr>
            <w:tcW w:w="960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November 16, 2017, File No. 01-36567).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2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w w:val="88"/>
              </w:rPr>
              <w:t>3.4</w:t>
            </w:r>
          </w:p>
        </w:tc>
        <w:tc>
          <w:tcPr>
            <w:tcW w:w="9640" w:type="dxa"/>
            <w:vAlign w:val="bottom"/>
            <w:gridSpan w:val="2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51"/>
        </w:trPr>
        <w:tc>
          <w:tcPr>
            <w:tcW w:w="1520" w:type="dxa"/>
            <w:vAlign w:val="bottom"/>
          </w:tcPr>
          <w:p>
            <w:pPr>
              <w:spacing w:after="0"/>
              <w:rPr>
                <w:sz w:val="13"/>
                <w:szCs w:val="13"/>
                <w:color w:val="auto"/>
              </w:rPr>
            </w:pPr>
          </w:p>
        </w:tc>
        <w:tc>
          <w:tcPr>
            <w:tcW w:w="8700" w:type="dxa"/>
            <w:vAlign w:val="bottom"/>
            <w:tcBorders>
              <w:top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(incorporated by reference to Exhibit 3.1 to Westlake Chemical Partners LP's Current Report on Form 8-K filed on July 30,</w:t>
              </w:r>
            </w:hyperlink>
          </w:p>
        </w:tc>
        <w:tc>
          <w:tcPr>
            <w:tcW w:w="940" w:type="dxa"/>
            <w:vAlign w:val="bottom"/>
            <w:gridSpan w:val="14"/>
          </w:tcPr>
          <w:p>
            <w:pPr>
              <w:spacing w:after="0" w:line="15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2018 (File</w:t>
              </w:r>
            </w:hyperlink>
          </w:p>
        </w:tc>
      </w:tr>
      <w:tr>
        <w:trPr>
          <w:trHeight w:val="151"/>
        </w:trPr>
        <w:tc>
          <w:tcPr>
            <w:tcW w:w="1520" w:type="dxa"/>
            <w:vAlign w:val="bottom"/>
          </w:tcPr>
          <w:p>
            <w:pPr>
              <w:spacing w:after="0"/>
              <w:rPr>
                <w:sz w:val="13"/>
                <w:szCs w:val="13"/>
                <w:color w:val="auto"/>
              </w:rPr>
            </w:pPr>
          </w:p>
        </w:tc>
        <w:tc>
          <w:tcPr>
            <w:tcW w:w="944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No. 01-36567)).</w:t>
              </w:r>
            </w:hyperlink>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2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w w:val="88"/>
              </w:rPr>
              <w:t>3.5</w:t>
            </w:r>
          </w:p>
        </w:tc>
        <w:tc>
          <w:tcPr>
            <w:tcW w:w="9640" w:type="dxa"/>
            <w:vAlign w:val="bottom"/>
            <w:gridSpan w:val="23"/>
          </w:tcPr>
          <w:p>
            <w:pPr>
              <w:spacing w:after="0"/>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Amended and Restated Agreement of Limited Partnership of Westlake Chemical OpCo LP (incorporated by reference to Exhibit 10.7 to</w:t>
              </w:r>
            </w:hyperlink>
          </w:p>
        </w:tc>
      </w:tr>
      <w:tr>
        <w:trPr>
          <w:trHeight w:val="151"/>
        </w:trPr>
        <w:tc>
          <w:tcPr>
            <w:tcW w:w="152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Westlake Chemical Partners LP's Current Report on Form 8-K (File No. 001-36567) filed on August 8, 2014).</w:t>
              </w:r>
            </w:hyperlink>
          </w:p>
        </w:tc>
        <w:tc>
          <w:tcPr>
            <w:tcW w:w="184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152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w w:val="88"/>
              </w:rPr>
              <w:t>3.6</w:t>
            </w:r>
          </w:p>
        </w:tc>
        <w:tc>
          <w:tcPr>
            <w:tcW w:w="89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Amendment No. 1 to the Amended and Restated Agreement of Limited Partnership of Westlake Chemical OpCo LP dated as of</w:t>
              </w:r>
            </w:hyperlink>
          </w:p>
        </w:tc>
        <w:tc>
          <w:tcPr>
            <w:tcW w:w="660" w:type="dxa"/>
            <w:vAlign w:val="bottom"/>
            <w:gridSpan w:val="12"/>
          </w:tcPr>
          <w:p>
            <w:pPr>
              <w:spacing w:after="0"/>
              <w:rPr>
                <w:sz w:val="24"/>
                <w:szCs w:val="24"/>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3"/>
          </w:tcPr>
          <w:p>
            <w:pPr>
              <w:spacing w:after="0" w:line="15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December 1, 2017 (File No. 01-36567) (incorporated by reference to Exhibit 3.4 to Westlake Chemical Partners LP's Annual Report on</w:t>
              </w:r>
            </w:hyperlink>
          </w:p>
        </w:tc>
      </w:tr>
      <w:tr>
        <w:trPr>
          <w:trHeight w:val="151"/>
        </w:trPr>
        <w:tc>
          <w:tcPr>
            <w:tcW w:w="152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Form 10-K for the year ended December 31, 2017 (File No. 01-36567) filed on March 1, 2018).</w:t>
              </w:r>
            </w:hyperlink>
          </w:p>
        </w:tc>
        <w:tc>
          <w:tcPr>
            <w:tcW w:w="2760" w:type="dxa"/>
            <w:vAlign w:val="bottom"/>
            <w:tcBorders>
              <w:top w:val="single" w:sz="8" w:color="0000FF"/>
            </w:tcBorders>
            <w:gridSpan w:val="14"/>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2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w w:val="88"/>
              </w:rPr>
              <w:t>4.1</w:t>
            </w:r>
          </w:p>
        </w:tc>
        <w:tc>
          <w:tcPr>
            <w:tcW w:w="9640" w:type="dxa"/>
            <w:vAlign w:val="bottom"/>
            <w:gridSpan w:val="23"/>
          </w:tcPr>
          <w:p>
            <w:pPr>
              <w:spacing w:after="0"/>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Description of Securities Registered Pursuant to Section 12 of the Securities Exchange Act of 1934 (incorporated by reference to Exhibit</w:t>
              </w:r>
            </w:hyperlink>
          </w:p>
        </w:tc>
      </w:tr>
      <w:tr>
        <w:trPr>
          <w:trHeight w:val="151"/>
        </w:trPr>
        <w:tc>
          <w:tcPr>
            <w:tcW w:w="15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Westlake Chemical Partners' Annual Report on Form 10-K for the year ended December 31, 2019, File No. 001-36567).</w:t>
              </w:r>
            </w:hyperlink>
          </w:p>
        </w:tc>
        <w:tc>
          <w:tcPr>
            <w:tcW w:w="7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2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w w:val="88"/>
              </w:rPr>
              <w:t>4.2</w:t>
            </w:r>
          </w:p>
        </w:tc>
        <w:tc>
          <w:tcPr>
            <w:tcW w:w="90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Indenture dated as of January 1, 2006 by and among Westlake Corporation, the potential subsidiary guarantors listed therein and</w:t>
              </w:r>
            </w:hyperlink>
          </w:p>
        </w:tc>
        <w:tc>
          <w:tcPr>
            <w:tcW w:w="620" w:type="dxa"/>
            <w:vAlign w:val="bottom"/>
            <w:gridSpan w:val="11"/>
          </w:tcPr>
          <w:p>
            <w:pPr>
              <w:spacing w:after="0"/>
              <w:rPr>
                <w:sz w:val="23"/>
                <w:szCs w:val="23"/>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3"/>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JPMorgan Chase Bank, National Association, as trustee (incorporated by reference to Exhibit 4.1 to Westlake Corporation's Current</w:t>
              </w:r>
            </w:hyperlink>
          </w:p>
        </w:tc>
      </w:tr>
      <w:tr>
        <w:trPr>
          <w:trHeight w:val="151"/>
        </w:trPr>
        <w:tc>
          <w:tcPr>
            <w:tcW w:w="152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Report on Form 8-K, filed on January 13, 2006, File No. 1-32260).</w:t>
              </w:r>
            </w:hyperlink>
          </w:p>
        </w:tc>
        <w:tc>
          <w:tcPr>
            <w:tcW w:w="4540" w:type="dxa"/>
            <w:vAlign w:val="bottom"/>
            <w:tcBorders>
              <w:top w:val="single" w:sz="8" w:color="0000FF"/>
            </w:tcBorders>
            <w:gridSpan w:val="12"/>
          </w:tcPr>
          <w:p>
            <w:pPr>
              <w:spacing w:after="0"/>
              <w:rPr>
                <w:sz w:val="13"/>
                <w:szCs w:val="13"/>
                <w:color w:val="auto"/>
              </w:rPr>
            </w:pPr>
          </w:p>
        </w:tc>
        <w:tc>
          <w:tcPr>
            <w:tcW w:w="380" w:type="dxa"/>
            <w:vAlign w:val="bottom"/>
            <w:gridSpan w:val="8"/>
          </w:tcPr>
          <w:p>
            <w:pPr>
              <w:spacing w:after="0"/>
              <w:rPr>
                <w:sz w:val="13"/>
                <w:szCs w:val="13"/>
                <w:color w:val="auto"/>
              </w:rPr>
            </w:pPr>
          </w:p>
        </w:tc>
      </w:tr>
      <w:tr>
        <w:trPr>
          <w:trHeight w:val="269"/>
        </w:trPr>
        <w:tc>
          <w:tcPr>
            <w:tcW w:w="152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w w:val="88"/>
              </w:rPr>
              <w:t>4.3</w:t>
            </w:r>
          </w:p>
        </w:tc>
        <w:tc>
          <w:tcPr>
            <w:tcW w:w="9640" w:type="dxa"/>
            <w:vAlign w:val="bottom"/>
            <w:gridSpan w:val="2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Eighth Supplemental Indenture (including the form of the Notes), dated as of August 10, 2016, among Westlake Corporation, the</w:t>
              </w:r>
            </w:hyperlink>
          </w:p>
        </w:tc>
      </w:tr>
      <w:tr>
        <w:trPr>
          <w:trHeight w:val="20"/>
        </w:trPr>
        <w:tc>
          <w:tcPr>
            <w:tcW w:w="1520" w:type="dxa"/>
            <w:vAlign w:val="bottom"/>
          </w:tcPr>
          <w:p>
            <w:pPr>
              <w:spacing w:after="0" w:line="20" w:lineRule="exact"/>
              <w:rPr>
                <w:sz w:val="1"/>
                <w:szCs w:val="1"/>
                <w:color w:val="auto"/>
              </w:rPr>
            </w:pPr>
          </w:p>
        </w:tc>
        <w:tc>
          <w:tcPr>
            <w:tcW w:w="8100" w:type="dxa"/>
            <w:vAlign w:val="bottom"/>
            <w:gridSpan w:val="7"/>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3"/>
          </w:tcPr>
          <w:p>
            <w:pPr>
              <w:spacing w:after="0" w:line="15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Guarantors (as defined therein) and The Bank of New York Mellon Trust Company, N.A., as trustee (incorporated by reference to</w:t>
              </w:r>
            </w:hyperlink>
          </w:p>
        </w:tc>
      </w:tr>
      <w:tr>
        <w:trPr>
          <w:trHeight w:val="151"/>
        </w:trPr>
        <w:tc>
          <w:tcPr>
            <w:tcW w:w="1520" w:type="dxa"/>
            <w:vAlign w:val="bottom"/>
          </w:tcPr>
          <w:p>
            <w:pPr>
              <w:spacing w:after="0"/>
              <w:rPr>
                <w:sz w:val="13"/>
                <w:szCs w:val="13"/>
                <w:color w:val="auto"/>
              </w:rPr>
            </w:pPr>
          </w:p>
        </w:tc>
        <w:tc>
          <w:tcPr>
            <w:tcW w:w="910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Exhibit 4.2 to Westlake Corporation's Current Report on Form 8-K, filed on August 10, 2016, File No. 001-32260).</w:t>
              </w:r>
            </w:hyperlink>
          </w:p>
        </w:tc>
        <w:tc>
          <w:tcPr>
            <w:tcW w:w="540" w:type="dxa"/>
            <w:vAlign w:val="bottom"/>
            <w:gridSpan w:val="9"/>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7"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4.4</w:t>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4.5</w:t>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br w:type="column"/>
      </w:r>
    </w:p>
    <w:p>
      <w:pPr>
        <w:ind w:right="480"/>
        <w:spacing w:after="0" w:line="286" w:lineRule="auto"/>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u w:val="single" w:color="auto"/>
            <w:color w:val="0000FF"/>
          </w:rPr>
          <w:t>Tenth Supplemental Indenture (including the form of the Notes), dated as of November 29, 2017, among Westlake Corporation, the</w:t>
        </w:r>
      </w:hyperlink>
      <w:r>
        <w:rPr>
          <w:rFonts w:ascii="Times New Roman" w:cs="Times New Roman" w:eastAsia="Times New Roman" w:hAnsi="Times New Roman"/>
          <w:sz w:val="16"/>
          <w:szCs w:val="16"/>
          <w:u w:val="single" w:color="auto"/>
          <w:color w:val="0000FF"/>
        </w:rPr>
        <w:t xml:space="preserve"> </w:t>
      </w:r>
      <w:hyperlink r:id="rId141">
        <w:r>
          <w:rPr>
            <w:rFonts w:ascii="Times New Roman" w:cs="Times New Roman" w:eastAsia="Times New Roman" w:hAnsi="Times New Roman"/>
            <w:sz w:val="16"/>
            <w:szCs w:val="16"/>
            <w:u w:val="single" w:color="auto"/>
            <w:color w:val="0000FF"/>
          </w:rPr>
          <w:t>Subsidiary Guarantors (as defined therein) and The Bank of New York Mellon Trust Company, N.A., as trustee (incorporated by</w:t>
        </w:r>
      </w:hyperlink>
      <w:r>
        <w:rPr>
          <w:rFonts w:ascii="Times New Roman" w:cs="Times New Roman" w:eastAsia="Times New Roman" w:hAnsi="Times New Roman"/>
          <w:sz w:val="16"/>
          <w:szCs w:val="16"/>
          <w:u w:val="single" w:color="auto"/>
          <w:color w:val="0000FF"/>
        </w:rPr>
        <w:t xml:space="preserve"> </w:t>
      </w:r>
      <w:hyperlink r:id="rId141">
        <w:r>
          <w:rPr>
            <w:rFonts w:ascii="Times New Roman" w:cs="Times New Roman" w:eastAsia="Times New Roman" w:hAnsi="Times New Roman"/>
            <w:sz w:val="16"/>
            <w:szCs w:val="16"/>
            <w:u w:val="single" w:color="auto"/>
            <w:color w:val="0000FF"/>
          </w:rPr>
          <w:t>reference to Exhibit 4.2 to Westlake Corporation's Current Report on Form 8-K, filed on November 28, 2017, File No. 001-32260)</w:t>
        </w:r>
        <w:r>
          <w:rPr>
            <w:rFonts w:ascii="Times New Roman" w:cs="Times New Roman" w:eastAsia="Times New Roman" w:hAnsi="Times New Roman"/>
            <w:sz w:val="16"/>
            <w:szCs w:val="16"/>
            <w:color w:val="000000"/>
          </w:rPr>
          <w:t>.</w:t>
        </w:r>
      </w:hyperlink>
    </w:p>
    <w:p>
      <w:pPr>
        <w:spacing w:after="0" w:line="53" w:lineRule="exact"/>
        <w:rPr>
          <w:rFonts w:ascii="Times New Roman" w:cs="Times New Roman" w:eastAsia="Times New Roman" w:hAnsi="Times New Roman"/>
          <w:sz w:val="16"/>
          <w:szCs w:val="16"/>
          <w:u w:val="single" w:color="auto"/>
          <w:color w:val="0000FF"/>
        </w:rPr>
      </w:pPr>
    </w:p>
    <w:p>
      <w:pPr>
        <w:ind w:right="240"/>
        <w:spacing w:after="0" w:line="286" w:lineRule="auto"/>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u w:val="single" w:color="auto"/>
            <w:color w:val="0000FF"/>
          </w:rPr>
          <w:t>Eleventh Supplemental Indenture (including the form of the Notes), dated as of November 28, 2017, among Westlake Corporation, the</w:t>
        </w:r>
      </w:hyperlink>
      <w:r>
        <w:rPr>
          <w:rFonts w:ascii="Times New Roman" w:cs="Times New Roman" w:eastAsia="Times New Roman" w:hAnsi="Times New Roman"/>
          <w:sz w:val="16"/>
          <w:szCs w:val="16"/>
          <w:u w:val="single" w:color="auto"/>
          <w:color w:val="0000FF"/>
        </w:rPr>
        <w:t xml:space="preserve"> </w:t>
      </w:r>
      <w:hyperlink r:id="rId142">
        <w:r>
          <w:rPr>
            <w:rFonts w:ascii="Times New Roman" w:cs="Times New Roman" w:eastAsia="Times New Roman" w:hAnsi="Times New Roman"/>
            <w:sz w:val="16"/>
            <w:szCs w:val="16"/>
            <w:u w:val="single" w:color="auto"/>
            <w:color w:val="0000FF"/>
          </w:rPr>
          <w:t>Subsidiary Guarantors (as defined therein) and The Bank of New York Mellon Trust Company, N.A., as trustee (incorporated by</w:t>
        </w:r>
      </w:hyperlink>
      <w:r>
        <w:rPr>
          <w:rFonts w:ascii="Times New Roman" w:cs="Times New Roman" w:eastAsia="Times New Roman" w:hAnsi="Times New Roman"/>
          <w:sz w:val="16"/>
          <w:szCs w:val="16"/>
          <w:u w:val="single" w:color="auto"/>
          <w:color w:val="0000FF"/>
        </w:rPr>
        <w:t xml:space="preserve"> </w:t>
      </w:r>
      <w:hyperlink r:id="rId142">
        <w:r>
          <w:rPr>
            <w:rFonts w:ascii="Times New Roman" w:cs="Times New Roman" w:eastAsia="Times New Roman" w:hAnsi="Times New Roman"/>
            <w:sz w:val="16"/>
            <w:szCs w:val="16"/>
            <w:u w:val="single" w:color="auto"/>
            <w:color w:val="0000FF"/>
          </w:rPr>
          <w:t>reference to Exhibit 4.3 to Westlake Corporation's Current Report on Form 8-K, filed on November 28, 2017, File No. 001-32260)</w:t>
        </w:r>
        <w:r>
          <w:rPr>
            <w:rFonts w:ascii="Times New Roman" w:cs="Times New Roman" w:eastAsia="Times New Roman" w:hAnsi="Times New Roman"/>
            <w:sz w:val="16"/>
            <w:szCs w:val="16"/>
            <w:color w:val="000000"/>
          </w:rPr>
          <w:t>.</w:t>
        </w:r>
      </w:hyperlink>
    </w:p>
    <w:p>
      <w:pPr>
        <w:spacing w:after="0" w:line="40" w:lineRule="exact"/>
        <w:rPr>
          <w:rFonts w:ascii="Times New Roman" w:cs="Times New Roman" w:eastAsia="Times New Roman" w:hAnsi="Times New Roman"/>
          <w:sz w:val="16"/>
          <w:szCs w:val="16"/>
          <w:u w:val="single" w:color="auto"/>
          <w:color w:val="0000FF"/>
        </w:rPr>
      </w:pPr>
    </w:p>
    <w:p>
      <w:pPr>
        <w:jc w:val="both"/>
        <w:ind w:right="340"/>
        <w:spacing w:after="0" w:line="220" w:lineRule="auto"/>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u w:val="single" w:color="auto"/>
            <w:color w:val="0000FF"/>
          </w:rPr>
          <w:t>Twelfth Supplemental Indenture (including the form of the Notes), dated as of July 17, 2019, between Westlake Corporation and The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Bank of New York Mellon Trust Company, N.A., as trustee (incorporated by reference to Exhibit 4.2 to Westlake's Current Report on</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Form 8-K filed on July 17, 2019, File No. 1-32260)</w:t>
        </w:r>
        <w:r>
          <w:rPr>
            <w:rFonts w:ascii="Times New Roman" w:cs="Times New Roman" w:eastAsia="Times New Roman" w:hAnsi="Times New Roman"/>
            <w:sz w:val="18"/>
            <w:szCs w:val="18"/>
            <w:color w:val="000000"/>
          </w:rPr>
          <w:t>.</w:t>
        </w:r>
      </w:hyperlink>
    </w:p>
    <w:p>
      <w:pPr>
        <w:spacing w:after="0" w:line="45"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20" w:space="720"/>
            <w:col w:w="97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w w:val="97"/>
              </w:rPr>
              <w:t>4.7</w:t>
            </w:r>
          </w:p>
        </w:tc>
        <w:tc>
          <w:tcPr>
            <w:tcW w:w="9700" w:type="dxa"/>
            <w:vAlign w:val="bottom"/>
            <w:gridSpan w:val="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Thirteenth Supplemental Indenture (including the form of Notes), dated as of June 12, 2020, between Westlake Corporation and The</w:t>
              </w:r>
            </w:hyperlink>
          </w:p>
        </w:tc>
      </w:tr>
      <w:tr>
        <w:trPr>
          <w:trHeight w:val="20"/>
        </w:trPr>
        <w:tc>
          <w:tcPr>
            <w:tcW w:w="15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1540" w:type="dxa"/>
            <w:vAlign w:val="bottom"/>
          </w:tcPr>
          <w:p>
            <w:pPr>
              <w:spacing w:after="0"/>
              <w:rPr>
                <w:sz w:val="13"/>
                <w:szCs w:val="13"/>
                <w:color w:val="auto"/>
              </w:rPr>
            </w:pPr>
          </w:p>
        </w:tc>
        <w:tc>
          <w:tcPr>
            <w:tcW w:w="9700" w:type="dxa"/>
            <w:vAlign w:val="bottom"/>
            <w:gridSpan w:val="9"/>
          </w:tcPr>
          <w:p>
            <w:pPr>
              <w:spacing w:after="0" w:line="15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Bank of New Mellon Trust Company, N.A., as trustee (incorporated by reference to Exhibit 4.2 to Westlake Corporation's Current Report</w:t>
              </w:r>
            </w:hyperlink>
          </w:p>
        </w:tc>
      </w:tr>
      <w:tr>
        <w:trPr>
          <w:trHeight w:val="151"/>
        </w:trPr>
        <w:tc>
          <w:tcPr>
            <w:tcW w:w="1540" w:type="dxa"/>
            <w:vAlign w:val="bottom"/>
          </w:tcPr>
          <w:p>
            <w:pPr>
              <w:spacing w:after="0"/>
              <w:rPr>
                <w:sz w:val="13"/>
                <w:szCs w:val="13"/>
                <w:color w:val="auto"/>
              </w:rPr>
            </w:pPr>
          </w:p>
        </w:tc>
        <w:tc>
          <w:tcPr>
            <w:tcW w:w="9660" w:type="dxa"/>
            <w:vAlign w:val="bottom"/>
            <w:tcBorders>
              <w:top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on Form 8-K filed on June 12, 2020, File No. 1-32260).</w:t>
              </w:r>
            </w:hyperlink>
          </w:p>
        </w:tc>
        <w:tc>
          <w:tcPr>
            <w:tcW w:w="4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9"/>
        </w:trPr>
        <w:tc>
          <w:tcPr>
            <w:tcW w:w="154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w w:val="97"/>
              </w:rPr>
              <w:t>4.8</w:t>
            </w:r>
          </w:p>
        </w:tc>
        <w:tc>
          <w:tcPr>
            <w:tcW w:w="95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Fourteenth Supplemental Indenture (including the form of Notes), dated as of August 19, 2021, between Westlake Corporation and The</w:t>
              </w:r>
            </w:hyperlink>
          </w:p>
        </w:tc>
        <w:tc>
          <w:tcPr>
            <w:tcW w:w="180" w:type="dxa"/>
            <w:vAlign w:val="bottom"/>
            <w:gridSpan w:val="3"/>
          </w:tcPr>
          <w:p>
            <w:pPr>
              <w:spacing w:after="0"/>
              <w:rPr>
                <w:sz w:val="23"/>
                <w:szCs w:val="23"/>
                <w:color w:val="auto"/>
              </w:rPr>
            </w:pPr>
          </w:p>
        </w:tc>
      </w:tr>
      <w:tr>
        <w:trPr>
          <w:trHeight w:val="151"/>
        </w:trPr>
        <w:tc>
          <w:tcPr>
            <w:tcW w:w="1540" w:type="dxa"/>
            <w:vAlign w:val="bottom"/>
          </w:tcPr>
          <w:p>
            <w:pPr>
              <w:spacing w:after="0"/>
              <w:rPr>
                <w:sz w:val="13"/>
                <w:szCs w:val="13"/>
                <w:color w:val="auto"/>
              </w:rPr>
            </w:pPr>
          </w:p>
        </w:tc>
        <w:tc>
          <w:tcPr>
            <w:tcW w:w="9700" w:type="dxa"/>
            <w:vAlign w:val="bottom"/>
            <w:gridSpan w:val="9"/>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Bank of New Mellon Trust Company, N.A., as trustee (incorporated by reference to Westlake Corporation's Current Report on Form 8-K</w:t>
              </w:r>
            </w:hyperlink>
          </w:p>
        </w:tc>
      </w:tr>
      <w:tr>
        <w:trPr>
          <w:trHeight w:val="151"/>
        </w:trPr>
        <w:tc>
          <w:tcPr>
            <w:tcW w:w="154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filed on August 19, 2021, File No. 1-32260).</w:t>
              </w:r>
            </w:hyperlink>
          </w:p>
        </w:tc>
        <w:tc>
          <w:tcPr>
            <w:tcW w:w="6440" w:type="dxa"/>
            <w:vAlign w:val="bottom"/>
            <w:tcBorders>
              <w:top w:val="single" w:sz="8" w:color="0000FF"/>
            </w:tcBorders>
            <w:gridSpan w:val="5"/>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69"/>
        </w:trPr>
        <w:tc>
          <w:tcPr>
            <w:tcW w:w="154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w w:val="97"/>
              </w:rPr>
              <w:t>4.9</w:t>
            </w:r>
          </w:p>
        </w:tc>
        <w:tc>
          <w:tcPr>
            <w:tcW w:w="9700" w:type="dxa"/>
            <w:vAlign w:val="bottom"/>
            <w:gridSpan w:val="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Registration Rights Agreement by and among Westlake Chemical Partners LP and the persons named therein, dated as of March 29,</w:t>
              </w:r>
            </w:hyperlink>
          </w:p>
        </w:tc>
      </w:tr>
      <w:tr>
        <w:trPr>
          <w:trHeight w:val="151"/>
        </w:trPr>
        <w:tc>
          <w:tcPr>
            <w:tcW w:w="1540" w:type="dxa"/>
            <w:vAlign w:val="bottom"/>
          </w:tcPr>
          <w:p>
            <w:pPr>
              <w:spacing w:after="0"/>
              <w:rPr>
                <w:sz w:val="13"/>
                <w:szCs w:val="13"/>
                <w:color w:val="auto"/>
              </w:rPr>
            </w:pPr>
          </w:p>
        </w:tc>
        <w:tc>
          <w:tcPr>
            <w:tcW w:w="9300" w:type="dxa"/>
            <w:vAlign w:val="bottom"/>
            <w:tcBorders>
              <w:top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2019 (incorporated by reference to Exhibit 4.1 to Westlake Chemical Partners LP's Current Report on Form 8-K, filed on March 29,</w:t>
              </w:r>
            </w:hyperlink>
          </w:p>
        </w:tc>
        <w:tc>
          <w:tcPr>
            <w:tcW w:w="400" w:type="dxa"/>
            <w:vAlign w:val="bottom"/>
            <w:gridSpan w:val="4"/>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260" w:type="dxa"/>
            <w:vAlign w:val="bottom"/>
            <w:tcBorders>
              <w:top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2019, File No. 001-36567).</w:t>
              </w:r>
            </w:hyperlink>
          </w:p>
        </w:tc>
        <w:tc>
          <w:tcPr>
            <w:tcW w:w="440" w:type="dxa"/>
            <w:vAlign w:val="bottom"/>
            <w:gridSpan w:val="5"/>
          </w:tcPr>
          <w:p>
            <w:pPr>
              <w:spacing w:after="0"/>
              <w:rPr>
                <w:sz w:val="13"/>
                <w:szCs w:val="13"/>
                <w:color w:val="auto"/>
              </w:rPr>
            </w:pPr>
          </w:p>
        </w:tc>
      </w:tr>
      <w:tr>
        <w:trPr>
          <w:trHeight w:val="914"/>
        </w:trPr>
        <w:tc>
          <w:tcPr>
            <w:tcW w:w="1540" w:type="dxa"/>
            <w:vAlign w:val="bottom"/>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7340" w:type="dxa"/>
            <w:vAlign w:val="bottom"/>
            <w:gridSpan w:val="3"/>
          </w:tcPr>
          <w:p>
            <w:pPr>
              <w:jc w:val="right"/>
              <w:ind w:right="5080"/>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154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5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700" w:type="dxa"/>
            <w:vAlign w:val="bottom"/>
            <w:gridSpan w:val="39"/>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9"/>
        </w:trPr>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9700" w:type="dxa"/>
            <w:vAlign w:val="bottom"/>
            <w:gridSpan w:val="39"/>
          </w:tcPr>
          <w:p>
            <w:pPr>
              <w:spacing w:after="0" w:line="189"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Omnibus Agreement among Westlake Management Services, Inc., Westlake Vinyls Corporation, Westlake Chemical Partners GP LLC,</w:t>
              </w:r>
            </w:hyperlink>
          </w:p>
        </w:tc>
      </w:tr>
      <w:tr>
        <w:trPr>
          <w:trHeight w:val="151"/>
        </w:trPr>
        <w:tc>
          <w:tcPr>
            <w:tcW w:w="1540" w:type="dxa"/>
            <w:vAlign w:val="bottom"/>
          </w:tcPr>
          <w:p>
            <w:pPr>
              <w:spacing w:after="0"/>
              <w:rPr>
                <w:sz w:val="13"/>
                <w:szCs w:val="13"/>
                <w:color w:val="auto"/>
              </w:rPr>
            </w:pPr>
          </w:p>
        </w:tc>
        <w:tc>
          <w:tcPr>
            <w:tcW w:w="9540" w:type="dxa"/>
            <w:vAlign w:val="bottom"/>
            <w:tcBorders>
              <w:top w:val="single" w:sz="8" w:color="0000FF"/>
            </w:tcBorders>
            <w:gridSpan w:val="32"/>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Westlake Chemical Partners LP, WPT LLC, Westlake Petrochemicals LLC, Westlake Vinyls, Inc., Westlake Longview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Westlake Chemical OpCo GP LLC, Westlake Chemical OpCo LP, Westlake PVC Corporation, Westlake Styrene LLC and Westlake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540" w:type="dxa"/>
            <w:vAlign w:val="bottom"/>
          </w:tcPr>
          <w:p>
            <w:pPr>
              <w:spacing w:after="0"/>
              <w:rPr>
                <w:sz w:val="14"/>
                <w:szCs w:val="14"/>
                <w:color w:val="auto"/>
              </w:rPr>
            </w:pPr>
          </w:p>
        </w:tc>
        <w:tc>
          <w:tcPr>
            <w:tcW w:w="9300" w:type="dxa"/>
            <w:vAlign w:val="bottom"/>
            <w:tcBorders>
              <w:bottom w:val="single" w:sz="8" w:color="0000FF"/>
            </w:tcBorders>
            <w:gridSpan w:val="21"/>
          </w:tcPr>
          <w:p>
            <w:pPr>
              <w:spacing w:after="0" w:line="164" w:lineRule="exact"/>
              <w:rPr>
                <w:rFonts w:ascii="Times New Roman" w:cs="Times New Roman" w:eastAsia="Times New Roman" w:hAnsi="Times New Roman"/>
                <w:sz w:val="18"/>
                <w:szCs w:val="18"/>
                <w:color w:val="0000FF"/>
                <w:w w:val="96"/>
              </w:rPr>
            </w:pPr>
            <w:hyperlink r:id="rId149">
              <w:r>
                <w:rPr>
                  <w:rFonts w:ascii="Times New Roman" w:cs="Times New Roman" w:eastAsia="Times New Roman" w:hAnsi="Times New Roman"/>
                  <w:sz w:val="18"/>
                  <w:szCs w:val="18"/>
                  <w:color w:val="0000FF"/>
                  <w:w w:val="96"/>
                </w:rPr>
                <w:t>Polymers LLC (incorporated by reference to Exhibit 10.1 to Westlake Chemical Partners LP's Current Report on Form 8-K (File No.</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1540" w:type="dxa"/>
            <w:vAlign w:val="bottom"/>
          </w:tcPr>
          <w:p>
            <w:pPr>
              <w:spacing w:after="0"/>
              <w:rPr>
                <w:sz w:val="13"/>
                <w:szCs w:val="13"/>
                <w:color w:val="auto"/>
              </w:rPr>
            </w:pPr>
          </w:p>
        </w:tc>
        <w:tc>
          <w:tcPr>
            <w:tcW w:w="2640" w:type="dxa"/>
            <w:vAlign w:val="bottom"/>
            <w:tcBorders>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001-36567) filed on August 8, 2014).</w:t>
              </w:r>
            </w:hyperlink>
          </w:p>
        </w:tc>
        <w:tc>
          <w:tcPr>
            <w:tcW w:w="670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Services and Secondment Agreement by and among Westlake Chemical OpCo LP, Westlake Management Services, Inc., Westlake</w:t>
              </w:r>
            </w:hyperlink>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1540" w:type="dxa"/>
            <w:vAlign w:val="bottom"/>
          </w:tcPr>
          <w:p>
            <w:pPr>
              <w:spacing w:after="0"/>
              <w:rPr>
                <w:sz w:val="13"/>
                <w:szCs w:val="13"/>
                <w:color w:val="auto"/>
              </w:rPr>
            </w:pPr>
          </w:p>
        </w:tc>
        <w:tc>
          <w:tcPr>
            <w:tcW w:w="9700" w:type="dxa"/>
            <w:vAlign w:val="bottom"/>
            <w:gridSpan w:val="39"/>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Vinyls, Inc., WPT LLC and Westlake Petrochemicals LLC (incorporated by reference to Exhibit 10.2 to Westlake Chemical Partners</w:t>
              </w:r>
            </w:hyperlink>
          </w:p>
        </w:tc>
      </w:tr>
      <w:tr>
        <w:trPr>
          <w:trHeight w:val="151"/>
        </w:trPr>
        <w:tc>
          <w:tcPr>
            <w:tcW w:w="1540" w:type="dxa"/>
            <w:vAlign w:val="bottom"/>
          </w:tcPr>
          <w:p>
            <w:pPr>
              <w:spacing w:after="0"/>
              <w:rPr>
                <w:sz w:val="13"/>
                <w:szCs w:val="13"/>
                <w:color w:val="auto"/>
              </w:rPr>
            </w:pPr>
          </w:p>
        </w:tc>
        <w:tc>
          <w:tcPr>
            <w:tcW w:w="932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LP's Current Report on Form 8-K (File No. 001-36567) filed on August 8, 2014).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Feedstock Supply Agreement between Westlake Petrochemicals LLC and Westlake Chemical OpCo LP (incorporated by reference to</w:t>
              </w:r>
            </w:hyperlink>
          </w:p>
        </w:tc>
      </w:tr>
      <w:tr>
        <w:trPr>
          <w:trHeight w:val="151"/>
        </w:trPr>
        <w:tc>
          <w:tcPr>
            <w:tcW w:w="1540" w:type="dxa"/>
            <w:vAlign w:val="bottom"/>
          </w:tcPr>
          <w:p>
            <w:pPr>
              <w:spacing w:after="0"/>
              <w:rPr>
                <w:sz w:val="13"/>
                <w:szCs w:val="13"/>
                <w:color w:val="auto"/>
              </w:rPr>
            </w:pPr>
          </w:p>
        </w:tc>
        <w:tc>
          <w:tcPr>
            <w:tcW w:w="938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Exhibit 10.3 to Westlake Chemical Partners LP's Current Report on Form 8-K (File No. 001-36567) filed on August 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gridSpan w:val="39"/>
          </w:tcPr>
          <w:p>
            <w:pPr>
              <w:spacing w:after="0"/>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Ethylene Sales Agreement between Westlake Chemical OpCo LP, WPT LLC, Westlake Vinyls, Inc. and Westlake Petrochemicals LLC</w:t>
              </w:r>
            </w:hyperlink>
          </w:p>
        </w:tc>
      </w:tr>
      <w:tr>
        <w:trPr>
          <w:trHeight w:val="151"/>
        </w:trPr>
        <w:tc>
          <w:tcPr>
            <w:tcW w:w="1540" w:type="dxa"/>
            <w:vAlign w:val="bottom"/>
          </w:tcPr>
          <w:p>
            <w:pPr>
              <w:spacing w:after="0"/>
              <w:rPr>
                <w:sz w:val="13"/>
                <w:szCs w:val="13"/>
                <w:color w:val="auto"/>
              </w:rPr>
            </w:pPr>
          </w:p>
        </w:tc>
        <w:tc>
          <w:tcPr>
            <w:tcW w:w="9500" w:type="dxa"/>
            <w:vAlign w:val="bottom"/>
            <w:tcBorders>
              <w:top w:val="single" w:sz="8" w:color="0000FF"/>
            </w:tcBorders>
            <w:gridSpan w:val="30"/>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(incorporated by reference to Exhibit 10.4 to Westlake Chemical Partners LP's Current Report on Form 8-K (File No. 001-36567)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480" w:type="dxa"/>
            <w:vAlign w:val="bottom"/>
            <w:tcBorders>
              <w:top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on August 8, 2014).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First Amendment to Ethylene Sales Agreement (incorporated herein by reference to Exhibit 10.1 to Westlake Chemical Partners LP's</w:t>
              </w:r>
            </w:hyperlink>
          </w:p>
        </w:tc>
      </w:tr>
      <w:tr>
        <w:trPr>
          <w:trHeight w:val="151"/>
        </w:trPr>
        <w:tc>
          <w:tcPr>
            <w:tcW w:w="1540" w:type="dxa"/>
            <w:vAlign w:val="bottom"/>
          </w:tcPr>
          <w:p>
            <w:pPr>
              <w:spacing w:after="0"/>
              <w:rPr>
                <w:sz w:val="13"/>
                <w:szCs w:val="13"/>
                <w:color w:val="auto"/>
              </w:rPr>
            </w:pPr>
          </w:p>
        </w:tc>
        <w:tc>
          <w:tcPr>
            <w:tcW w:w="936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Quarterly Report on Form 10-Q for the quarter ended June 30, 2016, filed on August 9, 2016, File No. 1-32260).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Second Amendment to Ethylene Sales Agreement (incorporated by reference to Exhibit 10.2 to Westlake Chemical Partners LP's</w:t>
              </w:r>
            </w:hyperlink>
          </w:p>
        </w:tc>
      </w:tr>
      <w:tr>
        <w:trPr>
          <w:trHeight w:val="151"/>
        </w:trPr>
        <w:tc>
          <w:tcPr>
            <w:tcW w:w="154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Quarterly Report on Form 10-Q for the quarter ended September 30, 2018 (File No. 01-36567) filed on November 6, 2018).</w:t>
              </w:r>
            </w:hyperlink>
          </w:p>
        </w:tc>
        <w:tc>
          <w:tcPr>
            <w:tcW w:w="3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Site Lease Agreement (Calvert City) between Westlake Vinyls, Inc. and Westlake Chemical OpCo LP (incorporated by reference to</w:t>
              </w:r>
            </w:hyperlink>
          </w:p>
        </w:tc>
      </w:tr>
      <w:tr>
        <w:trPr>
          <w:trHeight w:val="151"/>
        </w:trPr>
        <w:tc>
          <w:tcPr>
            <w:tcW w:w="1540" w:type="dxa"/>
            <w:vAlign w:val="bottom"/>
          </w:tcPr>
          <w:p>
            <w:pPr>
              <w:spacing w:after="0"/>
              <w:rPr>
                <w:sz w:val="13"/>
                <w:szCs w:val="13"/>
                <w:color w:val="auto"/>
              </w:rPr>
            </w:pPr>
          </w:p>
        </w:tc>
        <w:tc>
          <w:tcPr>
            <w:tcW w:w="926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Exhibit 10.5 to Westlake Chemical Partners LP's Current Report on Form 8-K (File No. 001-36567) filed on August 8, 2014).</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Site Lease Agreement (Lake Charles) between Westlake Petrochemicals LLC and Westlake Chemical OpCo LP (incorporated by</w:t>
              </w:r>
            </w:hyperlink>
          </w:p>
        </w:tc>
      </w:tr>
      <w:tr>
        <w:trPr>
          <w:trHeight w:val="151"/>
        </w:trPr>
        <w:tc>
          <w:tcPr>
            <w:tcW w:w="1540" w:type="dxa"/>
            <w:vAlign w:val="bottom"/>
          </w:tcPr>
          <w:p>
            <w:pPr>
              <w:spacing w:after="0"/>
              <w:rPr>
                <w:sz w:val="13"/>
                <w:szCs w:val="13"/>
                <w:color w:val="auto"/>
              </w:rPr>
            </w:pPr>
          </w:p>
        </w:tc>
        <w:tc>
          <w:tcPr>
            <w:tcW w:w="908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reference to Exhibit 10.6 to Westlake Chemical Partners LP's Current Report on Form 8-K (File No. 001-36567) filed on August</w:t>
              </w:r>
            </w:hyperlink>
          </w:p>
        </w:tc>
        <w:tc>
          <w:tcPr>
            <w:tcW w:w="140" w:type="dxa"/>
            <w:vAlign w:val="bottom"/>
            <w:gridSpan w:val="3"/>
          </w:tcPr>
          <w:p>
            <w:pPr>
              <w:jc w:val="right"/>
              <w:ind w:right="20"/>
              <w:spacing w:after="0" w:line="152" w:lineRule="exact"/>
              <w:rPr>
                <w:rFonts w:ascii="Times New Roman" w:cs="Times New Roman" w:eastAsia="Times New Roman" w:hAnsi="Times New Roman"/>
                <w:sz w:val="16"/>
                <w:szCs w:val="16"/>
                <w:color w:val="0000FF"/>
                <w:w w:val="82"/>
              </w:rPr>
            </w:pPr>
            <w:hyperlink r:id="rId156">
              <w:r>
                <w:rPr>
                  <w:rFonts w:ascii="Times New Roman" w:cs="Times New Roman" w:eastAsia="Times New Roman" w:hAnsi="Times New Roman"/>
                  <w:sz w:val="16"/>
                  <w:szCs w:val="16"/>
                  <w:color w:val="0000FF"/>
                  <w:w w:val="82"/>
                </w:rPr>
                <w:t>8,</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2014).</w:t>
              </w:r>
            </w:hyperlink>
          </w:p>
        </w:tc>
        <w:tc>
          <w:tcPr>
            <w:tcW w:w="4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Senior Unsecured Revolving Credit Agreement by and among Westlake Chemical Partners LP and Westlake Chemical Finance</w:t>
              </w:r>
            </w:hyperlink>
          </w:p>
        </w:tc>
      </w:tr>
      <w:tr>
        <w:trPr>
          <w:trHeight w:val="151"/>
        </w:trPr>
        <w:tc>
          <w:tcPr>
            <w:tcW w:w="1540" w:type="dxa"/>
            <w:vAlign w:val="bottom"/>
          </w:tcPr>
          <w:p>
            <w:pPr>
              <w:spacing w:after="0"/>
              <w:rPr>
                <w:sz w:val="13"/>
                <w:szCs w:val="13"/>
                <w:color w:val="auto"/>
              </w:rPr>
            </w:pPr>
          </w:p>
        </w:tc>
        <w:tc>
          <w:tcPr>
            <w:tcW w:w="8940" w:type="dxa"/>
            <w:vAlign w:val="bottom"/>
            <w:tcBorders>
              <w:top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Corporation, dated as of April 29, 2015 (incorporated by reference to Exhibit 10.1 to Westlake Chemical Partners LP's Current</w:t>
              </w:r>
            </w:hyperlink>
          </w:p>
        </w:tc>
        <w:tc>
          <w:tcPr>
            <w:tcW w:w="760" w:type="dxa"/>
            <w:vAlign w:val="bottom"/>
            <w:gridSpan w:val="27"/>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Report on</w:t>
              </w:r>
            </w:hyperlink>
          </w:p>
        </w:tc>
      </w:tr>
      <w:tr>
        <w:trPr>
          <w:trHeight w:val="151"/>
        </w:trPr>
        <w:tc>
          <w:tcPr>
            <w:tcW w:w="15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Form 8-K, filed on April 30, 2015, File No. 001-36567).</w:t>
              </w:r>
            </w:hyperlink>
          </w:p>
        </w:tc>
        <w:tc>
          <w:tcPr>
            <w:tcW w:w="566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9700" w:type="dxa"/>
            <w:vAlign w:val="bottom"/>
            <w:gridSpan w:val="39"/>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First Amendment to Senior Unsecured Revolving Credit Agreement by and between Westlake Chemical Partners LP, as borrower, and</w:t>
              </w:r>
            </w:hyperlink>
          </w:p>
        </w:tc>
      </w:tr>
      <w:tr>
        <w:trPr>
          <w:trHeight w:val="151"/>
        </w:trPr>
        <w:tc>
          <w:tcPr>
            <w:tcW w:w="1540" w:type="dxa"/>
            <w:vAlign w:val="bottom"/>
          </w:tcPr>
          <w:p>
            <w:pPr>
              <w:spacing w:after="0"/>
              <w:rPr>
                <w:sz w:val="13"/>
                <w:szCs w:val="13"/>
                <w:color w:val="auto"/>
              </w:rPr>
            </w:pPr>
          </w:p>
        </w:tc>
        <w:tc>
          <w:tcPr>
            <w:tcW w:w="9440" w:type="dxa"/>
            <w:vAlign w:val="bottom"/>
            <w:tcBorders>
              <w:top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Westlake Chemical Finance Corporation, as lender, dated as of August 1, 2017 (incorporated by reference to Exhibit 10.1 to Westlake</w:t>
              </w:r>
            </w:hyperlink>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40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Chemical Partners LP's Quarterly Report on Form 10-Q for the quarter ended June 30, 2017 (File No. 01-36567) filed on August 3,</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54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4"/>
              </w:rPr>
            </w:pPr>
            <w:hyperlink r:id="rId158">
              <w:r>
                <w:rPr>
                  <w:rFonts w:ascii="Times New Roman" w:cs="Times New Roman" w:eastAsia="Times New Roman" w:hAnsi="Times New Roman"/>
                  <w:sz w:val="18"/>
                  <w:szCs w:val="18"/>
                  <w:color w:val="0000FF"/>
                  <w:w w:val="94"/>
                </w:rPr>
                <w:t>2017).</w:t>
              </w:r>
            </w:hyperlink>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10.7.2</w:t>
            </w:r>
          </w:p>
        </w:tc>
        <w:tc>
          <w:tcPr>
            <w:tcW w:w="9700" w:type="dxa"/>
            <w:vAlign w:val="bottom"/>
            <w:gridSpan w:val="39"/>
          </w:tcPr>
          <w:p>
            <w:pPr>
              <w:spacing w:after="0"/>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Second Amendment to Senior Unsecured Revolving Credit Agreement by and between Westlake Chemical Partners LP, as borrower, and</w:t>
              </w:r>
            </w:hyperlink>
          </w:p>
        </w:tc>
      </w:tr>
      <w:tr>
        <w:trPr>
          <w:trHeight w:val="151"/>
        </w:trPr>
        <w:tc>
          <w:tcPr>
            <w:tcW w:w="154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Westlake Chemical Finance Corporation, as lender, dated as of November 28, 2017 (incorporated by reference to Exhibit 10.24 to</w:t>
              </w:r>
            </w:hyperlink>
          </w:p>
        </w:tc>
        <w:tc>
          <w:tcPr>
            <w:tcW w:w="5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700" w:type="dxa"/>
            <w:vAlign w:val="bottom"/>
            <w:gridSpan w:val="39"/>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Westlake Chemical Partners LP's Annual Report on Form 10-K for the year ended December 31, 2017 (File No. 01-36567) filed on</w:t>
              </w:r>
            </w:hyperlink>
          </w:p>
        </w:tc>
      </w:tr>
      <w:tr>
        <w:trPr>
          <w:trHeight w:val="164"/>
        </w:trPr>
        <w:tc>
          <w:tcPr>
            <w:tcW w:w="1540" w:type="dxa"/>
            <w:vAlign w:val="bottom"/>
          </w:tcPr>
          <w:p>
            <w:pPr>
              <w:spacing w:after="0"/>
              <w:rPr>
                <w:sz w:val="14"/>
                <w:szCs w:val="14"/>
                <w:color w:val="auto"/>
              </w:rPr>
            </w:pPr>
          </w:p>
        </w:tc>
        <w:tc>
          <w:tcPr>
            <w:tcW w:w="114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59">
              <w:r>
                <w:rPr>
                  <w:rFonts w:ascii="Times New Roman" w:cs="Times New Roman" w:eastAsia="Times New Roman" w:hAnsi="Times New Roman"/>
                  <w:sz w:val="18"/>
                  <w:szCs w:val="18"/>
                  <w:color w:val="0000FF"/>
                  <w:w w:val="96"/>
                </w:rPr>
                <w:t>March 1, 2018).</w:t>
              </w:r>
            </w:hyperlink>
          </w:p>
        </w:tc>
        <w:tc>
          <w:tcPr>
            <w:tcW w:w="8100" w:type="dxa"/>
            <w:vAlign w:val="bottom"/>
            <w:tcBorders>
              <w:top w:val="single" w:sz="8" w:color="0000FF"/>
            </w:tcBorders>
            <w:gridSpan w:val="15"/>
          </w:tcPr>
          <w:p>
            <w:pPr>
              <w:spacing w:after="0"/>
              <w:rPr>
                <w:sz w:val="14"/>
                <w:szCs w:val="14"/>
                <w:color w:val="auto"/>
              </w:rPr>
            </w:pPr>
          </w:p>
        </w:tc>
        <w:tc>
          <w:tcPr>
            <w:tcW w:w="180" w:type="dxa"/>
            <w:vAlign w:val="bottom"/>
            <w:gridSpan w:val="9"/>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10.7.3</w:t>
            </w:r>
          </w:p>
        </w:tc>
        <w:tc>
          <w:tcPr>
            <w:tcW w:w="9700" w:type="dxa"/>
            <w:vAlign w:val="bottom"/>
            <w:gridSpan w:val="39"/>
          </w:tcPr>
          <w:p>
            <w:pPr>
              <w:spacing w:after="0"/>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Third Amendment to Senior Unsecured Revolving Credit Agreement by and between Westlake Chemical Partners LP, as borrower, and</w:t>
              </w:r>
            </w:hyperlink>
          </w:p>
        </w:tc>
      </w:tr>
      <w:tr>
        <w:trPr>
          <w:trHeight w:val="151"/>
        </w:trPr>
        <w:tc>
          <w:tcPr>
            <w:tcW w:w="1540" w:type="dxa"/>
            <w:vAlign w:val="bottom"/>
          </w:tcPr>
          <w:p>
            <w:pPr>
              <w:spacing w:after="0"/>
              <w:rPr>
                <w:sz w:val="13"/>
                <w:szCs w:val="13"/>
                <w:color w:val="auto"/>
              </w:rPr>
            </w:pPr>
          </w:p>
        </w:tc>
        <w:tc>
          <w:tcPr>
            <w:tcW w:w="9560" w:type="dxa"/>
            <w:vAlign w:val="bottom"/>
            <w:tcBorders>
              <w:top w:val="single" w:sz="8" w:color="0000FF"/>
            </w:tcBorders>
            <w:gridSpan w:val="33"/>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Westlake Chemical Finance Corporation, as lender, dated as of March 19, 2020 (incorporated herein by reference to Exhibit 10.1 to</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22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Westlake Chemical Partners LP's Quarterly Report on Form 10-Q for the quarter ended March 31, 2020, filed on May 6, 2020, File</w:t>
              </w:r>
            </w:hyperlink>
          </w:p>
        </w:tc>
        <w:tc>
          <w:tcPr>
            <w:tcW w:w="480" w:type="dxa"/>
            <w:vAlign w:val="bottom"/>
            <w:gridSpan w:val="22"/>
          </w:tcPr>
          <w:p>
            <w:pPr>
              <w:ind w:left="40"/>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No.</w:t>
              </w:r>
            </w:hyperlink>
          </w:p>
        </w:tc>
      </w:tr>
      <w:tr>
        <w:trPr>
          <w:trHeight w:val="164"/>
        </w:trPr>
        <w:tc>
          <w:tcPr>
            <w:tcW w:w="1540" w:type="dxa"/>
            <w:vAlign w:val="bottom"/>
          </w:tcPr>
          <w:p>
            <w:pPr>
              <w:spacing w:after="0"/>
              <w:rPr>
                <w:sz w:val="14"/>
                <w:szCs w:val="14"/>
                <w:color w:val="auto"/>
              </w:rPr>
            </w:pPr>
          </w:p>
        </w:tc>
        <w:tc>
          <w:tcPr>
            <w:tcW w:w="88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001-36567).</w:t>
              </w:r>
            </w:hyperlink>
          </w:p>
        </w:tc>
        <w:tc>
          <w:tcPr>
            <w:tcW w:w="2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10.7.4</w:t>
            </w:r>
          </w:p>
        </w:tc>
        <w:tc>
          <w:tcPr>
            <w:tcW w:w="9700" w:type="dxa"/>
            <w:vAlign w:val="bottom"/>
            <w:gridSpan w:val="39"/>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Fourth Amendment to Senior Unsecured Revolving Credit Agreement of Westlake Chemical Partners LP (incorporated by reference to</w:t>
              </w:r>
            </w:hyperlink>
          </w:p>
        </w:tc>
      </w:tr>
      <w:tr>
        <w:trPr>
          <w:trHeight w:val="151"/>
        </w:trPr>
        <w:tc>
          <w:tcPr>
            <w:tcW w:w="1540" w:type="dxa"/>
            <w:vAlign w:val="bottom"/>
          </w:tcPr>
          <w:p>
            <w:pPr>
              <w:spacing w:after="0"/>
              <w:rPr>
                <w:sz w:val="13"/>
                <w:szCs w:val="13"/>
                <w:color w:val="auto"/>
              </w:rPr>
            </w:pPr>
          </w:p>
        </w:tc>
        <w:tc>
          <w:tcPr>
            <w:tcW w:w="9520" w:type="dxa"/>
            <w:vAlign w:val="bottom"/>
            <w:tcBorders>
              <w:top w:val="single" w:sz="8" w:color="0000FF"/>
            </w:tcBorders>
            <w:gridSpan w:val="31"/>
          </w:tcPr>
          <w:p>
            <w:pPr>
              <w:spacing w:after="0" w:line="15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Exhibit 10.2 to Westlake Chemical Partners LP's Current Report on Form 8-K (File No. 001-36567) filed on July 15, 2022).</w:t>
              </w:r>
            </w:hyperlink>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73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17"/>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700" w:type="dxa"/>
            <w:vAlign w:val="bottom"/>
            <w:gridSpan w:val="39"/>
          </w:tcPr>
          <w:p>
            <w:pPr>
              <w:spacing w:after="0"/>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Amended and Restated Senior Unsecured Revolving Credit Agreement by and among Westlake Chemical OpCo LP, Westlake Polymers</w:t>
              </w:r>
            </w:hyperlink>
          </w:p>
        </w:tc>
      </w:tr>
      <w:tr>
        <w:trPr>
          <w:trHeight w:val="151"/>
        </w:trPr>
        <w:tc>
          <w:tcPr>
            <w:tcW w:w="1540" w:type="dxa"/>
            <w:vAlign w:val="bottom"/>
          </w:tcPr>
          <w:p>
            <w:pPr>
              <w:spacing w:after="0"/>
              <w:rPr>
                <w:sz w:val="13"/>
                <w:szCs w:val="13"/>
                <w:color w:val="auto"/>
              </w:rPr>
            </w:pPr>
          </w:p>
        </w:tc>
        <w:tc>
          <w:tcPr>
            <w:tcW w:w="958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LLC, and the lenders party thereto, dated as of June 1, 2017 (incorporated by reference to Exhibit 10.9 to Westlake Chemical Partners</w:t>
              </w:r>
            </w:hyperlink>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LP's Annual Report on Form 10-K for the year ended December 31, 2019, filed on February 28, 2020, File No. 001-36567).</w:t>
              </w:r>
            </w:hyperlink>
          </w:p>
        </w:tc>
        <w:tc>
          <w:tcPr>
            <w:tcW w:w="700" w:type="dxa"/>
            <w:vAlign w:val="bottom"/>
            <w:tcBorders>
              <w:top w:val="single" w:sz="8" w:color="0000FF"/>
            </w:tcBorders>
            <w:gridSpan w:val="17"/>
          </w:tcPr>
          <w:p>
            <w:pPr>
              <w:spacing w:after="0"/>
              <w:rPr>
                <w:sz w:val="13"/>
                <w:szCs w:val="13"/>
                <w:color w:val="auto"/>
              </w:rPr>
            </w:pPr>
          </w:p>
        </w:tc>
        <w:tc>
          <w:tcPr>
            <w:tcW w:w="20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10.8.1</w:t>
            </w:r>
          </w:p>
        </w:tc>
        <w:tc>
          <w:tcPr>
            <w:tcW w:w="9700" w:type="dxa"/>
            <w:vAlign w:val="bottom"/>
            <w:gridSpan w:val="39"/>
          </w:tcPr>
          <w:p>
            <w:pPr>
              <w:spacing w:after="0"/>
              <w:rPr>
                <w:rFonts w:ascii="Times New Roman" w:cs="Times New Roman" w:eastAsia="Times New Roman" w:hAnsi="Times New Roman"/>
                <w:sz w:val="18"/>
                <w:szCs w:val="18"/>
                <w:color w:val="0000FF"/>
                <w:w w:val="97"/>
              </w:rPr>
            </w:pPr>
            <w:hyperlink r:id="rId163">
              <w:r>
                <w:rPr>
                  <w:rFonts w:ascii="Times New Roman" w:cs="Times New Roman" w:eastAsia="Times New Roman" w:hAnsi="Times New Roman"/>
                  <w:sz w:val="18"/>
                  <w:szCs w:val="18"/>
                  <w:color w:val="0000FF"/>
                  <w:w w:val="97"/>
                </w:rPr>
                <w:t>First Amendment to Amended and Restated Senior Unsecured Revolving Credit Agreement (incorporated by reference to Exhibit 10.1 to</w:t>
              </w:r>
            </w:hyperlink>
          </w:p>
        </w:tc>
      </w:tr>
      <w:tr>
        <w:trPr>
          <w:trHeight w:val="151"/>
        </w:trPr>
        <w:tc>
          <w:tcPr>
            <w:tcW w:w="1540" w:type="dxa"/>
            <w:vAlign w:val="bottom"/>
          </w:tcPr>
          <w:p>
            <w:pPr>
              <w:spacing w:after="0"/>
              <w:rPr>
                <w:sz w:val="13"/>
                <w:szCs w:val="13"/>
                <w:color w:val="auto"/>
              </w:rPr>
            </w:pPr>
          </w:p>
        </w:tc>
        <w:tc>
          <w:tcPr>
            <w:tcW w:w="9680" w:type="dxa"/>
            <w:vAlign w:val="bottom"/>
            <w:tcBorders>
              <w:top w:val="single" w:sz="8" w:color="0000FF"/>
            </w:tcBorders>
            <w:gridSpan w:val="38"/>
          </w:tcPr>
          <w:p>
            <w:pPr>
              <w:spacing w:after="0" w:line="15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Westlake Chemical Partners LP's Quarterly Report on Form 10-Q for the quarter ended September 30, 2018 (File No. 01-36567) filed on</w:t>
              </w:r>
            </w:hyperlink>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620" w:type="dxa"/>
            <w:vAlign w:val="bottom"/>
            <w:tcBorders>
              <w:top w:val="single" w:sz="8" w:color="0000FF"/>
            </w:tcBorders>
            <w:gridSpan w:val="35"/>
          </w:tcPr>
          <w:p>
            <w:pPr>
              <w:spacing w:after="0" w:line="15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November 6, 2018)</w:t>
              </w:r>
              <w:r>
                <w:rPr>
                  <w:rFonts w:ascii="Times New Roman" w:cs="Times New Roman" w:eastAsia="Times New Roman" w:hAnsi="Times New Roman"/>
                  <w:sz w:val="16"/>
                  <w:szCs w:val="16"/>
                  <w:color w:val="000000"/>
                </w:rPr>
                <w:t>.</w:t>
              </w:r>
            </w:hyperlink>
          </w:p>
        </w:tc>
        <w:tc>
          <w:tcPr>
            <w:tcW w:w="80" w:type="dxa"/>
            <w:vAlign w:val="bottom"/>
            <w:gridSpan w:val="4"/>
          </w:tcPr>
          <w:p>
            <w:pPr>
              <w:spacing w:after="0"/>
              <w:rPr>
                <w:sz w:val="13"/>
                <w:szCs w:val="13"/>
                <w:color w:val="auto"/>
              </w:rPr>
            </w:pPr>
          </w:p>
        </w:tc>
      </w:tr>
      <w:tr>
        <w:trPr>
          <w:trHeight w:val="914"/>
        </w:trPr>
        <w:tc>
          <w:tcPr>
            <w:tcW w:w="1540" w:type="dxa"/>
            <w:vAlign w:val="bottom"/>
          </w:tcPr>
          <w:p>
            <w:pPr>
              <w:spacing w:after="0"/>
              <w:rPr>
                <w:sz w:val="24"/>
                <w:szCs w:val="24"/>
                <w:color w:val="auto"/>
              </w:rPr>
            </w:pPr>
          </w:p>
        </w:tc>
        <w:tc>
          <w:tcPr>
            <w:tcW w:w="1400" w:type="dxa"/>
            <w:vAlign w:val="bottom"/>
            <w:tcBorders>
              <w:top w:val="single" w:sz="8" w:color="0000FF"/>
            </w:tcBorders>
            <w:gridSpan w:val="4"/>
          </w:tcPr>
          <w:p>
            <w:pPr>
              <w:spacing w:after="0"/>
              <w:rPr>
                <w:sz w:val="24"/>
                <w:szCs w:val="24"/>
                <w:color w:val="auto"/>
              </w:rPr>
            </w:pPr>
          </w:p>
        </w:tc>
        <w:tc>
          <w:tcPr>
            <w:tcW w:w="4320" w:type="dxa"/>
            <w:vAlign w:val="bottom"/>
            <w:gridSpan w:val="3"/>
          </w:tcPr>
          <w:p>
            <w:pPr>
              <w:jc w:val="right"/>
              <w:ind w:right="1540"/>
              <w:spacing w:after="0"/>
              <w:rPr>
                <w:sz w:val="20"/>
                <w:szCs w:val="20"/>
                <w:color w:val="auto"/>
              </w:rPr>
            </w:pPr>
            <w:r>
              <w:rPr>
                <w:rFonts w:ascii="Times New Roman" w:cs="Times New Roman" w:eastAsia="Times New Roman" w:hAnsi="Times New Roman"/>
                <w:sz w:val="18"/>
                <w:szCs w:val="18"/>
                <w:color w:val="auto"/>
              </w:rPr>
              <w:t>92</w:t>
            </w:r>
          </w:p>
        </w:tc>
        <w:tc>
          <w:tcPr>
            <w:tcW w:w="2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15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640" w:type="dxa"/>
            <w:vAlign w:val="bottom"/>
            <w:gridSpan w:val="28"/>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9"/>
        </w:trPr>
        <w:tc>
          <w:tcPr>
            <w:tcW w:w="1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10.8.2</w:t>
            </w:r>
          </w:p>
        </w:tc>
        <w:tc>
          <w:tcPr>
            <w:tcW w:w="9640" w:type="dxa"/>
            <w:vAlign w:val="bottom"/>
            <w:gridSpan w:val="28"/>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Second Amendment to Amended and Restated Senior Unsecured Revolving Credit Agreement of Westlake Chemical OpCo LP</w:t>
              </w:r>
            </w:hyperlink>
          </w:p>
        </w:tc>
      </w:tr>
      <w:tr>
        <w:trPr>
          <w:trHeight w:val="20"/>
        </w:trPr>
        <w:tc>
          <w:tcPr>
            <w:tcW w:w="15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8"/>
          </w:tcPr>
          <w:p>
            <w:pPr>
              <w:spacing w:after="0" w:line="15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(incorporated by reference to Exhibit 10.1 to Westlake Chemical Partners LP's Current Report on Form 8-K (File No. 001-36567) filed</w:t>
              </w:r>
            </w:hyperlink>
          </w:p>
        </w:tc>
      </w:tr>
      <w:tr>
        <w:trPr>
          <w:trHeight w:val="151"/>
        </w:trPr>
        <w:tc>
          <w:tcPr>
            <w:tcW w:w="1520" w:type="dxa"/>
            <w:vAlign w:val="bottom"/>
          </w:tcPr>
          <w:p>
            <w:pPr>
              <w:spacing w:after="0"/>
              <w:rPr>
                <w:sz w:val="13"/>
                <w:szCs w:val="13"/>
                <w:color w:val="auto"/>
              </w:rPr>
            </w:pPr>
          </w:p>
        </w:tc>
        <w:tc>
          <w:tcPr>
            <w:tcW w:w="948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on July 15,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640" w:type="dxa"/>
            <w:vAlign w:val="bottom"/>
            <w:gridSpan w:val="2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Westlake Chemical Partners LP Long-Term Incentive Plan (incorporated by reference to Exhibit 10.8 to Westlake Chemical Partners</w:t>
              </w:r>
            </w:hyperlink>
          </w:p>
        </w:tc>
      </w:tr>
      <w:tr>
        <w:trPr>
          <w:trHeight w:val="151"/>
        </w:trPr>
        <w:tc>
          <w:tcPr>
            <w:tcW w:w="152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LP's Current Report on Form 8-K (File No. 001-36567) filed on August 8, 2014).</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640" w:type="dxa"/>
            <w:vAlign w:val="bottom"/>
            <w:gridSpan w:val="2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Exchange Agreement, effective as of August 1, 2014, by and between WPT LLC and Westlake Chemical OpCo LP (incorporated by</w:t>
              </w:r>
            </w:hyperlink>
          </w:p>
        </w:tc>
      </w:tr>
      <w:tr>
        <w:trPr>
          <w:trHeight w:val="151"/>
        </w:trPr>
        <w:tc>
          <w:tcPr>
            <w:tcW w:w="1520" w:type="dxa"/>
            <w:vAlign w:val="bottom"/>
          </w:tcPr>
          <w:p>
            <w:pPr>
              <w:spacing w:after="0"/>
              <w:rPr>
                <w:sz w:val="13"/>
                <w:szCs w:val="13"/>
                <w:color w:val="auto"/>
              </w:rPr>
            </w:pPr>
          </w:p>
        </w:tc>
        <w:tc>
          <w:tcPr>
            <w:tcW w:w="932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reference to Exhibit 10.20 to Westlake Chemical Partners LP's Annual Report on Form 10-K for the year ended December 30, 2016</w:t>
              </w:r>
            </w:hyperlink>
          </w:p>
        </w:tc>
        <w:tc>
          <w:tcPr>
            <w:tcW w:w="320" w:type="dxa"/>
            <w:vAlign w:val="bottom"/>
            <w:gridSpan w:val="12"/>
          </w:tcPr>
          <w:p>
            <w:pPr>
              <w:spacing w:after="0" w:line="152" w:lineRule="exact"/>
              <w:rPr>
                <w:rFonts w:ascii="Times New Roman" w:cs="Times New Roman" w:eastAsia="Times New Roman" w:hAnsi="Times New Roman"/>
                <w:sz w:val="16"/>
                <w:szCs w:val="16"/>
                <w:color w:val="0000FF"/>
                <w:w w:val="99"/>
              </w:rPr>
            </w:pPr>
            <w:hyperlink r:id="rId168">
              <w:r>
                <w:rPr>
                  <w:rFonts w:ascii="Times New Roman" w:cs="Times New Roman" w:eastAsia="Times New Roman" w:hAnsi="Times New Roman"/>
                  <w:sz w:val="16"/>
                  <w:szCs w:val="16"/>
                  <w:color w:val="0000FF"/>
                  <w:w w:val="99"/>
                </w:rPr>
                <w:t>(File</w:t>
              </w:r>
            </w:hyperlink>
          </w:p>
        </w:tc>
      </w:tr>
      <w:tr>
        <w:trPr>
          <w:trHeight w:val="151"/>
        </w:trPr>
        <w:tc>
          <w:tcPr>
            <w:tcW w:w="15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No. 01-36567) filed on March 7, 2017).</w:t>
              </w:r>
            </w:hyperlink>
          </w:p>
        </w:tc>
        <w:tc>
          <w:tcPr>
            <w:tcW w:w="682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4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6"/>
              </w:rPr>
            </w:pPr>
            <w:hyperlink r:id="rId169">
              <w:r>
                <w:rPr>
                  <w:rFonts w:ascii="Times New Roman" w:cs="Times New Roman" w:eastAsia="Times New Roman" w:hAnsi="Times New Roman"/>
                  <w:sz w:val="18"/>
                  <w:szCs w:val="18"/>
                  <w:color w:val="0000FF"/>
                  <w:w w:val="96"/>
                </w:rPr>
                <w:t>Investment Management Agreement among Westlake Corporation, Westlake Chemical OpCo LP, and Westlake Chemical Partners LP,</w:t>
              </w:r>
            </w:hyperlink>
          </w:p>
        </w:tc>
        <w:tc>
          <w:tcPr>
            <w:tcW w:w="200" w:type="dxa"/>
            <w:vAlign w:val="bottom"/>
            <w:gridSpan w:val="9"/>
          </w:tcPr>
          <w:p>
            <w:pPr>
              <w:spacing w:after="0"/>
              <w:rPr>
                <w:sz w:val="23"/>
                <w:szCs w:val="23"/>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8"/>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dated as of August 1, 2017 (incorporated by reference to Exhibit 10.1 to Westlake Chemical Partners LP's Quarterly Report on Form 10-</w:t>
              </w:r>
            </w:hyperlink>
          </w:p>
        </w:tc>
      </w:tr>
      <w:tr>
        <w:trPr>
          <w:trHeight w:val="151"/>
        </w:trPr>
        <w:tc>
          <w:tcPr>
            <w:tcW w:w="1520" w:type="dxa"/>
            <w:vAlign w:val="bottom"/>
          </w:tcPr>
          <w:p>
            <w:pPr>
              <w:spacing w:after="0"/>
              <w:rPr>
                <w:sz w:val="13"/>
                <w:szCs w:val="13"/>
                <w:color w:val="auto"/>
              </w:rPr>
            </w:pPr>
          </w:p>
        </w:tc>
        <w:tc>
          <w:tcPr>
            <w:tcW w:w="664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Q for the quarter ended September 30, 2017, (File No. 01-36567) filed on November 7, 2017).</w:t>
              </w:r>
            </w:hyperlink>
          </w:p>
        </w:tc>
        <w:tc>
          <w:tcPr>
            <w:tcW w:w="29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9"/>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640" w:type="dxa"/>
            <w:vAlign w:val="bottom"/>
            <w:gridSpan w:val="2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Phantom Unit Agreement (incorporated by reference to Exhibit 10.12 to Westlake Chemical Partners LP's Annual Report on</w:t>
              </w:r>
            </w:hyperlink>
          </w:p>
        </w:tc>
      </w:tr>
      <w:tr>
        <w:trPr>
          <w:trHeight w:val="151"/>
        </w:trPr>
        <w:tc>
          <w:tcPr>
            <w:tcW w:w="152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Form 10-K for the year ended December 31, 2017 (File No. 01-36567) filed on March 1, 2018).</w:t>
              </w:r>
            </w:hyperlink>
          </w:p>
        </w:tc>
        <w:tc>
          <w:tcPr>
            <w:tcW w:w="2620" w:type="dxa"/>
            <w:vAlign w:val="bottom"/>
            <w:tcBorders>
              <w:top w:val="single" w:sz="8" w:color="0000FF"/>
            </w:tcBorders>
            <w:gridSpan w:val="7"/>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9"/>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640" w:type="dxa"/>
            <w:vAlign w:val="bottom"/>
            <w:gridSpan w:val="28"/>
          </w:tcPr>
          <w:p>
            <w:pPr>
              <w:spacing w:after="0"/>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Equity Distribution Agreement, dated October 4, 2018, by and among Westlake Chemical Partners LP, Westlake Chemical Partners GP</w:t>
              </w:r>
            </w:hyperlink>
          </w:p>
        </w:tc>
      </w:tr>
      <w:tr>
        <w:trPr>
          <w:trHeight w:val="151"/>
        </w:trPr>
        <w:tc>
          <w:tcPr>
            <w:tcW w:w="15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LLC, UBS Securities LLC, Barclays Capital Inc., Citigroup Global Markets Inc., Deutsche Bank Securities Inc., Merrill Lynch, Pierce,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8"/>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Fenner &amp; Smith Incorporated, RBC Capital Markets, LLC and Wells Fargo Securities, LLC (incorporated by reference to Exhibit 1.1 to</w:t>
              </w:r>
            </w:hyperlink>
          </w:p>
        </w:tc>
      </w:tr>
      <w:tr>
        <w:trPr>
          <w:trHeight w:val="164"/>
        </w:trPr>
        <w:tc>
          <w:tcPr>
            <w:tcW w:w="1520" w:type="dxa"/>
            <w:vAlign w:val="bottom"/>
          </w:tcPr>
          <w:p>
            <w:pPr>
              <w:spacing w:after="0"/>
              <w:rPr>
                <w:sz w:val="14"/>
                <w:szCs w:val="14"/>
                <w:color w:val="auto"/>
              </w:rPr>
            </w:pPr>
          </w:p>
        </w:tc>
        <w:tc>
          <w:tcPr>
            <w:tcW w:w="9540" w:type="dxa"/>
            <w:vAlign w:val="bottom"/>
            <w:tcBorders>
              <w:top w:val="single" w:sz="8" w:color="0000FF"/>
            </w:tcBorders>
            <w:gridSpan w:val="24"/>
          </w:tcPr>
          <w:p>
            <w:pPr>
              <w:spacing w:after="0" w:line="164"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Westlake Chemical Partners LP's Current Report on Form 8-K filed on October 5, 2018, File No. 001-36567).</w:t>
              </w:r>
            </w:hyperlink>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10.13.1</w:t>
            </w:r>
          </w:p>
        </w:tc>
        <w:tc>
          <w:tcPr>
            <w:tcW w:w="92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6"/>
              </w:rPr>
            </w:pPr>
            <w:hyperlink r:id="rId172">
              <w:r>
                <w:rPr>
                  <w:rFonts w:ascii="Times New Roman" w:cs="Times New Roman" w:eastAsia="Times New Roman" w:hAnsi="Times New Roman"/>
                  <w:sz w:val="18"/>
                  <w:szCs w:val="18"/>
                  <w:color w:val="0000FF"/>
                  <w:w w:val="96"/>
                </w:rPr>
                <w:t>First Amendment to Equity Distribution Agreement by and among Westlake Chemical Partners LP, Westlake Chemical Partners GP</w:t>
              </w:r>
            </w:hyperlink>
          </w:p>
        </w:tc>
        <w:tc>
          <w:tcPr>
            <w:tcW w:w="380" w:type="dxa"/>
            <w:vAlign w:val="bottom"/>
            <w:gridSpan w:val="13"/>
          </w:tcPr>
          <w:p>
            <w:pPr>
              <w:spacing w:after="0"/>
              <w:rPr>
                <w:sz w:val="22"/>
                <w:szCs w:val="22"/>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8"/>
          </w:tcPr>
          <w:p>
            <w:pPr>
              <w:spacing w:after="0" w:line="15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LLC, UBS Securities LLC, Barclays Capital Inc., BofA Securities, Inc., Citigroup Global Markets Inc., Deutsche Bank Securities Inc.,</w:t>
              </w:r>
            </w:hyperlink>
          </w:p>
        </w:tc>
      </w:tr>
      <w:tr>
        <w:trPr>
          <w:trHeight w:val="151"/>
        </w:trPr>
        <w:tc>
          <w:tcPr>
            <w:tcW w:w="152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RBC Capital Markets, LLC and Wells Fargo Securities, LLC dated as of February 28, 2020 (incorporated by reference to Exhibit 10.22</w:t>
              </w:r>
            </w:hyperlink>
          </w:p>
        </w:tc>
        <w:tc>
          <w:tcPr>
            <w:tcW w:w="60" w:type="dxa"/>
            <w:vAlign w:val="bottom"/>
            <w:tcBorders>
              <w:bottom w:val="single" w:sz="8" w:color="0000FF"/>
            </w:tcBorders>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4"/>
        </w:trPr>
        <w:tc>
          <w:tcPr>
            <w:tcW w:w="1520" w:type="dxa"/>
            <w:vAlign w:val="bottom"/>
          </w:tcPr>
          <w:p>
            <w:pPr>
              <w:spacing w:after="0"/>
              <w:rPr>
                <w:sz w:val="14"/>
                <w:szCs w:val="14"/>
                <w:color w:val="auto"/>
              </w:rPr>
            </w:pPr>
          </w:p>
        </w:tc>
        <w:tc>
          <w:tcPr>
            <w:tcW w:w="9520" w:type="dxa"/>
            <w:vAlign w:val="bottom"/>
            <w:tcBorders>
              <w:bottom w:val="single" w:sz="8" w:color="0000FF"/>
            </w:tcBorders>
            <w:gridSpan w:val="23"/>
          </w:tcPr>
          <w:p>
            <w:pPr>
              <w:spacing w:after="0" w:line="164" w:lineRule="exact"/>
              <w:rPr>
                <w:rFonts w:ascii="Times New Roman" w:cs="Times New Roman" w:eastAsia="Times New Roman" w:hAnsi="Times New Roman"/>
                <w:sz w:val="18"/>
                <w:szCs w:val="18"/>
                <w:color w:val="0000FF"/>
                <w:w w:val="96"/>
              </w:rPr>
            </w:pPr>
            <w:hyperlink r:id="rId172">
              <w:r>
                <w:rPr>
                  <w:rFonts w:ascii="Times New Roman" w:cs="Times New Roman" w:eastAsia="Times New Roman" w:hAnsi="Times New Roman"/>
                  <w:sz w:val="18"/>
                  <w:szCs w:val="18"/>
                  <w:color w:val="0000FF"/>
                  <w:w w:val="96"/>
                </w:rPr>
                <w:t>to Westlake Chemical Partnership LP's Annual Report on Form 10-K for the year ended December 31, 2019, filed on February 28, 2020,</w:t>
              </w:r>
            </w:hyperlink>
          </w:p>
        </w:tc>
        <w:tc>
          <w:tcPr>
            <w:tcW w:w="80" w:type="dxa"/>
            <w:vAlign w:val="bottom"/>
            <w:tcBorders>
              <w:bottom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1"/>
        </w:trPr>
        <w:tc>
          <w:tcPr>
            <w:tcW w:w="1520" w:type="dxa"/>
            <w:vAlign w:val="bottom"/>
          </w:tcPr>
          <w:p>
            <w:pPr>
              <w:spacing w:after="0"/>
              <w:rPr>
                <w:sz w:val="13"/>
                <w:szCs w:val="13"/>
                <w:color w:val="auto"/>
              </w:rPr>
            </w:pPr>
          </w:p>
        </w:tc>
        <w:tc>
          <w:tcPr>
            <w:tcW w:w="1500" w:type="dxa"/>
            <w:vAlign w:val="bottom"/>
            <w:tcBorders>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File No, 001-36567).</w:t>
              </w:r>
            </w:hyperlink>
          </w:p>
        </w:tc>
        <w:tc>
          <w:tcPr>
            <w:tcW w:w="8100" w:type="dxa"/>
            <w:vAlign w:val="bottom"/>
            <w:gridSpan w:val="2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9"/>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List of Subsidiaries of Westlake Chemical Partners LP.</w:t>
            </w:r>
          </w:p>
        </w:tc>
        <w:tc>
          <w:tcPr>
            <w:tcW w:w="5780" w:type="dxa"/>
            <w:vAlign w:val="bottom"/>
            <w:gridSpan w:val="23"/>
          </w:tcPr>
          <w:p>
            <w:pPr>
              <w:spacing w:after="0"/>
              <w:rPr>
                <w:sz w:val="23"/>
                <w:szCs w:val="23"/>
                <w:color w:val="auto"/>
              </w:rPr>
            </w:pP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6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r>
      <w:tr>
        <w:trPr>
          <w:trHeight w:val="20"/>
        </w:trPr>
        <w:tc>
          <w:tcPr>
            <w:tcW w:w="152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40" w:type="dxa"/>
            <w:vAlign w:val="bottom"/>
            <w:gridSpan w:val="15"/>
          </w:tcPr>
          <w:p>
            <w:pPr>
              <w:spacing w:after="0" w:line="20" w:lineRule="exact"/>
              <w:rPr>
                <w:sz w:val="1"/>
                <w:szCs w:val="1"/>
                <w:color w:val="auto"/>
              </w:rPr>
            </w:pP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Rule 13a - 14(a) / 15d - 14(a) Certification (Principal Financial Officer).</w:t>
            </w:r>
          </w:p>
        </w:tc>
        <w:tc>
          <w:tcPr>
            <w:tcW w:w="4520" w:type="dxa"/>
            <w:vAlign w:val="bottom"/>
            <w:gridSpan w:val="21"/>
          </w:tcPr>
          <w:p>
            <w:pPr>
              <w:spacing w:after="0"/>
              <w:rPr>
                <w:sz w:val="22"/>
                <w:szCs w:val="22"/>
                <w:color w:val="auto"/>
              </w:rPr>
            </w:pPr>
          </w:p>
        </w:tc>
      </w:tr>
      <w:tr>
        <w:trPr>
          <w:trHeight w:val="20"/>
        </w:trPr>
        <w:tc>
          <w:tcPr>
            <w:tcW w:w="1520" w:type="dxa"/>
            <w:vAlign w:val="bottom"/>
          </w:tcPr>
          <w:p>
            <w:pPr>
              <w:spacing w:after="0" w:line="20" w:lineRule="exact"/>
              <w:rPr>
                <w:sz w:val="1"/>
                <w:szCs w:val="1"/>
                <w:color w:val="auto"/>
              </w:rPr>
            </w:pPr>
          </w:p>
        </w:tc>
        <w:tc>
          <w:tcPr>
            <w:tcW w:w="5080" w:type="dxa"/>
            <w:vAlign w:val="bottom"/>
            <w:gridSpan w:val="6"/>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40" w:type="dxa"/>
            <w:vAlign w:val="bottom"/>
            <w:gridSpan w:val="15"/>
          </w:tcPr>
          <w:p>
            <w:pPr>
              <w:spacing w:after="0" w:line="20" w:lineRule="exact"/>
              <w:rPr>
                <w:sz w:val="1"/>
                <w:szCs w:val="1"/>
                <w:color w:val="auto"/>
              </w:rPr>
            </w:pP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520" w:type="dxa"/>
            <w:vAlign w:val="bottom"/>
          </w:tcPr>
          <w:p>
            <w:pPr>
              <w:spacing w:after="0" w:line="20" w:lineRule="exact"/>
              <w:rPr>
                <w:sz w:val="1"/>
                <w:szCs w:val="1"/>
                <w:color w:val="auto"/>
              </w:rPr>
            </w:pPr>
          </w:p>
        </w:tc>
        <w:tc>
          <w:tcPr>
            <w:tcW w:w="6200" w:type="dxa"/>
            <w:vAlign w:val="bottom"/>
            <w:gridSpan w:val="9"/>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40" w:type="dxa"/>
            <w:vAlign w:val="bottom"/>
            <w:gridSpan w:val="15"/>
          </w:tcPr>
          <w:p>
            <w:pPr>
              <w:spacing w:after="0" w:line="20" w:lineRule="exact"/>
              <w:rPr>
                <w:sz w:val="1"/>
                <w:szCs w:val="1"/>
                <w:color w:val="auto"/>
              </w:rPr>
            </w:pP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6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Westlake Chemical Partners LP Policy for Recovery of Erroneously Awarded Compensation, effective as of October 2, 2023.</w:t>
            </w:r>
          </w:p>
        </w:tc>
      </w:tr>
      <w:tr>
        <w:trPr>
          <w:trHeight w:val="20"/>
        </w:trPr>
        <w:tc>
          <w:tcPr>
            <w:tcW w:w="1520" w:type="dxa"/>
            <w:vAlign w:val="bottom"/>
          </w:tcPr>
          <w:p>
            <w:pPr>
              <w:spacing w:after="0" w:line="20" w:lineRule="exact"/>
              <w:rPr>
                <w:sz w:val="1"/>
                <w:szCs w:val="1"/>
                <w:color w:val="auto"/>
              </w:rPr>
            </w:pPr>
          </w:p>
        </w:tc>
        <w:tc>
          <w:tcPr>
            <w:tcW w:w="8800" w:type="dxa"/>
            <w:vAlign w:val="bottom"/>
            <w:gridSpan w:val="13"/>
            <w:shd w:val="clear" w:color="auto" w:fill="0000FF"/>
          </w:tcPr>
          <w:p>
            <w:pPr>
              <w:spacing w:after="0" w:line="20" w:lineRule="exact"/>
              <w:rPr>
                <w:sz w:val="1"/>
                <w:szCs w:val="1"/>
                <w:color w:val="auto"/>
              </w:rPr>
            </w:pPr>
          </w:p>
        </w:tc>
        <w:tc>
          <w:tcPr>
            <w:tcW w:w="840" w:type="dxa"/>
            <w:vAlign w:val="bottom"/>
            <w:gridSpan w:val="15"/>
          </w:tcPr>
          <w:p>
            <w:pPr>
              <w:spacing w:after="0" w:line="20" w:lineRule="exact"/>
              <w:rPr>
                <w:sz w:val="1"/>
                <w:szCs w:val="1"/>
                <w:color w:val="auto"/>
              </w:rPr>
            </w:pPr>
          </w:p>
        </w:tc>
      </w:tr>
      <w:tr>
        <w:trPr>
          <w:trHeight w:val="243"/>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28"/>
        </w:trPr>
        <w:tc>
          <w:tcPr>
            <w:tcW w:w="1520" w:type="dxa"/>
            <w:vAlign w:val="bottom"/>
          </w:tcPr>
          <w:p>
            <w:pPr>
              <w:spacing w:after="0"/>
              <w:rPr>
                <w:sz w:val="19"/>
                <w:szCs w:val="19"/>
                <w:color w:val="auto"/>
              </w:rPr>
            </w:pPr>
          </w:p>
        </w:tc>
        <w:tc>
          <w:tcPr>
            <w:tcW w:w="9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8" w:lineRule="exact"/>
        <w:rPr>
          <w:sz w:val="20"/>
          <w:szCs w:val="20"/>
          <w:color w:val="auto"/>
        </w:rPr>
      </w:pPr>
    </w:p>
    <w:p>
      <w:pPr>
        <w:ind w:left="1540" w:hanging="1517"/>
        <w:spacing w:after="0" w:line="231" w:lineRule="auto"/>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3"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Filed herewith.</w:t>
      </w:r>
    </w:p>
    <w:p>
      <w:pPr>
        <w:spacing w:after="0" w:line="56" w:lineRule="exact"/>
        <w:rPr>
          <w:sz w:val="20"/>
          <w:szCs w:val="20"/>
          <w:color w:val="auto"/>
        </w:rPr>
      </w:pPr>
    </w:p>
    <w:p>
      <w:pPr>
        <w:ind w:left="340" w:hanging="335"/>
        <w:spacing w:after="0"/>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Furnished herewith.</w:t>
      </w:r>
    </w:p>
    <w:p>
      <w:pPr>
        <w:spacing w:after="0" w:line="56" w:lineRule="exact"/>
        <w:rPr>
          <w:rFonts w:ascii="Times New Roman" w:cs="Times New Roman" w:eastAsia="Times New Roman" w:hAnsi="Times New Roman"/>
          <w:sz w:val="16"/>
          <w:szCs w:val="16"/>
          <w:color w:val="auto"/>
        </w:rPr>
      </w:pPr>
    </w:p>
    <w:p>
      <w:pPr>
        <w:ind w:left="400" w:right="80" w:hanging="395"/>
        <w:spacing w:after="0" w:line="268" w:lineRule="auto"/>
        <w:tabs>
          <w:tab w:leader="none" w:pos="3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2022, Westlake Chemical Corporation changed its corporate name to Westlake Corporation. Accordingly, filings made prior to such date were made under the name Westlake Chemical Corporation.</w:t>
      </w:r>
    </w:p>
    <w:p>
      <w:pPr>
        <w:spacing w:after="0" w:line="1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Management contract or compensatory plan or arrangement.</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hanging="395"/>
        <w:spacing w:after="0" w:line="268" w:lineRule="auto"/>
        <w:tabs>
          <w:tab w:leader="none" w:pos="35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7"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WESTLAKE CHEMICAL PARTNERS LP</w:t>
      </w:r>
    </w:p>
    <w:p>
      <w:pPr>
        <w:spacing w:after="0" w:line="267" w:lineRule="exact"/>
        <w:rPr>
          <w:sz w:val="20"/>
          <w:szCs w:val="20"/>
          <w:color w:val="auto"/>
        </w:rPr>
      </w:pPr>
    </w:p>
    <w:p>
      <w:pPr>
        <w:ind w:left="20"/>
        <w:spacing w:after="0"/>
        <w:tabs>
          <w:tab w:leader="none" w:pos="640" w:val="left"/>
          <w:tab w:leader="none" w:pos="8160" w:val="left"/>
        </w:tabs>
        <w:rPr>
          <w:sz w:val="20"/>
          <w:szCs w:val="20"/>
          <w:color w:val="auto"/>
        </w:rPr>
      </w:pPr>
      <w:r>
        <w:rPr>
          <w:rFonts w:ascii="Times New Roman" w:cs="Times New Roman" w:eastAsia="Times New Roman" w:hAnsi="Times New Roman"/>
          <w:sz w:val="18"/>
          <w:szCs w:val="18"/>
          <w:color w:val="auto"/>
        </w:rPr>
        <w:t>Date:</w:t>
        <w:tab/>
        <w:t>February 28, 2024</w:t>
      </w:r>
      <w:r>
        <w:rPr>
          <w:sz w:val="20"/>
          <w:szCs w:val="20"/>
          <w:color w:val="auto"/>
        </w:rPr>
        <w:tab/>
      </w:r>
      <w:r>
        <w:rPr>
          <w:rFonts w:ascii="Times New Roman" w:cs="Times New Roman" w:eastAsia="Times New Roman" w:hAnsi="Times New Roman"/>
          <w:sz w:val="16"/>
          <w:szCs w:val="16"/>
          <w:color w:val="auto"/>
        </w:rPr>
        <w:t>/S/ 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22225</wp:posOffset>
            </wp:positionV>
            <wp:extent cx="3058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1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Albert Chao</w:t>
      </w:r>
    </w:p>
    <w:p>
      <w:pPr>
        <w:ind w:left="7300"/>
        <w:spacing w:after="0" w:line="198"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ind w:left="7660"/>
        <w:spacing w:after="0" w:line="216"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ind w:left="7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8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42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40" w:type="dxa"/>
            <w:vAlign w:val="bottom"/>
            <w:gridSpan w:val="3"/>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42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56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color w:val="auto"/>
                <w:w w:val="97"/>
              </w:rPr>
              <w:t>A</w:t>
            </w:r>
            <w:r>
              <w:rPr>
                <w:rFonts w:ascii="Times New Roman" w:cs="Times New Roman" w:eastAsia="Times New Roman" w:hAnsi="Times New Roman"/>
                <w:sz w:val="14"/>
                <w:szCs w:val="14"/>
                <w:color w:val="auto"/>
                <w:w w:val="97"/>
              </w:rPr>
              <w:t>LBERT</w:t>
            </w:r>
            <w:r>
              <w:rPr>
                <w:rFonts w:ascii="Times New Roman" w:cs="Times New Roman" w:eastAsia="Times New Roman" w:hAnsi="Times New Roman"/>
                <w:sz w:val="18"/>
                <w:szCs w:val="18"/>
                <w:color w:val="auto"/>
                <w:w w:val="97"/>
              </w:rPr>
              <w:t xml:space="preserve"> C</w:t>
            </w:r>
            <w:r>
              <w:rPr>
                <w:rFonts w:ascii="Times New Roman" w:cs="Times New Roman" w:eastAsia="Times New Roman" w:hAnsi="Times New Roman"/>
                <w:sz w:val="14"/>
                <w:szCs w:val="14"/>
                <w:color w:val="auto"/>
                <w:w w:val="97"/>
              </w:rPr>
              <w:t>HAO</w:t>
            </w:r>
          </w:p>
        </w:tc>
        <w:tc>
          <w:tcPr>
            <w:tcW w:w="45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40" w:type="dxa"/>
            <w:vAlign w:val="bottom"/>
            <w:gridSpan w:val="3"/>
            <w:vMerge w:val="restart"/>
          </w:tcPr>
          <w:p>
            <w:pPr>
              <w:jc w:val="center"/>
              <w:ind w:left="675"/>
              <w:spacing w:after="0"/>
              <w:rPr>
                <w:sz w:val="20"/>
                <w:szCs w:val="20"/>
                <w:color w:val="auto"/>
              </w:rPr>
            </w:pPr>
            <w:r>
              <w:rPr>
                <w:rFonts w:ascii="Times New Roman" w:cs="Times New Roman" w:eastAsia="Times New Roman" w:hAnsi="Times New Roman"/>
                <w:sz w:val="18"/>
                <w:szCs w:val="18"/>
                <w:color w:val="auto"/>
                <w:w w:val="96"/>
              </w:rPr>
              <w:t>February 28, 2024</w:t>
            </w:r>
          </w:p>
        </w:tc>
        <w:tc>
          <w:tcPr>
            <w:tcW w:w="0" w:type="dxa"/>
            <w:vAlign w:val="bottom"/>
          </w:tcPr>
          <w:p>
            <w:pPr>
              <w:spacing w:after="0"/>
              <w:rPr>
                <w:sz w:val="1"/>
                <w:szCs w:val="1"/>
                <w:color w:val="auto"/>
              </w:rPr>
            </w:pPr>
          </w:p>
        </w:tc>
      </w:tr>
      <w:tr>
        <w:trPr>
          <w:trHeight w:val="39"/>
        </w:trPr>
        <w:tc>
          <w:tcPr>
            <w:tcW w:w="1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5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560" w:type="dxa"/>
            <w:vAlign w:val="bottom"/>
            <w:gridSpan w:val="3"/>
            <w:vMerge w:val="restart"/>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w w:val="99"/>
              </w:rPr>
              <w:t>Albert Chao</w:t>
            </w:r>
          </w:p>
        </w:tc>
        <w:tc>
          <w:tcPr>
            <w:tcW w:w="4560" w:type="dxa"/>
            <w:vAlign w:val="bottom"/>
            <w:gridSpan w:val="3"/>
            <w:vMerge w:val="continue"/>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45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800" w:type="dxa"/>
            <w:vAlign w:val="bottom"/>
            <w:gridSpan w:val="4"/>
          </w:tcPr>
          <w:p>
            <w:pPr>
              <w:jc w:val="center"/>
              <w:ind w:right="1060"/>
              <w:spacing w:after="0"/>
              <w:rPr>
                <w:sz w:val="20"/>
                <w:szCs w:val="20"/>
                <w:color w:val="auto"/>
              </w:rPr>
            </w:pPr>
            <w:r>
              <w:rPr>
                <w:rFonts w:ascii="Times New Roman" w:cs="Times New Roman" w:eastAsia="Times New Roman" w:hAnsi="Times New Roman"/>
                <w:sz w:val="18"/>
                <w:szCs w:val="18"/>
                <w:color w:val="auto"/>
                <w:w w:val="98"/>
              </w:rPr>
              <w:t>M. S</w:t>
            </w:r>
            <w:r>
              <w:rPr>
                <w:rFonts w:ascii="Times New Roman" w:cs="Times New Roman" w:eastAsia="Times New Roman" w:hAnsi="Times New Roman"/>
                <w:sz w:val="14"/>
                <w:szCs w:val="14"/>
                <w:color w:val="auto"/>
                <w:w w:val="98"/>
              </w:rPr>
              <w:t>TEVEN</w:t>
            </w:r>
            <w:r>
              <w:rPr>
                <w:rFonts w:ascii="Times New Roman" w:cs="Times New Roman" w:eastAsia="Times New Roman" w:hAnsi="Times New Roman"/>
                <w:sz w:val="18"/>
                <w:szCs w:val="18"/>
                <w:color w:val="auto"/>
                <w:w w:val="98"/>
              </w:rPr>
              <w:t xml:space="preserve"> B</w:t>
            </w:r>
            <w:r>
              <w:rPr>
                <w:rFonts w:ascii="Times New Roman" w:cs="Times New Roman" w:eastAsia="Times New Roman" w:hAnsi="Times New Roman"/>
                <w:sz w:val="14"/>
                <w:szCs w:val="14"/>
                <w:color w:val="auto"/>
                <w:w w:val="98"/>
              </w:rPr>
              <w:t>ENDER</w:t>
            </w:r>
          </w:p>
        </w:tc>
        <w:tc>
          <w:tcPr>
            <w:tcW w:w="45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2040" w:type="dxa"/>
            <w:vAlign w:val="bottom"/>
            <w:gridSpan w:val="3"/>
            <w:vMerge w:val="restart"/>
          </w:tcPr>
          <w:p>
            <w:pPr>
              <w:jc w:val="center"/>
              <w:ind w:left="675"/>
              <w:spacing w:after="0"/>
              <w:rPr>
                <w:sz w:val="20"/>
                <w:szCs w:val="20"/>
                <w:color w:val="auto"/>
              </w:rPr>
            </w:pPr>
            <w:r>
              <w:rPr>
                <w:rFonts w:ascii="Times New Roman" w:cs="Times New Roman" w:eastAsia="Times New Roman" w:hAnsi="Times New Roman"/>
                <w:sz w:val="18"/>
                <w:szCs w:val="18"/>
                <w:color w:val="auto"/>
                <w:w w:val="96"/>
              </w:rPr>
              <w:t>February 28, 2024</w:t>
            </w:r>
          </w:p>
        </w:tc>
        <w:tc>
          <w:tcPr>
            <w:tcW w:w="0" w:type="dxa"/>
            <w:vAlign w:val="bottom"/>
          </w:tcPr>
          <w:p>
            <w:pPr>
              <w:spacing w:after="0"/>
              <w:rPr>
                <w:sz w:val="1"/>
                <w:szCs w:val="1"/>
                <w:color w:val="auto"/>
              </w:rPr>
            </w:pPr>
          </w:p>
        </w:tc>
      </w:tr>
      <w:tr>
        <w:trPr>
          <w:trHeight w:val="39"/>
        </w:trPr>
        <w:tc>
          <w:tcPr>
            <w:tcW w:w="1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5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and Director (Principal Financial Officer)</w:t>
            </w:r>
          </w:p>
        </w:tc>
        <w:tc>
          <w:tcPr>
            <w:tcW w:w="20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2800" w:type="dxa"/>
            <w:vAlign w:val="bottom"/>
            <w:gridSpan w:val="4"/>
            <w:vMerge w:val="restart"/>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M. Steven Bender</w:t>
            </w:r>
          </w:p>
        </w:tc>
        <w:tc>
          <w:tcPr>
            <w:tcW w:w="4560" w:type="dxa"/>
            <w:vAlign w:val="bottom"/>
            <w:gridSpan w:val="3"/>
            <w:vMerge w:val="continue"/>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2800" w:type="dxa"/>
            <w:vAlign w:val="bottom"/>
            <w:gridSpan w:val="4"/>
            <w:vMerge w:val="continue"/>
          </w:tcPr>
          <w:p>
            <w:pPr>
              <w:spacing w:after="0"/>
              <w:rPr>
                <w:sz w:val="8"/>
                <w:szCs w:val="8"/>
                <w:color w:val="auto"/>
              </w:rPr>
            </w:pPr>
          </w:p>
        </w:tc>
        <w:tc>
          <w:tcPr>
            <w:tcW w:w="45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14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8"/>
              </w:rPr>
              <w:t>J</w:t>
            </w:r>
            <w:r>
              <w:rPr>
                <w:rFonts w:ascii="Times New Roman" w:cs="Times New Roman" w:eastAsia="Times New Roman" w:hAnsi="Times New Roman"/>
                <w:sz w:val="14"/>
                <w:szCs w:val="14"/>
                <w:color w:val="auto"/>
                <w:w w:val="98"/>
              </w:rPr>
              <w:t>OHNATHAN</w:t>
            </w:r>
            <w:r>
              <w:rPr>
                <w:rFonts w:ascii="Times New Roman" w:cs="Times New Roman" w:eastAsia="Times New Roman" w:hAnsi="Times New Roman"/>
                <w:sz w:val="18"/>
                <w:szCs w:val="18"/>
                <w:color w:val="auto"/>
                <w:w w:val="98"/>
              </w:rPr>
              <w:t xml:space="preserve"> S. Z</w:t>
            </w:r>
            <w:r>
              <w:rPr>
                <w:rFonts w:ascii="Times New Roman" w:cs="Times New Roman" w:eastAsia="Times New Roman" w:hAnsi="Times New Roman"/>
                <w:sz w:val="14"/>
                <w:szCs w:val="14"/>
                <w:color w:val="auto"/>
                <w:w w:val="98"/>
              </w:rPr>
              <w:t>OELLER</w:t>
            </w:r>
          </w:p>
        </w:tc>
        <w:tc>
          <w:tcPr>
            <w:tcW w:w="45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2040" w:type="dxa"/>
            <w:vAlign w:val="bottom"/>
            <w:gridSpan w:val="3"/>
            <w:vMerge w:val="restart"/>
          </w:tcPr>
          <w:p>
            <w:pPr>
              <w:jc w:val="center"/>
              <w:ind w:left="675"/>
              <w:spacing w:after="0"/>
              <w:rPr>
                <w:sz w:val="20"/>
                <w:szCs w:val="20"/>
                <w:color w:val="auto"/>
              </w:rPr>
            </w:pPr>
            <w:r>
              <w:rPr>
                <w:rFonts w:ascii="Times New Roman" w:cs="Times New Roman" w:eastAsia="Times New Roman" w:hAnsi="Times New Roman"/>
                <w:sz w:val="18"/>
                <w:szCs w:val="18"/>
                <w:color w:val="auto"/>
                <w:w w:val="96"/>
              </w:rPr>
              <w:t>February 28, 2024</w:t>
            </w:r>
          </w:p>
        </w:tc>
        <w:tc>
          <w:tcPr>
            <w:tcW w:w="0" w:type="dxa"/>
            <w:vAlign w:val="bottom"/>
          </w:tcPr>
          <w:p>
            <w:pPr>
              <w:spacing w:after="0"/>
              <w:rPr>
                <w:sz w:val="1"/>
                <w:szCs w:val="1"/>
                <w:color w:val="auto"/>
              </w:rPr>
            </w:pPr>
          </w:p>
        </w:tc>
      </w:tr>
      <w:tr>
        <w:trPr>
          <w:trHeight w:val="39"/>
        </w:trPr>
        <w:tc>
          <w:tcPr>
            <w:tcW w:w="1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5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2800" w:type="dxa"/>
            <w:vAlign w:val="bottom"/>
            <w:gridSpan w:val="4"/>
            <w:vMerge w:val="restart"/>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9"/>
              </w:rPr>
              <w:t>Johnathan S. Zoeller</w:t>
            </w:r>
          </w:p>
        </w:tc>
        <w:tc>
          <w:tcPr>
            <w:tcW w:w="4560" w:type="dxa"/>
            <w:vAlign w:val="bottom"/>
            <w:gridSpan w:val="3"/>
            <w:vMerge w:val="continue"/>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2800" w:type="dxa"/>
            <w:vAlign w:val="bottom"/>
            <w:gridSpan w:val="4"/>
            <w:vMerge w:val="continue"/>
          </w:tcPr>
          <w:p>
            <w:pPr>
              <w:spacing w:after="0"/>
              <w:rPr>
                <w:sz w:val="8"/>
                <w:szCs w:val="8"/>
                <w:color w:val="auto"/>
              </w:rPr>
            </w:pPr>
          </w:p>
        </w:tc>
        <w:tc>
          <w:tcPr>
            <w:tcW w:w="45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4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L. B</w:t>
            </w:r>
            <w:r>
              <w:rPr>
                <w:rFonts w:ascii="Times New Roman" w:cs="Times New Roman" w:eastAsia="Times New Roman" w:hAnsi="Times New Roman"/>
                <w:sz w:val="14"/>
                <w:szCs w:val="14"/>
                <w:color w:val="auto"/>
                <w:w w:val="99"/>
              </w:rPr>
              <w:t>ENJAMIN</w:t>
            </w:r>
            <w:r>
              <w:rPr>
                <w:rFonts w:ascii="Times New Roman" w:cs="Times New Roman" w:eastAsia="Times New Roman" w:hAnsi="Times New Roman"/>
                <w:sz w:val="18"/>
                <w:szCs w:val="18"/>
                <w:color w:val="auto"/>
                <w:w w:val="99"/>
              </w:rPr>
              <w:t xml:space="preserve"> E</w:t>
            </w:r>
            <w:r>
              <w:rPr>
                <w:rFonts w:ascii="Times New Roman" w:cs="Times New Roman" w:eastAsia="Times New Roman" w:hAnsi="Times New Roman"/>
                <w:sz w:val="14"/>
                <w:szCs w:val="14"/>
                <w:color w:val="auto"/>
                <w:w w:val="99"/>
              </w:rPr>
              <w:t>DERINGTON</w:t>
            </w:r>
          </w:p>
        </w:tc>
        <w:tc>
          <w:tcPr>
            <w:tcW w:w="45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Executive Vice President, Performance and</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560" w:type="dxa"/>
            <w:vAlign w:val="bottom"/>
            <w:gridSpan w:val="3"/>
            <w:vMerge w:val="restart"/>
          </w:tcPr>
          <w:p>
            <w:pPr>
              <w:ind w:left="440"/>
              <w:spacing w:after="0" w:line="153" w:lineRule="exact"/>
              <w:rPr>
                <w:sz w:val="20"/>
                <w:szCs w:val="20"/>
                <w:color w:val="auto"/>
              </w:rPr>
            </w:pPr>
            <w:r>
              <w:rPr>
                <w:rFonts w:ascii="Times New Roman" w:cs="Times New Roman" w:eastAsia="Times New Roman" w:hAnsi="Times New Roman"/>
                <w:sz w:val="16"/>
                <w:szCs w:val="16"/>
                <w:color w:val="auto"/>
              </w:rPr>
              <w:t>Essential Materials, General Counsel, Chief</w:t>
            </w:r>
          </w:p>
        </w:tc>
        <w:tc>
          <w:tcPr>
            <w:tcW w:w="2040" w:type="dxa"/>
            <w:vAlign w:val="bottom"/>
            <w:gridSpan w:val="3"/>
            <w:vMerge w:val="restart"/>
          </w:tcPr>
          <w:p>
            <w:pPr>
              <w:jc w:val="center"/>
              <w:ind w:left="675"/>
              <w:spacing w:after="0" w:line="153" w:lineRule="exact"/>
              <w:rPr>
                <w:sz w:val="20"/>
                <w:szCs w:val="20"/>
                <w:color w:val="auto"/>
              </w:rPr>
            </w:pPr>
            <w:r>
              <w:rPr>
                <w:rFonts w:ascii="Times New Roman" w:cs="Times New Roman" w:eastAsia="Times New Roman" w:hAnsi="Times New Roman"/>
                <w:sz w:val="16"/>
                <w:szCs w:val="16"/>
                <w:color w:val="auto"/>
              </w:rPr>
              <w:t>February 28, 2024</w:t>
            </w:r>
          </w:p>
        </w:tc>
        <w:tc>
          <w:tcPr>
            <w:tcW w:w="0" w:type="dxa"/>
            <w:vAlign w:val="bottom"/>
          </w:tcPr>
          <w:p>
            <w:pPr>
              <w:spacing w:after="0"/>
              <w:rPr>
                <w:sz w:val="1"/>
                <w:szCs w:val="1"/>
                <w:color w:val="auto"/>
              </w:rPr>
            </w:pPr>
          </w:p>
        </w:tc>
      </w:tr>
      <w:tr>
        <w:trPr>
          <w:trHeight w:val="41"/>
        </w:trPr>
        <w:tc>
          <w:tcPr>
            <w:tcW w:w="42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 Benjamin Ederington</w:t>
            </w:r>
          </w:p>
        </w:tc>
        <w:tc>
          <w:tcPr>
            <w:tcW w:w="4560" w:type="dxa"/>
            <w:vAlign w:val="bottom"/>
            <w:gridSpan w:val="3"/>
            <w:vMerge w:val="continue"/>
          </w:tcPr>
          <w:p>
            <w:pPr>
              <w:spacing w:after="0"/>
              <w:rPr>
                <w:sz w:val="3"/>
                <w:szCs w:val="3"/>
                <w:color w:val="auto"/>
              </w:rPr>
            </w:pPr>
          </w:p>
        </w:tc>
        <w:tc>
          <w:tcPr>
            <w:tcW w:w="20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220" w:type="dxa"/>
            <w:vAlign w:val="bottom"/>
            <w:gridSpan w:val="5"/>
            <w:vMerge w:val="continue"/>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Administrative Officer and Director</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160" w:type="dxa"/>
            <w:vAlign w:val="bottom"/>
          </w:tcPr>
          <w:p>
            <w:pPr>
              <w:spacing w:after="0"/>
              <w:rPr>
                <w:sz w:val="24"/>
                <w:szCs w:val="24"/>
                <w:color w:val="auto"/>
              </w:rPr>
            </w:pPr>
          </w:p>
        </w:tc>
        <w:tc>
          <w:tcPr>
            <w:tcW w:w="24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J</w:t>
            </w:r>
            <w:r>
              <w:rPr>
                <w:rFonts w:ascii="Times New Roman" w:cs="Times New Roman" w:eastAsia="Times New Roman" w:hAnsi="Times New Roman"/>
                <w:sz w:val="14"/>
                <w:szCs w:val="14"/>
                <w:color w:val="auto"/>
                <w:w w:val="99"/>
              </w:rPr>
              <w:t>AMES</w:t>
            </w:r>
            <w:r>
              <w:rPr>
                <w:rFonts w:ascii="Times New Roman" w:cs="Times New Roman" w:eastAsia="Times New Roman" w:hAnsi="Times New Roman"/>
                <w:sz w:val="18"/>
                <w:szCs w:val="18"/>
                <w:color w:val="auto"/>
                <w:w w:val="99"/>
              </w:rPr>
              <w:t xml:space="preserve"> C</w:t>
            </w:r>
            <w:r>
              <w:rPr>
                <w:rFonts w:ascii="Times New Roman" w:cs="Times New Roman" w:eastAsia="Times New Roman" w:hAnsi="Times New Roman"/>
                <w:sz w:val="14"/>
                <w:szCs w:val="14"/>
                <w:color w:val="auto"/>
                <w:w w:val="99"/>
              </w:rPr>
              <w:t>HAO</w:t>
            </w:r>
          </w:p>
        </w:tc>
        <w:tc>
          <w:tcPr>
            <w:tcW w:w="45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40" w:type="dxa"/>
            <w:vAlign w:val="bottom"/>
            <w:gridSpan w:val="3"/>
            <w:vMerge w:val="restart"/>
          </w:tcPr>
          <w:p>
            <w:pPr>
              <w:jc w:val="center"/>
              <w:ind w:left="675"/>
              <w:spacing w:after="0"/>
              <w:rPr>
                <w:sz w:val="20"/>
                <w:szCs w:val="20"/>
                <w:color w:val="auto"/>
              </w:rPr>
            </w:pPr>
            <w:r>
              <w:rPr>
                <w:rFonts w:ascii="Times New Roman" w:cs="Times New Roman" w:eastAsia="Times New Roman" w:hAnsi="Times New Roman"/>
                <w:sz w:val="18"/>
                <w:szCs w:val="18"/>
                <w:color w:val="auto"/>
                <w:w w:val="96"/>
              </w:rPr>
              <w:t>February 28, 2024</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560" w:type="dxa"/>
            <w:vAlign w:val="bottom"/>
            <w:gridSpan w:val="3"/>
            <w:vMerge w:val="continue"/>
          </w:tcPr>
          <w:p>
            <w:pPr>
              <w:spacing w:after="0"/>
              <w:rPr>
                <w:sz w:val="2"/>
                <w:szCs w:val="2"/>
                <w:color w:val="auto"/>
              </w:rPr>
            </w:pPr>
          </w:p>
        </w:tc>
        <w:tc>
          <w:tcPr>
            <w:tcW w:w="20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560" w:type="dxa"/>
            <w:vAlign w:val="bottom"/>
            <w:gridSpan w:val="3"/>
            <w:vMerge w:val="restart"/>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w w:val="98"/>
              </w:rPr>
              <w:t>James Chao</w:t>
            </w:r>
          </w:p>
        </w:tc>
        <w:tc>
          <w:tcPr>
            <w:tcW w:w="4560" w:type="dxa"/>
            <w:vAlign w:val="bottom"/>
            <w:gridSpan w:val="3"/>
            <w:vMerge w:val="continue"/>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2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14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2800" w:type="dxa"/>
            <w:vAlign w:val="bottom"/>
            <w:gridSpan w:val="4"/>
          </w:tcPr>
          <w:p>
            <w:pPr>
              <w:jc w:val="center"/>
              <w:ind w:right="1060"/>
              <w:spacing w:after="0"/>
              <w:rPr>
                <w:sz w:val="20"/>
                <w:szCs w:val="20"/>
                <w:color w:val="auto"/>
              </w:rPr>
            </w:pPr>
            <w:r>
              <w:rPr>
                <w:rFonts w:ascii="Times New Roman" w:cs="Times New Roman" w:eastAsia="Times New Roman" w:hAnsi="Times New Roman"/>
                <w:sz w:val="18"/>
                <w:szCs w:val="18"/>
                <w:color w:val="auto"/>
                <w:w w:val="99"/>
              </w:rPr>
              <w:t>G. S</w:t>
            </w:r>
            <w:r>
              <w:rPr>
                <w:rFonts w:ascii="Times New Roman" w:cs="Times New Roman" w:eastAsia="Times New Roman" w:hAnsi="Times New Roman"/>
                <w:sz w:val="14"/>
                <w:szCs w:val="14"/>
                <w:color w:val="auto"/>
                <w:w w:val="99"/>
              </w:rPr>
              <w:t>TEPHEN</w:t>
            </w:r>
            <w:r>
              <w:rPr>
                <w:rFonts w:ascii="Times New Roman" w:cs="Times New Roman" w:eastAsia="Times New Roman" w:hAnsi="Times New Roman"/>
                <w:sz w:val="18"/>
                <w:szCs w:val="18"/>
                <w:color w:val="auto"/>
                <w:w w:val="99"/>
              </w:rPr>
              <w:t xml:space="preserve"> F</w:t>
            </w:r>
            <w:r>
              <w:rPr>
                <w:rFonts w:ascii="Times New Roman" w:cs="Times New Roman" w:eastAsia="Times New Roman" w:hAnsi="Times New Roman"/>
                <w:sz w:val="14"/>
                <w:szCs w:val="14"/>
                <w:color w:val="auto"/>
                <w:w w:val="99"/>
              </w:rPr>
              <w:t>INLEY</w:t>
            </w:r>
          </w:p>
        </w:tc>
        <w:tc>
          <w:tcPr>
            <w:tcW w:w="45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vMerge w:val="restart"/>
          </w:tcPr>
          <w:p>
            <w:pPr>
              <w:jc w:val="center"/>
              <w:ind w:left="675"/>
              <w:spacing w:after="0"/>
              <w:rPr>
                <w:sz w:val="20"/>
                <w:szCs w:val="20"/>
                <w:color w:val="auto"/>
              </w:rPr>
            </w:pPr>
            <w:r>
              <w:rPr>
                <w:rFonts w:ascii="Times New Roman" w:cs="Times New Roman" w:eastAsia="Times New Roman" w:hAnsi="Times New Roman"/>
                <w:sz w:val="18"/>
                <w:szCs w:val="18"/>
                <w:color w:val="auto"/>
                <w:w w:val="96"/>
              </w:rPr>
              <w:t>February 28, 2024</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560" w:type="dxa"/>
            <w:vAlign w:val="bottom"/>
            <w:gridSpan w:val="3"/>
            <w:vMerge w:val="continue"/>
          </w:tcPr>
          <w:p>
            <w:pPr>
              <w:spacing w:after="0"/>
              <w:rPr>
                <w:sz w:val="2"/>
                <w:szCs w:val="2"/>
                <w:color w:val="auto"/>
              </w:rPr>
            </w:pPr>
          </w:p>
        </w:tc>
        <w:tc>
          <w:tcPr>
            <w:tcW w:w="20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2800" w:type="dxa"/>
            <w:vAlign w:val="bottom"/>
            <w:gridSpan w:val="4"/>
            <w:vMerge w:val="restart"/>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G. Stephen Finley</w:t>
            </w:r>
          </w:p>
        </w:tc>
        <w:tc>
          <w:tcPr>
            <w:tcW w:w="4560" w:type="dxa"/>
            <w:vAlign w:val="bottom"/>
            <w:gridSpan w:val="3"/>
            <w:vMerge w:val="continue"/>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2800" w:type="dxa"/>
            <w:vAlign w:val="bottom"/>
            <w:gridSpan w:val="4"/>
            <w:vMerge w:val="continue"/>
          </w:tcPr>
          <w:p>
            <w:pPr>
              <w:spacing w:after="0"/>
              <w:rPr>
                <w:sz w:val="8"/>
                <w:szCs w:val="8"/>
                <w:color w:val="auto"/>
              </w:rPr>
            </w:pPr>
          </w:p>
        </w:tc>
        <w:tc>
          <w:tcPr>
            <w:tcW w:w="2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1420" w:type="dxa"/>
            <w:vAlign w:val="bottom"/>
          </w:tcPr>
          <w:p>
            <w:pPr>
              <w:spacing w:after="0"/>
              <w:rPr>
                <w:sz w:val="24"/>
                <w:szCs w:val="24"/>
                <w:color w:val="auto"/>
              </w:rPr>
            </w:pPr>
          </w:p>
        </w:tc>
        <w:tc>
          <w:tcPr>
            <w:tcW w:w="280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L</w:t>
            </w:r>
            <w:r>
              <w:rPr>
                <w:rFonts w:ascii="Times New Roman" w:cs="Times New Roman" w:eastAsia="Times New Roman" w:hAnsi="Times New Roman"/>
                <w:sz w:val="14"/>
                <w:szCs w:val="14"/>
                <w:color w:val="auto"/>
              </w:rPr>
              <w:t>ISA</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RIEL</w:t>
            </w:r>
          </w:p>
        </w:tc>
        <w:tc>
          <w:tcPr>
            <w:tcW w:w="45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vMerge w:val="restart"/>
          </w:tcPr>
          <w:p>
            <w:pPr>
              <w:jc w:val="center"/>
              <w:ind w:left="675"/>
              <w:spacing w:after="0"/>
              <w:rPr>
                <w:sz w:val="20"/>
                <w:szCs w:val="20"/>
                <w:color w:val="auto"/>
              </w:rPr>
            </w:pPr>
            <w:r>
              <w:rPr>
                <w:rFonts w:ascii="Times New Roman" w:cs="Times New Roman" w:eastAsia="Times New Roman" w:hAnsi="Times New Roman"/>
                <w:sz w:val="18"/>
                <w:szCs w:val="18"/>
                <w:color w:val="auto"/>
                <w:w w:val="96"/>
              </w:rPr>
              <w:t>February 28, 2024</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560" w:type="dxa"/>
            <w:vAlign w:val="bottom"/>
            <w:gridSpan w:val="3"/>
            <w:vMerge w:val="continue"/>
          </w:tcPr>
          <w:p>
            <w:pPr>
              <w:spacing w:after="0"/>
              <w:rPr>
                <w:sz w:val="2"/>
                <w:szCs w:val="2"/>
                <w:color w:val="auto"/>
              </w:rPr>
            </w:pPr>
          </w:p>
        </w:tc>
        <w:tc>
          <w:tcPr>
            <w:tcW w:w="20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0" w:type="dxa"/>
            <w:vAlign w:val="bottom"/>
            <w:gridSpan w:val="2"/>
            <w:vMerge w:val="restart"/>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Lisa Friel</w:t>
            </w:r>
          </w:p>
        </w:tc>
        <w:tc>
          <w:tcPr>
            <w:tcW w:w="4560" w:type="dxa"/>
            <w:vAlign w:val="bottom"/>
            <w:gridSpan w:val="3"/>
            <w:vMerge w:val="continue"/>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2"/>
            <w:vMerge w:val="continue"/>
          </w:tcPr>
          <w:p>
            <w:pPr>
              <w:spacing w:after="0"/>
              <w:rPr>
                <w:sz w:val="8"/>
                <w:szCs w:val="8"/>
                <w:color w:val="auto"/>
              </w:rPr>
            </w:pPr>
          </w:p>
        </w:tc>
        <w:tc>
          <w:tcPr>
            <w:tcW w:w="2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p>
        </w:tc>
        <w:tc>
          <w:tcPr>
            <w:tcW w:w="256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color w:val="auto"/>
                <w:w w:val="99"/>
              </w:rPr>
              <w:t>R</w:t>
            </w:r>
            <w:r>
              <w:rPr>
                <w:rFonts w:ascii="Times New Roman" w:cs="Times New Roman" w:eastAsia="Times New Roman" w:hAnsi="Times New Roman"/>
                <w:sz w:val="14"/>
                <w:szCs w:val="14"/>
                <w:color w:val="auto"/>
                <w:w w:val="99"/>
              </w:rPr>
              <w:t>ANDY</w:t>
            </w:r>
            <w:r>
              <w:rPr>
                <w:rFonts w:ascii="Times New Roman" w:cs="Times New Roman" w:eastAsia="Times New Roman" w:hAnsi="Times New Roman"/>
                <w:sz w:val="18"/>
                <w:szCs w:val="18"/>
                <w:color w:val="auto"/>
                <w:w w:val="99"/>
              </w:rPr>
              <w:t xml:space="preserve"> W</w:t>
            </w:r>
            <w:r>
              <w:rPr>
                <w:rFonts w:ascii="Times New Roman" w:cs="Times New Roman" w:eastAsia="Times New Roman" w:hAnsi="Times New Roman"/>
                <w:sz w:val="14"/>
                <w:szCs w:val="14"/>
                <w:color w:val="auto"/>
                <w:w w:val="99"/>
              </w:rPr>
              <w:t>OELFEL</w:t>
            </w:r>
          </w:p>
        </w:tc>
        <w:tc>
          <w:tcPr>
            <w:tcW w:w="45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vMerge w:val="restart"/>
          </w:tcPr>
          <w:p>
            <w:pPr>
              <w:jc w:val="center"/>
              <w:ind w:left="675"/>
              <w:spacing w:after="0"/>
              <w:rPr>
                <w:sz w:val="20"/>
                <w:szCs w:val="20"/>
                <w:color w:val="auto"/>
              </w:rPr>
            </w:pPr>
            <w:r>
              <w:rPr>
                <w:rFonts w:ascii="Times New Roman" w:cs="Times New Roman" w:eastAsia="Times New Roman" w:hAnsi="Times New Roman"/>
                <w:sz w:val="18"/>
                <w:szCs w:val="18"/>
                <w:color w:val="auto"/>
                <w:w w:val="96"/>
              </w:rPr>
              <w:t>February 28, 2024</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560" w:type="dxa"/>
            <w:vAlign w:val="bottom"/>
            <w:gridSpan w:val="3"/>
            <w:vMerge w:val="continue"/>
          </w:tcPr>
          <w:p>
            <w:pPr>
              <w:spacing w:after="0"/>
              <w:rPr>
                <w:sz w:val="2"/>
                <w:szCs w:val="2"/>
                <w:color w:val="auto"/>
              </w:rPr>
            </w:pPr>
          </w:p>
        </w:tc>
        <w:tc>
          <w:tcPr>
            <w:tcW w:w="20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gridSpan w:val="3"/>
            <w:vMerge w:val="restart"/>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w w:val="98"/>
              </w:rPr>
              <w:t>Randy Woelfel</w:t>
            </w:r>
          </w:p>
        </w:tc>
        <w:tc>
          <w:tcPr>
            <w:tcW w:w="4560" w:type="dxa"/>
            <w:vAlign w:val="bottom"/>
            <w:gridSpan w:val="3"/>
            <w:vMerge w:val="continue"/>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2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118" w:right="47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83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SUBSIDIARIES OF WESTLAKE CHEMICAL PARTNERS LP</w:t>
            </w:r>
          </w:p>
        </w:tc>
      </w:tr>
      <w:tr>
        <w:trPr>
          <w:trHeight w:val="671"/>
        </w:trPr>
        <w:tc>
          <w:tcPr>
            <w:tcW w:w="2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6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5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Chemical OpCo GP LLC</w:t>
            </w:r>
          </w:p>
        </w:tc>
        <w:tc>
          <w:tcPr>
            <w:tcW w:w="6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Chemical OpCo LP</w:t>
            </w:r>
          </w:p>
        </w:tc>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869"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jc w:val="both"/>
        <w:ind w:right="180"/>
        <w:spacing w:after="0" w:line="24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333-270176 and 333-230611) and Form S-8 (No. 333-198233) of Westlake Chemical Partners LP of our report dated February 28, 2024 relating to the financial statements and the effectiveness of internal control over financial reporting, which appears in this Form 10-K.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869"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Chao, certify that:</w:t>
      </w:r>
    </w:p>
    <w:p>
      <w:pPr>
        <w:spacing w:after="0" w:line="214" w:lineRule="exact"/>
        <w:rPr>
          <w:sz w:val="20"/>
          <w:szCs w:val="20"/>
          <w:color w:val="auto"/>
        </w:rPr>
      </w:pPr>
    </w:p>
    <w:p>
      <w:pPr>
        <w:ind w:left="640" w:hanging="635"/>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Westlake Chemical Partners LP (the "registrant");</w:t>
      </w:r>
    </w:p>
    <w:p>
      <w:pPr>
        <w:spacing w:after="0" w:line="161"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640" w:right="360" w:hanging="635"/>
        <w:spacing w:after="0" w:line="268"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640" w:right="400" w:hanging="635"/>
        <w:spacing w:after="0" w:line="250"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260" w:right="60" w:hanging="623"/>
        <w:spacing w:after="0" w:line="244" w:lineRule="auto"/>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260" w:right="320" w:hanging="623"/>
        <w:spacing w:after="0" w:line="244" w:lineRule="auto"/>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60" w:right="500" w:hanging="623"/>
        <w:spacing w:after="0" w:line="274" w:lineRule="auto"/>
        <w:tabs>
          <w:tab w:leader="none" w:pos="126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60" w:right="100" w:hanging="623"/>
        <w:spacing w:after="0" w:line="246" w:lineRule="auto"/>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40" w:right="120" w:hanging="635"/>
        <w:spacing w:after="0" w:line="254"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260" w:right="720" w:hanging="623"/>
        <w:spacing w:after="0" w:line="274" w:lineRule="auto"/>
        <w:tabs>
          <w:tab w:leader="none" w:pos="126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right="440" w:hanging="623"/>
        <w:spacing w:after="0" w:line="248" w:lineRule="auto"/>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640" w:val="left"/>
          <w:tab w:leader="none" w:pos="8160" w:val="left"/>
        </w:tabs>
        <w:rPr>
          <w:sz w:val="20"/>
          <w:szCs w:val="20"/>
          <w:color w:val="auto"/>
        </w:rPr>
      </w:pPr>
      <w:r>
        <w:rPr>
          <w:rFonts w:ascii="Times New Roman" w:cs="Times New Roman" w:eastAsia="Times New Roman" w:hAnsi="Times New Roman"/>
          <w:sz w:val="18"/>
          <w:szCs w:val="18"/>
          <w:color w:val="auto"/>
        </w:rPr>
        <w:t>Date:</w:t>
        <w:tab/>
        <w:t>February 28, 2024</w:t>
      </w:r>
      <w:r>
        <w:rPr>
          <w:sz w:val="20"/>
          <w:szCs w:val="20"/>
          <w:color w:val="auto"/>
        </w:rPr>
        <w:tab/>
      </w:r>
      <w:r>
        <w:rPr>
          <w:rFonts w:ascii="Times New Roman" w:cs="Times New Roman" w:eastAsia="Times New Roman" w:hAnsi="Times New Roman"/>
          <w:sz w:val="16"/>
          <w:szCs w:val="16"/>
          <w:color w:val="auto"/>
        </w:rPr>
        <w:t>/s/ 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22225</wp:posOffset>
            </wp:positionV>
            <wp:extent cx="3058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1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Albert Chao</w:t>
      </w:r>
    </w:p>
    <w:p>
      <w:pPr>
        <w:ind w:left="7280"/>
        <w:spacing w:after="0" w:line="218"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ind w:left="7640"/>
        <w:spacing w:after="0" w:line="196"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ind w:left="7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69"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214" w:lineRule="exact"/>
        <w:rPr>
          <w:sz w:val="20"/>
          <w:szCs w:val="20"/>
          <w:color w:val="auto"/>
        </w:rPr>
      </w:pPr>
    </w:p>
    <w:p>
      <w:pPr>
        <w:ind w:left="640" w:hanging="635"/>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Westlake Chemical Partners LP (the "registrant");</w:t>
      </w:r>
    </w:p>
    <w:p>
      <w:pPr>
        <w:spacing w:after="0" w:line="161"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640" w:right="360" w:hanging="635"/>
        <w:spacing w:after="0" w:line="268"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640" w:right="400" w:hanging="635"/>
        <w:spacing w:after="0" w:line="250"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260" w:right="60" w:hanging="623"/>
        <w:spacing w:after="0" w:line="244" w:lineRule="auto"/>
        <w:tabs>
          <w:tab w:leader="none" w:pos="12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260" w:right="320" w:hanging="623"/>
        <w:spacing w:after="0" w:line="244" w:lineRule="auto"/>
        <w:tabs>
          <w:tab w:leader="none" w:pos="12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60" w:right="500" w:hanging="623"/>
        <w:spacing w:after="0" w:line="274" w:lineRule="auto"/>
        <w:tabs>
          <w:tab w:leader="none" w:pos="126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60" w:right="100" w:hanging="623"/>
        <w:spacing w:after="0" w:line="246" w:lineRule="auto"/>
        <w:tabs>
          <w:tab w:leader="none" w:pos="12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40" w:right="120" w:hanging="635"/>
        <w:spacing w:after="0" w:line="254"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260" w:right="720" w:hanging="623"/>
        <w:spacing w:after="0" w:line="274" w:lineRule="auto"/>
        <w:tabs>
          <w:tab w:leader="none" w:pos="126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right="440" w:hanging="623"/>
        <w:spacing w:after="0" w:line="248" w:lineRule="auto"/>
        <w:tabs>
          <w:tab w:leader="none" w:pos="12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40" w:val="left"/>
          <w:tab w:leader="none" w:pos="7960" w:val="left"/>
        </w:tabs>
        <w:rPr>
          <w:sz w:val="20"/>
          <w:szCs w:val="20"/>
          <w:color w:val="auto"/>
        </w:rPr>
      </w:pPr>
      <w:r>
        <w:rPr>
          <w:rFonts w:ascii="Times New Roman" w:cs="Times New Roman" w:eastAsia="Times New Roman" w:hAnsi="Times New Roman"/>
          <w:sz w:val="18"/>
          <w:szCs w:val="18"/>
          <w:color w:val="auto"/>
        </w:rPr>
        <w:t>Date:</w:t>
        <w:tab/>
        <w:t>February 28, 2024</w:t>
      </w:r>
      <w:r>
        <w:rPr>
          <w:sz w:val="20"/>
          <w:szCs w:val="20"/>
          <w:color w:val="auto"/>
        </w:rPr>
        <w:tab/>
      </w:r>
      <w:r>
        <w:rPr>
          <w:rFonts w:ascii="Times New Roman" w:cs="Times New Roman" w:eastAsia="Times New Roman" w:hAnsi="Times New Roman"/>
          <w:sz w:val="16"/>
          <w:szCs w:val="16"/>
          <w:color w:val="auto"/>
        </w:rPr>
        <w:t>/s/ M. S</w:t>
      </w:r>
      <w:r>
        <w:rPr>
          <w:rFonts w:ascii="Times New Roman" w:cs="Times New Roman" w:eastAsia="Times New Roman" w:hAnsi="Times New Roman"/>
          <w:sz w:val="13"/>
          <w:szCs w:val="13"/>
          <w:color w:val="auto"/>
        </w:rPr>
        <w:t>TEVEN</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22225</wp:posOffset>
            </wp:positionV>
            <wp:extent cx="3058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1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M. Steven Bender</w:t>
      </w:r>
    </w:p>
    <w:p>
      <w:pPr>
        <w:ind w:left="7200"/>
        <w:spacing w:after="0" w:line="218" w:lineRule="auto"/>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ind w:left="7320"/>
        <w:spacing w:after="0" w:line="196"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ind w:left="7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69"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7" w:lineRule="exact"/>
        <w:rPr>
          <w:sz w:val="20"/>
          <w:szCs w:val="20"/>
          <w:color w:val="auto"/>
        </w:rPr>
      </w:pPr>
    </w:p>
    <w:p>
      <w:pPr>
        <w:ind w:right="200" w:firstLine="316"/>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on Form 10-K of Westlake Chemical Partners LP (the "Partnership"), as filed with the Securities and Exchange Commission on the date hereof (the "Report"), Albert Chao, President, Chief Executive Officer and Director of the general partner of the Partnership, and M. Steven Bender, Executive Vice President, Chief Financial Officer, and Director of the general partner of the Partnership, each certify, pursuant to 18 U.S.C. Section 1350, as adopted pursuant to Section 906 of the Sarbanes-Oxley Act of 2002, that, to his knowledge:</w:t>
      </w:r>
    </w:p>
    <w:p>
      <w:pPr>
        <w:spacing w:after="0" w:line="183" w:lineRule="exact"/>
        <w:rPr>
          <w:sz w:val="20"/>
          <w:szCs w:val="20"/>
          <w:color w:val="auto"/>
        </w:rPr>
      </w:pPr>
    </w:p>
    <w:p>
      <w:pPr>
        <w:ind w:left="1020" w:hanging="38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4" w:lineRule="exact"/>
        <w:rPr>
          <w:rFonts w:ascii="Times New Roman" w:cs="Times New Roman" w:eastAsia="Times New Roman" w:hAnsi="Times New Roman"/>
          <w:sz w:val="18"/>
          <w:szCs w:val="18"/>
          <w:color w:val="auto"/>
        </w:rPr>
      </w:pPr>
    </w:p>
    <w:p>
      <w:pPr>
        <w:ind w:left="1260" w:right="860" w:hanging="623"/>
        <w:spacing w:after="0" w:line="268" w:lineRule="auto"/>
        <w:tabs>
          <w:tab w:leader="none" w:pos="10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640" w:val="left"/>
          <w:tab w:leader="none" w:pos="8160" w:val="left"/>
        </w:tabs>
        <w:rPr>
          <w:sz w:val="20"/>
          <w:szCs w:val="20"/>
          <w:color w:val="auto"/>
        </w:rPr>
      </w:pPr>
      <w:r>
        <w:rPr>
          <w:rFonts w:ascii="Times New Roman" w:cs="Times New Roman" w:eastAsia="Times New Roman" w:hAnsi="Times New Roman"/>
          <w:sz w:val="18"/>
          <w:szCs w:val="18"/>
          <w:color w:val="auto"/>
        </w:rPr>
        <w:t>Date:</w:t>
        <w:tab/>
        <w:t>February 28, 2024</w:t>
      </w:r>
      <w:r>
        <w:rPr>
          <w:sz w:val="20"/>
          <w:szCs w:val="20"/>
          <w:color w:val="auto"/>
        </w:rPr>
        <w:tab/>
      </w:r>
      <w:r>
        <w:rPr>
          <w:rFonts w:ascii="Times New Roman" w:cs="Times New Roman" w:eastAsia="Times New Roman" w:hAnsi="Times New Roman"/>
          <w:sz w:val="16"/>
          <w:szCs w:val="16"/>
          <w:color w:val="auto"/>
        </w:rPr>
        <w:t>/s/ 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22225</wp:posOffset>
            </wp:positionV>
            <wp:extent cx="3058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5"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Albert Chao</w:t>
      </w:r>
    </w:p>
    <w:p>
      <w:pPr>
        <w:jc w:val="center"/>
        <w:ind w:left="6300"/>
        <w:spacing w:after="0" w:line="215"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320"/>
        <w:spacing w:after="0" w:line="216"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88" w:lineRule="exact"/>
        <w:rPr>
          <w:sz w:val="20"/>
          <w:szCs w:val="20"/>
          <w:color w:val="auto"/>
        </w:rPr>
      </w:pPr>
    </w:p>
    <w:p>
      <w:pPr>
        <w:ind w:left="20"/>
        <w:spacing w:after="0"/>
        <w:tabs>
          <w:tab w:leader="none" w:pos="640" w:val="left"/>
          <w:tab w:leader="none" w:pos="7960" w:val="left"/>
        </w:tabs>
        <w:rPr>
          <w:sz w:val="20"/>
          <w:szCs w:val="20"/>
          <w:color w:val="auto"/>
        </w:rPr>
      </w:pPr>
      <w:r>
        <w:rPr>
          <w:rFonts w:ascii="Times New Roman" w:cs="Times New Roman" w:eastAsia="Times New Roman" w:hAnsi="Times New Roman"/>
          <w:sz w:val="18"/>
          <w:szCs w:val="18"/>
          <w:color w:val="auto"/>
        </w:rPr>
        <w:t>Date:</w:t>
        <w:tab/>
        <w:t>February 28, 2024</w:t>
      </w:r>
      <w:r>
        <w:rPr>
          <w:sz w:val="20"/>
          <w:szCs w:val="20"/>
          <w:color w:val="auto"/>
        </w:rPr>
        <w:tab/>
      </w:r>
      <w:r>
        <w:rPr>
          <w:rFonts w:ascii="Times New Roman" w:cs="Times New Roman" w:eastAsia="Times New Roman" w:hAnsi="Times New Roman"/>
          <w:sz w:val="16"/>
          <w:szCs w:val="16"/>
          <w:color w:val="auto"/>
        </w:rPr>
        <w:t>/s/ M. S</w:t>
      </w:r>
      <w:r>
        <w:rPr>
          <w:rFonts w:ascii="Times New Roman" w:cs="Times New Roman" w:eastAsia="Times New Roman" w:hAnsi="Times New Roman"/>
          <w:sz w:val="13"/>
          <w:szCs w:val="13"/>
          <w:color w:val="auto"/>
        </w:rPr>
        <w:t>TEVEN</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22225</wp:posOffset>
            </wp:positionV>
            <wp:extent cx="3058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5"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M. Steven Bender</w:t>
      </w:r>
    </w:p>
    <w:p>
      <w:pPr>
        <w:jc w:val="center"/>
        <w:ind w:left="6320"/>
        <w:spacing w:after="0" w:line="215" w:lineRule="auto"/>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320"/>
        <w:spacing w:after="0" w:line="216"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69" w:right="339" w:bottom="1440" w:gutter="0" w:footer="0" w:header="0"/>
        </w:sectPr>
      </w:pPr>
    </w:p>
    <w:bookmarkStart w:id="106" w:name="page107"/>
    <w:bookmarkEnd w:id="106"/>
    <w:p>
      <w:pPr>
        <w:ind w:left="10039"/>
        <w:spacing w:after="0"/>
        <w:rPr>
          <w:sz w:val="20"/>
          <w:szCs w:val="20"/>
          <w:color w:val="auto"/>
        </w:rPr>
      </w:pPr>
      <w:r>
        <w:rPr>
          <w:rFonts w:ascii="Calibri" w:cs="Calibri" w:eastAsia="Calibri" w:hAnsi="Calibri"/>
          <w:sz w:val="19"/>
          <w:szCs w:val="19"/>
          <w:b w:val="1"/>
          <w:bCs w:val="1"/>
          <w:color w:val="auto"/>
        </w:rPr>
        <w:t>EXHIBIT 97</w:t>
      </w:r>
    </w:p>
    <w:p>
      <w:pPr>
        <w:spacing w:after="0" w:line="128" w:lineRule="exact"/>
        <w:rPr>
          <w:sz w:val="20"/>
          <w:szCs w:val="20"/>
          <w:color w:val="auto"/>
        </w:rPr>
      </w:pPr>
    </w:p>
    <w:p>
      <w:pPr>
        <w:jc w:val="both"/>
        <w:ind w:left="319"/>
        <w:spacing w:after="0" w:line="301" w:lineRule="auto"/>
        <w:rPr>
          <w:sz w:val="20"/>
          <w:szCs w:val="20"/>
          <w:color w:val="auto"/>
        </w:rPr>
      </w:pPr>
      <w:r>
        <w:rPr>
          <w:rFonts w:ascii="Arial" w:cs="Arial" w:eastAsia="Arial" w:hAnsi="Arial"/>
          <w:sz w:val="19"/>
          <w:szCs w:val="19"/>
          <w:color w:val="auto"/>
        </w:rPr>
        <w:t>Westlake Chemical Partners LP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has adopted this Policy for Recovery of Erroneously Awarded Compensation (the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effective as of October 2,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Capitalized terms used in this Policy but not otherwise defined here are defined in Section I below.</w:t>
      </w:r>
    </w:p>
    <w:p>
      <w:pPr>
        <w:spacing w:after="0" w:line="58" w:lineRule="exact"/>
        <w:rPr>
          <w:sz w:val="20"/>
          <w:szCs w:val="20"/>
          <w:color w:val="auto"/>
        </w:rPr>
      </w:pPr>
    </w:p>
    <w:p>
      <w:pPr>
        <w:ind w:left="299" w:hanging="299"/>
        <w:spacing w:after="0"/>
        <w:tabs>
          <w:tab w:leader="none" w:pos="299"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w:t>
      </w:r>
    </w:p>
    <w:p>
      <w:pPr>
        <w:spacing w:after="0" w:line="138" w:lineRule="exact"/>
        <w:rPr>
          <w:rFonts w:ascii="Arial" w:cs="Arial" w:eastAsia="Arial" w:hAnsi="Arial"/>
          <w:sz w:val="19"/>
          <w:szCs w:val="19"/>
          <w:b w:val="1"/>
          <w:bCs w:val="1"/>
          <w:color w:val="auto"/>
        </w:rPr>
      </w:pPr>
    </w:p>
    <w:p>
      <w:pPr>
        <w:jc w:val="both"/>
        <w:ind w:left="319"/>
        <w:spacing w:after="0" w:line="297" w:lineRule="auto"/>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Rules</w:t>
      </w:r>
      <w:r>
        <w:rPr>
          <w:rFonts w:ascii="Arial" w:cs="Arial" w:eastAsia="Arial" w:hAnsi="Arial"/>
          <w:sz w:val="19"/>
          <w:szCs w:val="19"/>
          <w:color w:val="auto"/>
        </w:rPr>
        <w:t>” means Section 10D of the Exchange Act, Rule 10D-1 promulgated thereunder, the listing rules of the national securities exchange or association on which the Partnership’s securities are listed, and any applicable rules, standards or other guidance adopted by the Securities and Exchange Commission or any national securities exchange or association on which the Partnership’s securities are listed.</w:t>
      </w:r>
    </w:p>
    <w:p>
      <w:pPr>
        <w:spacing w:after="0" w:line="50" w:lineRule="exact"/>
        <w:rPr>
          <w:rFonts w:ascii="Arial" w:cs="Arial" w:eastAsia="Arial" w:hAnsi="Arial"/>
          <w:sz w:val="19"/>
          <w:szCs w:val="19"/>
          <w:b w:val="1"/>
          <w:bCs w:val="1"/>
          <w:color w:val="auto"/>
        </w:rPr>
      </w:pPr>
    </w:p>
    <w:p>
      <w:pPr>
        <w:jc w:val="both"/>
        <w:ind w:left="319"/>
        <w:spacing w:after="0" w:line="301" w:lineRule="auto"/>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59" w:lineRule="exact"/>
        <w:rPr>
          <w:rFonts w:ascii="Arial" w:cs="Arial" w:eastAsia="Arial" w:hAnsi="Arial"/>
          <w:sz w:val="19"/>
          <w:szCs w:val="19"/>
          <w:b w:val="1"/>
          <w:bCs w:val="1"/>
          <w:color w:val="auto"/>
        </w:rPr>
      </w:pPr>
    </w:p>
    <w:p>
      <w:pPr>
        <w:jc w:val="both"/>
        <w:ind w:left="319"/>
        <w:spacing w:after="0" w:line="292" w:lineRule="auto"/>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Erroneously Awarded Compensation</w:t>
      </w:r>
      <w:r>
        <w:rPr>
          <w:rFonts w:ascii="Arial" w:cs="Arial" w:eastAsia="Arial" w:hAnsi="Arial"/>
          <w:sz w:val="19"/>
          <w:szCs w:val="19"/>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68" w:lineRule="exact"/>
        <w:rPr>
          <w:rFonts w:ascii="Arial" w:cs="Arial" w:eastAsia="Arial" w:hAnsi="Arial"/>
          <w:sz w:val="19"/>
          <w:szCs w:val="19"/>
          <w:b w:val="1"/>
          <w:bCs w:val="1"/>
          <w:color w:val="auto"/>
        </w:rPr>
      </w:pPr>
    </w:p>
    <w:p>
      <w:pPr>
        <w:ind w:left="319"/>
        <w:spacing w:after="0"/>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Securities Exchange Act of 1934, as amended.</w:t>
      </w:r>
    </w:p>
    <w:p>
      <w:pPr>
        <w:spacing w:after="0" w:line="136" w:lineRule="exact"/>
        <w:rPr>
          <w:rFonts w:ascii="Arial" w:cs="Arial" w:eastAsia="Arial" w:hAnsi="Arial"/>
          <w:sz w:val="19"/>
          <w:szCs w:val="19"/>
          <w:b w:val="1"/>
          <w:bCs w:val="1"/>
          <w:color w:val="auto"/>
        </w:rPr>
      </w:pPr>
    </w:p>
    <w:p>
      <w:pPr>
        <w:jc w:val="both"/>
        <w:ind w:left="319"/>
        <w:spacing w:after="0" w:line="339" w:lineRule="auto"/>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Financial Reporting Measure</w:t>
      </w:r>
      <w:r>
        <w:rPr>
          <w:rFonts w:ascii="Arial" w:cs="Arial" w:eastAsia="Arial" w:hAnsi="Arial"/>
          <w:sz w:val="19"/>
          <w:szCs w:val="19"/>
          <w:color w:val="auto"/>
        </w:rPr>
        <w:t>” means any measure determined and presented in accordance with the accounting principles used in preparing the Partnership’s financial statements, and any measures derived wholly or in part from such measures, including GAAP, and non-GAAP financial measures, as well as stock or share price and total equity holder return. “</w:t>
      </w:r>
      <w:r>
        <w:rPr>
          <w:rFonts w:ascii="Arial" w:cs="Arial" w:eastAsia="Arial" w:hAnsi="Arial"/>
          <w:sz w:val="19"/>
          <w:szCs w:val="19"/>
          <w:b w:val="1"/>
          <w:bCs w:val="1"/>
          <w:i w:val="1"/>
          <w:iCs w:val="1"/>
          <w:color w:val="auto"/>
        </w:rPr>
        <w:t>GAAP</w:t>
      </w:r>
      <w:r>
        <w:rPr>
          <w:rFonts w:ascii="Arial" w:cs="Arial" w:eastAsia="Arial" w:hAnsi="Arial"/>
          <w:sz w:val="19"/>
          <w:szCs w:val="19"/>
          <w:color w:val="auto"/>
        </w:rPr>
        <w:t>” means United States generally accepted accounting principles.</w:t>
      </w:r>
    </w:p>
    <w:p>
      <w:pPr>
        <w:spacing w:after="0" w:line="2" w:lineRule="exact"/>
        <w:rPr>
          <w:rFonts w:ascii="Arial" w:cs="Arial" w:eastAsia="Arial" w:hAnsi="Arial"/>
          <w:sz w:val="19"/>
          <w:szCs w:val="19"/>
          <w:b w:val="1"/>
          <w:bCs w:val="1"/>
          <w:color w:val="auto"/>
        </w:rPr>
      </w:pPr>
    </w:p>
    <w:p>
      <w:pPr>
        <w:jc w:val="both"/>
        <w:ind w:left="319"/>
        <w:spacing w:after="0" w:line="286" w:lineRule="auto"/>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Impracticable</w:t>
      </w:r>
      <w:r>
        <w:rPr>
          <w:rFonts w:ascii="Arial" w:cs="Arial" w:eastAsia="Arial" w:hAnsi="Arial"/>
          <w:sz w:val="19"/>
          <w:szCs w:val="19"/>
          <w:color w:val="auto"/>
        </w:rPr>
        <w:t>” means (a) the direct costs paid to third parties to assist in enforcing recovery would exceed the Erroneously Awarded Compensation; provided that the Partnership has (i) made reasonable attempts to recover the Erroneously Awarded Compensation, (ii) documented such attempt(s), and (iii) provided such documentation to the relevant listing exchange or association, (b) to the extent permitted by the Applicable Rules, the recovery would violate the Partnership’s home country laws pursuant to an opinion of home country counsel; provided that the Partnership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Partnership, to fail to meet the requirements of 26 U.S.C. 401(a)(13) or 26 U.S.C. 411(a) and the regulations thereunder.</w:t>
      </w:r>
    </w:p>
    <w:p>
      <w:pPr>
        <w:spacing w:after="0" w:line="77" w:lineRule="exact"/>
        <w:rPr>
          <w:rFonts w:ascii="Arial" w:cs="Arial" w:eastAsia="Arial" w:hAnsi="Arial"/>
          <w:sz w:val="19"/>
          <w:szCs w:val="19"/>
          <w:b w:val="1"/>
          <w:bCs w:val="1"/>
          <w:color w:val="auto"/>
        </w:rPr>
      </w:pPr>
    </w:p>
    <w:p>
      <w:pPr>
        <w:jc w:val="both"/>
        <w:ind w:left="319"/>
        <w:spacing w:after="0" w:line="281" w:lineRule="auto"/>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Incentive-Based Compensation</w:t>
      </w:r>
      <w:r>
        <w:rPr>
          <w:rFonts w:ascii="Arial" w:cs="Arial" w:eastAsia="Arial" w:hAnsi="Arial"/>
          <w:sz w:val="19"/>
          <w:szCs w:val="19"/>
          <w:color w:val="auto"/>
        </w:rPr>
        <w:t>” means, with respect to a Restatement, any compensation that is granted, earned, or vested based wholly or in part upon the attainment of one or more Financial Reporting Measures and received by a person:</w:t>
      </w:r>
    </w:p>
    <w:p>
      <w:pPr>
        <w:spacing w:after="0" w:line="1" w:lineRule="exact"/>
        <w:rPr>
          <w:rFonts w:ascii="Arial" w:cs="Arial" w:eastAsia="Arial" w:hAnsi="Arial"/>
          <w:sz w:val="19"/>
          <w:szCs w:val="19"/>
          <w:b w:val="1"/>
          <w:bCs w:val="1"/>
          <w:color w:val="auto"/>
        </w:rPr>
      </w:pPr>
    </w:p>
    <w:p>
      <w:pPr>
        <w:jc w:val="both"/>
        <w:ind w:left="319" w:hanging="3"/>
        <w:spacing w:after="0" w:line="301" w:lineRule="auto"/>
        <w:tabs>
          <w:tab w:leader="none" w:pos="628" w:val="left"/>
        </w:tabs>
        <w:numPr>
          <w:ilvl w:val="1"/>
          <w:numId w:val="50"/>
        </w:numPr>
        <w:rPr>
          <w:rFonts w:ascii="Arial" w:cs="Arial" w:eastAsia="Arial" w:hAnsi="Arial"/>
          <w:sz w:val="19"/>
          <w:szCs w:val="19"/>
          <w:color w:val="auto"/>
        </w:rPr>
      </w:pPr>
      <w:r>
        <w:rPr>
          <w:rFonts w:ascii="Arial" w:cs="Arial" w:eastAsia="Arial" w:hAnsi="Arial"/>
          <w:sz w:val="19"/>
          <w:szCs w:val="19"/>
          <w:color w:val="auto"/>
        </w:rPr>
        <w:t>after beginning service as an Officer; (b) who served as an Officer at any time during the performance period for that compensation; (c) while the Partnership has a class of its securities listed on a national securities exchange or association; and (d) during the applicable Three-Year Period.</w:t>
      </w:r>
    </w:p>
    <w:p>
      <w:pPr>
        <w:spacing w:after="0" w:line="46" w:lineRule="exact"/>
        <w:rPr>
          <w:sz w:val="20"/>
          <w:szCs w:val="20"/>
          <w:color w:val="auto"/>
        </w:rPr>
      </w:pPr>
    </w:p>
    <w:p>
      <w:pPr>
        <w:ind w:left="31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each person who serves as an executive officer of the Partnership, as defined in Rule 10D-1(d) under the Exchange Act.</w:t>
      </w:r>
    </w:p>
    <w:p>
      <w:pPr>
        <w:sectPr>
          <w:pgSz w:w="11900" w:h="16838" w:orient="portrait"/>
          <w:cols w:equalWidth="0" w:num="1">
            <w:col w:w="10919"/>
          </w:cols>
          <w:pgMar w:left="641" w:top="1166" w:right="339" w:bottom="1440" w:gutter="0" w:footer="0" w:header="0"/>
        </w:sectPr>
      </w:pPr>
    </w:p>
    <w:bookmarkStart w:id="107" w:name="page108"/>
    <w:bookmarkEnd w:id="107"/>
    <w:p>
      <w:pPr>
        <w:jc w:val="both"/>
        <w:ind w:left="3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Restatement</w:t>
      </w:r>
      <w:r>
        <w:rPr>
          <w:rFonts w:ascii="Arial" w:cs="Arial" w:eastAsia="Arial" w:hAnsi="Arial"/>
          <w:sz w:val="19"/>
          <w:szCs w:val="19"/>
          <w:color w:val="auto"/>
        </w:rPr>
        <w:t>” means an accounting restatement to correct the Partnership’s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50" w:lineRule="exact"/>
        <w:rPr>
          <w:sz w:val="20"/>
          <w:szCs w:val="20"/>
          <w:color w:val="auto"/>
        </w:rPr>
      </w:pPr>
    </w:p>
    <w:p>
      <w:pPr>
        <w:jc w:val="both"/>
        <w:ind w:left="32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Three-Year Period</w:t>
      </w:r>
      <w:r>
        <w:rPr>
          <w:rFonts w:ascii="Arial" w:cs="Arial" w:eastAsia="Arial" w:hAnsi="Arial"/>
          <w:sz w:val="19"/>
          <w:szCs w:val="19"/>
          <w:color w:val="auto"/>
        </w:rPr>
        <w:t>” means, with respect to a Restatement, the three completed fiscal years immediately preceding the date that the Board, a committee of the Board, or the officer or officers of the Partnership authorized to take such action if Board action is not required, concludes, or reasonably should have concluded, that the Partnership is required to prepare such Restatement, or, if earlier, the date on which a court, regulator or other legally authorized body directs the Partnership to prepare such Restatement. The “Three-Year Period” also includes any transition period (that results from a change in the Partnership’s fiscal year) within or immediately following the three completed fiscal years identified in the preceding sentence. However, a transition period between the last day of the Partnership’s previous fiscal year end and the first day of its new fiscal year that comprises a period of nine to 12 months shall be deemed a completed fiscal year.</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II.  PURPOSE</w:t>
      </w:r>
    </w:p>
    <w:p>
      <w:pPr>
        <w:spacing w:after="0" w:line="152" w:lineRule="exact"/>
        <w:rPr>
          <w:sz w:val="20"/>
          <w:szCs w:val="20"/>
          <w:color w:val="auto"/>
        </w:rPr>
      </w:pPr>
    </w:p>
    <w:p>
      <w:pPr>
        <w:jc w:val="both"/>
        <w:ind w:left="320"/>
        <w:spacing w:after="0" w:line="314" w:lineRule="auto"/>
        <w:rPr>
          <w:sz w:val="20"/>
          <w:szCs w:val="20"/>
          <w:color w:val="auto"/>
        </w:rPr>
      </w:pPr>
      <w:r>
        <w:rPr>
          <w:rFonts w:ascii="Arial" w:cs="Arial" w:eastAsia="Arial" w:hAnsi="Arial"/>
          <w:sz w:val="19"/>
          <w:szCs w:val="19"/>
          <w:color w:val="auto"/>
        </w:rPr>
        <w:t>To adopt a policy requiring the recovery of Erroneously Awarded Compensation in the event of a Restatement, as required by Section 303A.14 of the New York Stock Exchange Listed Company Manual.</w:t>
      </w:r>
    </w:p>
    <w:p>
      <w:pPr>
        <w:spacing w:after="0" w:line="45" w:lineRule="exact"/>
        <w:rPr>
          <w:sz w:val="20"/>
          <w:szCs w:val="20"/>
          <w:color w:val="auto"/>
        </w:rPr>
      </w:pPr>
    </w:p>
    <w:p>
      <w:pPr>
        <w:ind w:left="300" w:hanging="299"/>
        <w:spacing w:after="0"/>
        <w:tabs>
          <w:tab w:leader="none" w:pos="300"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PERSONS SUBJECT TO POLICY</w:t>
      </w:r>
    </w:p>
    <w:p>
      <w:pPr>
        <w:spacing w:after="0" w:line="138" w:lineRule="exact"/>
        <w:rPr>
          <w:rFonts w:ascii="Arial" w:cs="Arial" w:eastAsia="Arial" w:hAnsi="Arial"/>
          <w:sz w:val="19"/>
          <w:szCs w:val="19"/>
          <w:b w:val="1"/>
          <w:bCs w:val="1"/>
          <w:color w:val="auto"/>
        </w:rPr>
      </w:pPr>
    </w:p>
    <w:p>
      <w:pPr>
        <w:ind w:left="320"/>
        <w:spacing w:after="0"/>
        <w:rPr>
          <w:rFonts w:ascii="Arial" w:cs="Arial" w:eastAsia="Arial" w:hAnsi="Arial"/>
          <w:sz w:val="19"/>
          <w:szCs w:val="19"/>
          <w:b w:val="1"/>
          <w:bCs w:val="1"/>
          <w:color w:val="auto"/>
        </w:rPr>
      </w:pPr>
      <w:r>
        <w:rPr>
          <w:rFonts w:ascii="Arial" w:cs="Arial" w:eastAsia="Arial" w:hAnsi="Arial"/>
          <w:sz w:val="19"/>
          <w:szCs w:val="19"/>
          <w:color w:val="auto"/>
        </w:rPr>
        <w:t>This Policy shall apply to current and former Officers of the Partnership.</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IV. COMPENSATION SUBJECT TO POLICY</w:t>
      </w:r>
    </w:p>
    <w:p>
      <w:pPr>
        <w:spacing w:after="0" w:line="139" w:lineRule="exact"/>
        <w:rPr>
          <w:sz w:val="20"/>
          <w:szCs w:val="20"/>
          <w:color w:val="auto"/>
        </w:rPr>
      </w:pPr>
    </w:p>
    <w:p>
      <w:pPr>
        <w:jc w:val="both"/>
        <w:ind w:left="320"/>
        <w:spacing w:after="0" w:line="291" w:lineRule="auto"/>
        <w:rPr>
          <w:sz w:val="20"/>
          <w:szCs w:val="20"/>
          <w:color w:val="auto"/>
        </w:rPr>
      </w:pPr>
      <w:r>
        <w:rPr>
          <w:rFonts w:ascii="Arial" w:cs="Arial" w:eastAsia="Arial" w:hAnsi="Arial"/>
          <w:sz w:val="19"/>
          <w:szCs w:val="19"/>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Partnership’s fiscal period during which the relevant Financial Reporting Measure is attained or satisfied, without regard to whether the grant, vesting or payment of the Incentive-Based Compensation occurs after the end of that period.</w:t>
      </w:r>
    </w:p>
    <w:p>
      <w:pPr>
        <w:spacing w:after="0" w:line="68" w:lineRule="exact"/>
        <w:rPr>
          <w:sz w:val="20"/>
          <w:szCs w:val="20"/>
          <w:color w:val="auto"/>
        </w:rPr>
      </w:pPr>
    </w:p>
    <w:p>
      <w:pPr>
        <w:ind w:left="300" w:hanging="299"/>
        <w:spacing w:after="0"/>
        <w:tabs>
          <w:tab w:leader="none" w:pos="300"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RECOVERY OF COMPENSATION</w:t>
      </w:r>
    </w:p>
    <w:p>
      <w:pPr>
        <w:spacing w:after="0" w:line="138" w:lineRule="exact"/>
        <w:rPr>
          <w:rFonts w:ascii="Arial" w:cs="Arial" w:eastAsia="Arial" w:hAnsi="Arial"/>
          <w:sz w:val="19"/>
          <w:szCs w:val="19"/>
          <w:b w:val="1"/>
          <w:bCs w:val="1"/>
          <w:color w:val="auto"/>
        </w:rPr>
      </w:pPr>
    </w:p>
    <w:p>
      <w:pPr>
        <w:jc w:val="both"/>
        <w:ind w:left="320"/>
        <w:spacing w:after="0" w:line="288" w:lineRule="auto"/>
        <w:rPr>
          <w:rFonts w:ascii="Arial" w:cs="Arial" w:eastAsia="Arial" w:hAnsi="Arial"/>
          <w:sz w:val="19"/>
          <w:szCs w:val="19"/>
          <w:b w:val="1"/>
          <w:bCs w:val="1"/>
          <w:color w:val="auto"/>
        </w:rPr>
      </w:pPr>
      <w:r>
        <w:rPr>
          <w:rFonts w:ascii="Arial" w:cs="Arial" w:eastAsia="Arial" w:hAnsi="Arial"/>
          <w:sz w:val="19"/>
          <w:szCs w:val="19"/>
          <w:color w:val="auto"/>
        </w:rPr>
        <w:t>In the event that the Partnership is required to prepare a Restatement, the Partnership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Partnership.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Partnership or any of its affiliates.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VI. MANNER OF RECOVERY; LIMITATION ON DUPLICATIVE RECOVERY</w:t>
      </w:r>
    </w:p>
    <w:p>
      <w:pPr>
        <w:spacing w:after="0" w:line="152" w:lineRule="exact"/>
        <w:rPr>
          <w:sz w:val="20"/>
          <w:szCs w:val="20"/>
          <w:color w:val="auto"/>
        </w:rPr>
      </w:pPr>
    </w:p>
    <w:p>
      <w:pPr>
        <w:ind w:left="320"/>
        <w:spacing w:after="0" w:line="314" w:lineRule="auto"/>
        <w:rPr>
          <w:sz w:val="20"/>
          <w:szCs w:val="20"/>
          <w:color w:val="auto"/>
        </w:rPr>
      </w:pPr>
      <w:r>
        <w:rPr>
          <w:rFonts w:ascii="Arial" w:cs="Arial" w:eastAsia="Arial" w:hAnsi="Arial"/>
          <w:sz w:val="19"/>
          <w:szCs w:val="19"/>
          <w:color w:val="auto"/>
        </w:rPr>
        <w:t>The Committee shall, in its sole discretion, determine the manner of recovery of any Erroneously Awarded Compensation, which may include, without limitation, reduction or cancellation by the</w:t>
      </w:r>
    </w:p>
    <w:p>
      <w:pPr>
        <w:sectPr>
          <w:pgSz w:w="11900" w:h="16838" w:orient="portrait"/>
          <w:cols w:equalWidth="0" w:num="1">
            <w:col w:w="10920"/>
          </w:cols>
          <w:pgMar w:left="640" w:top="986" w:right="339" w:bottom="1440" w:gutter="0" w:footer="0" w:header="0"/>
        </w:sectPr>
      </w:pPr>
    </w:p>
    <w:bookmarkStart w:id="108" w:name="page109"/>
    <w:bookmarkEnd w:id="108"/>
    <w:p>
      <w:pPr>
        <w:jc w:val="both"/>
        <w:ind w:left="320"/>
        <w:spacing w:after="0" w:line="287" w:lineRule="auto"/>
        <w:rPr>
          <w:sz w:val="20"/>
          <w:szCs w:val="20"/>
          <w:color w:val="auto"/>
        </w:rPr>
      </w:pPr>
      <w:r>
        <w:rPr>
          <w:rFonts w:ascii="Arial" w:cs="Arial" w:eastAsia="Arial" w:hAnsi="Arial"/>
          <w:sz w:val="19"/>
          <w:szCs w:val="19"/>
          <w:color w:val="auto"/>
        </w:rPr>
        <w:t>Partnership or an affiliate of the Partnership of Incentive-Based Compensation or Erroneously Awarded Compensation, reimbursement or repayment by any person subject to this Policy, and, to the extent permitted by law, an offset of the Erroneously Awarded Compensation against other compensation payable by the Partnership or an affiliate of the Partnership to such person. Notwithstanding the foregoing, unless otherwise prohibited by the Applicable Rules, to the extent this Policy provides for recovery of Erroneously Awarded Compensation already recovered by the Partnership pursuant to Section 304 of the Sarbanes-Oxley Act of 2002 or Other Recovery Arrangements, the amount of Erroneously Awarded Compensation already recovered by the Partnership from the recipient of such Erroneously Awarded Compensation may be credited to the amount of Erroneously Awarded Compensation required to be recovered pursuant to this Policy from such person.</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VII. ADMINISTRATION</w:t>
      </w:r>
    </w:p>
    <w:p>
      <w:pPr>
        <w:spacing w:after="0" w:line="139" w:lineRule="exact"/>
        <w:rPr>
          <w:sz w:val="20"/>
          <w:szCs w:val="20"/>
          <w:color w:val="auto"/>
        </w:rPr>
      </w:pPr>
    </w:p>
    <w:p>
      <w:pPr>
        <w:jc w:val="both"/>
        <w:ind w:left="320"/>
        <w:spacing w:after="0" w:line="286" w:lineRule="auto"/>
        <w:rPr>
          <w:sz w:val="20"/>
          <w:szCs w:val="20"/>
          <w:color w:val="auto"/>
        </w:rPr>
      </w:pPr>
      <w:r>
        <w:rPr>
          <w:rFonts w:ascii="Arial" w:cs="Arial" w:eastAsia="Arial" w:hAnsi="Arial"/>
          <w:sz w:val="19"/>
          <w:szCs w:val="19"/>
          <w:color w:val="auto"/>
        </w:rPr>
        <w:t>This Policy shall be administered, interpreted and construed by the Committee, which is authorized to make all determinations necessary, appropriate or advisable for such purpose. The Board of Directors of the Partnership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Partnership and its affiliates, equity holders and employees. The Committee may delegate administrative duties with respect to this Policy to one or more directors or employees of the Partnership, as permitted under applicable law, including any Applicable Rules.</w:t>
      </w:r>
    </w:p>
    <w:p>
      <w:pPr>
        <w:spacing w:after="0" w:line="76"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VIII.</w:t>
      </w:r>
      <w:r>
        <w:rPr>
          <w:sz w:val="20"/>
          <w:szCs w:val="20"/>
          <w:color w:val="auto"/>
        </w:rPr>
        <w:tab/>
      </w:r>
      <w:r>
        <w:rPr>
          <w:rFonts w:ascii="Arial" w:cs="Arial" w:eastAsia="Arial" w:hAnsi="Arial"/>
          <w:sz w:val="19"/>
          <w:szCs w:val="19"/>
          <w:b w:val="1"/>
          <w:bCs w:val="1"/>
          <w:color w:val="auto"/>
        </w:rPr>
        <w:t>INTERPRETATION</w:t>
      </w:r>
    </w:p>
    <w:p>
      <w:pPr>
        <w:spacing w:after="0" w:line="218" w:lineRule="exact"/>
        <w:rPr>
          <w:sz w:val="20"/>
          <w:szCs w:val="20"/>
          <w:color w:val="auto"/>
        </w:rPr>
      </w:pPr>
    </w:p>
    <w:p>
      <w:pPr>
        <w:jc w:val="both"/>
        <w:ind w:left="320"/>
        <w:spacing w:after="0" w:line="301" w:lineRule="auto"/>
        <w:rPr>
          <w:sz w:val="20"/>
          <w:szCs w:val="20"/>
          <w:color w:val="auto"/>
        </w:rPr>
      </w:pPr>
      <w:r>
        <w:rPr>
          <w:rFonts w:ascii="Arial" w:cs="Arial" w:eastAsia="Arial" w:hAnsi="Arial"/>
          <w:sz w:val="19"/>
          <w:szCs w:val="19"/>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IX. NO INDEMNIFICATION; NO LIABILITY</w:t>
      </w:r>
    </w:p>
    <w:p>
      <w:pPr>
        <w:spacing w:after="0" w:line="152" w:lineRule="exact"/>
        <w:rPr>
          <w:sz w:val="20"/>
          <w:szCs w:val="20"/>
          <w:color w:val="auto"/>
        </w:rPr>
      </w:pPr>
    </w:p>
    <w:p>
      <w:pPr>
        <w:jc w:val="both"/>
        <w:ind w:left="320"/>
        <w:spacing w:after="0" w:line="291" w:lineRule="auto"/>
        <w:rPr>
          <w:sz w:val="20"/>
          <w:szCs w:val="20"/>
          <w:color w:val="auto"/>
        </w:rPr>
      </w:pPr>
      <w:r>
        <w:rPr>
          <w:rFonts w:ascii="Arial" w:cs="Arial" w:eastAsia="Arial" w:hAnsi="Arial"/>
          <w:sz w:val="19"/>
          <w:szCs w:val="19"/>
          <w:color w:val="auto"/>
        </w:rPr>
        <w:t>The Partnership shall not indemnify or insure any person against the loss of any Erroneously Awarded Compensation pursuant to this Policy, nor shall the Partnership directly or indirectly pay or reimburse any person for any premiums for third-party insurance policies that such person may elect to purchase to fund such person’s potential obligations under this Policy. None of the Partnership, an affiliate of the Partnership or any member of the Committee or the Board shall have any liability to any person as a result of actions taken under this Policy.</w:t>
      </w:r>
    </w:p>
    <w:p>
      <w:pPr>
        <w:spacing w:after="0" w:line="55" w:lineRule="exact"/>
        <w:rPr>
          <w:sz w:val="20"/>
          <w:szCs w:val="20"/>
          <w:color w:val="auto"/>
        </w:rPr>
      </w:pPr>
    </w:p>
    <w:p>
      <w:pPr>
        <w:ind w:left="320" w:hanging="319"/>
        <w:spacing w:after="0"/>
        <w:tabs>
          <w:tab w:leader="none" w:pos="320"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APPLICATION; ENFORCEABILITY</w:t>
      </w:r>
    </w:p>
    <w:p>
      <w:pPr>
        <w:spacing w:after="0" w:line="151" w:lineRule="exact"/>
        <w:rPr>
          <w:rFonts w:ascii="Arial" w:cs="Arial" w:eastAsia="Arial" w:hAnsi="Arial"/>
          <w:sz w:val="19"/>
          <w:szCs w:val="19"/>
          <w:b w:val="1"/>
          <w:bCs w:val="1"/>
          <w:color w:val="auto"/>
        </w:rPr>
      </w:pPr>
    </w:p>
    <w:p>
      <w:pPr>
        <w:jc w:val="both"/>
        <w:ind w:left="320"/>
        <w:spacing w:after="0" w:line="288" w:lineRule="auto"/>
        <w:rPr>
          <w:rFonts w:ascii="Arial" w:cs="Arial" w:eastAsia="Arial" w:hAnsi="Arial"/>
          <w:sz w:val="19"/>
          <w:szCs w:val="19"/>
          <w:b w:val="1"/>
          <w:bCs w:val="1"/>
          <w:color w:val="auto"/>
        </w:rPr>
      </w:pPr>
      <w:r>
        <w:rPr>
          <w:rFonts w:ascii="Arial" w:cs="Arial" w:eastAsia="Arial" w:hAnsi="Arial"/>
          <w:sz w:val="19"/>
          <w:szCs w:val="19"/>
          <w:color w:val="auto"/>
        </w:rPr>
        <w:t>Except as otherwise determined by the Committee or the Board, the adoption of this Policy does not limit, and is intended to apply in addition to, any other clawback, recoupment, forfeiture or similar policies or provisions of the Partnership or its affiliates, including any such policies or provisions of such effect contained in any employment agreement, bonus plan, incentive plan, equity-based plan or award agreement thereunder or similar plan, program or agreement of the Partnership or an affiliate or required under applicable law (the “</w:t>
      </w:r>
      <w:r>
        <w:rPr>
          <w:rFonts w:ascii="Arial" w:cs="Arial" w:eastAsia="Arial" w:hAnsi="Arial"/>
          <w:sz w:val="19"/>
          <w:szCs w:val="19"/>
          <w:b w:val="1"/>
          <w:bCs w:val="1"/>
          <w:i w:val="1"/>
          <w:iCs w:val="1"/>
          <w:color w:val="auto"/>
        </w:rPr>
        <w:t>Other Recovery Arrangements</w:t>
      </w:r>
      <w:r>
        <w:rPr>
          <w:rFonts w:ascii="Arial" w:cs="Arial" w:eastAsia="Arial" w:hAnsi="Arial"/>
          <w:sz w:val="19"/>
          <w:szCs w:val="19"/>
          <w:color w:val="auto"/>
        </w:rPr>
        <w:t>”). The remedy specified in this Policy shall not be exclusive and shall be in addition to every other right or remedy at law or in equity that may be available to the Partnership or an affiliate of the Partnership.</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XI. SEVERABILITY</w:t>
      </w:r>
    </w:p>
    <w:p>
      <w:pPr>
        <w:spacing w:after="0" w:line="152" w:lineRule="exact"/>
        <w:rPr>
          <w:sz w:val="20"/>
          <w:szCs w:val="20"/>
          <w:color w:val="auto"/>
        </w:rPr>
      </w:pPr>
    </w:p>
    <w:p>
      <w:pPr>
        <w:ind w:left="320"/>
        <w:spacing w:after="0" w:line="314" w:lineRule="auto"/>
        <w:rPr>
          <w:sz w:val="20"/>
          <w:szCs w:val="20"/>
          <w:color w:val="auto"/>
        </w:rPr>
      </w:pPr>
      <w:r>
        <w:rPr>
          <w:rFonts w:ascii="Arial" w:cs="Arial" w:eastAsia="Arial" w:hAnsi="Arial"/>
          <w:sz w:val="19"/>
          <w:szCs w:val="19"/>
          <w:color w:val="auto"/>
        </w:rPr>
        <w:t>The provisions in this Policy are intended to be applied to the fullest extent of the law; provided, however, to the extent that any provision of this Policy is found to be unenforceable or invalid under any</w:t>
      </w:r>
    </w:p>
    <w:p>
      <w:pPr>
        <w:sectPr>
          <w:pgSz w:w="11900" w:h="16838" w:orient="portrait"/>
          <w:cols w:equalWidth="0" w:num="1">
            <w:col w:w="10920"/>
          </w:cols>
          <w:pgMar w:left="640" w:top="986" w:right="339" w:bottom="1440" w:gutter="0" w:footer="0" w:header="0"/>
        </w:sectPr>
      </w:pPr>
    </w:p>
    <w:bookmarkStart w:id="109" w:name="page110"/>
    <w:bookmarkEnd w:id="109"/>
    <w:p>
      <w:pPr>
        <w:jc w:val="both"/>
        <w:ind w:left="320"/>
        <w:spacing w:after="0" w:line="322" w:lineRule="auto"/>
        <w:rPr>
          <w:sz w:val="20"/>
          <w:szCs w:val="20"/>
          <w:color w:val="auto"/>
        </w:rPr>
      </w:pPr>
      <w:r>
        <w:rPr>
          <w:rFonts w:ascii="Arial" w:cs="Arial" w:eastAsia="Arial" w:hAnsi="Arial"/>
          <w:sz w:val="19"/>
          <w:szCs w:val="19"/>
          <w:color w:val="auto"/>
        </w:rPr>
        <w:t>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XII. AMENDMENT AND TERMINATION</w:t>
      </w:r>
    </w:p>
    <w:p>
      <w:pPr>
        <w:spacing w:after="0" w:line="139" w:lineRule="exact"/>
        <w:rPr>
          <w:sz w:val="20"/>
          <w:szCs w:val="20"/>
          <w:color w:val="auto"/>
        </w:rPr>
      </w:pPr>
    </w:p>
    <w:p>
      <w:pPr>
        <w:jc w:val="both"/>
        <w:ind w:left="320"/>
        <w:spacing w:after="0" w:line="301" w:lineRule="auto"/>
        <w:rPr>
          <w:sz w:val="20"/>
          <w:szCs w:val="20"/>
          <w:color w:val="auto"/>
        </w:rPr>
      </w:pPr>
      <w:r>
        <w:rPr>
          <w:rFonts w:ascii="Arial" w:cs="Arial" w:eastAsia="Arial" w:hAnsi="Arial"/>
          <w:sz w:val="19"/>
          <w:szCs w:val="19"/>
          <w:color w:val="auto"/>
        </w:rPr>
        <w:t>The Board or the Committee may amend, modify or terminate this Policy in whole or in part at any time and from time to time in its sole discretion. This Policy will terminate automatically when the Partnership does not have a class of securities listed on a national securities exchange or association.</w:t>
      </w:r>
    </w:p>
    <w:sectPr>
      <w:pgSz w:w="11900" w:h="16838" w:orient="portrait"/>
      <w:cols w:equalWidth="0" w:num="1">
        <w:col w:w="10920"/>
      </w:cols>
      <w:pgMar w:left="640" w:top="9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lvl w:ilvl="1">
      <w:lvlJc w:val="left"/>
      <w:lvlText w:val="(%2)"/>
      <w:numFmt w:val="decimal"/>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2"/>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5"/>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04"/>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1"/>
    </w:lvl>
    <w:lvl w:ilvl="1">
      <w:lvlJc w:val="left"/>
      <w:lvlText w:val="%2."/>
      <w:numFmt w:val="decimal"/>
      <w:start w:val="1"/>
    </w:lvl>
  </w:abstractNum>
  <w:abstractNum w:abstractNumId="47">
    <w:nsid w:val="3DC240FB"/>
    <w:multiLevelType w:val="hybridMultilevel"/>
    <w:lvl w:ilvl="0">
      <w:lvlJc w:val="left"/>
      <w:lvlText w:val="%1."/>
      <w:numFmt w:val="decimal"/>
      <w:start w:val="1"/>
    </w:lvl>
    <w:lvl w:ilvl="1">
      <w:lvlJc w:val="left"/>
      <w:lvlText w:val="%2."/>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upperLetter"/>
      <w:start w:val="9"/>
    </w:lvl>
    <w:lvl w:ilvl="1">
      <w:lvlJc w:val="left"/>
      <w:lvlText w:val="(%2)"/>
      <w:numFmt w:val="lowerLetter"/>
      <w:start w:val="1"/>
    </w:lvl>
  </w:abstractNum>
  <w:abstractNum w:abstractNumId="50">
    <w:nsid w:val="75C6C33A"/>
    <w:multiLevelType w:val="hybridMultilevel"/>
    <w:lvl w:ilvl="0">
      <w:lvlJc w:val="left"/>
      <w:lvlText w:val="%1."/>
      <w:numFmt w:val="upperLetter"/>
      <w:start w:val="61"/>
    </w:lvl>
  </w:abstractNum>
  <w:abstractNum w:abstractNumId="51">
    <w:nsid w:val="12E685FB"/>
    <w:multiLevelType w:val="hybridMultilevel"/>
    <w:lvl w:ilvl="0">
      <w:lvlJc w:val="left"/>
      <w:lvlText w:val="%1."/>
      <w:numFmt w:val="upperLetter"/>
      <w:start w:val="22"/>
    </w:lvl>
  </w:abstractNum>
  <w:abstractNum w:abstractNumId="52">
    <w:nsid w:val="70C6A529"/>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32" Type="http://schemas.openxmlformats.org/officeDocument/2006/relationships/hyperlink" Target="http://www.sec.gov/Archives/edgar/data/1604665/000119312514164760/d715499dex31.htm" TargetMode="External"/><Relationship Id="rId133" Type="http://schemas.openxmlformats.org/officeDocument/2006/relationships/hyperlink" Target="http://www.sec.gov/Archives/edgar/data/1604665/000119312514303305/d756630dex31.htm" TargetMode="External"/><Relationship Id="rId134" Type="http://schemas.openxmlformats.org/officeDocument/2006/relationships/hyperlink" Target="http://www.sec.gov/Archives/edgar/data/1604665/000119312517345554/d493400dex31.htm" TargetMode="External"/><Relationship Id="rId135" Type="http://schemas.openxmlformats.org/officeDocument/2006/relationships/hyperlink" Target="http://www.sec.gov/Archives/edgar/data/1604665/000119312518231463/d583758dex31.htm" TargetMode="External"/><Relationship Id="rId136" Type="http://schemas.openxmlformats.org/officeDocument/2006/relationships/hyperlink" Target="http://www.sec.gov/Archives/edgar/data/1604665/000119312514303305/d756630dex107.htm" TargetMode="External"/><Relationship Id="rId137" Type="http://schemas.openxmlformats.org/officeDocument/2006/relationships/hyperlink" Target="http://www.sec.gov/Archives/edgar/data/1604665/000160466518000007/ex3412311710k.htm" TargetMode="External"/><Relationship Id="rId138" Type="http://schemas.openxmlformats.org/officeDocument/2006/relationships/hyperlink" Target="http://www.sec.gov/Archives/edgar/data/1604665/000160466520000007/ex4112311910k.htm" TargetMode="External"/><Relationship Id="rId139" Type="http://schemas.openxmlformats.org/officeDocument/2006/relationships/hyperlink" Target="http://www.sec.gov/Archives/edgar/data/1262823/000119312506005830/dex41.htm" TargetMode="External"/><Relationship Id="rId140" Type="http://schemas.openxmlformats.org/officeDocument/2006/relationships/hyperlink" Target="http://www.sec.gov/Archives/edgar/data/1262823/000119312516678207/d235680dex42.htm" TargetMode="External"/><Relationship Id="rId141" Type="http://schemas.openxmlformats.org/officeDocument/2006/relationships/hyperlink" Target="http://www.sec.gov/Archives/edgar/data/1262823/000119312517353189/d499857dex42.htm" TargetMode="External"/><Relationship Id="rId142" Type="http://schemas.openxmlformats.org/officeDocument/2006/relationships/hyperlink" Target="http://www.sec.gov/Archives/edgar/data/1262823/000119312517353189/d499857dex43.htm" TargetMode="External"/><Relationship Id="rId143" Type="http://schemas.openxmlformats.org/officeDocument/2006/relationships/hyperlink" Target="http://www.sec.gov/Archives/edgar/data/1262823/000119312519195643/d770084dex42.htm" TargetMode="External"/><Relationship Id="rId144" Type="http://schemas.openxmlformats.org/officeDocument/2006/relationships/hyperlink" Target="http://www.sec.gov/Archives/edgar/data/1262823/000119312520167137/d943281dex42.htm" TargetMode="External"/><Relationship Id="rId145" Type="http://schemas.openxmlformats.org/officeDocument/2006/relationships/hyperlink" Target="http://www.sec.gov/Archives/edgar/data/1262823/000119312521250937/d198475dex42.htm" TargetMode="External"/><Relationship Id="rId146" Type="http://schemas.openxmlformats.org/officeDocument/2006/relationships/hyperlink" Target="http://www.sec.gov/Archives/edgar/data/1604665/000119312519092653/d728262dex41.htm" TargetMode="External"/><Relationship Id="rId149" Type="http://schemas.openxmlformats.org/officeDocument/2006/relationships/hyperlink" Target="http://www.sec.gov/Archives/edgar/data/1604665/000119312514303305/d756630dex101.htm" TargetMode="External"/><Relationship Id="rId150" Type="http://schemas.openxmlformats.org/officeDocument/2006/relationships/hyperlink" Target="http://www.sec.gov/Archives/edgar/data/1604665/000119312514303305/d756630dex102.htm" TargetMode="External"/><Relationship Id="rId151" Type="http://schemas.openxmlformats.org/officeDocument/2006/relationships/hyperlink" Target="http://www.sec.gov/Archives/edgar/data/1604665/000119312514303305/d756630dex103.htm" TargetMode="External"/><Relationship Id="rId152" Type="http://schemas.openxmlformats.org/officeDocument/2006/relationships/hyperlink" Target="http://www.sec.gov/Archives/edgar/data/1604665/000119312514303305/d756630dex104.htm" TargetMode="External"/><Relationship Id="rId153" Type="http://schemas.openxmlformats.org/officeDocument/2006/relationships/hyperlink" Target="http://www.sec.gov/Archives/edgar/data/1604665/000160466516000044/exhibit101_20160630.htm" TargetMode="External"/><Relationship Id="rId154" Type="http://schemas.openxmlformats.org/officeDocument/2006/relationships/hyperlink" Target="http://www.sec.gov/Archives/edgar/data/1604665/000160466518000027/exhibit102_20180930.htm" TargetMode="External"/><Relationship Id="rId155" Type="http://schemas.openxmlformats.org/officeDocument/2006/relationships/hyperlink" Target="http://www.sec.gov/Archives/edgar/data/1604665/000119312514303305/d756630dex105.htm" TargetMode="External"/><Relationship Id="rId156" Type="http://schemas.openxmlformats.org/officeDocument/2006/relationships/hyperlink" Target="http://www.sec.gov/Archives/edgar/data/1604665/000119312514303305/d756630dex106.htm" TargetMode="External"/><Relationship Id="rId157" Type="http://schemas.openxmlformats.org/officeDocument/2006/relationships/hyperlink" Target="http://www.sec.gov/Archives/edgar/data/1604665/000119312515162335/d919736dex101.htm" TargetMode="External"/><Relationship Id="rId158" Type="http://schemas.openxmlformats.org/officeDocument/2006/relationships/hyperlink" Target="http://www.sec.gov/Archives/edgar/data/1604665/000160466517000025/exhibit101_20170630.htm" TargetMode="External"/><Relationship Id="rId159" Type="http://schemas.openxmlformats.org/officeDocument/2006/relationships/hyperlink" Target="http://www.sec.gov/Archives/edgar/data/1604665/000160466518000007/ex102412311710k.htm" TargetMode="External"/><Relationship Id="rId160" Type="http://schemas.openxmlformats.org/officeDocument/2006/relationships/hyperlink" Target="http://www.sec.gov/Archives/edgar/data/1604665/000160466520000015/exhibit10120200331.htm" TargetMode="External"/><Relationship Id="rId161" Type="http://schemas.openxmlformats.org/officeDocument/2006/relationships/hyperlink" Target="http://www.sec.gov/Archives/edgar/data/1604665/000119312522195001/d278975dex102.htm" TargetMode="External"/><Relationship Id="rId162" Type="http://schemas.openxmlformats.org/officeDocument/2006/relationships/hyperlink" Target="http://www.sec.gov/Archives/edgar/data/1604665/000160466520000007/ex10912311910k.htm" TargetMode="External"/><Relationship Id="rId163" Type="http://schemas.openxmlformats.org/officeDocument/2006/relationships/hyperlink" Target="http://www.sec.gov/Archives/edgar/data/1604665/000160466518000027/exhibit101_20180930.htm" TargetMode="External"/><Relationship Id="rId166" Type="http://schemas.openxmlformats.org/officeDocument/2006/relationships/hyperlink" Target="http://www.sec.gov/Archives/edgar/data/1604665/000119312522195001/d278975dex101.htm" TargetMode="External"/><Relationship Id="rId167" Type="http://schemas.openxmlformats.org/officeDocument/2006/relationships/hyperlink" Target="http://www.sec.gov/Archives/edgar/data/1604665/000119312514303305/d756630dex108.htm" TargetMode="External"/><Relationship Id="rId168" Type="http://schemas.openxmlformats.org/officeDocument/2006/relationships/hyperlink" Target="http://www.sec.gov/Archives/edgar/data/1604665/000160466517000008/ex102012311610k.htm" TargetMode="External"/><Relationship Id="rId169" Type="http://schemas.openxmlformats.org/officeDocument/2006/relationships/hyperlink" Target="http://www.sec.gov/Archives/edgar/data/1604665/000160466517000033/exhibit101_20170930.htm" TargetMode="External"/><Relationship Id="rId170" Type="http://schemas.openxmlformats.org/officeDocument/2006/relationships/hyperlink" Target="http://www.sec.gov/Archives/edgar/data/1604665/000160466518000007/ex101212311710k.htm" TargetMode="External"/><Relationship Id="rId171" Type="http://schemas.openxmlformats.org/officeDocument/2006/relationships/hyperlink" Target="http://www.sec.gov/Archives/edgar/data/1604665/000119312518294123/d633576dex11.htm" TargetMode="External"/><Relationship Id="rId172" Type="http://schemas.openxmlformats.org/officeDocument/2006/relationships/hyperlink" Target="http://www.sec.gov/Archives/edgar/data/1604665/000160466520000007/ex1022123119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2024-02-28T14:47:52Z</dcterms:created>
  <dcterms:modified xsi:type="dcterms:W3CDTF">2024-02-28T14:47:52Z</dcterms:modified>
</cp:coreProperties>
</file>