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193040</wp:posOffset>
            </wp:positionV>
            <wp:extent cx="330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144145</wp:posOffset>
            </wp:positionV>
            <wp:extent cx="330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720" w:right="4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ind w:left="720"/>
        <w:spacing w:after="0"/>
        <w:tabs>
          <w:tab w:leader="none" w:pos="384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5"/>
          <w:szCs w:val="15"/>
          <w:b w:val="1"/>
          <w:bCs w:val="1"/>
          <w:color w:val="auto"/>
        </w:rPr>
        <w:t>June 30,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360" w:hanging="672"/>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 w:lineRule="exact"/>
        <w:rPr>
          <w:sz w:val="24"/>
          <w:szCs w:val="24"/>
          <w:color w:val="auto"/>
        </w:rPr>
      </w:pPr>
    </w:p>
    <w:p>
      <w:pPr>
        <w:ind w:left="720"/>
        <w:spacing w:after="0"/>
        <w:tabs>
          <w:tab w:leader="none" w:pos="3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214630</wp:posOffset>
            </wp:positionV>
            <wp:extent cx="3308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124460</wp:posOffset>
            </wp:positionV>
            <wp:extent cx="3308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720" w:type="dxa"/>
            <w:vAlign w:val="bottom"/>
            <w:gridSpan w:val="2"/>
          </w:tcPr>
          <w:p>
            <w:pPr>
              <w:jc w:val="center"/>
              <w:ind w:left="1636"/>
              <w:spacing w:after="0"/>
              <w:rPr>
                <w:sz w:val="20"/>
                <w:szCs w:val="20"/>
                <w:color w:val="auto"/>
              </w:rPr>
            </w:pPr>
            <w:r>
              <w:rPr>
                <w:rFonts w:ascii="Arial" w:cs="Arial" w:eastAsia="Arial" w:hAnsi="Arial"/>
                <w:sz w:val="18"/>
                <w:szCs w:val="18"/>
                <w:b w:val="1"/>
                <w:bCs w:val="1"/>
                <w:color w:val="auto"/>
                <w:w w:val="91"/>
              </w:rPr>
              <w:t>Delaware</w:t>
            </w:r>
          </w:p>
        </w:tc>
        <w:tc>
          <w:tcPr>
            <w:tcW w:w="2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80" w:type="dxa"/>
            <w:vAlign w:val="bottom"/>
          </w:tcPr>
          <w:p>
            <w:pPr>
              <w:jc w:val="center"/>
              <w:ind w:right="1357"/>
              <w:spacing w:after="0"/>
              <w:rPr>
                <w:sz w:val="20"/>
                <w:szCs w:val="20"/>
                <w:color w:val="auto"/>
              </w:rPr>
            </w:pPr>
            <w:r>
              <w:rPr>
                <w:rFonts w:ascii="Arial" w:cs="Arial" w:eastAsia="Arial" w:hAnsi="Arial"/>
                <w:sz w:val="18"/>
                <w:szCs w:val="18"/>
                <w:b w:val="1"/>
                <w:bCs w:val="1"/>
                <w:color w:val="auto"/>
                <w:w w:val="89"/>
              </w:rPr>
              <w:t>32-0436529</w:t>
            </w:r>
          </w:p>
        </w:tc>
      </w:tr>
      <w:tr>
        <w:trPr>
          <w:trHeight w:val="180"/>
        </w:trPr>
        <w:tc>
          <w:tcPr>
            <w:tcW w:w="40" w:type="dxa"/>
            <w:vAlign w:val="bottom"/>
          </w:tcPr>
          <w:p>
            <w:pPr>
              <w:spacing w:after="0"/>
              <w:rPr>
                <w:sz w:val="15"/>
                <w:szCs w:val="15"/>
                <w:color w:val="auto"/>
              </w:rPr>
            </w:pPr>
          </w:p>
        </w:tc>
        <w:tc>
          <w:tcPr>
            <w:tcW w:w="3720" w:type="dxa"/>
            <w:vAlign w:val="bottom"/>
            <w:gridSpan w:val="2"/>
          </w:tcPr>
          <w:p>
            <w:pPr>
              <w:jc w:val="center"/>
              <w:ind w:left="1636"/>
              <w:spacing w:after="0"/>
              <w:rPr>
                <w:sz w:val="20"/>
                <w:szCs w:val="20"/>
                <w:color w:val="auto"/>
              </w:rPr>
            </w:pPr>
            <w:r>
              <w:rPr>
                <w:rFonts w:ascii="Arial" w:cs="Arial" w:eastAsia="Arial" w:hAnsi="Arial"/>
                <w:sz w:val="14"/>
                <w:szCs w:val="14"/>
                <w:b w:val="1"/>
                <w:bCs w:val="1"/>
                <w:color w:val="auto"/>
                <w:w w:val="93"/>
              </w:rPr>
              <w:t>(State or other jurisdiction of</w:t>
            </w:r>
          </w:p>
        </w:tc>
        <w:tc>
          <w:tcPr>
            <w:tcW w:w="2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980" w:type="dxa"/>
            <w:vAlign w:val="bottom"/>
          </w:tcPr>
          <w:p>
            <w:pPr>
              <w:jc w:val="center"/>
              <w:ind w:right="1377"/>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Arial" w:cs="Arial" w:eastAsia="Arial" w:hAnsi="Arial"/>
                <w:sz w:val="14"/>
                <w:szCs w:val="14"/>
                <w:b w:val="1"/>
                <w:bCs w:val="1"/>
                <w:color w:val="auto"/>
                <w:w w:val="94"/>
              </w:rPr>
              <w:t>incorporation or organization)</w:t>
            </w:r>
          </w:p>
        </w:tc>
        <w:tc>
          <w:tcPr>
            <w:tcW w:w="2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80" w:type="dxa"/>
            <w:vAlign w:val="bottom"/>
          </w:tcPr>
          <w:p>
            <w:pPr>
              <w:jc w:val="center"/>
              <w:ind w:right="1357"/>
              <w:spacing w:after="0"/>
              <w:rPr>
                <w:sz w:val="20"/>
                <w:szCs w:val="20"/>
                <w:color w:val="auto"/>
              </w:rPr>
            </w:pPr>
            <w:r>
              <w:rPr>
                <w:rFonts w:ascii="Arial" w:cs="Arial" w:eastAsia="Arial" w:hAnsi="Arial"/>
                <w:sz w:val="14"/>
                <w:szCs w:val="14"/>
                <w:b w:val="1"/>
                <w:bCs w:val="1"/>
                <w:color w:val="auto"/>
                <w:w w:val="96"/>
              </w:rPr>
              <w:t>Identification No.)</w:t>
            </w:r>
          </w:p>
        </w:tc>
      </w:tr>
      <w:tr>
        <w:trPr>
          <w:trHeight w:val="372"/>
        </w:trPr>
        <w:tc>
          <w:tcPr>
            <w:tcW w:w="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00" w:type="dxa"/>
            <w:vAlign w:val="bottom"/>
            <w:gridSpan w:val="2"/>
          </w:tcPr>
          <w:p>
            <w:pPr>
              <w:jc w:val="center"/>
              <w:ind w:left="135"/>
              <w:spacing w:after="0"/>
              <w:rPr>
                <w:sz w:val="20"/>
                <w:szCs w:val="20"/>
                <w:color w:val="auto"/>
              </w:rPr>
            </w:pPr>
            <w:r>
              <w:rPr>
                <w:rFonts w:ascii="Arial" w:cs="Arial" w:eastAsia="Arial" w:hAnsi="Arial"/>
                <w:sz w:val="18"/>
                <w:szCs w:val="18"/>
                <w:b w:val="1"/>
                <w:bCs w:val="1"/>
                <w:color w:val="auto"/>
                <w:w w:val="90"/>
              </w:rPr>
              <w:t>2801 Post Oak Boulevard, Suite 600</w:t>
            </w:r>
          </w:p>
        </w:tc>
        <w:tc>
          <w:tcPr>
            <w:tcW w:w="398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00" w:type="dxa"/>
            <w:vAlign w:val="bottom"/>
            <w:gridSpan w:val="2"/>
          </w:tcPr>
          <w:p>
            <w:pPr>
              <w:jc w:val="center"/>
              <w:ind w:left="155"/>
              <w:spacing w:after="0"/>
              <w:rPr>
                <w:sz w:val="20"/>
                <w:szCs w:val="20"/>
                <w:color w:val="auto"/>
              </w:rPr>
            </w:pPr>
            <w:r>
              <w:rPr>
                <w:rFonts w:ascii="Arial" w:cs="Arial" w:eastAsia="Arial" w:hAnsi="Arial"/>
                <w:sz w:val="18"/>
                <w:szCs w:val="18"/>
                <w:b w:val="1"/>
                <w:bCs w:val="1"/>
                <w:color w:val="auto"/>
                <w:w w:val="87"/>
              </w:rPr>
              <w:t>Houston, Texas 77056</w:t>
            </w:r>
          </w:p>
        </w:tc>
        <w:tc>
          <w:tcPr>
            <w:tcW w:w="3980" w:type="dxa"/>
            <w:vAlign w:val="bottom"/>
          </w:tcPr>
          <w:p>
            <w:pPr>
              <w:spacing w:after="0"/>
              <w:rPr>
                <w:sz w:val="18"/>
                <w:szCs w:val="18"/>
                <w:color w:val="auto"/>
              </w:rPr>
            </w:pPr>
          </w:p>
        </w:tc>
      </w:tr>
      <w:tr>
        <w:trPr>
          <w:trHeight w:val="186"/>
        </w:trPr>
        <w:tc>
          <w:tcPr>
            <w:tcW w:w="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80" w:type="dxa"/>
            <w:vAlign w:val="bottom"/>
            <w:gridSpan w:val="3"/>
          </w:tcPr>
          <w:p>
            <w:pPr>
              <w:jc w:val="center"/>
              <w:ind w:right="3677"/>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54"/>
        </w:trPr>
        <w:tc>
          <w:tcPr>
            <w:tcW w:w="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00" w:type="dxa"/>
            <w:vAlign w:val="bottom"/>
          </w:tcPr>
          <w:p>
            <w:pPr>
              <w:jc w:val="center"/>
              <w:ind w:left="735"/>
              <w:spacing w:after="0"/>
              <w:rPr>
                <w:sz w:val="20"/>
                <w:szCs w:val="20"/>
                <w:color w:val="auto"/>
              </w:rPr>
            </w:pPr>
            <w:r>
              <w:rPr>
                <w:rFonts w:ascii="Arial" w:cs="Arial" w:eastAsia="Arial" w:hAnsi="Arial"/>
                <w:sz w:val="18"/>
                <w:szCs w:val="18"/>
                <w:b w:val="1"/>
                <w:bCs w:val="1"/>
                <w:color w:val="auto"/>
                <w:w w:val="90"/>
              </w:rPr>
              <w:t>(713) 585-2900</w:t>
            </w:r>
          </w:p>
        </w:tc>
        <w:tc>
          <w:tcPr>
            <w:tcW w:w="6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86"/>
        </w:trPr>
        <w:tc>
          <w:tcPr>
            <w:tcW w:w="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0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80" w:type="dxa"/>
            <w:vAlign w:val="bottom"/>
          </w:tcPr>
          <w:p>
            <w:pPr>
              <w:spacing w:after="0"/>
              <w:rPr>
                <w:sz w:val="16"/>
                <w:szCs w:val="16"/>
                <w:color w:val="auto"/>
              </w:rPr>
            </w:pPr>
          </w:p>
        </w:tc>
      </w:tr>
      <w:tr>
        <w:trPr>
          <w:trHeight w:val="377"/>
        </w:trPr>
        <w:tc>
          <w:tcPr>
            <w:tcW w:w="7260" w:type="dxa"/>
            <w:vAlign w:val="bottom"/>
            <w:gridSpan w:val="5"/>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980" w:type="dxa"/>
            <w:vAlign w:val="bottom"/>
          </w:tcPr>
          <w:p>
            <w:pPr>
              <w:spacing w:after="0"/>
              <w:rPr>
                <w:sz w:val="24"/>
                <w:szCs w:val="24"/>
                <w:color w:val="auto"/>
              </w:rPr>
            </w:pPr>
          </w:p>
        </w:tc>
      </w:tr>
      <w:tr>
        <w:trPr>
          <w:trHeight w:val="135"/>
        </w:trPr>
        <w:tc>
          <w:tcPr>
            <w:tcW w:w="40" w:type="dxa"/>
            <w:vAlign w:val="bottom"/>
          </w:tcPr>
          <w:p>
            <w:pPr>
              <w:spacing w:after="0"/>
              <w:rPr>
                <w:sz w:val="11"/>
                <w:szCs w:val="11"/>
                <w:color w:val="auto"/>
              </w:rPr>
            </w:pPr>
          </w:p>
        </w:tc>
        <w:tc>
          <w:tcPr>
            <w:tcW w:w="3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460" w:type="dxa"/>
            <w:vAlign w:val="bottom"/>
          </w:tcPr>
          <w:p>
            <w:pPr>
              <w:spacing w:after="0"/>
              <w:rPr>
                <w:sz w:val="20"/>
                <w:szCs w:val="20"/>
                <w:color w:val="auto"/>
              </w:rPr>
            </w:pPr>
          </w:p>
        </w:tc>
        <w:tc>
          <w:tcPr>
            <w:tcW w:w="2900" w:type="dxa"/>
            <w:vAlign w:val="bottom"/>
            <w:tcBorders>
              <w:right w:val="single" w:sz="8" w:color="auto"/>
            </w:tcBorders>
          </w:tcPr>
          <w:p>
            <w:pPr>
              <w:jc w:val="center"/>
              <w:ind w:right="415"/>
              <w:spacing w:after="0"/>
              <w:rPr>
                <w:sz w:val="20"/>
                <w:szCs w:val="20"/>
                <w:color w:val="auto"/>
              </w:rPr>
            </w:pPr>
            <w:r>
              <w:rPr>
                <w:rFonts w:ascii="Arial" w:cs="Arial" w:eastAsia="Arial" w:hAnsi="Arial"/>
                <w:sz w:val="18"/>
                <w:szCs w:val="18"/>
                <w:b w:val="1"/>
                <w:bCs w:val="1"/>
                <w:color w:val="auto"/>
                <w:w w:val="91"/>
              </w:rPr>
              <w:t>Trading Symbol(s)</w:t>
            </w:r>
          </w:p>
        </w:tc>
        <w:tc>
          <w:tcPr>
            <w:tcW w:w="600" w:type="dxa"/>
            <w:vAlign w:val="bottom"/>
          </w:tcPr>
          <w:p>
            <w:pPr>
              <w:spacing w:after="0"/>
              <w:rPr>
                <w:sz w:val="20"/>
                <w:szCs w:val="20"/>
                <w:color w:val="auto"/>
              </w:rPr>
            </w:pPr>
          </w:p>
        </w:tc>
        <w:tc>
          <w:tcPr>
            <w:tcW w:w="3980" w:type="dxa"/>
            <w:vAlign w:val="bottom"/>
            <w:tcBorders>
              <w:right w:val="single" w:sz="8" w:color="auto"/>
            </w:tcBorders>
          </w:tcPr>
          <w:p>
            <w:pPr>
              <w:jc w:val="center"/>
              <w:ind w:right="557"/>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0" w:type="dxa"/>
            <w:vAlign w:val="bottom"/>
            <w:tcBorders>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Common units representing limited</w:t>
            </w:r>
          </w:p>
        </w:tc>
        <w:tc>
          <w:tcPr>
            <w:tcW w:w="460" w:type="dxa"/>
            <w:vAlign w:val="bottom"/>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980" w:type="dxa"/>
            <w:vAlign w:val="bottom"/>
            <w:tcBorders>
              <w:right w:val="single" w:sz="8" w:color="auto"/>
            </w:tcBorders>
          </w:tcPr>
          <w:p>
            <w:pPr>
              <w:spacing w:after="0"/>
              <w:rPr>
                <w:sz w:val="19"/>
                <w:szCs w:val="19"/>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partnership interests</w:t>
            </w:r>
          </w:p>
        </w:tc>
        <w:tc>
          <w:tcPr>
            <w:tcW w:w="460" w:type="dxa"/>
            <w:vAlign w:val="bottom"/>
          </w:tcPr>
          <w:p>
            <w:pPr>
              <w:spacing w:after="0"/>
              <w:rPr>
                <w:sz w:val="20"/>
                <w:szCs w:val="20"/>
                <w:color w:val="auto"/>
              </w:rPr>
            </w:pPr>
          </w:p>
        </w:tc>
        <w:tc>
          <w:tcPr>
            <w:tcW w:w="2900" w:type="dxa"/>
            <w:vAlign w:val="bottom"/>
            <w:tcBorders>
              <w:right w:val="single" w:sz="8" w:color="auto"/>
            </w:tcBorders>
          </w:tcPr>
          <w:p>
            <w:pPr>
              <w:jc w:val="center"/>
              <w:ind w:right="415"/>
              <w:spacing w:after="0"/>
              <w:rPr>
                <w:sz w:val="20"/>
                <w:szCs w:val="20"/>
                <w:color w:val="auto"/>
              </w:rPr>
            </w:pPr>
            <w:r>
              <w:rPr>
                <w:rFonts w:ascii="Arial" w:cs="Arial" w:eastAsia="Arial" w:hAnsi="Arial"/>
                <w:sz w:val="18"/>
                <w:szCs w:val="18"/>
                <w:color w:val="auto"/>
              </w:rPr>
              <w:t>WLKP</w:t>
            </w:r>
          </w:p>
        </w:tc>
        <w:tc>
          <w:tcPr>
            <w:tcW w:w="600" w:type="dxa"/>
            <w:vAlign w:val="bottom"/>
          </w:tcPr>
          <w:p>
            <w:pPr>
              <w:spacing w:after="0"/>
              <w:rPr>
                <w:sz w:val="20"/>
                <w:szCs w:val="20"/>
                <w:color w:val="auto"/>
              </w:rPr>
            </w:pPr>
          </w:p>
        </w:tc>
        <w:tc>
          <w:tcPr>
            <w:tcW w:w="3980" w:type="dxa"/>
            <w:vAlign w:val="bottom"/>
            <w:tcBorders>
              <w:right w:val="single" w:sz="8" w:color="auto"/>
            </w:tcBorders>
          </w:tcPr>
          <w:p>
            <w:pPr>
              <w:jc w:val="center"/>
              <w:ind w:right="537"/>
              <w:spacing w:after="0"/>
              <w:rPr>
                <w:sz w:val="20"/>
                <w:szCs w:val="20"/>
                <w:color w:val="auto"/>
              </w:rPr>
            </w:pPr>
            <w:r>
              <w:rPr>
                <w:rFonts w:ascii="Arial" w:cs="Arial" w:eastAsia="Arial" w:hAnsi="Arial"/>
                <w:sz w:val="18"/>
                <w:szCs w:val="18"/>
                <w:color w:val="auto"/>
                <w:w w:val="91"/>
              </w:rPr>
              <w:t>The New York Stock Exchange</w:t>
            </w:r>
          </w:p>
        </w:tc>
      </w:tr>
      <w:tr>
        <w:trPr>
          <w:trHeight w:val="27"/>
        </w:trPr>
        <w:tc>
          <w:tcPr>
            <w:tcW w:w="40" w:type="dxa"/>
            <w:vAlign w:val="bottom"/>
            <w:tcBorders>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bl>
    <w:p>
      <w:pPr>
        <w:spacing w:after="0" w:line="364"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28"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5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30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280"/>
              <w:spacing w:after="0"/>
              <w:rPr>
                <w:sz w:val="20"/>
                <w:szCs w:val="20"/>
                <w:color w:val="auto"/>
              </w:rPr>
            </w:pPr>
            <w:r>
              <w:rPr>
                <w:rFonts w:ascii="Arial" w:cs="Arial" w:eastAsia="Arial" w:hAnsi="Arial"/>
                <w:sz w:val="18"/>
                <w:szCs w:val="18"/>
                <w:b w:val="1"/>
                <w:bCs w:val="1"/>
                <w:color w:val="auto"/>
              </w:rPr>
              <w:t>Accelerated filer</w:t>
            </w:r>
          </w:p>
        </w:tc>
        <w:tc>
          <w:tcPr>
            <w:tcW w:w="660" w:type="dxa"/>
            <w:vAlign w:val="bottom"/>
          </w:tcPr>
          <w:p>
            <w:pPr>
              <w:ind w:left="500"/>
              <w:spacing w:after="0"/>
              <w:rPr>
                <w:sz w:val="20"/>
                <w:szCs w:val="20"/>
                <w:color w:val="auto"/>
              </w:rPr>
            </w:pPr>
            <w:r>
              <w:rPr>
                <w:rFonts w:ascii="Arial" w:cs="Arial" w:eastAsia="Arial" w:hAnsi="Arial"/>
                <w:sz w:val="18"/>
                <w:szCs w:val="18"/>
                <w:color w:val="auto"/>
              </w:rPr>
              <w:t>x</w:t>
            </w:r>
          </w:p>
        </w:tc>
      </w:tr>
      <w:tr>
        <w:trPr>
          <w:trHeight w:val="419"/>
        </w:trPr>
        <w:tc>
          <w:tcPr>
            <w:tcW w:w="232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30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280"/>
              <w:spacing w:after="0"/>
              <w:rPr>
                <w:sz w:val="20"/>
                <w:szCs w:val="20"/>
                <w:color w:val="auto"/>
              </w:rPr>
            </w:pPr>
            <w:r>
              <w:rPr>
                <w:rFonts w:ascii="Arial" w:cs="Arial" w:eastAsia="Arial" w:hAnsi="Arial"/>
                <w:sz w:val="18"/>
                <w:szCs w:val="18"/>
                <w:b w:val="1"/>
                <w:bCs w:val="1"/>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900" w:type="dxa"/>
            <w:vAlign w:val="bottom"/>
          </w:tcPr>
          <w:p>
            <w:pPr>
              <w:ind w:left="2280"/>
              <w:spacing w:after="0"/>
              <w:rPr>
                <w:sz w:val="20"/>
                <w:szCs w:val="20"/>
                <w:color w:val="auto"/>
              </w:rPr>
            </w:pPr>
            <w:r>
              <w:rPr>
                <w:rFonts w:ascii="Arial" w:cs="Arial" w:eastAsia="Arial" w:hAnsi="Arial"/>
                <w:sz w:val="18"/>
                <w:szCs w:val="18"/>
                <w:b w:val="1"/>
                <w:bCs w:val="1"/>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Arial" w:cs="Arial" w:eastAsia="Arial" w:hAnsi="Arial"/>
          <w:sz w:val="18"/>
          <w:szCs w:val="18"/>
          <w:color w:val="auto"/>
        </w:rPr>
        <w:t>x</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35,194,545 common units outstanding as of July 30, 2020.</w:t>
      </w:r>
    </w:p>
    <w:p>
      <w:pPr>
        <w:sectPr>
          <w:pgSz w:w="11900" w:h="16838" w:orient="portrait"/>
          <w:cols w:equalWidth="0" w:num="1">
            <w:col w:w="11240"/>
          </w:cols>
          <w:pgMar w:left="320" w:top="274" w:right="339" w:bottom="1051"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990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420" w:type="dxa"/>
            <w:vAlign w:val="bottom"/>
            <w:gridSpan w:val="3"/>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420" w:type="dxa"/>
            <w:vAlign w:val="bottom"/>
            <w:gridSpan w:val="3"/>
            <w:vMerge w:val="continue"/>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990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7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18">
              <w:r>
                <w:rPr>
                  <w:rFonts w:ascii="Arial" w:cs="Arial" w:eastAsia="Arial" w:hAnsi="Arial"/>
                  <w:sz w:val="18"/>
                  <w:szCs w:val="18"/>
                  <w:color w:val="auto"/>
                  <w:w w:val="99"/>
                </w:rPr>
                <w:t>2)</w:t>
              </w:r>
            </w:hyperlink>
          </w:p>
        </w:tc>
        <w:tc>
          <w:tcPr>
            <w:tcW w:w="9900" w:type="dxa"/>
            <w:vAlign w:val="bottom"/>
          </w:tcPr>
          <w:p>
            <w:pPr>
              <w:ind w:left="20"/>
              <w:spacing w:after="0"/>
              <w:rPr>
                <w:rFonts w:ascii="Arial" w:cs="Arial" w:eastAsia="Arial" w:hAnsi="Arial"/>
                <w:sz w:val="18"/>
                <w:szCs w:val="18"/>
                <w:color w:val="auto"/>
              </w:rPr>
            </w:pPr>
            <w:hyperlink w:anchor="page18">
              <w:r>
                <w:rPr>
                  <w:rFonts w:ascii="Arial" w:cs="Arial" w:eastAsia="Arial" w:hAnsi="Arial"/>
                  <w:sz w:val="18"/>
                  <w:szCs w:val="18"/>
                  <w:color w:val="auto"/>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0">
              <w:r>
                <w:rPr>
                  <w:rFonts w:ascii="Arial" w:cs="Arial" w:eastAsia="Arial" w:hAnsi="Arial"/>
                  <w:sz w:val="18"/>
                  <w:szCs w:val="18"/>
                  <w:color w:val="auto"/>
                  <w:w w:val="99"/>
                </w:rPr>
                <w:t>3)</w:t>
              </w:r>
            </w:hyperlink>
          </w:p>
        </w:tc>
        <w:tc>
          <w:tcPr>
            <w:tcW w:w="990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Quantitative and Qualitative Disclosures about Market Risk</w:t>
              </w:r>
            </w:hyperlink>
          </w:p>
        </w:tc>
        <w:tc>
          <w:tcPr>
            <w:tcW w:w="7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0">
              <w:r>
                <w:rPr>
                  <w:rFonts w:ascii="Arial" w:cs="Arial" w:eastAsia="Arial" w:hAnsi="Arial"/>
                  <w:sz w:val="18"/>
                  <w:szCs w:val="18"/>
                  <w:color w:val="auto"/>
                  <w:w w:val="99"/>
                </w:rPr>
                <w:t>4)</w:t>
              </w:r>
            </w:hyperlink>
          </w:p>
        </w:tc>
        <w:tc>
          <w:tcPr>
            <w:tcW w:w="990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Controls and Procedures</w:t>
              </w:r>
            </w:hyperlink>
          </w:p>
        </w:tc>
        <w:tc>
          <w:tcPr>
            <w:tcW w:w="7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594"/>
        </w:trPr>
        <w:tc>
          <w:tcPr>
            <w:tcW w:w="10420" w:type="dxa"/>
            <w:vAlign w:val="bottom"/>
            <w:gridSpan w:val="3"/>
          </w:tcPr>
          <w:p>
            <w:pPr>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PART II. OTHER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0">
              <w:r>
                <w:rPr>
                  <w:rFonts w:ascii="Arial" w:cs="Arial" w:eastAsia="Arial" w:hAnsi="Arial"/>
                  <w:sz w:val="18"/>
                  <w:szCs w:val="18"/>
                  <w:color w:val="auto"/>
                  <w:w w:val="99"/>
                </w:rPr>
                <w:t>1)</w:t>
              </w:r>
            </w:hyperlink>
          </w:p>
        </w:tc>
        <w:tc>
          <w:tcPr>
            <w:tcW w:w="990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Legal Proceedings</w:t>
              </w:r>
            </w:hyperlink>
          </w:p>
        </w:tc>
        <w:tc>
          <w:tcPr>
            <w:tcW w:w="7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140" w:type="dxa"/>
            <w:vAlign w:val="bottom"/>
            <w:gridSpan w:val="2"/>
          </w:tcPr>
          <w:p>
            <w:pPr>
              <w:ind w:left="60"/>
              <w:spacing w:after="0"/>
              <w:rPr>
                <w:rFonts w:ascii="Arial" w:cs="Arial" w:eastAsia="Arial" w:hAnsi="Arial"/>
                <w:sz w:val="18"/>
                <w:szCs w:val="18"/>
                <w:color w:val="auto"/>
              </w:rPr>
            </w:pPr>
            <w:hyperlink w:anchor="page31">
              <w:r>
                <w:rPr>
                  <w:rFonts w:ascii="Arial" w:cs="Arial" w:eastAsia="Arial" w:hAnsi="Arial"/>
                  <w:sz w:val="18"/>
                  <w:szCs w:val="18"/>
                  <w:color w:val="auto"/>
                </w:rPr>
                <w:t>1A) Risk Factors</w:t>
              </w:r>
            </w:hyperlink>
          </w:p>
        </w:tc>
        <w:tc>
          <w:tcPr>
            <w:tcW w:w="78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1">
              <w:r>
                <w:rPr>
                  <w:rFonts w:ascii="Arial" w:cs="Arial" w:eastAsia="Arial" w:hAnsi="Arial"/>
                  <w:sz w:val="18"/>
                  <w:szCs w:val="18"/>
                  <w:color w:val="auto"/>
                  <w:w w:val="99"/>
                </w:rPr>
                <w:t>6)</w:t>
              </w:r>
            </w:hyperlink>
          </w:p>
        </w:tc>
        <w:tc>
          <w:tcPr>
            <w:tcW w:w="9900" w:type="dxa"/>
            <w:vAlign w:val="bottom"/>
          </w:tcPr>
          <w:p>
            <w:pPr>
              <w:ind w:left="20"/>
              <w:spacing w:after="0"/>
              <w:rPr>
                <w:rFonts w:ascii="Arial" w:cs="Arial" w:eastAsia="Arial" w:hAnsi="Arial"/>
                <w:sz w:val="18"/>
                <w:szCs w:val="18"/>
                <w:color w:val="auto"/>
              </w:rPr>
            </w:pPr>
            <w:hyperlink w:anchor="page31">
              <w:r>
                <w:rPr>
                  <w:rFonts w:ascii="Arial" w:cs="Arial" w:eastAsia="Arial" w:hAnsi="Arial"/>
                  <w:sz w:val="18"/>
                  <w:szCs w:val="18"/>
                  <w:color w:val="auto"/>
                </w:rPr>
                <w:t>Exhibits</w:t>
              </w:r>
            </w:hyperlink>
          </w:p>
        </w:tc>
        <w:tc>
          <w:tcPr>
            <w:tcW w:w="78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bl>
    <w:p>
      <w:pPr>
        <w:sectPr>
          <w:pgSz w:w="11900" w:h="16838" w:orient="portrait"/>
          <w:cols w:equalWidth="0" w:num="1">
            <w:col w:w="11200"/>
          </w:cols>
          <w:pgMar w:left="360" w:top="337" w:right="3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85"/>
        </w:trPr>
        <w:tc>
          <w:tcPr>
            <w:tcW w:w="8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0"/>
              </w:rPr>
              <w:t>(in thousands of dollars, except unit amounts)</w:t>
            </w:r>
          </w:p>
        </w:tc>
        <w:tc>
          <w:tcPr>
            <w:tcW w:w="0" w:type="dxa"/>
            <w:vAlign w:val="bottom"/>
          </w:tcPr>
          <w:p>
            <w:pPr>
              <w:spacing w:after="0"/>
              <w:rPr>
                <w:sz w:val="1"/>
                <w:szCs w:val="1"/>
                <w:color w:val="auto"/>
              </w:rPr>
            </w:pPr>
          </w:p>
        </w:tc>
      </w:tr>
      <w:tr>
        <w:trPr>
          <w:trHeight w:val="256"/>
        </w:trPr>
        <w:tc>
          <w:tcPr>
            <w:tcW w:w="822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4"/>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19,923</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w w:val="92"/>
              </w:rPr>
              <w:t>Receivable under the Investment Management Agreement—Westlake Chemical Corporation ("Westlake")</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171,391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162,773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net—Westlake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42,847</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Accounts receivable, net—third parties</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9,914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238,411</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1,077,499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1,102,995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Deferred charges and other assets, net</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39,750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46,236</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1,369,027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1,393,456</w:t>
            </w:r>
          </w:p>
        </w:tc>
        <w:tc>
          <w:tcPr>
            <w:tcW w:w="0" w:type="dxa"/>
            <w:vAlign w:val="bottom"/>
          </w:tcPr>
          <w:p>
            <w:pPr>
              <w:spacing w:after="0"/>
              <w:rPr>
                <w:sz w:val="1"/>
                <w:szCs w:val="1"/>
                <w:color w:val="auto"/>
              </w:rPr>
            </w:pPr>
          </w:p>
        </w:tc>
      </w:tr>
      <w:tr>
        <w:trPr>
          <w:trHeight w:val="20"/>
        </w:trPr>
        <w:tc>
          <w:tcPr>
            <w:tcW w:w="82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Accounts payable—Westlake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15,201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payable—third parties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6,141</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Accrued and other liabilities</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16,807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17,507</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38,849</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Long-term debt payable to Westlake</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399,674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441,321</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rPr>
              <w:t>EQUITY</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40"/>
              <w:spacing w:after="0"/>
              <w:rPr>
                <w:sz w:val="20"/>
                <w:szCs w:val="20"/>
                <w:color w:val="auto"/>
              </w:rPr>
            </w:pPr>
            <w:r>
              <w:rPr>
                <w:rFonts w:ascii="Arial" w:cs="Arial" w:eastAsia="Arial" w:hAnsi="Arial"/>
                <w:sz w:val="18"/>
                <w:szCs w:val="18"/>
                <w:color w:val="auto"/>
              </w:rPr>
              <w:t>Common unitholders—publicly and privately held (21,072,315 and 21,072,315 units issued</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0"/>
              <w:spacing w:after="0"/>
              <w:rPr>
                <w:sz w:val="20"/>
                <w:szCs w:val="20"/>
                <w:color w:val="auto"/>
              </w:rPr>
            </w:pPr>
            <w:r>
              <w:rPr>
                <w:rFonts w:ascii="Arial" w:cs="Arial" w:eastAsia="Arial" w:hAnsi="Arial"/>
                <w:sz w:val="18"/>
                <w:szCs w:val="18"/>
                <w:color w:val="auto"/>
              </w:rPr>
              <w:t>and outstanding at June 30, 2020 and December 31, 2019, respectively)</w:t>
            </w:r>
          </w:p>
        </w:tc>
        <w:tc>
          <w:tcPr>
            <w:tcW w:w="12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471,392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471,736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unitholder—Westlake (14,122,230 and 14,122,230 units issued and outstanding at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June 30, 2020 and December 31, 2019,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48,350</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General partner—Westlake</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(242,572)</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276,940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277,514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658,913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674,621</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935,853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952,135</w:t>
            </w:r>
          </w:p>
        </w:tc>
        <w:tc>
          <w:tcPr>
            <w:tcW w:w="0" w:type="dxa"/>
            <w:vAlign w:val="bottom"/>
          </w:tcPr>
          <w:p>
            <w:pPr>
              <w:spacing w:after="0"/>
              <w:rPr>
                <w:sz w:val="1"/>
                <w:szCs w:val="1"/>
                <w:color w:val="auto"/>
              </w:rPr>
            </w:pPr>
          </w:p>
        </w:tc>
      </w:tr>
      <w:tr>
        <w:trPr>
          <w:trHeight w:val="257"/>
        </w:trPr>
        <w:tc>
          <w:tcPr>
            <w:tcW w:w="82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1,369,027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1,393,456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5080" w:type="dxa"/>
        <w:tblCellMar>
          <w:top w:w="0" w:type="dxa"/>
          <w:left w:w="0" w:type="dxa"/>
          <w:bottom w:w="0" w:type="dxa"/>
          <w:right w:w="0" w:type="dxa"/>
        </w:tblCellMar>
      </w:tblPr>
      <w:tr>
        <w:trPr>
          <w:trHeight w:val="192"/>
        </w:trPr>
        <w:tc>
          <w:tcPr>
            <w:tcW w:w="3140" w:type="dxa"/>
            <w:vAlign w:val="bottom"/>
            <w:gridSpan w:val="4"/>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302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14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bl>
    <w:p>
      <w:pPr>
        <w:spacing w:after="0" w:line="193"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(in thousands of dollars, except unit amounts and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227,431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230,047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442,259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487,087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 parties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82,061</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238,500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270,062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489,049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569,148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178,104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295,471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386,536</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90,030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91,958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193,578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182,612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14,612</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83,891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84,319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181,243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168,000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(11,025)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80,347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174,570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158,943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80,377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80,110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174,147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158,506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Less: Net income attributable to noncontrolling interest in OpCo</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141,540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129,818</w:t>
            </w:r>
          </w:p>
        </w:tc>
        <w:tc>
          <w:tcPr>
            <w:tcW w:w="0" w:type="dxa"/>
            <w:vAlign w:val="bottom"/>
          </w:tcPr>
          <w:p>
            <w:pPr>
              <w:spacing w:after="0"/>
              <w:rPr>
                <w:sz w:val="1"/>
                <w:szCs w:val="1"/>
                <w:color w:val="auto"/>
              </w:rPr>
            </w:pPr>
          </w:p>
        </w:tc>
      </w:tr>
      <w:tr>
        <w:trPr>
          <w:trHeight w:val="205"/>
        </w:trPr>
        <w:tc>
          <w:tcPr>
            <w:tcW w:w="50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4"/>
              </w:rPr>
              <w:t>Net income attributable to Westlake Chemical Partners LP and</w:t>
            </w: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14,860</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13,733</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32,607</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28,688</w:t>
            </w:r>
          </w:p>
        </w:tc>
        <w:tc>
          <w:tcPr>
            <w:tcW w:w="0" w:type="dxa"/>
            <w:vAlign w:val="bottom"/>
          </w:tcPr>
          <w:p>
            <w:pPr>
              <w:spacing w:after="0"/>
              <w:rPr>
                <w:sz w:val="1"/>
                <w:szCs w:val="1"/>
                <w:color w:val="auto"/>
              </w:rPr>
            </w:pPr>
          </w:p>
        </w:tc>
      </w:tr>
      <w:tr>
        <w:trPr>
          <w:trHeight w:val="281"/>
        </w:trPr>
        <w:tc>
          <w:tcPr>
            <w:tcW w:w="5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limited partners' interest in net income</w:t>
            </w:r>
          </w:p>
        </w:tc>
        <w:tc>
          <w:tcPr>
            <w:tcW w:w="3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80" w:type="dxa"/>
            <w:vAlign w:val="bottom"/>
            <w:shd w:val="clear" w:color="auto" w:fill="CCEEFF"/>
          </w:tcPr>
          <w:p>
            <w:pPr>
              <w:ind w:left="40"/>
              <w:spacing w:after="0" w:line="185" w:lineRule="exact"/>
              <w:rPr>
                <w:sz w:val="20"/>
                <w:szCs w:val="20"/>
                <w:color w:val="auto"/>
              </w:rPr>
            </w:pPr>
            <w:r>
              <w:rPr>
                <w:rFonts w:ascii="Arial" w:cs="Arial" w:eastAsia="Arial" w:hAnsi="Arial"/>
                <w:sz w:val="18"/>
                <w:szCs w:val="18"/>
                <w:b w:val="1"/>
                <w:bCs w:val="1"/>
                <w:color w:val="auto"/>
                <w:w w:val="99"/>
              </w:rPr>
              <w:t>Net income per limited partner unit attributable to Westlake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Chemical Partners LP per limited partner unit (basic and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3"/>
              </w:rPr>
              <w:t>Weighted average limited partner units outstanding (basic and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Common units—publicly and privately held</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21,072,315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21,065,959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21,072,315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19,652,417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units—Westlake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14,122,230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14,122,230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14,122,230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14,122,230</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i w:val="1"/>
                <w:iCs w:val="1"/>
                <w:color w:val="auto"/>
              </w:rPr>
              <w:t>Partnership</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General</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Unitholders</w:t>
            </w:r>
            <w:r>
              <w:rPr>
                <w:rFonts w:ascii="Arial" w:cs="Arial" w:eastAsia="Arial" w:hAnsi="Arial"/>
                <w:sz w:val="14"/>
                <w:szCs w:val="14"/>
                <w:color w:val="auto"/>
                <w:w w:val="93"/>
              </w:rPr>
              <w:t>—</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Public and</w:t>
            </w:r>
          </w:p>
        </w:tc>
        <w:tc>
          <w:tcPr>
            <w:tcW w:w="11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Unitholder</w:t>
            </w: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Partner</w:t>
            </w:r>
            <w:r>
              <w:rPr>
                <w:rFonts w:ascii="Arial" w:cs="Arial" w:eastAsia="Arial" w:hAnsi="Arial"/>
                <w:sz w:val="14"/>
                <w:szCs w:val="14"/>
                <w:color w:val="auto"/>
                <w:w w:val="98"/>
              </w:rPr>
              <w:t>—</w:t>
            </w:r>
          </w:p>
        </w:tc>
        <w:tc>
          <w:tcPr>
            <w:tcW w:w="18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Privately Held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OpCo</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4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6"/>
          </w:tcPr>
          <w:p>
            <w:pPr>
              <w:ind w:left="660"/>
              <w:spacing w:after="0"/>
              <w:rPr>
                <w:sz w:val="20"/>
                <w:szCs w:val="20"/>
                <w:color w:val="auto"/>
              </w:rPr>
            </w:pPr>
            <w:r>
              <w:rPr>
                <w:rFonts w:ascii="Arial" w:cs="Arial" w:eastAsia="Arial" w:hAnsi="Arial"/>
                <w:sz w:val="14"/>
                <w:szCs w:val="14"/>
                <w:b w:val="1"/>
                <w:bCs w:val="1"/>
                <w:color w:val="auto"/>
                <w:w w:val="95"/>
              </w:rPr>
              <w:t>(in thousands of dollars)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Balance at December 31, 2019</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471,736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48,350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(242,572)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674,621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952,135</w:t>
            </w:r>
          </w:p>
        </w:tc>
        <w:tc>
          <w:tcPr>
            <w:tcW w:w="0" w:type="dxa"/>
            <w:vAlign w:val="bottom"/>
          </w:tcPr>
          <w:p>
            <w:pPr>
              <w:spacing w:after="0"/>
              <w:rPr>
                <w:sz w:val="1"/>
                <w:szCs w:val="1"/>
                <w:color w:val="auto"/>
              </w:rPr>
            </w:pPr>
          </w:p>
        </w:tc>
      </w:tr>
      <w:tr>
        <w:trPr>
          <w:trHeight w:val="297"/>
        </w:trPr>
        <w:tc>
          <w:tcPr>
            <w:tcW w:w="4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93,770</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Quarterly distribution to unitholders</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(16,591)</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shd w:val="clear" w:color="auto" w:fill="CCEEFF"/>
              </w:rPr>
              <w:t>Quarterly distribution to noncontrolling interest retained in OpCo by</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Westlake</w:t>
            </w:r>
          </w:p>
        </w:tc>
        <w:tc>
          <w:tcPr>
            <w:tcW w:w="7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(79,223)</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2020</w:t>
            </w:r>
          </w:p>
        </w:tc>
        <w:tc>
          <w:tcPr>
            <w:tcW w:w="7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472,428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48,814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(242,572)</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671,421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950,091</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8,897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5,963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65,517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80,377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 to unitholders</w:t>
            </w: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(16,590)</w:t>
            </w:r>
          </w:p>
        </w:tc>
        <w:tc>
          <w:tcPr>
            <w:tcW w:w="0" w:type="dxa"/>
            <w:vAlign w:val="bottom"/>
          </w:tcPr>
          <w:p>
            <w:pPr>
              <w:spacing w:after="0"/>
              <w:rPr>
                <w:sz w:val="1"/>
                <w:szCs w:val="1"/>
                <w:color w:val="auto"/>
              </w:rPr>
            </w:pPr>
          </w:p>
        </w:tc>
      </w:tr>
      <w:tr>
        <w:trPr>
          <w:trHeight w:val="229"/>
        </w:trPr>
        <w:tc>
          <w:tcPr>
            <w:tcW w:w="4980" w:type="dxa"/>
            <w:vAlign w:val="bottom"/>
          </w:tcPr>
          <w:p>
            <w:pPr>
              <w:ind w:left="40"/>
              <w:spacing w:after="0"/>
              <w:rPr>
                <w:sz w:val="20"/>
                <w:szCs w:val="20"/>
                <w:color w:val="auto"/>
              </w:rPr>
            </w:pPr>
            <w:r>
              <w:rPr>
                <w:rFonts w:ascii="Arial" w:cs="Arial" w:eastAsia="Arial" w:hAnsi="Arial"/>
                <w:sz w:val="18"/>
                <w:szCs w:val="18"/>
                <w:color w:val="auto"/>
                <w:w w:val="92"/>
              </w:rPr>
              <w:t>Quarterly distribution to noncontrolling interest retained in OpCo by</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40"/>
              <w:spacing w:after="0"/>
              <w:rPr>
                <w:sz w:val="20"/>
                <w:szCs w:val="20"/>
                <w:color w:val="auto"/>
              </w:rPr>
            </w:pPr>
            <w:r>
              <w:rPr>
                <w:rFonts w:ascii="Arial" w:cs="Arial" w:eastAsia="Arial" w:hAnsi="Arial"/>
                <w:sz w:val="18"/>
                <w:szCs w:val="18"/>
                <w:color w:val="auto"/>
              </w:rPr>
              <w:t>Westlake</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(78,025)</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471,392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48,120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(242,572)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658,913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935,853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98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i w:val="1"/>
                <w:iCs w:val="1"/>
                <w:color w:val="auto"/>
              </w:rPr>
              <w:t>Partnership</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General</w:t>
            </w: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Unitholders—</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Public and</w:t>
            </w:r>
          </w:p>
        </w:tc>
        <w:tc>
          <w:tcPr>
            <w:tcW w:w="11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Unitholder—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Partner—</w:t>
            </w:r>
          </w:p>
        </w:tc>
        <w:tc>
          <w:tcPr>
            <w:tcW w:w="18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Privately Held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OpCo</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6"/>
          </w:tcPr>
          <w:p>
            <w:pPr>
              <w:ind w:left="660"/>
              <w:spacing w:after="0"/>
              <w:rPr>
                <w:sz w:val="20"/>
                <w:szCs w:val="20"/>
                <w:color w:val="auto"/>
              </w:rPr>
            </w:pPr>
            <w:r>
              <w:rPr>
                <w:rFonts w:ascii="Arial" w:cs="Arial" w:eastAsia="Arial" w:hAnsi="Arial"/>
                <w:sz w:val="14"/>
                <w:szCs w:val="14"/>
                <w:b w:val="1"/>
                <w:bCs w:val="1"/>
                <w:color w:val="auto"/>
                <w:w w:val="95"/>
              </w:rPr>
              <w:t>(in thousands of dollars)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Balance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409,608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48,774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(242,572)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718,271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934,081</w:t>
            </w:r>
          </w:p>
        </w:tc>
        <w:tc>
          <w:tcPr>
            <w:tcW w:w="0" w:type="dxa"/>
            <w:vAlign w:val="bottom"/>
          </w:tcPr>
          <w:p>
            <w:pPr>
              <w:spacing w:after="0"/>
              <w:rPr>
                <w:sz w:val="1"/>
                <w:szCs w:val="1"/>
                <w:color w:val="auto"/>
              </w:rPr>
            </w:pPr>
          </w:p>
        </w:tc>
      </w:tr>
      <w:tr>
        <w:trPr>
          <w:trHeight w:val="297"/>
        </w:trPr>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78,396</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Net proceeds from private placement of common units</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62,934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62,934</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Quarterly distribution to unitholders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(13,957)</w:t>
            </w:r>
          </w:p>
        </w:tc>
        <w:tc>
          <w:tcPr>
            <w:tcW w:w="0" w:type="dxa"/>
            <w:vAlign w:val="bottom"/>
          </w:tcPr>
          <w:p>
            <w:pPr>
              <w:spacing w:after="0"/>
              <w:rPr>
                <w:sz w:val="1"/>
                <w:szCs w:val="1"/>
                <w:color w:val="auto"/>
              </w:rPr>
            </w:pPr>
          </w:p>
        </w:tc>
      </w:tr>
      <w:tr>
        <w:trPr>
          <w:trHeight w:val="229"/>
        </w:trPr>
        <w:tc>
          <w:tcPr>
            <w:tcW w:w="5740" w:type="dxa"/>
            <w:vAlign w:val="bottom"/>
          </w:tcPr>
          <w:p>
            <w:pPr>
              <w:ind w:left="40"/>
              <w:spacing w:after="0"/>
              <w:rPr>
                <w:sz w:val="20"/>
                <w:szCs w:val="20"/>
                <w:color w:val="auto"/>
              </w:rPr>
            </w:pPr>
            <w:r>
              <w:rPr>
                <w:rFonts w:ascii="Arial" w:cs="Arial" w:eastAsia="Arial" w:hAnsi="Arial"/>
                <w:sz w:val="18"/>
                <w:szCs w:val="18"/>
                <w:color w:val="auto"/>
              </w:rPr>
              <w:t>Quarterly distribution to noncontrolling interest retained in OpCo by</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0"/>
              <w:spacing w:after="0"/>
              <w:rPr>
                <w:sz w:val="20"/>
                <w:szCs w:val="20"/>
                <w:color w:val="auto"/>
              </w:rPr>
            </w:pPr>
            <w:r>
              <w:rPr>
                <w:rFonts w:ascii="Arial" w:cs="Arial" w:eastAsia="Arial" w:hAnsi="Arial"/>
                <w:sz w:val="18"/>
                <w:szCs w:val="18"/>
                <w:color w:val="auto"/>
              </w:rPr>
              <w:t>Westlake</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(81,507)</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473,119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49,195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700,205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979,947</w:t>
            </w:r>
          </w:p>
        </w:tc>
        <w:tc>
          <w:tcPr>
            <w:tcW w:w="0" w:type="dxa"/>
            <w:vAlign w:val="bottom"/>
          </w:tcPr>
          <w:p>
            <w:pPr>
              <w:spacing w:after="0"/>
              <w:rPr>
                <w:sz w:val="1"/>
                <w:szCs w:val="1"/>
                <w:color w:val="auto"/>
              </w:rPr>
            </w:pPr>
          </w:p>
        </w:tc>
      </w:tr>
      <w:tr>
        <w:trPr>
          <w:trHeight w:val="297"/>
        </w:trPr>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66,377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80,110</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Offering costs related to private placement of common units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Quarterly distributions to unitholders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(15,666)</w:t>
            </w:r>
          </w:p>
        </w:tc>
        <w:tc>
          <w:tcPr>
            <w:tcW w:w="0" w:type="dxa"/>
            <w:vAlign w:val="bottom"/>
          </w:tcPr>
          <w:p>
            <w:pPr>
              <w:spacing w:after="0"/>
              <w:rPr>
                <w:sz w:val="1"/>
                <w:szCs w:val="1"/>
                <w:color w:val="auto"/>
              </w:rPr>
            </w:pPr>
          </w:p>
        </w:tc>
      </w:tr>
      <w:tr>
        <w:trPr>
          <w:trHeight w:val="229"/>
        </w:trPr>
        <w:tc>
          <w:tcPr>
            <w:tcW w:w="5740" w:type="dxa"/>
            <w:vAlign w:val="bottom"/>
          </w:tcPr>
          <w:p>
            <w:pPr>
              <w:ind w:left="40"/>
              <w:spacing w:after="0"/>
              <w:rPr>
                <w:sz w:val="20"/>
                <w:szCs w:val="20"/>
                <w:color w:val="auto"/>
              </w:rPr>
            </w:pPr>
            <w:r>
              <w:rPr>
                <w:rFonts w:ascii="Arial" w:cs="Arial" w:eastAsia="Arial" w:hAnsi="Arial"/>
                <w:sz w:val="18"/>
                <w:szCs w:val="18"/>
                <w:color w:val="auto"/>
              </w:rPr>
              <w:t>Quarterly distribution to noncontrolling interest retained in OpCo by</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0"/>
              <w:spacing w:after="0"/>
              <w:rPr>
                <w:sz w:val="20"/>
                <w:szCs w:val="20"/>
                <w:color w:val="auto"/>
              </w:rPr>
            </w:pPr>
            <w:r>
              <w:rPr>
                <w:rFonts w:ascii="Arial" w:cs="Arial" w:eastAsia="Arial" w:hAnsi="Arial"/>
                <w:sz w:val="18"/>
                <w:szCs w:val="18"/>
                <w:color w:val="auto"/>
              </w:rPr>
              <w:t>Westlake</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(72,259)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(72,259)</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Balance at June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471,944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48,419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(242,572)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694,323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972,114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385"/>
        </w:trPr>
        <w:tc>
          <w:tcPr>
            <w:tcW w:w="8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174,147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158,506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51,844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53,701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disposition of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Other gains,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2,791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2,096</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223,719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213,672</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(25,582)</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Maturities of investments with Westlake under the Investment Management Agreement</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344,445</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(336,445)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(17,536)</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private placement of common units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62,916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Proceeds from debt payable to Westlake</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123,511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 payable to Westlake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(201,445)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(157,248)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(153,766)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unitholders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(29,623)</w:t>
            </w:r>
          </w:p>
        </w:tc>
      </w:tr>
      <w:tr>
        <w:trPr>
          <w:trHeight w:val="237"/>
        </w:trPr>
        <w:tc>
          <w:tcPr>
            <w:tcW w:w="8220" w:type="dxa"/>
            <w:vAlign w:val="bottom"/>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(190,429)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(198,407)</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19,923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19,744</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23,618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17,473</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72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3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 common carrier ethylene pipeline.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Chemical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20" w:firstLine="391"/>
        <w:spacing w:after="0" w:line="291" w:lineRule="auto"/>
        <w:rPr>
          <w:sz w:val="20"/>
          <w:szCs w:val="20"/>
          <w:color w:val="auto"/>
        </w:rPr>
      </w:pPr>
      <w:r>
        <w:rPr>
          <w:rFonts w:ascii="Arial" w:cs="Arial" w:eastAsia="Arial" w:hAnsi="Arial"/>
          <w:sz w:val="16"/>
          <w:szCs w:val="16"/>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2019 (the "2019 Form 10-K"), filed with the SEC on February 28, 2020. These financial statements have been prepared in conformity with the accounting principles and practices as disclosed in the notes to the consolidated financial statements of the Partnership for the fiscal year ended December 31, 2019 with the exceptions of those accounting standards adopted in 2020 as discussed in Note 1.</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References to "Westlake" refer collectively to Westlake Chemical Corporation and its subsidiaries, other than the Partnership, OpCo and OpCo GP.</w:t>
      </w:r>
    </w:p>
    <w:p>
      <w:pPr>
        <w:spacing w:after="0" w:line="194" w:lineRule="exact"/>
        <w:rPr>
          <w:sz w:val="20"/>
          <w:szCs w:val="20"/>
          <w:color w:val="auto"/>
        </w:rPr>
      </w:pPr>
    </w:p>
    <w:p>
      <w:pPr>
        <w:ind w:firstLine="391"/>
        <w:spacing w:after="0" w:line="271" w:lineRule="auto"/>
        <w:rPr>
          <w:sz w:val="20"/>
          <w:szCs w:val="20"/>
          <w:color w:val="auto"/>
        </w:rPr>
      </w:pPr>
      <w:r>
        <w:rPr>
          <w:rFonts w:ascii="Arial" w:cs="Arial" w:eastAsia="Arial" w:hAnsi="Arial"/>
          <w:sz w:val="17"/>
          <w:szCs w:val="17"/>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12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June 30, 2020, its results of operations for the three and six months ended June 30, 2020 and 2019 and the changes in its cash position for the six months ended June 30, 2020 and 2019.</w:t>
      </w:r>
    </w:p>
    <w:p>
      <w:pPr>
        <w:spacing w:after="0" w:line="13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2020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7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212529"/>
        </w:rPr>
        <w:t xml:space="preserve">On March 11, 2020, the World Health Organization declared the ongoing coronavirus (COVID-19) outbreak a pandemic and recommended containment and mitigation measures worldwide. The pandemic has resulted in widespread adverse impacts on the global economy and on our employees, customers and suppliers. </w:t>
      </w:r>
      <w:r>
        <w:rPr>
          <w:rFonts w:ascii="Arial" w:cs="Arial" w:eastAsia="Arial" w:hAnsi="Arial"/>
          <w:sz w:val="17"/>
          <w:szCs w:val="17"/>
          <w:color w:val="000000"/>
        </w:rPr>
        <w:t>Though the Partnership did not experience significant disruptions to its business operations in the six months ended June 30, 2020</w:t>
      </w:r>
      <w:r>
        <w:rPr>
          <w:rFonts w:ascii="Arial" w:cs="Arial" w:eastAsia="Arial" w:hAnsi="Arial"/>
          <w:sz w:val="17"/>
          <w:szCs w:val="17"/>
          <w:color w:val="212529"/>
        </w:rPr>
        <w:t xml:space="preserve"> </w:t>
      </w:r>
      <w:r>
        <w:rPr>
          <w:rFonts w:ascii="Arial" w:cs="Arial" w:eastAsia="Arial" w:hAnsi="Arial"/>
          <w:sz w:val="17"/>
          <w:szCs w:val="17"/>
          <w:color w:val="000000"/>
        </w:rPr>
        <w:t>and does not expect significant disruptions to its business operations resulting from COVID-19, the impact that COVID-19 will have on the Partnership's financial condition, results of operations and cash flows will depend on future developments, including, among others, the ultimate duration, geographic spread and severity of the virus, the actions to contain the virus, the consequences of governmental and other measures designed to prevent the spread of the virus, the development of effective treatments, the impact on the operation of OpCo facilities, Westlake, customers, suppliers and other third parties and the timing and extent to which normal economic and operating conditions resume.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 (ASU No. 2020-04)</w:t>
      </w:r>
    </w:p>
    <w:p>
      <w:pPr>
        <w:spacing w:after="0" w:line="90" w:lineRule="exact"/>
        <w:rPr>
          <w:sz w:val="20"/>
          <w:szCs w:val="20"/>
          <w:color w:val="auto"/>
        </w:rPr>
      </w:pPr>
    </w:p>
    <w:p>
      <w:pPr>
        <w:ind w:right="260" w:firstLine="405"/>
        <w:spacing w:after="0" w:line="301" w:lineRule="auto"/>
        <w:rPr>
          <w:sz w:val="20"/>
          <w:szCs w:val="20"/>
          <w:color w:val="auto"/>
        </w:rPr>
      </w:pPr>
      <w:r>
        <w:rPr>
          <w:rFonts w:ascii="Arial" w:cs="Arial" w:eastAsia="Arial" w:hAnsi="Arial"/>
          <w:sz w:val="16"/>
          <w:szCs w:val="16"/>
          <w:color w:val="auto"/>
        </w:rPr>
        <w:t>In March 2020, the FASB issued an accounting standards update to provide optional expedients and exceptions for applying generally accepted accounting principles to contracts, hedging relationships and other transactions affected by reference rate reform if certain criteria are met. The amendments in this update are effective for all entities as of March 12, 2020 through December 31, 2022. The Partnership is in the process of evaluating the impact that the new accounting guidance will have on the Partnership's consolidated financial position,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June 2016, the FASB issued an accounting standards update providing new guidance for the accounting for credit losses on loans and other financial instruments. The new guidance introduces an approach based on expected losses to estimate credit losses on trade receivables and certain types of financial instruments. The standard also modifies the impairment model for available-for-sale debt securities and provides for a simplified accounting model for purchased financial assets with credit deterioration since their origination. The accounting standard became effective for reporting periods beginning after December 15, 2019 and did not have a material impact on the Partnership's consolidated financial position, results of operations and cash flows.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(ASU No. 2018-13)</w:t>
      </w:r>
    </w:p>
    <w:p>
      <w:pPr>
        <w:spacing w:after="0" w:line="90" w:lineRule="exact"/>
        <w:rPr>
          <w:sz w:val="20"/>
          <w:szCs w:val="20"/>
          <w:color w:val="auto"/>
        </w:rPr>
      </w:pPr>
    </w:p>
    <w:p>
      <w:pPr>
        <w:ind w:right="200" w:firstLine="432"/>
        <w:spacing w:after="0" w:line="275" w:lineRule="auto"/>
        <w:rPr>
          <w:sz w:val="20"/>
          <w:szCs w:val="20"/>
          <w:color w:val="auto"/>
        </w:rPr>
      </w:pPr>
      <w:r>
        <w:rPr>
          <w:rFonts w:ascii="Arial" w:cs="Arial" w:eastAsia="Arial" w:hAnsi="Arial"/>
          <w:sz w:val="17"/>
          <w:szCs w:val="17"/>
          <w:color w:val="auto"/>
        </w:rPr>
        <w:t>In August 2018, the FASB issued an accounting standards update to modify the disclosure requirements on fair value measurements. The amendments became effective for reporting periods beginning after December 15, 2019. An entity is permitted to early adopt any removed or modified disclosures and delay adoption of the additional disclosures until the effective date. Most amendments should be applied retrospectively but certain amendments should be applied prospectively. The Partnership adopted this accounting standard effective January 1, 2020 and the adoption did not have a material impact on the Partnership's consolidated financial position, results of operations and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4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9,730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Allowance for credit losses</w:t>
            </w:r>
          </w:p>
        </w:tc>
        <w:tc>
          <w:tcPr>
            <w:tcW w:w="4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9,254</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4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4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7,007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9,914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22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2,154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2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330</w:t>
            </w:r>
          </w:p>
        </w:tc>
      </w:tr>
      <w:tr>
        <w:trPr>
          <w:trHeight w:val="27"/>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2,484</w:t>
            </w: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94" w:lineRule="exact"/>
        <w:rPr>
          <w:sz w:val="20"/>
          <w:szCs w:val="20"/>
          <w:color w:val="auto"/>
        </w:rPr>
      </w:pPr>
    </w:p>
    <w:p>
      <w:pPr>
        <w:ind w:right="600" w:firstLine="432"/>
        <w:spacing w:after="0" w:line="311" w:lineRule="auto"/>
        <w:rPr>
          <w:sz w:val="20"/>
          <w:szCs w:val="20"/>
          <w:color w:val="auto"/>
        </w:rPr>
      </w:pPr>
      <w:r>
        <w:rPr>
          <w:rFonts w:ascii="Arial" w:cs="Arial" w:eastAsia="Arial" w:hAnsi="Arial"/>
          <w:sz w:val="16"/>
          <w:szCs w:val="16"/>
          <w:color w:val="auto"/>
        </w:rPr>
        <w:t>Depreciation expense on property, plant and equipment of $22,714 and $22,227 is included in cost of sales in the consolidated statements of operations for the three months ended June 30, 2020 and 2019, respectively. Depreciation expense on property, plant and equipment of $45,467 and $44,441 is included in cost of sales in the consolidated statements of operations for the six months ended June 30, 2020 and 2019,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Charges and Other Assets</w:t>
      </w:r>
    </w:p>
    <w:p>
      <w:pPr>
        <w:spacing w:after="0" w:line="94" w:lineRule="exact"/>
        <w:rPr>
          <w:sz w:val="20"/>
          <w:szCs w:val="20"/>
          <w:color w:val="auto"/>
        </w:rPr>
      </w:pPr>
    </w:p>
    <w:p>
      <w:pPr>
        <w:ind w:right="400" w:firstLine="432"/>
        <w:spacing w:after="0" w:line="286" w:lineRule="auto"/>
        <w:rPr>
          <w:sz w:val="20"/>
          <w:szCs w:val="20"/>
          <w:color w:val="auto"/>
        </w:rPr>
      </w:pPr>
      <w:r>
        <w:rPr>
          <w:rFonts w:ascii="Arial" w:cs="Arial" w:eastAsia="Arial" w:hAnsi="Arial"/>
          <w:sz w:val="17"/>
          <w:szCs w:val="17"/>
          <w:color w:val="auto"/>
        </w:rPr>
        <w:t>Amortization expense on other assets of $3,099 and $4,630 is included in costs of sales in the consolidated statements of operations for the three months ended June 30, 2020 and 2019, respectively. Amortization expense on other assets of $6,377 and $9,260 is included in costs of sales in the consolidated statements of operations for the six months ended June 30, 2020 and 2019,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Distributions and Net Income Per Limited Partner Unit</w:t>
      </w:r>
    </w:p>
    <w:p>
      <w:pPr>
        <w:spacing w:after="0" w:line="94" w:lineRule="exact"/>
        <w:rPr>
          <w:sz w:val="20"/>
          <w:szCs w:val="20"/>
          <w:color w:val="auto"/>
        </w:rPr>
      </w:pPr>
    </w:p>
    <w:p>
      <w:pPr>
        <w:ind w:right="80" w:firstLine="391"/>
        <w:spacing w:after="0" w:line="263" w:lineRule="auto"/>
        <w:rPr>
          <w:sz w:val="20"/>
          <w:szCs w:val="20"/>
          <w:color w:val="auto"/>
        </w:rPr>
      </w:pPr>
      <w:r>
        <w:rPr>
          <w:rFonts w:ascii="Arial" w:cs="Arial" w:eastAsia="Arial" w:hAnsi="Arial"/>
          <w:sz w:val="18"/>
          <w:szCs w:val="18"/>
          <w:color w:val="auto"/>
        </w:rPr>
        <w:t>On July 31, 2020, the board of directors of Westlake Chemical Partners GP LLC ("Westlake GP"), the Partnership's general partner, declared a quarterly cash distribution for the three months ended June 30, 2020 of $0.4714 per unit. This distribution is payable on August 24, 2020 to the unitholders of record as of August 10, 2020.</w:t>
      </w:r>
    </w:p>
    <w:p>
      <w:pPr>
        <w:spacing w:after="0" w:line="130" w:lineRule="exact"/>
        <w:rPr>
          <w:sz w:val="20"/>
          <w:szCs w:val="20"/>
          <w:color w:val="auto"/>
        </w:rPr>
      </w:pPr>
    </w:p>
    <w:p>
      <w:pPr>
        <w:ind w:right="20" w:firstLine="391"/>
        <w:spacing w:after="0" w:line="277" w:lineRule="auto"/>
        <w:rPr>
          <w:sz w:val="20"/>
          <w:szCs w:val="20"/>
          <w:color w:val="auto"/>
        </w:rPr>
      </w:pPr>
      <w:r>
        <w:rPr>
          <w:rFonts w:ascii="Arial" w:cs="Arial" w:eastAsia="Arial" w:hAnsi="Arial"/>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28,688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Limited partners' distribution declared on common units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33,181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31,779</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Distribution in excess of 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(3,091)</w:t>
            </w: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837"/>
              <w:spacing w:after="0"/>
              <w:rPr>
                <w:sz w:val="20"/>
                <w:szCs w:val="20"/>
                <w:color w:val="auto"/>
              </w:rPr>
            </w:pPr>
            <w:r>
              <w:rPr>
                <w:rFonts w:ascii="Arial" w:cs="Arial" w:eastAsia="Arial" w:hAnsi="Arial"/>
                <w:sz w:val="14"/>
                <w:szCs w:val="14"/>
                <w:b w:val="1"/>
                <w:bCs w:val="1"/>
                <w:color w:val="auto"/>
                <w:w w:val="93"/>
              </w:rPr>
              <w:t>Three Months Ended June 30, 2020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3"/>
                <w:szCs w:val="13"/>
                <w:color w:val="auto"/>
              </w:rPr>
            </w:pPr>
          </w:p>
        </w:tc>
        <w:tc>
          <w:tcPr>
            <w:tcW w:w="15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400" w:type="dxa"/>
            <w:vAlign w:val="bottom"/>
          </w:tcPr>
          <w:p>
            <w:pPr>
              <w:spacing w:after="0"/>
              <w:rPr>
                <w:sz w:val="13"/>
                <w:szCs w:val="13"/>
                <w:color w:val="auto"/>
              </w:rPr>
            </w:pPr>
          </w:p>
        </w:tc>
        <w:tc>
          <w:tcPr>
            <w:tcW w:w="10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Common Units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Rights</w:t>
            </w:r>
          </w:p>
        </w:tc>
        <w:tc>
          <w:tcPr>
            <w:tcW w:w="4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16,590</w:t>
            </w:r>
          </w:p>
        </w:tc>
        <w:tc>
          <w:tcPr>
            <w:tcW w:w="44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16,590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in excess of net income</w:t>
            </w:r>
          </w:p>
        </w:tc>
        <w:tc>
          <w:tcPr>
            <w:tcW w:w="2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97"/>
        </w:trPr>
        <w:tc>
          <w:tcPr>
            <w:tcW w:w="43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23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14,860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14,860</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2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4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23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35,194,545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35,194,545</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2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3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23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left="837"/>
              <w:spacing w:after="0"/>
              <w:rPr>
                <w:sz w:val="20"/>
                <w:szCs w:val="20"/>
                <w:color w:val="auto"/>
              </w:rPr>
            </w:pPr>
            <w:r>
              <w:rPr>
                <w:rFonts w:ascii="Arial" w:cs="Arial" w:eastAsia="Arial" w:hAnsi="Arial"/>
                <w:sz w:val="14"/>
                <w:szCs w:val="14"/>
                <w:b w:val="1"/>
                <w:bCs w:val="1"/>
                <w:color w:val="auto"/>
                <w:w w:val="93"/>
              </w:rPr>
              <w:t>Three Months Ended June 30, 2019</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3"/>
                <w:szCs w:val="13"/>
                <w:color w:val="auto"/>
              </w:rPr>
            </w:pPr>
          </w:p>
        </w:tc>
        <w:tc>
          <w:tcPr>
            <w:tcW w:w="15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400" w:type="dxa"/>
            <w:vAlign w:val="bottom"/>
          </w:tcPr>
          <w:p>
            <w:pPr>
              <w:spacing w:after="0"/>
              <w:rPr>
                <w:sz w:val="13"/>
                <w:szCs w:val="13"/>
                <w:color w:val="auto"/>
              </w:rPr>
            </w:pPr>
          </w:p>
        </w:tc>
        <w:tc>
          <w:tcPr>
            <w:tcW w:w="10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Common Units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Rights</w:t>
            </w:r>
          </w:p>
        </w:tc>
        <w:tc>
          <w:tcPr>
            <w:tcW w:w="4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16,113</w:t>
            </w:r>
          </w:p>
        </w:tc>
        <w:tc>
          <w:tcPr>
            <w:tcW w:w="44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16,113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in excess of net income</w:t>
            </w:r>
          </w:p>
        </w:tc>
        <w:tc>
          <w:tcPr>
            <w:tcW w:w="2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97"/>
        </w:trPr>
        <w:tc>
          <w:tcPr>
            <w:tcW w:w="43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23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13,733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2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23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35,188,189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35,188,189</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2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3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23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left="857"/>
              <w:spacing w:after="0"/>
              <w:rPr>
                <w:sz w:val="20"/>
                <w:szCs w:val="20"/>
                <w:color w:val="auto"/>
              </w:rPr>
            </w:pPr>
            <w:r>
              <w:rPr>
                <w:rFonts w:ascii="Arial" w:cs="Arial" w:eastAsia="Arial" w:hAnsi="Arial"/>
                <w:sz w:val="14"/>
                <w:szCs w:val="14"/>
                <w:b w:val="1"/>
                <w:bCs w:val="1"/>
                <w:color w:val="auto"/>
                <w:w w:val="92"/>
              </w:rPr>
              <w:t>Six Months Ended June 30, 2020</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3"/>
                <w:szCs w:val="13"/>
                <w:color w:val="auto"/>
              </w:rPr>
            </w:pPr>
          </w:p>
        </w:tc>
        <w:tc>
          <w:tcPr>
            <w:tcW w:w="15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400" w:type="dxa"/>
            <w:vAlign w:val="bottom"/>
          </w:tcPr>
          <w:p>
            <w:pPr>
              <w:spacing w:after="0"/>
              <w:rPr>
                <w:sz w:val="13"/>
                <w:szCs w:val="13"/>
                <w:color w:val="auto"/>
              </w:rPr>
            </w:pPr>
          </w:p>
        </w:tc>
        <w:tc>
          <w:tcPr>
            <w:tcW w:w="10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Common Units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Rights</w:t>
            </w:r>
          </w:p>
        </w:tc>
        <w:tc>
          <w:tcPr>
            <w:tcW w:w="4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33,181</w:t>
            </w:r>
          </w:p>
        </w:tc>
        <w:tc>
          <w:tcPr>
            <w:tcW w:w="44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33,181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in excess of net income</w:t>
            </w:r>
          </w:p>
        </w:tc>
        <w:tc>
          <w:tcPr>
            <w:tcW w:w="2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97"/>
        </w:trPr>
        <w:tc>
          <w:tcPr>
            <w:tcW w:w="43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23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32,607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32,607</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2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4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23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35,194,545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35,194,545</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2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3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300" w:type="dxa"/>
            <w:vAlign w:val="bottom"/>
            <w:vMerge w:val="restart"/>
          </w:tcPr>
          <w:p>
            <w:pPr>
              <w:jc w:val="right"/>
              <w:ind w:right="89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3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32"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23495</wp:posOffset>
            </wp:positionV>
            <wp:extent cx="2914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Limited Partners'</w:t>
            </w:r>
          </w:p>
        </w:tc>
        <w:tc>
          <w:tcPr>
            <w:tcW w:w="120" w:type="dxa"/>
            <w:vAlign w:val="bottom"/>
          </w:tcPr>
          <w:p>
            <w:pPr>
              <w:spacing w:after="0"/>
              <w:rPr>
                <w:sz w:val="14"/>
                <w:szCs w:val="14"/>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Arial" w:cs="Arial" w:eastAsia="Arial" w:hAnsi="Arial"/>
                <w:sz w:val="14"/>
                <w:szCs w:val="14"/>
                <w:b w:val="1"/>
                <w:bCs w:val="1"/>
                <w:color w:val="auto"/>
              </w:rPr>
              <w:t>Common Units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Rights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31,779</w:t>
            </w:r>
          </w:p>
        </w:tc>
        <w:tc>
          <w:tcPr>
            <w:tcW w:w="44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31,779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in excess of net income</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28,688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28,688</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33,774,647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33,774,647</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amended Partnership Agreement provides that the Partnership will distribute cash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w w:val="99"/>
              </w:rPr>
              <w:t>Marginal Percentage Interest in Distributions</w:t>
            </w:r>
          </w:p>
        </w:tc>
      </w:tr>
      <w:tr>
        <w:trPr>
          <w:trHeight w:val="263"/>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Unitholders</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$1.2938 up to $1.4063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Above $1.4063 up to $1.6875</w:t>
            </w:r>
          </w:p>
        </w:tc>
        <w:tc>
          <w:tcPr>
            <w:tcW w:w="15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8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$1.6875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7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 Partnership's distribution for the three months ended June 30, 2020 did not exceed the $1.2938 per unit threshold, and, as a result, no distribution was made with respect to the Partnership's incentive distribution rights to Westlake, as the holder of the Partnership's incentive distribution rights.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Per Common Unit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Distributions per common unit for the three and six months ended June 30, 2020 and 2019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0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6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per common unit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0.4714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0.4452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0.9428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0.8780</w:t>
            </w: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Partners' Equity</w:t>
      </w:r>
    </w:p>
    <w:p>
      <w:pPr>
        <w:spacing w:after="0" w:line="94" w:lineRule="exact"/>
        <w:rPr>
          <w:sz w:val="20"/>
          <w:szCs w:val="20"/>
          <w:color w:val="auto"/>
        </w:rPr>
      </w:pPr>
    </w:p>
    <w:p>
      <w:pPr>
        <w:ind w:right="360" w:firstLine="405"/>
        <w:spacing w:after="0" w:line="275" w:lineRule="auto"/>
        <w:rPr>
          <w:sz w:val="20"/>
          <w:szCs w:val="20"/>
          <w:color w:val="auto"/>
        </w:rPr>
      </w:pPr>
      <w:r>
        <w:rPr>
          <w:rFonts w:ascii="Arial" w:cs="Arial" w:eastAsia="Arial" w:hAnsi="Arial"/>
          <w:sz w:val="17"/>
          <w:szCs w:val="17"/>
          <w:color w:val="auto"/>
        </w:rPr>
        <w:t>On October 4, 2018, the Partnership and Westlake GP,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for utilization under this agreement. No common units were issued under this program as of June 30, 2020.</w:t>
      </w:r>
    </w:p>
    <w:p>
      <w:pPr>
        <w:spacing w:after="0" w:line="12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On March 29, 2019, the Partnership completed the issuance and sale of 2,940,818 common units at a price of $21.40 per unit through a private placement. Net proceeds to the Partnership from the sale of the units were approximately $62,934. TTWF LP, Westlake's principal stockholder and a related party, acquired 1,401,869 common units out of 2,940,818 common units issued in the private placement.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4"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Partnership and OpCo regularly enter into related party transactions with Westlake. See below for a description of transactions with related parties.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0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6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227,431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230,047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442,259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487,087</w:t>
            </w: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0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Feedstock purchased from Westlake and included in cost 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69,324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89,599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128,962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211,754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 sales</w:t>
            </w:r>
          </w:p>
        </w:tc>
        <w:tc>
          <w:tcPr>
            <w:tcW w:w="3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23,898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27,464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47,998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55,036</w:t>
            </w:r>
          </w:p>
        </w:tc>
      </w:tr>
      <w:tr>
        <w:trPr>
          <w:trHeight w:val="27"/>
        </w:trPr>
        <w:tc>
          <w:tcPr>
            <w:tcW w:w="5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93,222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117,063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176,960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266,790</w:t>
            </w: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Services received from Westlake and included in selling, general</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5,698</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6,464</w:t>
            </w: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10,813</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13,067</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administrative expenses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Goods and services purchased from Westlake and capitalized as</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9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August 1, 2017, the Partnership, OpCo and Westlake executed an investment management agreement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$219 and $601 was included in the receivable under the Investment Management Agreement balance at June 30, 2020 and December 31, 2019, respectively. Total interest earned related to the Investment Management Agreement was $219 and $1,155 for the three months ended June 30, 2020 and 2019, respectively, and $807 and $1,973 for the six months ended June 30, 2020 and 2019, respectively.</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under the Investment Management Agreement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171,391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162,773</w:t>
            </w: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Partnership's accounts receivable from Westlake result primarily from ethylene sales to Westlake under the Ethylene Sales Agreement.</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accounts receivable from Westlake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receivable—Westlake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42,354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42,847</w:t>
            </w: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90"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payable balances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payable—Westlake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15,201</w:t>
            </w: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90" w:lineRule="exact"/>
        <w:rPr>
          <w:sz w:val="20"/>
          <w:szCs w:val="20"/>
          <w:color w:val="auto"/>
        </w:rPr>
      </w:pPr>
    </w:p>
    <w:p>
      <w:pPr>
        <w:ind w:right="160" w:firstLine="405"/>
        <w:spacing w:after="0" w:line="311" w:lineRule="auto"/>
        <w:rPr>
          <w:sz w:val="20"/>
          <w:szCs w:val="20"/>
          <w:color w:val="auto"/>
        </w:rPr>
      </w:pPr>
      <w:r>
        <w:rPr>
          <w:rFonts w:ascii="Arial" w:cs="Arial" w:eastAsia="Arial" w:hAnsi="Arial"/>
          <w:sz w:val="16"/>
          <w:szCs w:val="16"/>
          <w:color w:val="auto"/>
        </w:rPr>
        <w:t>OpCo is obligated to Westlake under various long-term and short-term noncancelable operating leases, primarily related to rail car leases and land. Operating lease rentals paid to Westlake for such leases were $726 and $562 for the three months ended June 30, 2020 and 2019, respectively, and $1,396 and $1,076 for the six months ended June 30, 2020 and 2019, respectively, and reflected in other charges from Westlake that are included in cost of sales.</w:t>
      </w:r>
    </w:p>
    <w:p>
      <w:pPr>
        <w:spacing w:after="0" w:line="1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OpCo has two site lease agreements with Westlake, each of which has a term of 50 years. Pursuant to the site lease agreements, OpCo pays Westlake one dollar per site per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9 for a description of related party debt payable balances.</w:t>
      </w:r>
    </w:p>
    <w:p>
      <w:pPr>
        <w:spacing w:after="0" w:line="9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Interest on related party debt payable balances for the three months ended June 30, 2020 and 2019 was $3,431 and $5,125, respectively. Interest on related party debt payable is presented as interest expense—Westlake in the consolidated statements of operations. Interest capitalized as a component of property, plant and equipment on related party debt was $0 for the three months ended June 30, 2020 and 2019. At June 30, 2020 and December 31, 2019, accrued interest on related party debt was $3,431 and $4,187, respectively, and is reflected as a component of accrued liabilities in the consolidated balance sheets.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399,674</w:t>
            </w: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90"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During the three months ended June 30, 2020 and 2019, Westlake accounted for approximately 95.4% and 85.2%, respectively, of the Partnership's net sales. During the six months ended June 30, 2020 and 2019, Westlake accounted for approximately 90.4% and 85.6%, respectively, of the Partnership's net sales.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7 above for an additional related party transaction.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15"/>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OpCo Revolver (variable interest rate of London Interbank Offered Rate ("LIBOR") plus 2.0%, scheduled</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maturity of September 25, 2023)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22,619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22,619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MLP Revolver (variable interest rate of LIBOR plus 2.0%, scheduled maturity of March 19, 2023)</w:t>
            </w:r>
          </w:p>
        </w:tc>
        <w:tc>
          <w:tcPr>
            <w:tcW w:w="2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377,055</w:t>
            </w:r>
          </w:p>
        </w:tc>
      </w:tr>
      <w:tr>
        <w:trPr>
          <w:trHeight w:val="27"/>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399,674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April 30, 2019, the Partnership repaid $201,445 of borrowings under the OpCo Revolver.</w:t>
      </w:r>
    </w:p>
    <w:p>
      <w:pPr>
        <w:spacing w:after="0" w:line="171" w:lineRule="exact"/>
        <w:rPr>
          <w:sz w:val="20"/>
          <w:szCs w:val="20"/>
          <w:color w:val="auto"/>
        </w:rPr>
      </w:pPr>
    </w:p>
    <w:p>
      <w:pPr>
        <w:ind w:right="120" w:firstLine="391"/>
        <w:spacing w:after="0" w:line="279" w:lineRule="auto"/>
        <w:rPr>
          <w:sz w:val="20"/>
          <w:szCs w:val="20"/>
          <w:color w:val="auto"/>
        </w:rPr>
      </w:pPr>
      <w:r>
        <w:rPr>
          <w:rFonts w:ascii="Arial" w:cs="Arial" w:eastAsia="Arial" w:hAnsi="Arial"/>
          <w:sz w:val="17"/>
          <w:szCs w:val="17"/>
          <w:color w:val="auto"/>
        </w:rPr>
        <w:t>On March 29, 2019, the Partnership borrowed $123,511 under the MLP Revolver to partially fund the purchase of the additional 4.5% interest in OpCo. On March 19, 2020, the Partnership entered into an amendment to the MLP Revolver, to extend the maturity date to March 19, 2023 and add a phase-out provision for LIBOR, which is to be replaced by an alternate benchmark rate. The amended Credit Agreement bears interest at a variable rate of either (a) LIBOR plus 2.0% or, if LIBOR is no longer available, (b) Alternate Base Rate plus 1.0%.</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weighted average interest rate on all long-term debt was 3.4% and 4.1%, respectively, at June 30, 2020 and December 31, 2019.</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2020, the Partnership was in compliance with all of the covenants under the OpCo Revolver and the MLP Revolver.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Commodity Instruments</w:t>
      </w:r>
    </w:p>
    <w:p>
      <w:pPr>
        <w:spacing w:after="0" w:line="9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From time to time, the Partnership uses derivative instruments to reduce price volatility risk on commodities, primarily ethane and ethylene. The Partnership does not use derivative instruments to engage in speculative activities.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Partnership had no derivatives that were designated as fair value hedges during the six months ended June 30, 2020 and 2019.</w:t>
      </w:r>
    </w:p>
    <w:p>
      <w:pPr>
        <w:spacing w:after="0" w:line="9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Gains and losses from changes in the fair value of derivative instruments that are not designated as hedging instruments were included in net sales and cost of sales in the consolidated statements of operations for the six months ended June 30, 2020 and 2019.</w:t>
      </w:r>
    </w:p>
    <w:p>
      <w:pPr>
        <w:spacing w:after="0" w:line="3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exposure on commodity derivatives used for price risk management includes the risk that the counterparty will not pay if the market price declines below the established fixed price. In such case, the Partnership would lose the benefit of the derivative differential on the volume of the commodities covered. In any event, the Partnership would continue to receive the market price on the actual volume hedge. The Partnership also bears the risk that it could lose the benefit of market improvements over the fixed derivative price for the term and volume of the derivative instruments (as such improvements would accrue to the benefit of the counterparty). The Partnership had non-hedge designated derivatives covering approximately 15.1 million gallons and 36.0 million pounds of commodities as of June 30, 2020 and 39.1 million gallons and 93.0 million pounds of commodities as of December 31, 2019.</w:t>
      </w:r>
    </w:p>
    <w:p>
      <w:pPr>
        <w:spacing w:after="0" w:line="6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At June 30, 2020, the fair values of these derivative instruments recorded as accrued liabilities and accounts receivable, net were $385 and $810, respectively. At December 31, 2019, the fair values of these derivative instruments recorded as accrued liabilities and accounts receivable, net were $1,959 and $597, respectively. The losses recognized in net sales and gains recognized in cost of sales related to derivatives were $1,199 and $1,291, respectively, for the three months ended June 30, 2020 and gains recognized in net sales and losses recognized in cost of sales were $215 and $504, respectively, for the three months ended June 30, 2019</w:t>
      </w:r>
      <w:r>
        <w:rPr>
          <w:rFonts w:ascii="Arial" w:cs="Arial" w:eastAsia="Arial" w:hAnsi="Arial"/>
          <w:sz w:val="16"/>
          <w:szCs w:val="16"/>
          <w:color w:val="212529"/>
        </w:rPr>
        <w:t>.</w:t>
      </w:r>
      <w:r>
        <w:rPr>
          <w:rFonts w:ascii="Arial" w:cs="Arial" w:eastAsia="Arial" w:hAnsi="Arial"/>
          <w:sz w:val="16"/>
          <w:szCs w:val="16"/>
          <w:color w:val="auto"/>
        </w:rPr>
        <w:t xml:space="preserve"> The gains recognized in net sales and losses recognized in cost of sales related to derivatives were $2,155 and $157, respectively, for the six months ended June 30, 2020 and $2,426 and $1,384, respectively, for the six months ended June 30, 2019</w:t>
      </w:r>
      <w:r>
        <w:rPr>
          <w:rFonts w:ascii="Arial" w:cs="Arial" w:eastAsia="Arial" w:hAnsi="Arial"/>
          <w:sz w:val="16"/>
          <w:szCs w:val="16"/>
          <w:color w:val="212529"/>
        </w:rPr>
        <w:t>.</w:t>
      </w:r>
    </w:p>
    <w:p>
      <w:pPr>
        <w:spacing w:after="0" w:line="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Partnership's commodity contracts are measured using forward curves supplied by industry recognized sources and unrelated third-party services and classified as Level 2 under the fair value measurement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94"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122" w:right="37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73"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June 30, 2020 and December 31, 2019 are summarized in the table below. The Partnership's long-term debt includes the OpCo Revolver and the MLP Revolver at June 30, 2020.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 2020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920" w:type="dxa"/>
            <w:vAlign w:val="bottom"/>
            <w:tcBorders>
              <w:bottom w:val="single" w:sz="8" w:color="auto"/>
            </w:tcBorders>
          </w:tcPr>
          <w:p>
            <w:pPr>
              <w:spacing w:after="0"/>
              <w:rPr>
                <w:sz w:val="16"/>
                <w:szCs w:val="16"/>
                <w:color w:val="auto"/>
              </w:rPr>
            </w:pPr>
          </w:p>
        </w:tc>
      </w:tr>
      <w:tr>
        <w:trPr>
          <w:trHeight w:val="152"/>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3"/>
                <w:szCs w:val="13"/>
                <w:color w:val="auto"/>
              </w:rPr>
            </w:pPr>
          </w:p>
        </w:tc>
        <w:tc>
          <w:tcPr>
            <w:tcW w:w="110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3"/>
                <w:szCs w:val="13"/>
                <w:color w:val="auto"/>
              </w:rPr>
            </w:pPr>
          </w:p>
        </w:tc>
        <w:tc>
          <w:tcPr>
            <w:tcW w:w="920" w:type="dxa"/>
            <w:vAlign w:val="bottom"/>
          </w:tcPr>
          <w:p>
            <w:pPr>
              <w:jc w:val="right"/>
              <w:ind w:right="519"/>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Pr>
          <w:p>
            <w:pPr>
              <w:spacing w:after="0"/>
              <w:rPr>
                <w:sz w:val="16"/>
                <w:szCs w:val="16"/>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6"/>
                <w:szCs w:val="16"/>
                <w:color w:val="auto"/>
              </w:rPr>
            </w:pPr>
          </w:p>
        </w:tc>
        <w:tc>
          <w:tcPr>
            <w:tcW w:w="920" w:type="dxa"/>
            <w:vAlign w:val="bottom"/>
          </w:tcPr>
          <w:p>
            <w:pPr>
              <w:jc w:val="right"/>
              <w:ind w:right="479"/>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22,544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23,364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372,901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379,452</w:t>
            </w:r>
          </w:p>
        </w:tc>
      </w:tr>
    </w:tbl>
    <w:p>
      <w:pPr>
        <w:spacing w:after="0" w:line="200" w:lineRule="exact"/>
        <w:rPr>
          <w:sz w:val="20"/>
          <w:szCs w:val="20"/>
          <w:color w:val="auto"/>
        </w:rPr>
      </w:pPr>
    </w:p>
    <w:p>
      <w:pPr>
        <w:spacing w:after="0" w:line="268" w:lineRule="exact"/>
        <w:rPr>
          <w:sz w:val="20"/>
          <w:szCs w:val="20"/>
          <w:color w:val="auto"/>
        </w:rPr>
      </w:pPr>
    </w:p>
    <w:p>
      <w:pPr>
        <w:ind w:right="8920" w:firstLine="8"/>
        <w:spacing w:after="0" w:line="390" w:lineRule="auto"/>
        <w:tabs>
          <w:tab w:leader="none" w:pos="27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40" w:firstLine="405"/>
        <w:spacing w:after="0" w:line="311" w:lineRule="auto"/>
        <w:rPr>
          <w:sz w:val="20"/>
          <w:szCs w:val="20"/>
          <w:color w:val="auto"/>
        </w:rPr>
      </w:pPr>
      <w:r>
        <w:rPr>
          <w:rFonts w:ascii="Arial" w:cs="Arial" w:eastAsia="Arial" w:hAnsi="Arial"/>
          <w:sz w:val="16"/>
          <w:szCs w:val="16"/>
          <w:color w:val="auto"/>
        </w:rPr>
        <w:t>Accrued liabilities were $16,807 and $17,507 at June 30, 2020 and December 31, 2019, respectively. Accrued interest, accrued taxes, and accrued maintenance expense, which are components of accrued liabilities, were $3,431, $4,770, and $3,411, respectively, at June 30, 2020 and $4,187, $2,611, and $3,225, respectively, at December 31, 2019. No other component of accrued liabilities was more than five percent of total current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non-cash investing activities related to accruals for capital expenditures were $182 and $567 for the six months ended June 30,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4"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2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2019 (the "2019 Form 10-K"), as filed with the SEC on February 28, 2020.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2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at the end of the year, is generally not reduced for the first 45 days of a force majeure event, but is reduced for the portion of a force majeure event extending beyond the 45th day.</w:t>
      </w:r>
    </w:p>
    <w:p>
      <w:pPr>
        <w:spacing w:after="0" w:line="111"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Maintenance Capital Expenditures and Turnaround Costs</w:t>
      </w:r>
    </w:p>
    <w:p>
      <w:pPr>
        <w:spacing w:after="0" w:line="9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24"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MLP Distributable Cash Flow and EBITDA</w:t>
      </w:r>
    </w:p>
    <w:p>
      <w:pPr>
        <w:spacing w:after="0" w:line="94"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 traded partnerships; our ability to incur and service debt and fund capital expenditures; and the viability of acquisitions and other capital expenditure projects and the returns on investment of various investment opportunities.</w:t>
      </w:r>
    </w:p>
    <w:p>
      <w:pPr>
        <w:spacing w:after="0" w:line="11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Industry Conditions and Our Business</w:t>
      </w:r>
    </w:p>
    <w:p>
      <w:pPr>
        <w:spacing w:after="0" w:line="8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 xml:space="preserve">On March 11, 2020, the World Health Organization declared the ongoing coronavirus (COVID-19) outbreak a pandemic and recommended containment and mitigation measures worldwide. </w:t>
      </w:r>
      <w:r>
        <w:rPr>
          <w:rFonts w:ascii="Arial" w:cs="Arial" w:eastAsia="Arial" w:hAnsi="Arial"/>
          <w:sz w:val="18"/>
          <w:szCs w:val="18"/>
          <w:color w:val="212529"/>
        </w:rPr>
        <w:t>The pandemic</w:t>
      </w:r>
      <w:r>
        <w:rPr>
          <w:rFonts w:ascii="Arial" w:cs="Arial" w:eastAsia="Arial" w:hAnsi="Arial"/>
          <w:sz w:val="18"/>
          <w:szCs w:val="18"/>
          <w:color w:val="auto"/>
        </w:rPr>
        <w:t xml:space="preserve"> has resulted in widespread adverse impacts on the global economy and on our employees, customers and suppliers. We did not experience significant disruptions to our business operations in the six months ended June 30, 2020 and do not expect to experience </w:t>
      </w:r>
      <w:r>
        <w:rPr>
          <w:rFonts w:ascii="Arial" w:cs="Arial" w:eastAsia="Arial" w:hAnsi="Arial"/>
          <w:sz w:val="18"/>
          <w:szCs w:val="18"/>
          <w:color w:val="212529"/>
        </w:rPr>
        <w:t>significant disruptions to our business operations resulting from COVID-19, primarily due to the fact that 95% of our production is sold to</w:t>
      </w:r>
      <w:r>
        <w:rPr>
          <w:rFonts w:ascii="Arial" w:cs="Arial" w:eastAsia="Arial" w:hAnsi="Arial"/>
          <w:sz w:val="18"/>
          <w:szCs w:val="18"/>
          <w:color w:val="auto"/>
        </w:rPr>
        <w:t xml:space="preserve"> </w:t>
      </w:r>
      <w:r>
        <w:rPr>
          <w:rFonts w:ascii="Arial" w:cs="Arial" w:eastAsia="Arial" w:hAnsi="Arial"/>
          <w:sz w:val="18"/>
          <w:szCs w:val="18"/>
          <w:color w:val="212529"/>
        </w:rPr>
        <w:t>Westlake on a take-or-pay contract.</w:t>
      </w:r>
    </w:p>
    <w:p>
      <w:pPr>
        <w:spacing w:after="0" w:line="3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212529"/>
        </w:rPr>
        <w:t>Though the price of crude oil has partially recovered from its sudden collapse in early March 2020, due to the continuing impact of low crude-oil prices and the addition of ethylene production capacity in recent months, prices for ethylene and co-products have remained weak and have also negatively impacted our plants' operating rates. We may idle production and reduce operating rates if it is not economical for us to produce ethylene to sell to third parties.</w:t>
      </w:r>
    </w:p>
    <w:p>
      <w:pPr>
        <w:spacing w:after="0" w:line="13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Our first priority in our response to this crisis has been the health and safety of our operators, who are loaned to us by Westlake, and those of our customers and vendors. Westlake has implemented preventative measures and developed corporate and regional response plans to minimize unnecessary risk of exposure. We and Westlake have modified certain business practices (including those related to employee travel, employee work locations and employee work practices) to conform to government restrictions and best practices encouraged by the Center for Disease Control and Prevention, the World Health Organization and other governmental and regulatory authorities. We and Westlake have implemented strategies to reduce costs, increase operational efficiencies and lower capital spending. We have also deferred the planned turnaround at OpCo's Petro 2 ethylene unit and associated maintenance cost into the first half of 2021. The turnaround is expected to last 60 days.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66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0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385"/>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227,431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230,047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442,259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487,087</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 parties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11,069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82,061</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238,500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270,062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489,049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569,148</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148,470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178,104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295,471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386,536</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90,030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91,958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193,578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182,612</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14,612</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83,891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84,319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181,243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168,000</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(11,025)</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1,968</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80,583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80,347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174,570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158,943</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provision (benefit)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80,377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80,110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174,147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158,506</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5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OpCo</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66,377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141,540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129,818</w:t>
            </w:r>
          </w:p>
        </w:tc>
      </w:tr>
      <w:tr>
        <w:trPr>
          <w:trHeight w:val="29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attributable to Westlake Chemical Partners LP</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14,860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13,733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32,607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28,688</w:t>
            </w:r>
          </w:p>
        </w:tc>
      </w:tr>
      <w:tr>
        <w:trPr>
          <w:trHeight w:val="257"/>
        </w:trPr>
        <w:tc>
          <w:tcPr>
            <w:tcW w:w="506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16,855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16,422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35,192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33,977</w:t>
            </w:r>
          </w:p>
        </w:tc>
      </w:tr>
      <w:tr>
        <w:trPr>
          <w:trHeight w:val="283"/>
        </w:trPr>
        <w:tc>
          <w:tcPr>
            <w:tcW w:w="5060" w:type="dxa"/>
            <w:vAlign w:val="bottom"/>
          </w:tcPr>
          <w:p>
            <w:pPr>
              <w:ind w:left="20"/>
              <w:spacing w:after="0" w:line="282"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109,827</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112,329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233,795</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223,669</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____________</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391" w:lineRule="exact"/>
        <w:rPr>
          <w:sz w:val="20"/>
          <w:szCs w:val="20"/>
          <w:color w:val="auto"/>
        </w:rPr>
      </w:pPr>
    </w:p>
    <w:p>
      <w:pPr>
        <w:ind w:left="300" w:hanging="25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Provided by Operating Activities" below.</w:t>
      </w:r>
    </w:p>
    <w:p>
      <w:pPr>
        <w:spacing w:after="0" w:line="117" w:lineRule="exact"/>
        <w:rPr>
          <w:rFonts w:ascii="Arial" w:cs="Arial" w:eastAsia="Arial" w:hAnsi="Arial"/>
          <w:sz w:val="18"/>
          <w:szCs w:val="18"/>
          <w:color w:val="auto"/>
        </w:rPr>
      </w:pPr>
    </w:p>
    <w:p>
      <w:pPr>
        <w:ind w:left="300" w:hanging="25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"Reconciliation of EBITDA to Net Income, Income from Operations and Net Cash Provided by Operating Activities"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1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Three Months Ended June 30, 2020</w:t>
            </w:r>
          </w:p>
        </w:tc>
        <w:tc>
          <w:tcPr>
            <w:tcW w:w="100" w:type="dxa"/>
            <w:vAlign w:val="bottom"/>
          </w:tcPr>
          <w:p>
            <w:pPr>
              <w:spacing w:after="0"/>
              <w:rPr>
                <w:sz w:val="16"/>
                <w:szCs w:val="16"/>
                <w:color w:val="auto"/>
              </w:rPr>
            </w:pPr>
          </w:p>
        </w:tc>
        <w:tc>
          <w:tcPr>
            <w:tcW w:w="31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Six Months Ended June 30, 2020</w:t>
            </w: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Volume</w:t>
            </w:r>
          </w:p>
        </w:tc>
        <w:tc>
          <w:tcPr>
            <w:tcW w:w="16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Sales Price</w:t>
            </w:r>
          </w:p>
        </w:tc>
        <w:tc>
          <w:tcPr>
            <w:tcW w:w="164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Sales Price</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Product sales prices and volume percentage change from prior-</w:t>
            </w: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period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561"/>
        </w:trPr>
        <w:tc>
          <w:tcPr>
            <w:tcW w:w="4800" w:type="dxa"/>
            <w:vAlign w:val="bottom"/>
          </w:tcPr>
          <w:p>
            <w:pPr>
              <w:spacing w:after="0"/>
              <w:rPr>
                <w:sz w:val="24"/>
                <w:szCs w:val="24"/>
                <w:color w:val="auto"/>
              </w:rPr>
            </w:pPr>
          </w:p>
        </w:tc>
        <w:tc>
          <w:tcPr>
            <w:tcW w:w="32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318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480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69"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Ethane (cents/lb)</w:t>
            </w:r>
          </w:p>
        </w:tc>
        <w:tc>
          <w:tcPr>
            <w:tcW w:w="1500" w:type="dxa"/>
            <w:vAlign w:val="bottom"/>
          </w:tcPr>
          <w:p>
            <w:pPr>
              <w:jc w:val="right"/>
              <w:ind w:right="1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540" w:type="dxa"/>
            <w:vAlign w:val="bottom"/>
          </w:tcPr>
          <w:p>
            <w:pPr>
              <w:jc w:val="right"/>
              <w:ind w:right="156"/>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540" w:type="dxa"/>
            <w:vAlign w:val="bottom"/>
          </w:tcPr>
          <w:p>
            <w:pPr>
              <w:jc w:val="right"/>
              <w:ind w:right="14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540" w:type="dxa"/>
            <w:vAlign w:val="bottom"/>
          </w:tcPr>
          <w:p>
            <w:pPr>
              <w:jc w:val="right"/>
              <w:ind w:right="156"/>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15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56"/>
        </w:trPr>
        <w:tc>
          <w:tcPr>
            <w:tcW w:w="480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1500" w:type="dxa"/>
            <w:vAlign w:val="bottom"/>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1540" w:type="dxa"/>
            <w:vAlign w:val="bottom"/>
          </w:tcPr>
          <w:p>
            <w:pPr>
              <w:jc w:val="right"/>
              <w:ind w:right="156"/>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2"/>
                <w:szCs w:val="22"/>
                <w:color w:val="auto"/>
              </w:rPr>
            </w:pPr>
          </w:p>
        </w:tc>
        <w:tc>
          <w:tcPr>
            <w:tcW w:w="1540" w:type="dxa"/>
            <w:vAlign w:val="bottom"/>
          </w:tcPr>
          <w:p>
            <w:pPr>
              <w:jc w:val="right"/>
              <w:ind w:right="14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2"/>
                <w:szCs w:val="22"/>
                <w:color w:val="auto"/>
              </w:rPr>
            </w:pPr>
          </w:p>
        </w:tc>
        <w:tc>
          <w:tcPr>
            <w:tcW w:w="1540" w:type="dxa"/>
            <w:vAlign w:val="bottom"/>
          </w:tcPr>
          <w:p>
            <w:pPr>
              <w:jc w:val="right"/>
              <w:ind w:right="156"/>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_____________</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pricing data was obtained through IHS Markit ("IHS"). We have not independently verified the data.</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6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0"/>
        </w:trPr>
        <w:tc>
          <w:tcPr>
            <w:tcW w:w="5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8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112,758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100,173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223,719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213,672</w:t>
            </w: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Loss from disposition of fixed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(54,708)</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80,377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80,110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174,147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158,506</w:t>
            </w:r>
          </w:p>
        </w:tc>
      </w:tr>
      <w:tr>
        <w:trPr>
          <w:trHeight w:val="27"/>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5060" w:type="dxa"/>
            <w:vAlign w:val="bottom"/>
          </w:tcPr>
          <w:p>
            <w:pPr>
              <w:ind w:left="380"/>
              <w:spacing w:after="0"/>
              <w:rPr>
                <w:sz w:val="20"/>
                <w:szCs w:val="20"/>
                <w:color w:val="auto"/>
              </w:rPr>
            </w:pPr>
            <w:r>
              <w:rPr>
                <w:rFonts w:ascii="Arial" w:cs="Arial" w:eastAsia="Arial" w:hAnsi="Arial"/>
                <w:sz w:val="18"/>
                <w:szCs w:val="18"/>
                <w:color w:val="auto"/>
                <w:w w:val="98"/>
              </w:rPr>
              <w:t>Depreciation, amortization and disposition of property, plant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060" w:type="dxa"/>
            <w:vAlign w:val="bottom"/>
          </w:tcPr>
          <w:p>
            <w:pPr>
              <w:ind w:left="540"/>
              <w:spacing w:after="0"/>
              <w:rPr>
                <w:sz w:val="20"/>
                <w:szCs w:val="20"/>
                <w:color w:val="auto"/>
              </w:rPr>
            </w:pPr>
            <w:r>
              <w:rPr>
                <w:rFonts w:ascii="Arial" w:cs="Arial" w:eastAsia="Arial" w:hAnsi="Arial"/>
                <w:sz w:val="18"/>
                <w:szCs w:val="18"/>
                <w:color w:val="auto"/>
              </w:rPr>
              <w:t>and equipment</w:t>
            </w:r>
          </w:p>
        </w:tc>
        <w:tc>
          <w:tcPr>
            <w:tcW w:w="34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26,164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26,903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52,291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54,205</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Mark-to-market adjustment loss (gain) on derivative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 to turnaround reserves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Maintenance capital expenditures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(23,045)</w:t>
            </w: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Distributable cash flow attributable to noncontrolling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5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 OpCo</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(72,278)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(147,753)</w:t>
            </w:r>
          </w:p>
        </w:tc>
      </w:tr>
      <w:tr>
        <w:trPr>
          <w:trHeight w:val="257"/>
        </w:trPr>
        <w:tc>
          <w:tcPr>
            <w:tcW w:w="5060" w:type="dxa"/>
            <w:vAlign w:val="bottom"/>
          </w:tcPr>
          <w:p>
            <w:pPr>
              <w:ind w:left="20"/>
              <w:spacing w:after="0"/>
              <w:rPr>
                <w:sz w:val="20"/>
                <w:szCs w:val="20"/>
                <w:color w:val="auto"/>
              </w:rPr>
            </w:pPr>
            <w:r>
              <w:rPr>
                <w:rFonts w:ascii="Arial" w:cs="Arial" w:eastAsia="Arial" w:hAnsi="Arial"/>
                <w:sz w:val="18"/>
                <w:szCs w:val="18"/>
                <w:color w:val="auto"/>
              </w:rPr>
              <w:t>MLP distributable cash flow</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16,855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16,422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35,192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33,977</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Income from Operations and Net Cash Provided by Operating Activities</w:t>
      </w:r>
    </w:p>
    <w:p>
      <w:pPr>
        <w:spacing w:after="0" w:line="94"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6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0"/>
        </w:trPr>
        <w:tc>
          <w:tcPr>
            <w:tcW w:w="5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8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112,758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100,173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223,719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213,672</w:t>
            </w: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Loss from disposition of fixed assets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(54,708)</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80,377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80,110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174,147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158,506</w:t>
            </w:r>
          </w:p>
        </w:tc>
      </w:tr>
      <w:tr>
        <w:trPr>
          <w:trHeight w:val="27"/>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1,968</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(11,025)</w:t>
            </w: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7"/>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84,319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181,243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168,000</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53,701</w:t>
            </w: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1,968</w:t>
            </w:r>
          </w:p>
        </w:tc>
      </w:tr>
      <w:tr>
        <w:trPr>
          <w:trHeight w:val="27"/>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109,827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112,329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233,795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223,669</w:t>
            </w: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19"/>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7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For the quarter ended June 30, 2020, net income was $80.4 million on net sales of $238.5 million. This represents an increase in net income of $0.3 million as compared to net income of $80.1 million on net sales of $270.1 million for the quarter ended June 30, 2019. Net income attributable to Westlake Chemical Partners LP for the second quarter of 2020 was $14.9 million as compared to $13.7 million for the second quarter of 2019, an increase of $1.2 million. Net income and net income attributable to Westlake Chemical Partners LP for the first quarter of 2020 as compared to the first quarter of 2019 were higher primarily due to the higher earnings on ethylene sold to Westlake, lower manufacturing costs, selling, general and administrative expenses and interest expense, partially offset by lower ethylene production. Net sales for the second quarter of 2020 decreased by $31.6 million as compared to net sales for the second quarter of 2019, mainly due to lower sales volumes to Westlake and third parties and lower sales prices to third parties, partially offset by higher sales prices to Westlake per the terms of the Ethylene Sales Agreement. Income from operations was $83.9 million for the second quarter of 2020 as compared to $84.3 million for the second quarter of 2019. Income from operations for the second quarter of 2020 decreased mainly as a result of overall lower sales volumes to Westlake and lower sales prices and volumes to third parties, partially offset by lower manufacturing costs and selling, general and administrative expenses, as compared to the second quarter of 2019.</w:t>
      </w:r>
    </w:p>
    <w:p>
      <w:pPr>
        <w:spacing w:after="0" w:line="47"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For the six months ended June 30, 2020, net income was $174.1 million on net sales of $489.0 million. This represents an increase in net income of $15.6 million as compared to the six months ended June 30, 2019 net income of $158.5 million on net sales of $569.1 million. Net income attributable to Westlake Chemical Partners LP for the six months ended June 30, 2020 was $32.6 million as compared to $28.7 million for the six months ended June 30, 2019, an increase of $3.9 million. The increase in net income and net income attributable to Westlake Chemical Partners LP in the six months ended June 30, 2020 was primarily due to the higher earnings on ethylene sold to Westlake, lower manufacturing costs, selling, general and administrative expenses and interest expense, partially offset by lower ethylene production, as compared to the six months ended June 30, 2019. Net sales for the six months ended June 30, 2020 decreased by $80.1 million as compared to net sales for the six months ended June 30, 2019, mainly due to lower sales prices and volumes to third parties and Westlake. Income from operations was $181.2 million for the six months ended June 30, 2020 as compared to $168.0 million for the six months ended June 30, 2019. Income from operations for the six months ended June 30, 2020 increased mainly as a result of lower manufacturing costs and selling, general and administrative expenses, partially offset by lower ethylene production, as compared to the six months ended June 30,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2020 Compared with Second Quarter 2019</w:t>
      </w:r>
    </w:p>
    <w:p>
      <w:pPr>
        <w:spacing w:after="0" w:line="9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Total net sales decreased by $31.6 million, or 11.7%, to $238.5 million in the second quarter of 2020 from $270.1 million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2019. The overall average sales price in the second quarter of 2020 contributed to a 1.9% increase in net sales, primarily due to higher ethylene sales prices to Westlake per the terms of the Ethylene Sales Agreement, partially offset by lower sales prices to third parties, compared to the second quarter of 2019. The overall sales volume in the second quarter of 2020 contributed to a decrease in net sales of 13.6% in the second quarter of 2020 compared to the second quarter of 2019.</w:t>
      </w:r>
    </w:p>
    <w:p>
      <w:pPr>
        <w:spacing w:after="0" w:line="134" w:lineRule="exact"/>
        <w:rPr>
          <w:sz w:val="20"/>
          <w:szCs w:val="20"/>
          <w:color w:val="auto"/>
        </w:rPr>
      </w:pPr>
    </w:p>
    <w:p>
      <w:pPr>
        <w:jc w:val="both"/>
        <w:ind w:right="380" w:firstLine="432"/>
        <w:spacing w:after="0" w:line="31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decreased to $90.0 million for the second quarter of 2020 from $92.0 million for the second quarter of 2019. The gross</w:t>
      </w:r>
      <w:r>
        <w:rPr>
          <w:rFonts w:ascii="Arial" w:cs="Arial" w:eastAsia="Arial" w:hAnsi="Arial"/>
          <w:sz w:val="16"/>
          <w:szCs w:val="16"/>
          <w:i w:val="1"/>
          <w:iCs w:val="1"/>
          <w:color w:val="auto"/>
        </w:rPr>
        <w:t xml:space="preserve"> </w:t>
      </w:r>
      <w:r>
        <w:rPr>
          <w:rFonts w:ascii="Arial" w:cs="Arial" w:eastAsia="Arial" w:hAnsi="Arial"/>
          <w:sz w:val="16"/>
          <w:szCs w:val="16"/>
          <w:color w:val="auto"/>
        </w:rPr>
        <w:t>profit margin in the second quarter of 2020 was 37.7%, as compared to 34.1% for the second quarter of 2019. The second quarter of 2020 gross profit margin was higher mainly due to higher earnings on ethylene sold to Westlake and lower manufacturing costs, partially offset by lower production.</w:t>
      </w:r>
    </w:p>
    <w:p>
      <w:pPr>
        <w:spacing w:after="0" w:line="9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by $1.5 million, or 19.7%, to $6.1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2020 as compared to $7.6 million in the second quarter of 2019. The decrease in the second quarter of 2020 was mainly attributable to lower general and administrative expense allocations, provision for doubtful accounts and consulting and professional fees as compared to the second quarter of 2019.</w:t>
      </w:r>
    </w:p>
    <w:p>
      <w:pPr>
        <w:spacing w:after="0" w:line="133"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decreased by $1.7 million to $3.4 million in the second quarter of 2020 from $5.1 million in the second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2019, largely due to a lower average debt balance resulting from the partial repayment of borrowings under the OpCo Revolver in April 2019.</w:t>
      </w:r>
    </w:p>
    <w:p>
      <w:pPr>
        <w:spacing w:after="0" w:line="70" w:lineRule="exact"/>
        <w:rPr>
          <w:sz w:val="20"/>
          <w:szCs w:val="20"/>
          <w:color w:val="auto"/>
        </w:rPr>
      </w:pPr>
    </w:p>
    <w:p>
      <w:pPr>
        <w:ind w:right="440" w:firstLine="432"/>
        <w:spacing w:after="0" w:line="263"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in the second quarter of 2020 decreased by $1.1 million to $0.1 million as compared to $1.2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2019 due to a decrease in interest income earned under the Investment Management Agreement as a result of a lower average cash balance under the Investment Management Agreement and lower average interest rates.</w:t>
      </w:r>
    </w:p>
    <w:p>
      <w:pPr>
        <w:spacing w:after="0" w:line="13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was $0.2 million in the second quarter of 2020, which was comparable to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i w:val="1"/>
          <w:iCs w:val="1"/>
          <w:color w:val="auto"/>
        </w:rPr>
        <w:t xml:space="preserve">MLP Distributable Cash Flow. </w:t>
      </w:r>
      <w:r>
        <w:rPr>
          <w:rFonts w:ascii="Arial" w:cs="Arial" w:eastAsia="Arial" w:hAnsi="Arial"/>
          <w:sz w:val="17"/>
          <w:szCs w:val="17"/>
          <w:color w:val="auto"/>
        </w:rPr>
        <w:t>MLP distributable cash flow increased by $0.5 million to $16.9 million in the second quarter of 2020 from $16.4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second quarter of 2019. The increased MLP distributable cash flow in the second quarter of 2020, as compared to the prior-year period, was primarily due to lower manufacturing costs, partially offset by lower production of ethylene at OpCo and increased turnaround reserve.</w:t>
      </w:r>
    </w:p>
    <w:p>
      <w:pPr>
        <w:spacing w:after="0" w:line="111"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decreased by $2.5 million to $109.8 million in the second quarter of 2020 from $112.3 million in the second quarter of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EBITDA, as compared to the prior-year period, was primarily due to lower sales volumes to Westlake and third parties and lower sales prices to third parties, partially offset by lower manufacturing costs and selling general and administrative expenses.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with Six Months Ended June 30, 2019</w:t>
      </w:r>
    </w:p>
    <w:p>
      <w:pPr>
        <w:spacing w:after="0" w:line="13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Total net sales decreased by $80.1 million, or 14.1%, to $489.0 million in the six months ended June 30, 2020 from $569.1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2019. The overall decreased sales price for the six months ended June 30, 2020 contributed to a 8.9% decrease in net sales, as compared to the six months ended June 30, 2019, which was mainly due to lower sales prices to third parties and Westlake per the terms of the Ethylene Sales Agreement. The overall sales volume contributed to a decrease in net sales of 5.2% in the six months ended June 30, 2020 compared to the six months ended June 30, 2019.</w:t>
      </w:r>
    </w:p>
    <w:p>
      <w:pPr>
        <w:spacing w:after="0" w:line="13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to $193.6 million for the six months ended June 30, 2020 from $182.6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gross profit margin in the six months ended June 30, 2020 was 39.6%, as compared to 32.1% for the six months ended June 30, 2019. The six months ended June 30, 2020 gross profit margin was higher mainly due to higher earnings on ethylene sold to Westlake and lower manufacturing costs, partially offset by lower production, as compared to the six months ended June 30, 2019.</w:t>
      </w:r>
    </w:p>
    <w:p>
      <w:pPr>
        <w:spacing w:after="0" w:line="133"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decreased by $2.3 million, or 15.8%, to $12.3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2020 as compared to $14.6 million in the six months ended June 30, 2019. The decrease was mainly attributable to lower general and administrative expense allocations in the six months ended June 30, 2020, as compared to the prior-year period.</w:t>
      </w:r>
    </w:p>
    <w:p>
      <w:pPr>
        <w:spacing w:after="0" w:line="111" w:lineRule="exact"/>
        <w:rPr>
          <w:sz w:val="20"/>
          <w:szCs w:val="20"/>
          <w:color w:val="auto"/>
        </w:rPr>
      </w:pPr>
    </w:p>
    <w:p>
      <w:pPr>
        <w:ind w:right="320" w:firstLine="432"/>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$3.6 million to $7.4 million in the six months ended June 30, 2020 from $11.0 million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 due to a lower average debt balance resulting from the partial repayment of borrowings under the OpCo Revolver in April 2019.</w:t>
      </w:r>
    </w:p>
    <w:p>
      <w:pPr>
        <w:spacing w:after="0" w:line="130"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i w:val="1"/>
          <w:iCs w:val="1"/>
          <w:color w:val="auto"/>
        </w:rPr>
        <w:t xml:space="preserve">Other Income, net. </w:t>
      </w:r>
      <w:r>
        <w:rPr>
          <w:rFonts w:ascii="Arial" w:cs="Arial" w:eastAsia="Arial" w:hAnsi="Arial"/>
          <w:sz w:val="17"/>
          <w:szCs w:val="17"/>
          <w:color w:val="auto"/>
        </w:rPr>
        <w:t>Other income, net decreased by $1.3 million to $0.7 million in the six months ended June 30, 2020 as compared to $2.0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2019, primarily due to a decrease in interest income earned under the Investment Management Agreement as a result of a lower average cash balance under the Investment Management Agreement and lower average interest rates.</w:t>
      </w:r>
    </w:p>
    <w:p>
      <w:pPr>
        <w:spacing w:after="0" w:line="11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was $0.4 million for the six months ended June 30, 2020, which was comparable to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increased by $1.2 million to $35.2 million in the six months ended June 30,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$34.0 million in the six months ended June 30, 2019. The increased MLP distributable cash flow in the six months ended June 30, 2020, as compared to the prior-year period, was primarily due to lower manufacturing costs, partially offset by lower production of ethylene at OpCo and increased turnaround reserves.</w:t>
      </w:r>
    </w:p>
    <w:p>
      <w:pPr>
        <w:spacing w:after="0" w:line="133"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increased by $10.1 million to $233.8 million in the six months ended June 30, 2020 from $223.7 million in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2019. The increased EBITDA, as compared to the prior-year period, was primarily due to lower manufacturing costs and selling and general administrative expenses, partially offset by lower sales volumes and prices.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220"/>
        <w:spacing w:after="0" w:line="346" w:lineRule="auto"/>
        <w:rPr>
          <w:sz w:val="20"/>
          <w:szCs w:val="20"/>
          <w:color w:val="auto"/>
        </w:rPr>
      </w:pPr>
      <w:r>
        <w:rPr>
          <w:rFonts w:ascii="Arial" w:cs="Arial" w:eastAsia="Arial" w:hAnsi="Arial"/>
          <w:sz w:val="18"/>
          <w:szCs w:val="18"/>
          <w:b w:val="1"/>
          <w:bCs w:val="1"/>
          <w:color w:val="auto"/>
        </w:rPr>
        <w:t xml:space="preserve">CASH FLOW DISCUSSION FOR THE SIX MONTHS ENDED JUNE 30, 2020 AND 2019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Operating activities provided cash of $223.7 million in the first six months of 2020 compared to cash provided by operating activities of $213.7 million in the first six months of 2019. The $10.0 million increase in cash flows from operating activities was mainly due to an increase in income from operations, partially offset by an increase in cash used for working capital during the six months ended June 30, 2020 as compared to the prior-year period.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used cash of $2.1 million in the first six months of 2020 as compared to $1.4 million of cash provided in the first six months of 2019, resulting in an overall unfavorable change of $3.5 million. The unfavorable change in working capital was mainly attributable to an unfavorable change in Westlake, net accounts receivable, due to lower feedstock purchases, partially offset by a favorable change in third party accounts receivable due to lower sales prices.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Net cash used for investing activities during the first six months of 2020 was $29.6 million as compared to net cash used for investing activities of $17.5 million in the first six months of 2019, mainly due to increased net cash used under the Investment Management Agreement in the first six months of 2020, which was partially offset by decreased capital expenditures, as compared to the prior-year period. Capital expenditures during the first six months of 2020 and 2019 were primarily related to projects to improve production capacity or reduce costs, maintenance and safety and environmental projects at our facilities.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Net cash used for financing activities during the first six months of 2020 was $190.4 million as compared to net cash used by financing activities of $198.4 million in the first six months of 2019. The outflows during the first six months of 2020 were related to the distribution of $157.2 million to Westlake and of $33.2 million to other unitholders by the Partnership. The cash inflows during the first six months of 2019 were a result of borrowings under the MLP Revolver of $123.5 million and net proceeds from the private placement of common units of approximately $62.9 million. The cash outflows during the first six months of 2019 were related to the distribution of $153.8 million to Westlake and of $29.6 million to other unitholders by the Partnership as well as a partial repayment of borrowings under the OpCo revolver of $201.4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171"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Pursuant to the terms of an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including the funding of potential drop-downs and other acquisitions. No common units had been issued under the ATM Program as of June 30, 2020.</w:t>
      </w:r>
    </w:p>
    <w:p>
      <w:pPr>
        <w:spacing w:after="0" w:line="122" w:lineRule="exact"/>
        <w:rPr>
          <w:sz w:val="20"/>
          <w:szCs w:val="20"/>
          <w:color w:val="auto"/>
        </w:rPr>
      </w:pPr>
    </w:p>
    <w:p>
      <w:pPr>
        <w:ind w:right="380" w:firstLine="432"/>
        <w:spacing w:after="0" w:line="263"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30" w:lineRule="exact"/>
        <w:rPr>
          <w:sz w:val="20"/>
          <w:szCs w:val="20"/>
          <w:color w:val="auto"/>
        </w:rPr>
      </w:pPr>
    </w:p>
    <w:p>
      <w:pPr>
        <w:ind w:right="280" w:firstLine="432"/>
        <w:spacing w:after="0" w:line="293" w:lineRule="auto"/>
        <w:rPr>
          <w:sz w:val="20"/>
          <w:szCs w:val="20"/>
          <w:color w:val="auto"/>
        </w:rPr>
      </w:pPr>
      <w:r>
        <w:rPr>
          <w:rFonts w:ascii="Arial" w:cs="Arial" w:eastAsia="Arial" w:hAnsi="Arial"/>
          <w:sz w:val="16"/>
          <w:szCs w:val="16"/>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common units representing limited partner interests of the Partnership, other classes of units representing limited partner interests of the Partnership or debt securities.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firstLine="432"/>
        <w:spacing w:after="0" w:line="301" w:lineRule="auto"/>
        <w:rPr>
          <w:sz w:val="20"/>
          <w:szCs w:val="20"/>
          <w:color w:val="auto"/>
        </w:rPr>
      </w:pPr>
      <w:r>
        <w:rPr>
          <w:rFonts w:ascii="Arial" w:cs="Arial" w:eastAsia="Arial" w:hAnsi="Arial"/>
          <w:sz w:val="16"/>
          <w:szCs w:val="16"/>
          <w:color w:val="auto"/>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03"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Our cash is generated from cash distributions from OpCo. OpCo is a restricted subsidiary under certain indentures governing Westlake's senior notes.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30"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On July 31, 2020, the board of directors of Westlake Chemical Partners GP LLC, our general partner, approved a quarterly distribution of 0.4714 per unit payable on August 24, 2020 to unitholders of record as of August 10, 2020, which equates to a total amount of approximately $16.6 million per quarter, or approximately $66.4 million per year in aggregate, based on the number of common units outstanding on June 30, 2020. We do not have a legal or contractual obligation to pay distributions on a quarterly basis or any other basis at our minimum quarterly distribution rate or any other 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Total capital expenditures for the six months ended June 30, 2020 and 2019 were $20.6 million and $25.6 million, respectively. No funding was required by OpCo to fund capital expenditures during the six months ended June 30, 2020 and 2019. We expect that Westlake will loan additional cash to OpCo to fund its expansion capital expenditures in the future, but Westlake is under no obligation to do so.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As of June 30, 2020, our cash and cash equivalents totaled $23.6 million. In addition, we have cash invested under the Investment Management Agreement (as described below) and a revolving credit facility with Westlake available to supplement cash if needed, as described under "Indebtedness" below.</w:t>
      </w:r>
    </w:p>
    <w:p>
      <w:pPr>
        <w:spacing w:after="0" w:line="130" w:lineRule="exact"/>
        <w:rPr>
          <w:sz w:val="20"/>
          <w:szCs w:val="20"/>
          <w:color w:val="auto"/>
        </w:rPr>
      </w:pPr>
    </w:p>
    <w:p>
      <w:pPr>
        <w:ind w:right="200" w:firstLine="432"/>
        <w:spacing w:after="0" w:line="301" w:lineRule="auto"/>
        <w:rPr>
          <w:sz w:val="20"/>
          <w:szCs w:val="20"/>
          <w:color w:val="auto"/>
        </w:rPr>
      </w:pPr>
      <w:r>
        <w:rPr>
          <w:rFonts w:ascii="Arial" w:cs="Arial" w:eastAsia="Arial" w:hAnsi="Arial"/>
          <w:sz w:val="16"/>
          <w:szCs w:val="16"/>
          <w:color w:val="auto"/>
        </w:rPr>
        <w:t>In August 2017, the Partnership, OpCo and Westlake executed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$171.4 million of cash invested under the Investment Management Agreement at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ind w:right="140" w:firstLine="391"/>
        <w:spacing w:after="0" w:line="257" w:lineRule="auto"/>
        <w:rPr>
          <w:sz w:val="20"/>
          <w:szCs w:val="20"/>
          <w:color w:val="auto"/>
        </w:rPr>
      </w:pPr>
      <w:r>
        <w:rPr>
          <w:rFonts w:ascii="Arial" w:cs="Arial" w:eastAsia="Arial" w:hAnsi="Arial"/>
          <w:sz w:val="18"/>
          <w:szCs w:val="18"/>
          <w:color w:val="auto"/>
        </w:rPr>
        <w:t>In connection with the IPO, OpCo entered into a $600.0 million revolving credit facility with Westlake (the "OpCo Revolver") that may be used to fund growth projects and working capital needs. On April 30, 2019, the Partnership repaid $201.4 million of borrowings under the OpCo Revolver. As of June 30, 2020, outstanding borrowings under the OpCo Revolver totaled $22.6 million and bore interest at the LIBOR rate plus 2.0%, which is accrued in arrears quarterly. In September 2018, the OpCo Revolver was amended to extend the scheduled maturity date from August 4, 2019 to September 25, 2023 and revise the applicable margin from 3.0% to 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17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2015, we entered into a senior, unsecured revolving credit agreement with an affiliate of Westlake (the "MLP Revolver"). The MLP Revolver has a borrowing capacity of $600 million and is scheduled to mature in 2023. On March 29, 2019, the Partnership borrowed $123.5 million under the MLP Revolver to partially fund the purchase of an additional 4.5% interest in OpCo. On March 19, 2020, the Partnership entered into an amendment to the MLP Revolver, to extend the maturity date to March 19, 2023 and add a phase-out provision for LIBOR, which is to be replaced by an alternate benchmark rate. Borrowings under the MLP Revolver bear interest at a variable rate of either (a) LIBOR plus 2.0% or, if LIBOR is no longer available, (b) Alternate Base Rate plus 1.0%.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 or less. The MLP Revolver also contains certain other customary covenants. The repayment of borrowings under the MLP Revolver is subject to acceleration upon the occurrence of an event of default. As of June 30, 2020, outstanding borrowings under the MLP Revolver totaled $377.1 million. We intend to use the MLP Revolver to purchase additional limited partnership interests in OpCo in the future, in the event OpCo desires to sell such additional interests to us, for other acquisitions and for general corporate purposes.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ind w:right="140" w:firstLine="324"/>
        <w:spacing w:after="0" w:line="287" w:lineRule="auto"/>
        <w:rPr>
          <w:sz w:val="20"/>
          <w:szCs w:val="20"/>
          <w:color w:val="auto"/>
        </w:rPr>
      </w:pPr>
      <w:r>
        <w:rPr>
          <w:rFonts w:ascii="Arial" w:cs="Arial" w:eastAsia="Arial" w:hAnsi="Arial"/>
          <w:sz w:val="16"/>
          <w:szCs w:val="16"/>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5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widespread outbreak of an illness or any other communicable disease, or any other public health crisis, including the COVID-19 pandemic;</w:t>
      </w:r>
    </w:p>
    <w:p>
      <w:pPr>
        <w:spacing w:after="0" w:line="101" w:lineRule="exact"/>
        <w:rPr>
          <w:rFonts w:ascii="Arial" w:cs="Arial" w:eastAsia="Arial" w:hAnsi="Arial"/>
          <w:sz w:val="17"/>
          <w:szCs w:val="17"/>
          <w:color w:val="auto"/>
        </w:rPr>
      </w:pPr>
    </w:p>
    <w:p>
      <w:pPr>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and Westlake's plans to respond to the challenges presented by the COVID-19 epidemic, including planned reductions of costs, increases of operational efficiencies and lowering of capital spending, as well as the timing and deferral of the planned turnaround at OpCo's Petro 2 ethylene unit;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funding and results of capital projects;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intended minimum quarterly distributions and the manner of making such distributions;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Partnership's At-the-Market program and the use of any net proceeds from any sales under that program;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90"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2019 Form 10-K and the following:</w:t>
      </w:r>
    </w:p>
    <w:p>
      <w:pPr>
        <w:spacing w:after="0" w:line="5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 crude oil prices reducing the cost advantage of ethane-based ethylene producers;</w:t>
      </w:r>
    </w:p>
    <w:p>
      <w:pPr>
        <w:spacing w:after="0" w:line="9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and elsewhere;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associated with pandemic infectious diseases, particularly COVID-19;</w:t>
      </w:r>
    </w:p>
    <w:p>
      <w:pPr>
        <w:spacing w:after="0" w:line="9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 including environmental regulations;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supply/demand balance for our product;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1" w:right="37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fluctuations during the term of the Ethylene Sales Agreement through the minimum commitment and the cost-plus based pricing. Additionally, we may use derivative instruments to reduce price volatility risk on feedstocks and ethylene associated with the production and sales to third parties. Based on our open derivative positions as of</w:t>
      </w:r>
    </w:p>
    <w:p>
      <w:pPr>
        <w:spacing w:after="0" w:line="2" w:lineRule="exact"/>
        <w:rPr>
          <w:sz w:val="20"/>
          <w:szCs w:val="20"/>
          <w:color w:val="auto"/>
        </w:rPr>
      </w:pPr>
    </w:p>
    <w:p>
      <w:pPr>
        <w:ind w:right="680"/>
        <w:spacing w:after="0" w:line="290" w:lineRule="auto"/>
        <w:rPr>
          <w:sz w:val="20"/>
          <w:szCs w:val="20"/>
          <w:color w:val="auto"/>
        </w:rPr>
      </w:pPr>
      <w:r>
        <w:rPr>
          <w:rFonts w:ascii="Arial" w:cs="Arial" w:eastAsia="Arial" w:hAnsi="Arial"/>
          <w:sz w:val="17"/>
          <w:szCs w:val="17"/>
          <w:color w:val="auto"/>
        </w:rPr>
        <w:t>June 30, 2020, a hypothetical $0.10 increase in the price of a gallon of ethane would have increased our income before taxes by $1.5 million and a hypothetical $0.10 decrease in the price of a pound of ethylene would have increased our income before taxes by $3.6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are exposed to interest rate risk with respect to our outstanding debt, all of which is variable rate debt. At June 30, 2020, we had total variable rate debt of $399.7 million outstanding, all of which was owed to wholly-owned subsidiaries of Westlake, and currently accrues interest at a variable rate of LIBOR plus 200 basis points. On March 19, 2020, the Partnership entered into an amendment to the MLP Revolver to extend the maturity date to March 19, 2023 and add a phase-out provision for LIBOR, which is to be replaced by an alternate benchmark rate. The amended credit agreement bears interest at a variable rate of either (a) LIBOR plus 2.0% or, if LIBOR is no longer available, (b) Alternate Base Rate plus 1.0%. The weighted average variable interest rate of our debt as of June 30, 2020 was 3.4%.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based on the June 30, 2020 debt balance.</w:t>
      </w:r>
    </w:p>
    <w:p>
      <w:pPr>
        <w:spacing w:after="0" w:line="3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LIBOR is used as a reference rate for all of our outstanding variable rate debt as of June 30, 2020. LIBOR is set to be phased out at the end of 2021 and to be replaced by an alternate benchmark rate. We do not expect the impact of the LIBOR phase out to be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1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2020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320" w:firstLine="432"/>
        <w:spacing w:after="0" w:line="263" w:lineRule="auto"/>
        <w:rPr>
          <w:sz w:val="20"/>
          <w:szCs w:val="20"/>
          <w:color w:val="auto"/>
        </w:rPr>
      </w:pPr>
      <w:r>
        <w:rPr>
          <w:rFonts w:ascii="Arial" w:cs="Arial" w:eastAsia="Arial" w:hAnsi="Arial"/>
          <w:sz w:val="18"/>
          <w:szCs w:val="18"/>
          <w:color w:val="auto"/>
        </w:rPr>
        <w:t>The 2019 Form 10-K, filed on February 28, 2020, contained a description of various legal proceedings in which we are involved, including environmental proceedings. See below and Note 13 to the unaudited consolidated financial statements within this Quarterly Report on Form 10-Q for a discussion on legal proceedings, which information is incorporated by reference herein.</w:t>
      </w:r>
    </w:p>
    <w:p>
      <w:pPr>
        <w:spacing w:after="0" w:line="13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Under the Omnibus Agreement, Westlake Chemical Corporation ("Westlake") has agreed to indemnify the Partnership for certain environmental and other liabilities relating to OpCo's processing facilities and related assets.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Potential Flare Modifications</w:t>
      </w:r>
      <w:r>
        <w:rPr>
          <w:rFonts w:ascii="Arial" w:cs="Arial" w:eastAsia="Arial" w:hAnsi="Arial"/>
          <w:sz w:val="17"/>
          <w:szCs w:val="17"/>
          <w:color w:val="auto"/>
        </w:rPr>
        <w:t>. For several years, the Environmental Protection Agency ("EPA") has been conducting an enforcement initiative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petroleum refineries and petrochemical 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$100,000.</w:t>
      </w:r>
    </w:p>
    <w:p>
      <w:pPr>
        <w:spacing w:after="0" w:line="124"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a discussion of risk factors, please read Item 1A, "Risk Factors" in the 2019 Form 10-K and in the Form 10-Q for the quarter ended March 31,</w:t>
      </w:r>
    </w:p>
    <w:p>
      <w:pPr>
        <w:spacing w:after="0" w:line="46"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2020. The risks described in those reports and in other documents that we file from time to time with the Securities and Exchange Commission could materially and adversely affect our business, results of operations, cash flow, liquidity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3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9760" w:type="dxa"/>
            <w:vAlign w:val="bottom"/>
            <w:gridSpan w:val="3"/>
          </w:tcPr>
          <w:p>
            <w:pPr>
              <w:ind w:left="28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Rule 13a – 14(a) / 15d – 14(a) Certification (Principal Executive Officer)</w:t>
              </w:r>
            </w:hyperlink>
          </w:p>
        </w:tc>
      </w:tr>
      <w:tr>
        <w:trPr>
          <w:trHeight w:val="392"/>
        </w:trPr>
        <w:tc>
          <w:tcPr>
            <w:tcW w:w="1060" w:type="dxa"/>
            <w:vAlign w:val="bottom"/>
            <w:gridSpan w:val="2"/>
          </w:tcPr>
          <w:p>
            <w:pPr>
              <w:spacing w:after="0"/>
              <w:rPr>
                <w:sz w:val="20"/>
                <w:szCs w:val="20"/>
                <w:color w:val="auto"/>
              </w:rPr>
            </w:pPr>
            <w:r>
              <w:rPr>
                <w:rFonts w:ascii="Arial" w:cs="Arial" w:eastAsia="Arial" w:hAnsi="Arial"/>
                <w:sz w:val="18"/>
                <w:szCs w:val="18"/>
                <w:color w:val="auto"/>
              </w:rPr>
              <w:t>31.2†</w:t>
            </w:r>
          </w:p>
        </w:tc>
        <w:tc>
          <w:tcPr>
            <w:tcW w:w="9760" w:type="dxa"/>
            <w:vAlign w:val="bottom"/>
            <w:gridSpan w:val="3"/>
          </w:tcPr>
          <w:p>
            <w:pPr>
              <w:ind w:left="28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Rule 13a – 14(a) / 15d – 14(a) Certification (Principal Financial Officer)</w:t>
              </w:r>
            </w:hyperlink>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9760" w:type="dxa"/>
            <w:vAlign w:val="bottom"/>
            <w:gridSpan w:val="3"/>
          </w:tcPr>
          <w:p>
            <w:pPr>
              <w:ind w:left="2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Section 1350 Certification (Principal Executive Officer and Principal Financial Officer)</w:t>
              </w:r>
            </w:hyperlink>
          </w:p>
        </w:tc>
      </w:tr>
      <w:tr>
        <w:trPr>
          <w:trHeight w:val="377"/>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760" w:type="dxa"/>
            <w:vAlign w:val="bottom"/>
            <w:gridSpan w:val="3"/>
          </w:tcPr>
          <w:p>
            <w:pPr>
              <w:ind w:left="280"/>
              <w:spacing w:after="0"/>
              <w:rPr>
                <w:sz w:val="20"/>
                <w:szCs w:val="20"/>
                <w:color w:val="auto"/>
              </w:rPr>
            </w:pPr>
            <w:r>
              <w:rPr>
                <w:rFonts w:ascii="Arial" w:cs="Arial" w:eastAsia="Arial" w:hAnsi="Arial"/>
                <w:sz w:val="18"/>
                <w:szCs w:val="18"/>
                <w:color w:val="auto"/>
                <w:w w:val="89"/>
              </w:rPr>
              <w:t>XBRL Instance Document–The instance document does not appear in the interactive data file because its XBRL tags are embedded</w:t>
            </w:r>
          </w:p>
        </w:tc>
      </w:tr>
      <w:tr>
        <w:trPr>
          <w:trHeight w:val="230"/>
        </w:trPr>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60" w:type="dxa"/>
            <w:vAlign w:val="bottom"/>
            <w:gridSpan w:val="3"/>
          </w:tcPr>
          <w:p>
            <w:pPr>
              <w:ind w:left="280"/>
              <w:spacing w:after="0"/>
              <w:rPr>
                <w:sz w:val="20"/>
                <w:szCs w:val="20"/>
                <w:color w:val="auto"/>
              </w:rPr>
            </w:pPr>
            <w:r>
              <w:rPr>
                <w:rFonts w:ascii="Arial" w:cs="Arial" w:eastAsia="Arial" w:hAnsi="Arial"/>
                <w:sz w:val="18"/>
                <w:szCs w:val="18"/>
                <w:color w:val="auto"/>
              </w:rPr>
              <w:t>within the Inline XBRL document.</w:t>
            </w:r>
          </w:p>
        </w:tc>
      </w:tr>
      <w:tr>
        <w:trPr>
          <w:trHeight w:val="392"/>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6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391"/>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6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6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1"/>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6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6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61" w:lineRule="exact"/>
        <w:rPr>
          <w:sz w:val="20"/>
          <w:szCs w:val="20"/>
          <w:color w:val="auto"/>
        </w:rPr>
      </w:pPr>
    </w:p>
    <w:p>
      <w:pPr>
        <w:ind w:left="1380" w:right="300" w:hanging="1345"/>
        <w:spacing w:after="0" w:line="266"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rPr>
          <w:sz w:val="20"/>
          <w:szCs w:val="20"/>
          <w:color w:val="auto"/>
        </w:rPr>
      </w:pPr>
      <w:r>
        <w:rPr>
          <w:rFonts w:ascii="Arial" w:cs="Arial" w:eastAsia="Arial" w:hAnsi="Arial"/>
          <w:sz w:val="18"/>
          <w:szCs w:val="18"/>
          <w:color w:val="auto"/>
        </w:rPr>
        <w:t>_____________</w:t>
      </w:r>
    </w:p>
    <w:p>
      <w:pPr>
        <w:spacing w:after="0" w:line="6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WESTLAKE CHEMICAL PARTNERS LP</w:t>
      </w:r>
    </w:p>
    <w:p>
      <w:pPr>
        <w:spacing w:after="0" w:line="337" w:lineRule="exact"/>
        <w:rPr>
          <w:sz w:val="20"/>
          <w:szCs w:val="20"/>
          <w:color w:val="auto"/>
        </w:rPr>
      </w:pPr>
    </w:p>
    <w:p>
      <w:pPr>
        <w:ind w:left="40"/>
        <w:spacing w:after="0"/>
        <w:tabs>
          <w:tab w:leader="none" w:pos="580" w:val="left"/>
          <w:tab w:leader="none" w:pos="6440" w:val="left"/>
          <w:tab w:leader="none" w:pos="8360" w:val="left"/>
          <w:tab w:leader="none" w:pos="8700" w:val="left"/>
        </w:tabs>
        <w:rPr>
          <w:sz w:val="20"/>
          <w:szCs w:val="20"/>
          <w:color w:val="auto"/>
        </w:rPr>
      </w:pPr>
      <w:r>
        <w:rPr>
          <w:rFonts w:ascii="Arial" w:cs="Arial" w:eastAsia="Arial" w:hAnsi="Arial"/>
          <w:sz w:val="18"/>
          <w:szCs w:val="18"/>
          <w:color w:val="auto"/>
        </w:rPr>
        <w:t>Date:</w:t>
        <w:tab/>
        <w:t>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31750</wp:posOffset>
            </wp:positionV>
            <wp:extent cx="270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16"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680"/>
        <w:spacing w:after="0"/>
        <w:rPr>
          <w:sz w:val="20"/>
          <w:szCs w:val="20"/>
          <w:color w:val="auto"/>
        </w:rPr>
      </w:pPr>
      <w:r>
        <w:rPr>
          <w:rFonts w:ascii="Arial" w:cs="Arial" w:eastAsia="Arial" w:hAnsi="Arial"/>
          <w:sz w:val="13"/>
          <w:szCs w:val="13"/>
          <w:b w:val="1"/>
          <w:bCs w:val="1"/>
          <w:color w:val="auto"/>
        </w:rPr>
        <w:t>President, Chief Executive Officer and Director of</w:t>
      </w:r>
    </w:p>
    <w:p>
      <w:pPr>
        <w:spacing w:after="0" w:line="3"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Westlake Chemical Partners GP LLC</w:t>
      </w:r>
    </w:p>
    <w:p>
      <w:pPr>
        <w:jc w:val="center"/>
        <w:ind w:left="718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580" w:val="left"/>
          <w:tab w:leader="none" w:pos="6440" w:val="left"/>
          <w:tab w:leader="none" w:pos="8140" w:val="left"/>
          <w:tab w:leader="none" w:pos="8500" w:val="left"/>
        </w:tabs>
        <w:rPr>
          <w:sz w:val="20"/>
          <w:szCs w:val="20"/>
          <w:color w:val="auto"/>
        </w:rPr>
      </w:pPr>
      <w:r>
        <w:rPr>
          <w:rFonts w:ascii="Arial" w:cs="Arial" w:eastAsia="Arial" w:hAnsi="Arial"/>
          <w:sz w:val="18"/>
          <w:szCs w:val="18"/>
          <w:color w:val="auto"/>
        </w:rPr>
        <w:t>Date:</w:t>
        <w:tab/>
        <w:t>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31750</wp:posOffset>
            </wp:positionV>
            <wp:extent cx="2700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116"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Senior Vice President, Chief Financial Officer and</w:t>
      </w:r>
    </w:p>
    <w:p>
      <w:pPr>
        <w:spacing w:after="0" w:line="3" w:lineRule="exact"/>
        <w:rPr>
          <w:sz w:val="20"/>
          <w:szCs w:val="20"/>
          <w:color w:val="auto"/>
        </w:rPr>
      </w:pPr>
    </w:p>
    <w:p>
      <w:pPr>
        <w:jc w:val="center"/>
        <w:ind w:left="7180"/>
        <w:spacing w:after="0"/>
        <w:rPr>
          <w:sz w:val="20"/>
          <w:szCs w:val="20"/>
          <w:color w:val="auto"/>
        </w:rPr>
      </w:pPr>
      <w:r>
        <w:rPr>
          <w:rFonts w:ascii="Arial" w:cs="Arial" w:eastAsia="Arial" w:hAnsi="Arial"/>
          <w:sz w:val="13"/>
          <w:szCs w:val="13"/>
          <w:b w:val="1"/>
          <w:bCs w:val="1"/>
          <w:color w:val="auto"/>
        </w:rPr>
        <w:t>Director of Westlake Chemical Partners GP LLC</w:t>
      </w:r>
    </w:p>
    <w:p>
      <w:pPr>
        <w:jc w:val="center"/>
        <w:ind w:left="7180"/>
        <w:spacing w:after="0"/>
        <w:rPr>
          <w:sz w:val="20"/>
          <w:szCs w:val="20"/>
          <w:color w:val="auto"/>
        </w:rPr>
      </w:pPr>
      <w:r>
        <w:rPr>
          <w:rFonts w:ascii="Arial" w:cs="Arial" w:eastAsia="Arial" w:hAnsi="Arial"/>
          <w:sz w:val="14"/>
          <w:szCs w:val="14"/>
          <w:b w:val="1"/>
          <w:bCs w:val="1"/>
          <w:color w:val="auto"/>
        </w:rPr>
        <w:t>(Principal Financial Officer)</w:t>
      </w:r>
    </w:p>
    <w:p>
      <w:pPr>
        <w:spacing w:after="0" w:line="2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60"/>
          </w:cols>
          <w:pgMar w:left="320" w:top="121" w:right="8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60" w:hanging="685"/>
        <w:spacing w:after="0" w:line="263"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20" w:right="20" w:hanging="685"/>
        <w:spacing w:after="0" w:line="308"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60" w:hanging="685"/>
        <w:spacing w:after="0" w:line="263"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1380" w:right="40" w:hanging="670"/>
        <w:spacing w:after="0" w:line="263"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1380" w:right="80" w:hanging="670"/>
        <w:spacing w:after="0" w:line="263"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1380" w:right="140" w:hanging="670"/>
        <w:spacing w:after="0" w:line="342" w:lineRule="auto"/>
        <w:tabs>
          <w:tab w:leader="none" w:pos="13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80" w:right="200" w:hanging="670"/>
        <w:spacing w:after="0" w:line="263"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720" w:right="240" w:hanging="685"/>
        <w:spacing w:after="0" w:line="342"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80" w:right="420" w:hanging="670"/>
        <w:spacing w:after="0" w:line="342" w:lineRule="auto"/>
        <w:tabs>
          <w:tab w:leader="none" w:pos="13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80" w:right="120" w:hanging="670"/>
        <w:spacing w:after="0" w:line="277"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40"/>
        <w:spacing w:after="0"/>
        <w:tabs>
          <w:tab w:leader="none" w:pos="700" w:val="left"/>
          <w:tab w:leader="none" w:pos="8300" w:val="left"/>
          <w:tab w:leader="none" w:pos="8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2020</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31750</wp:posOffset>
            </wp:positionV>
            <wp:extent cx="27686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02"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jc w:val="center"/>
        <w:ind w:left="708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55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60" w:hanging="685"/>
        <w:spacing w:after="0" w:line="263"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20" w:right="20" w:hanging="685"/>
        <w:spacing w:after="0" w:line="308"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60" w:hanging="685"/>
        <w:spacing w:after="0" w:line="263"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1380" w:right="40" w:hanging="670"/>
        <w:spacing w:after="0" w:line="263"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1380" w:right="80" w:hanging="670"/>
        <w:spacing w:after="0" w:line="263"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1380" w:right="140" w:hanging="670"/>
        <w:spacing w:after="0" w:line="342" w:lineRule="auto"/>
        <w:tabs>
          <w:tab w:leader="none" w:pos="13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80" w:right="200" w:hanging="670"/>
        <w:spacing w:after="0" w:line="263"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720" w:right="240" w:hanging="685"/>
        <w:spacing w:after="0" w:line="342"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80" w:right="420" w:hanging="670"/>
        <w:spacing w:after="0" w:line="342" w:lineRule="auto"/>
        <w:tabs>
          <w:tab w:leader="none" w:pos="13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80" w:right="120" w:hanging="670"/>
        <w:spacing w:after="0" w:line="277"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40"/>
        <w:spacing w:after="0"/>
        <w:tabs>
          <w:tab w:leader="none" w:pos="580" w:val="left"/>
          <w:tab w:leader="none" w:pos="8240" w:val="left"/>
        </w:tabs>
        <w:rPr>
          <w:sz w:val="20"/>
          <w:szCs w:val="20"/>
          <w:color w:val="auto"/>
        </w:rPr>
      </w:pPr>
      <w:r>
        <w:rPr>
          <w:rFonts w:ascii="Arial" w:cs="Arial" w:eastAsia="Arial" w:hAnsi="Arial"/>
          <w:sz w:val="18"/>
          <w:szCs w:val="18"/>
          <w:color w:val="auto"/>
        </w:rPr>
        <w:t>Date:</w:t>
        <w:tab/>
        <w:t>August 6, 2020</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02"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220"/>
        <w:spacing w:after="0"/>
        <w:rPr>
          <w:sz w:val="20"/>
          <w:szCs w:val="20"/>
          <w:color w:val="auto"/>
        </w:rPr>
      </w:pPr>
      <w:r>
        <w:rPr>
          <w:rFonts w:ascii="Arial" w:cs="Arial" w:eastAsia="Arial" w:hAnsi="Arial"/>
          <w:sz w:val="13"/>
          <w:szCs w:val="13"/>
          <w:b w:val="1"/>
          <w:bCs w:val="1"/>
          <w:color w:val="auto"/>
        </w:rPr>
        <w:t>Senior Vice President, Chief Financial Officer and Director of</w:t>
      </w:r>
    </w:p>
    <w:p>
      <w:pPr>
        <w:spacing w:after="0" w:line="3"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Westlake Chemical Partners GP LLC</w:t>
      </w:r>
    </w:p>
    <w:p>
      <w:pPr>
        <w:jc w:val="center"/>
        <w:ind w:left="69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55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June 30, 2020 as filed with the Securities and Exchange Commission on the date hereof (the "Report"), I, Albert Chao, President, Chief Executive Officer and Director of the Partnership, and I, M. Steven Bender, Senior Vice President, Chief Financial Officer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580" w:val="left"/>
          <w:tab w:leader="none" w:pos="8240" w:val="left"/>
          <w:tab w:leader="none" w:pos="8600" w:val="left"/>
        </w:tabs>
        <w:rPr>
          <w:sz w:val="20"/>
          <w:szCs w:val="20"/>
          <w:color w:val="auto"/>
        </w:rPr>
      </w:pPr>
      <w:r>
        <w:rPr>
          <w:rFonts w:ascii="Arial" w:cs="Arial" w:eastAsia="Arial" w:hAnsi="Arial"/>
          <w:sz w:val="18"/>
          <w:szCs w:val="18"/>
          <w:color w:val="auto"/>
        </w:rPr>
        <w:t>Date:</w:t>
        <w:tab/>
        <w:t>August 6, 2020</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02"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6960"/>
        <w:spacing w:after="0" w:line="226" w:lineRule="auto"/>
        <w:rPr>
          <w:sz w:val="20"/>
          <w:szCs w:val="20"/>
          <w:color w:val="auto"/>
        </w:rPr>
      </w:pPr>
      <w:r>
        <w:rPr>
          <w:rFonts w:ascii="Arial" w:cs="Arial" w:eastAsia="Arial" w:hAnsi="Arial"/>
          <w:sz w:val="14"/>
          <w:szCs w:val="14"/>
          <w:b w:val="1"/>
          <w:bCs w:val="1"/>
          <w:color w:val="auto"/>
        </w:rPr>
        <w:t>Westlake Chemical Partners GP LLC</w:t>
      </w:r>
    </w:p>
    <w:p>
      <w:pPr>
        <w:jc w:val="center"/>
        <w:ind w:left="6960"/>
        <w:spacing w:after="0"/>
        <w:rPr>
          <w:sz w:val="20"/>
          <w:szCs w:val="20"/>
          <w:color w:val="auto"/>
        </w:rPr>
      </w:pPr>
      <w:r>
        <w:rPr>
          <w:rFonts w:ascii="Arial" w:cs="Arial" w:eastAsia="Arial" w:hAnsi="Arial"/>
          <w:sz w:val="14"/>
          <w:szCs w:val="14"/>
          <w:b w:val="1"/>
          <w:bCs w:val="1"/>
          <w:color w:val="auto"/>
        </w:rPr>
        <w:t>(Principal Executive Officer)</w:t>
      </w:r>
    </w:p>
    <w:p>
      <w:pPr>
        <w:spacing w:after="0" w:line="385" w:lineRule="exact"/>
        <w:rPr>
          <w:sz w:val="20"/>
          <w:szCs w:val="20"/>
          <w:color w:val="auto"/>
        </w:rPr>
      </w:pPr>
    </w:p>
    <w:p>
      <w:pPr>
        <w:ind w:left="40"/>
        <w:spacing w:after="0"/>
        <w:tabs>
          <w:tab w:leader="none" w:pos="580" w:val="left"/>
          <w:tab w:leader="none" w:pos="8040" w:val="left"/>
          <w:tab w:leader="none" w:pos="8400" w:val="left"/>
        </w:tabs>
        <w:rPr>
          <w:sz w:val="20"/>
          <w:szCs w:val="20"/>
          <w:color w:val="auto"/>
        </w:rPr>
      </w:pPr>
      <w:r>
        <w:rPr>
          <w:rFonts w:ascii="Arial" w:cs="Arial" w:eastAsia="Arial" w:hAnsi="Arial"/>
          <w:sz w:val="18"/>
          <w:szCs w:val="18"/>
          <w:color w:val="auto"/>
        </w:rPr>
        <w:t>Date:</w:t>
        <w:tab/>
        <w:t>August 6, 2020</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02"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Senior Vice President, Chief Financial Officer and</w:t>
      </w:r>
    </w:p>
    <w:p>
      <w:pPr>
        <w:jc w:val="center"/>
        <w:ind w:left="6960"/>
        <w:spacing w:after="0" w:line="226"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96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2"/>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04"/>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2020-08-06T13:38:59Z</dcterms:created>
  <dcterms:modified xsi:type="dcterms:W3CDTF">2020-08-06T13:38:59Z</dcterms:modified>
</cp:coreProperties>
</file>