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tabs>
          <w:tab w:leader="none" w:pos="390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September 30, 2019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8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800" w:type="dxa"/>
            <w:vAlign w:val="bottom"/>
            <w:gridSpan w:val="2"/>
          </w:tcPr>
          <w:p>
            <w:pPr>
              <w:jc w:val="center"/>
              <w:ind w:left="1636"/>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40" w:type="dxa"/>
            <w:vAlign w:val="bottom"/>
          </w:tcPr>
          <w:p>
            <w:pPr>
              <w:jc w:val="center"/>
              <w:ind w:right="1377"/>
              <w:spacing w:after="0"/>
              <w:rPr>
                <w:sz w:val="20"/>
                <w:szCs w:val="20"/>
                <w:color w:val="auto"/>
              </w:rPr>
            </w:pPr>
            <w:r>
              <w:rPr>
                <w:rFonts w:ascii="Arial" w:cs="Arial" w:eastAsia="Arial" w:hAnsi="Arial"/>
                <w:sz w:val="18"/>
                <w:szCs w:val="18"/>
                <w:b w:val="1"/>
                <w:bCs w:val="1"/>
                <w:color w:val="auto"/>
                <w:w w:val="89"/>
              </w:rPr>
              <w:t>32-0436529</w:t>
            </w:r>
          </w:p>
        </w:tc>
      </w:tr>
      <w:tr>
        <w:trPr>
          <w:trHeight w:val="180"/>
        </w:trPr>
        <w:tc>
          <w:tcPr>
            <w:tcW w:w="40" w:type="dxa"/>
            <w:vAlign w:val="bottom"/>
          </w:tcPr>
          <w:p>
            <w:pPr>
              <w:spacing w:after="0"/>
              <w:rPr>
                <w:sz w:val="15"/>
                <w:szCs w:val="15"/>
                <w:color w:val="auto"/>
              </w:rPr>
            </w:pPr>
          </w:p>
        </w:tc>
        <w:tc>
          <w:tcPr>
            <w:tcW w:w="380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jc w:val="center"/>
              <w:ind w:right="1397"/>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 w:type="dxa"/>
            <w:vAlign w:val="bottom"/>
          </w:tcPr>
          <w:p>
            <w:pPr>
              <w:spacing w:after="0"/>
              <w:rPr>
                <w:sz w:val="16"/>
                <w:szCs w:val="16"/>
                <w:color w:val="auto"/>
              </w:rPr>
            </w:pPr>
          </w:p>
        </w:tc>
        <w:tc>
          <w:tcPr>
            <w:tcW w:w="380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4"/>
              </w:rPr>
              <w:t>incorporation or organization)</w:t>
            </w:r>
          </w:p>
        </w:tc>
        <w:tc>
          <w:tcPr>
            <w:tcW w:w="2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40" w:type="dxa"/>
            <w:vAlign w:val="bottom"/>
          </w:tcPr>
          <w:p>
            <w:pPr>
              <w:jc w:val="center"/>
              <w:ind w:right="1377"/>
              <w:spacing w:after="0"/>
              <w:rPr>
                <w:sz w:val="20"/>
                <w:szCs w:val="20"/>
                <w:color w:val="auto"/>
              </w:rPr>
            </w:pPr>
            <w:r>
              <w:rPr>
                <w:rFonts w:ascii="Arial" w:cs="Arial" w:eastAsia="Arial" w:hAnsi="Arial"/>
                <w:sz w:val="14"/>
                <w:szCs w:val="14"/>
                <w:b w:val="1"/>
                <w:bCs w:val="1"/>
                <w:color w:val="auto"/>
                <w:w w:val="95"/>
              </w:rPr>
              <w:t>Identification Number)</w:t>
            </w:r>
          </w:p>
        </w:tc>
      </w:tr>
      <w:tr>
        <w:trPr>
          <w:trHeight w:val="372"/>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40" w:type="dxa"/>
            <w:vAlign w:val="bottom"/>
            <w:gridSpan w:val="2"/>
          </w:tcPr>
          <w:p>
            <w:pPr>
              <w:jc w:val="center"/>
              <w:ind w:left="115"/>
              <w:spacing w:after="0"/>
              <w:rPr>
                <w:sz w:val="20"/>
                <w:szCs w:val="20"/>
                <w:color w:val="auto"/>
              </w:rPr>
            </w:pPr>
            <w:r>
              <w:rPr>
                <w:rFonts w:ascii="Arial" w:cs="Arial" w:eastAsia="Arial" w:hAnsi="Arial"/>
                <w:sz w:val="18"/>
                <w:szCs w:val="18"/>
                <w:b w:val="1"/>
                <w:bCs w:val="1"/>
                <w:color w:val="auto"/>
                <w:w w:val="89"/>
              </w:rPr>
              <w:t>2801 Post Oak Boulevard, Suite 600</w:t>
            </w:r>
          </w:p>
        </w:tc>
        <w:tc>
          <w:tcPr>
            <w:tcW w:w="40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40" w:type="dxa"/>
            <w:vAlign w:val="bottom"/>
            <w:gridSpan w:val="2"/>
          </w:tcPr>
          <w:p>
            <w:pPr>
              <w:jc w:val="center"/>
              <w:ind w:left="115"/>
              <w:spacing w:after="0"/>
              <w:rPr>
                <w:sz w:val="20"/>
                <w:szCs w:val="20"/>
                <w:color w:val="auto"/>
              </w:rPr>
            </w:pPr>
            <w:r>
              <w:rPr>
                <w:rFonts w:ascii="Arial" w:cs="Arial" w:eastAsia="Arial" w:hAnsi="Arial"/>
                <w:sz w:val="18"/>
                <w:szCs w:val="18"/>
                <w:b w:val="1"/>
                <w:bCs w:val="1"/>
                <w:color w:val="auto"/>
                <w:w w:val="87"/>
              </w:rPr>
              <w:t>Houston, Texas 77056</w:t>
            </w:r>
          </w:p>
        </w:tc>
        <w:tc>
          <w:tcPr>
            <w:tcW w:w="4040" w:type="dxa"/>
            <w:vAlign w:val="bottom"/>
          </w:tcPr>
          <w:p>
            <w:pPr>
              <w:spacing w:after="0"/>
              <w:rPr>
                <w:sz w:val="18"/>
                <w:szCs w:val="18"/>
                <w:color w:val="auto"/>
              </w:rPr>
            </w:pPr>
          </w:p>
        </w:tc>
      </w:tr>
      <w:tr>
        <w:trPr>
          <w:trHeight w:val="186"/>
        </w:trPr>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580" w:type="dxa"/>
            <w:vAlign w:val="bottom"/>
            <w:gridSpan w:val="3"/>
          </w:tcPr>
          <w:p>
            <w:pPr>
              <w:jc w:val="center"/>
              <w:ind w:right="373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54"/>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20" w:type="dxa"/>
            <w:vAlign w:val="bottom"/>
          </w:tcPr>
          <w:p>
            <w:pPr>
              <w:jc w:val="center"/>
              <w:ind w:left="755"/>
              <w:spacing w:after="0"/>
              <w:rPr>
                <w:sz w:val="20"/>
                <w:szCs w:val="20"/>
                <w:color w:val="auto"/>
              </w:rPr>
            </w:pPr>
            <w:r>
              <w:rPr>
                <w:rFonts w:ascii="Arial" w:cs="Arial" w:eastAsia="Arial" w:hAnsi="Arial"/>
                <w:sz w:val="18"/>
                <w:szCs w:val="18"/>
                <w:b w:val="1"/>
                <w:bCs w:val="1"/>
                <w:color w:val="auto"/>
                <w:w w:val="90"/>
              </w:rPr>
              <w:t>(713) 585-2900</w:t>
            </w: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4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40" w:type="dxa"/>
            <w:vAlign w:val="bottom"/>
          </w:tcPr>
          <w:p>
            <w:pPr>
              <w:spacing w:after="0"/>
              <w:rPr>
                <w:sz w:val="16"/>
                <w:szCs w:val="16"/>
                <w:color w:val="auto"/>
              </w:rPr>
            </w:pPr>
          </w:p>
        </w:tc>
      </w:tr>
      <w:tr>
        <w:trPr>
          <w:trHeight w:val="377"/>
        </w:trPr>
        <w:tc>
          <w:tcPr>
            <w:tcW w:w="738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04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80" w:type="dxa"/>
            <w:vAlign w:val="bottom"/>
          </w:tcPr>
          <w:p>
            <w:pPr>
              <w:spacing w:after="0"/>
              <w:rPr>
                <w:sz w:val="20"/>
                <w:szCs w:val="20"/>
                <w:color w:val="auto"/>
              </w:rPr>
            </w:pPr>
          </w:p>
        </w:tc>
        <w:tc>
          <w:tcPr>
            <w:tcW w:w="2920" w:type="dxa"/>
            <w:vAlign w:val="bottom"/>
            <w:tcBorders>
              <w:right w:val="single" w:sz="8" w:color="auto"/>
            </w:tcBorders>
          </w:tcPr>
          <w:p>
            <w:pPr>
              <w:jc w:val="center"/>
              <w:ind w:right="435"/>
              <w:spacing w:after="0"/>
              <w:rPr>
                <w:sz w:val="20"/>
                <w:szCs w:val="20"/>
                <w:color w:val="auto"/>
              </w:rPr>
            </w:pPr>
            <w:r>
              <w:rPr>
                <w:rFonts w:ascii="Arial" w:cs="Arial" w:eastAsia="Arial" w:hAnsi="Arial"/>
                <w:sz w:val="18"/>
                <w:szCs w:val="18"/>
                <w:b w:val="1"/>
                <w:bCs w:val="1"/>
                <w:color w:val="auto"/>
                <w:w w:val="91"/>
              </w:rPr>
              <w:t>Trading Symbol(s)</w:t>
            </w:r>
          </w:p>
        </w:tc>
        <w:tc>
          <w:tcPr>
            <w:tcW w:w="620" w:type="dxa"/>
            <w:vAlign w:val="bottom"/>
          </w:tcPr>
          <w:p>
            <w:pPr>
              <w:spacing w:after="0"/>
              <w:rPr>
                <w:sz w:val="20"/>
                <w:szCs w:val="20"/>
                <w:color w:val="auto"/>
              </w:rPr>
            </w:pPr>
          </w:p>
        </w:tc>
        <w:tc>
          <w:tcPr>
            <w:tcW w:w="4040" w:type="dxa"/>
            <w:vAlign w:val="bottom"/>
            <w:tcBorders>
              <w:right w:val="single" w:sz="8" w:color="auto"/>
            </w:tcBorders>
          </w:tcPr>
          <w:p>
            <w:pPr>
              <w:jc w:val="center"/>
              <w:ind w:right="537"/>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 w:type="dxa"/>
            <w:vAlign w:val="bottom"/>
            <w:tcBorders>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units representing limited</w:t>
            </w:r>
          </w:p>
        </w:tc>
        <w:tc>
          <w:tcPr>
            <w:tcW w:w="48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4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partnership interests</w:t>
            </w:r>
          </w:p>
        </w:tc>
        <w:tc>
          <w:tcPr>
            <w:tcW w:w="480" w:type="dxa"/>
            <w:vAlign w:val="bottom"/>
          </w:tcPr>
          <w:p>
            <w:pPr>
              <w:spacing w:after="0"/>
              <w:rPr>
                <w:sz w:val="20"/>
                <w:szCs w:val="20"/>
                <w:color w:val="auto"/>
              </w:rPr>
            </w:pPr>
          </w:p>
        </w:tc>
        <w:tc>
          <w:tcPr>
            <w:tcW w:w="2920" w:type="dxa"/>
            <w:vAlign w:val="bottom"/>
            <w:tcBorders>
              <w:right w:val="single" w:sz="8" w:color="auto"/>
            </w:tcBorders>
          </w:tcPr>
          <w:p>
            <w:pPr>
              <w:jc w:val="center"/>
              <w:ind w:right="415"/>
              <w:spacing w:after="0"/>
              <w:rPr>
                <w:sz w:val="20"/>
                <w:szCs w:val="20"/>
                <w:color w:val="auto"/>
              </w:rPr>
            </w:pPr>
            <w:r>
              <w:rPr>
                <w:rFonts w:ascii="Arial" w:cs="Arial" w:eastAsia="Arial" w:hAnsi="Arial"/>
                <w:sz w:val="18"/>
                <w:szCs w:val="18"/>
                <w:color w:val="auto"/>
                <w:w w:val="97"/>
              </w:rPr>
              <w:t>WLKP</w:t>
            </w:r>
          </w:p>
        </w:tc>
        <w:tc>
          <w:tcPr>
            <w:tcW w:w="620" w:type="dxa"/>
            <w:vAlign w:val="bottom"/>
          </w:tcPr>
          <w:p>
            <w:pPr>
              <w:spacing w:after="0"/>
              <w:rPr>
                <w:sz w:val="20"/>
                <w:szCs w:val="20"/>
                <w:color w:val="auto"/>
              </w:rPr>
            </w:pPr>
          </w:p>
        </w:tc>
        <w:tc>
          <w:tcPr>
            <w:tcW w:w="4040" w:type="dxa"/>
            <w:vAlign w:val="bottom"/>
            <w:tcBorders>
              <w:right w:val="single" w:sz="8" w:color="auto"/>
            </w:tcBorders>
          </w:tcPr>
          <w:p>
            <w:pPr>
              <w:jc w:val="center"/>
              <w:ind w:right="557"/>
              <w:spacing w:after="0"/>
              <w:rPr>
                <w:sz w:val="20"/>
                <w:szCs w:val="20"/>
                <w:color w:val="auto"/>
              </w:rPr>
            </w:pPr>
            <w:r>
              <w:rPr>
                <w:rFonts w:ascii="Arial" w:cs="Arial" w:eastAsia="Arial" w:hAnsi="Arial"/>
                <w:sz w:val="18"/>
                <w:szCs w:val="18"/>
                <w:color w:val="auto"/>
                <w:w w:val="91"/>
              </w:rPr>
              <w:t>The New York Stock Exchange</w:t>
            </w:r>
          </w:p>
        </w:tc>
      </w:tr>
      <w:tr>
        <w:trPr>
          <w:trHeight w:val="27"/>
        </w:trPr>
        <w:tc>
          <w:tcPr>
            <w:tcW w:w="40" w:type="dxa"/>
            <w:vAlign w:val="bottom"/>
            <w:tcBorders>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54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8"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Accelerated filer</w:t>
            </w:r>
          </w:p>
        </w:tc>
        <w:tc>
          <w:tcPr>
            <w:tcW w:w="7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19"/>
        </w:trPr>
        <w:tc>
          <w:tcPr>
            <w:tcW w:w="236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Arial" w:cs="Arial" w:eastAsia="Arial" w:hAnsi="Arial"/>
          <w:sz w:val="18"/>
          <w:szCs w:val="18"/>
          <w:color w:val="auto"/>
        </w:rPr>
        <w:t>x</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35,188,189 common units outstanding as of October 30, 2019.</w:t>
      </w:r>
    </w:p>
    <w:p>
      <w:pPr>
        <w:sectPr>
          <w:pgSz w:w="11900" w:h="16838" w:orient="portrait"/>
          <w:cols w:equalWidth="0" w:num="1">
            <w:col w:w="11420"/>
          </w:cols>
          <w:pgMar w:left="240" w:top="274"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17">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17">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29">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sz w:val="20"/>
                <w:szCs w:val="20"/>
                <w:color w:val="auto"/>
              </w:rPr>
            </w:pPr>
            <w:r>
              <w:rPr>
                <w:rFonts w:ascii="Arial" w:cs="Arial" w:eastAsia="Arial" w:hAnsi="Arial"/>
                <w:sz w:val="18"/>
                <w:szCs w:val="18"/>
                <w:color w:val="auto"/>
                <w:w w:val="99"/>
              </w:rPr>
              <w:t>5)</w:t>
            </w:r>
          </w:p>
        </w:tc>
        <w:tc>
          <w:tcPr>
            <w:tcW w:w="1006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85"/>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1"/>
              </w:rPr>
              <w:t>(in thousands of dollars, except unit amounts)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w w:val="94"/>
              </w:rPr>
              <w:t>Receivable under the Investment Management Agreement—Westlake Chemical Corporation ("Westlake")</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164,888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148,956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net—Westlake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57,280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net—third parties</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247,142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1,113,010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1,148,265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charges and other assets, net</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50,896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60,904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1,407,056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1,462,125</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13,330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27,477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48,772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477,608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528,044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unitholders—publicly and privately held (21,065,959 and 18,125,141 units issued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0"/>
              <w:spacing w:after="0"/>
              <w:rPr>
                <w:sz w:val="20"/>
                <w:szCs w:val="20"/>
                <w:color w:val="auto"/>
              </w:rPr>
            </w:pPr>
            <w:r>
              <w:rPr>
                <w:rFonts w:ascii="Arial" w:cs="Arial" w:eastAsia="Arial" w:hAnsi="Arial"/>
                <w:sz w:val="18"/>
                <w:szCs w:val="18"/>
                <w:color w:val="auto"/>
              </w:rPr>
              <w:t>and outstanding at September 30, 2019 and December 31, 2018, respectively)</w:t>
            </w:r>
          </w:p>
        </w:tc>
        <w:tc>
          <w:tcPr>
            <w:tcW w:w="12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470,977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409,608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unitholder—Westlake (14,122,230 and 14,122,230 units issued and outstanding at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September 30, 2019 and December 31, 2018,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48,774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215,810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686,386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718,271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962,731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934,081</w:t>
            </w:r>
          </w:p>
        </w:tc>
        <w:tc>
          <w:tcPr>
            <w:tcW w:w="0" w:type="dxa"/>
            <w:vAlign w:val="bottom"/>
          </w:tcPr>
          <w:p>
            <w:pPr>
              <w:spacing w:after="0"/>
              <w:rPr>
                <w:sz w:val="1"/>
                <w:szCs w:val="1"/>
                <w:color w:val="auto"/>
              </w:rPr>
            </w:pPr>
          </w:p>
        </w:tc>
      </w:tr>
      <w:tr>
        <w:trPr>
          <w:trHeight w:val="257"/>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1,407,056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1,462,125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9"/>
          </w:tcPr>
          <w:p>
            <w:pPr>
              <w:jc w:val="right"/>
              <w:ind w:right="30"/>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1040" w:type="dxa"/>
            <w:vAlign w:val="bottom"/>
          </w:tcPr>
          <w:p>
            <w:pPr>
              <w:spacing w:after="0"/>
              <w:rPr>
                <w:sz w:val="24"/>
                <w:szCs w:val="24"/>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216,678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313,381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703,765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802,085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147,812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249,925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363,650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819,073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949,897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156,706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269,743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666,367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93,219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93,907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275,831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283,530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86,397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87,998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254,397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263,113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(16,052)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82,551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83,027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241,494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248,803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82,479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83,799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240,985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248,989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Less: Net income attributable to noncontrolling interest in OpCo</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211,525</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14,922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12,412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43,610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37,464</w:t>
            </w:r>
          </w:p>
        </w:tc>
      </w:tr>
      <w:tr>
        <w:trPr>
          <w:trHeight w:val="185"/>
        </w:trPr>
        <w:tc>
          <w:tcPr>
            <w:tcW w:w="516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Net income per limited partner unit attributable to Westlake</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4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Chemical Partners LP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5"/>
              </w:rPr>
              <w:t>Weighted average limited partner units outstanding (basic and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units—publicly and privately held</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21,065,959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18,119,980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20,128,775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18,116,433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14,122,230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14,122,230</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i w:val="1"/>
                <w:iCs w:val="1"/>
                <w:color w:val="auto"/>
              </w:rPr>
              <w:t>Partnership</w:t>
            </w: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right"/>
              <w:ind w:right="220"/>
              <w:spacing w:after="0" w:line="153"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14"/>
                <w:szCs w:val="14"/>
                <w:color w:val="auto"/>
                <w:w w:val="95"/>
              </w:rPr>
              <w:t>—</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Public and</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Westlake</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in OpCo</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3"/>
          </w:tcPr>
          <w:p>
            <w:pPr>
              <w:ind w:left="120"/>
              <w:spacing w:after="0"/>
              <w:rPr>
                <w:sz w:val="20"/>
                <w:szCs w:val="20"/>
                <w:color w:val="auto"/>
              </w:rPr>
            </w:pPr>
            <w:r>
              <w:rPr>
                <w:rFonts w:ascii="Arial" w:cs="Arial" w:eastAsia="Arial" w:hAnsi="Arial"/>
                <w:sz w:val="14"/>
                <w:szCs w:val="14"/>
                <w:b w:val="1"/>
                <w:bCs w:val="1"/>
                <w:color w:val="auto"/>
                <w:w w:val="95"/>
              </w:rPr>
              <w:t>(in thousands of dollars)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December 31, 2018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409,608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48,774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718,271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934,081</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78,396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proceeds from private placement of common units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62,934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62,934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Quarterly distributions to unitholders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9"/>
              </w:rPr>
              <w:t>Quarterly distribution to noncontrolling interest retained in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OpCo by Westlake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(81,507)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March 31, 2019</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b w:val="1"/>
                <w:bCs w:val="1"/>
                <w:color w:val="auto"/>
              </w:rPr>
              <w:t>473,119</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b w:val="1"/>
                <w:bCs w:val="1"/>
                <w:color w:val="auto"/>
              </w:rPr>
              <w:t>49,195</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(242,572)</w:t>
            </w:r>
          </w:p>
        </w:tc>
        <w:tc>
          <w:tcPr>
            <w:tcW w:w="12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b w:val="1"/>
                <w:bCs w:val="1"/>
                <w:color w:val="auto"/>
              </w:rPr>
              <w:t>700,205</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b w:val="1"/>
                <w:bCs w:val="1"/>
                <w:color w:val="auto"/>
              </w:rPr>
              <w:t>979,947</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80,110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w w:val="95"/>
              </w:rPr>
              <w:t>Offering costs related to private placement of common units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Quarterly distributions to unitholders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9"/>
              </w:rPr>
              <w:t>Quarterly distribution to noncontrolling interest retained in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OpCo by Westlake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(72,259)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June 30, 2019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471,944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48,419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694,323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972,114</w:t>
            </w: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82,479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w w:val="95"/>
              </w:rPr>
              <w:t>Offering costs related to private placement of common units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Quarterly distributions to unitholders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9"/>
              </w:rPr>
              <w:t>Quarterly distribution to noncontrolling interest retained in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OpCo by Westlake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(75,494)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September 30, 2019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470,977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47,940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686,386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962,731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i w:val="1"/>
                <w:iCs w:val="1"/>
                <w:color w:val="auto"/>
              </w:rPr>
              <w:t>Partnership</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Unitholders—</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Public and</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Unitholder—</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8"/>
              </w:rPr>
              <w:t>Westlake</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in OpCo</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of dollars)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411,228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50,265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(241,958)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778,935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998,749</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effect of cash flow hedge</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Units issued for vested phantom units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 noncontrolling interest retained in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OpCo by Westlake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410,786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49,872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(241,839)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756,206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975,323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5,589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71,719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84,476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effect of cash flow hedge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 noncontrolling interest retained in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OpCo by Westlake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410,754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49,848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(242,572)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746,315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964,467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5,437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71,387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83,799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effect of cash flow hedge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Units issued for vested phantom units</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Quarterly distributions to unitholders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 interest retained in</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OpCo by Westlake</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(86,066)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410,555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49,511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(242,573)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731,636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949,129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385"/>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240,985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248,989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82,176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(recovery of)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receivable—third parties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accounts receivable—Westlake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5,088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and other liabilities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335,154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330,004</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(30,047)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270,050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(285,000)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(44,997)</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proceeds from private placement of common units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 of debt payable to 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(258,824)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(39,798)</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(294,974)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27,008</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18,647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17,041</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6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On September 29, 2017, the Partnership completed a secondary offering of 5,175,000 common units at a price of $22.00 per unit. On March 29, 2019, the Partnership completed the issuance and sale of 2,940,818 common units at a price of $21.40 per unit through a private placement. Net proceeds to Westlake Partners from the sale of the units were approximately $62,661.</w:t>
      </w:r>
    </w:p>
    <w:p>
      <w:pPr>
        <w:spacing w:after="0" w:line="11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On September 29, 2017, the Partnership purchased an additional 5.0% newly-issued limited partner interest in OpCo for approximately $229,207, resulting in an aggregate 18.3% limited partner interest in OpCo, effective as of July 1, 2017.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owns three ethylene production facilities and a common carrier ethylene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2018 (the "2018 Form 10-K"), filed with the SEC on March 1, 2019. These financial statements have been prepared in conformity with the accounting principles and practices as disclosed in the notes to the consolidated financial statements of the Partnership for the fiscal year ended December 31, 2018 with the exceptions of those accounting standards adopted in 2019 as discussed in Note 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80" w:firstLine="392"/>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2019, its results of operations for the three and nine months ended September 30, 2019 and 2018 and the changes in its cash position for the nine months ended September 30, 2019 and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2019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Partnership's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(ASU No. 2018-13)</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August 2018, the FASB issued an accounting standards update to modify the disclosure requirements on fair value measurements. The amendments are effective for reporting periods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is in the process of evaluating the impact that the new accounting guidance will have on the Partnership's consolidated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In February 2016, the FASB issued an accounting standards update on lease accounting that supersedes the previously issued lease guidance. The new standard requires lessees to recognize assets and liabilities for all long-term operating leases. An asset is recognized for the right to use an underlying leased asset and a liability is recognized for the obligation to make payments over the lease term. The standard also requires expanded lease disclosures. The standard requires a modified retrospective adoption approach and allows for the election of certain transition expedients.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Partnership adopted the standard effective January 1, 2019 using the optional transition method, which allows entities to recognize a cumulative adjustment to the opening balance sheet in the period of adoption. The Partnership elected the package of optional transition expedients and was not required to reassess (1) whether any existing contracts are or contain leases, (2) classification of existing leases as operating or capital or (3) whether initial direct costs for existing leases qualify for capitalization under the new accounting standard. The Partnership did not elect the use of hindsight to determine the lease term when considering lease renewal or termination options. Adoption of the new standard did not have a material impact on the Partnership's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17,325</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Other</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14,543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6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3,876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512</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4,388</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94"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Depreciation expense on property, plant and equipment of $22,313 and $21,960 is included in cost of sales in the consolidated statements of operations for the three months ended September 30, 2019 and 2018, respectively. Depreciation expense on property, plant and equipment of $66,754 and $66,161 is included in cost of sales in the consolidated statements of operations for the nine months ended September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Assets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Amortization expense on other assets of $4,368 and $4,932 is included in costs of sales in the consolidated statements of operations for the three months ended September 30, 2019 and 2018, respectively. Amortization expense on other assets of $13,628 and $16,015 is included in costs of sales in the consolidated statements of operations for the nine months ended September 30, 2019 and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jc w:val="both"/>
        <w:ind w:right="420" w:firstLine="392"/>
        <w:spacing w:after="0" w:line="264" w:lineRule="auto"/>
        <w:rPr>
          <w:sz w:val="20"/>
          <w:szCs w:val="20"/>
          <w:color w:val="auto"/>
        </w:rPr>
      </w:pPr>
      <w:r>
        <w:rPr>
          <w:rFonts w:ascii="Arial" w:cs="Arial" w:eastAsia="Arial" w:hAnsi="Arial"/>
          <w:sz w:val="18"/>
          <w:szCs w:val="18"/>
          <w:color w:val="auto"/>
        </w:rPr>
        <w:t>On October 31, 2019, the board of directors of Westlake Chemical Partners GP LLC ("Westlake GP"), the Partnership's general partner, declared a quarterly cash distribution for the three months ended September 30, 2019 of $0.4646 per unit. This distribution is payable on November 26, 2019 to the unitholders of record as of November 12, 2019.</w:t>
      </w:r>
    </w:p>
    <w:p>
      <w:pPr>
        <w:spacing w:after="0" w:line="127"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distributions declared from earnings of the related periods pertaining to such distributions.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37,464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distributions declared on common units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39,559</w:t>
            </w: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w w:val="96"/>
              </w:rPr>
              <w:t>Distributions declared with respect to the incentive distribution</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540"/>
              <w:spacing w:after="0"/>
              <w:rPr>
                <w:sz w:val="20"/>
                <w:szCs w:val="20"/>
                <w:color w:val="auto"/>
              </w:rPr>
            </w:pPr>
            <w:r>
              <w:rPr>
                <w:rFonts w:ascii="Arial" w:cs="Arial" w:eastAsia="Arial" w:hAnsi="Arial"/>
                <w:sz w:val="18"/>
                <w:szCs w:val="18"/>
                <w:color w:val="auto"/>
              </w:rPr>
              <w:t>rights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733</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in excess of 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500" w:type="dxa"/>
            <w:vAlign w:val="bottom"/>
          </w:tcPr>
          <w:p>
            <w:pPr>
              <w:spacing w:after="0"/>
              <w:rPr>
                <w:sz w:val="13"/>
                <w:szCs w:val="13"/>
                <w:color w:val="auto"/>
              </w:rPr>
            </w:pPr>
          </w:p>
        </w:tc>
        <w:tc>
          <w:tcPr>
            <w:tcW w:w="9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16,348</w:t>
            </w:r>
          </w:p>
        </w:tc>
        <w:tc>
          <w:tcPr>
            <w:tcW w:w="42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14,922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14,922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35,188,189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3"/>
              </w:rPr>
              <w:t>35,188,189</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500" w:type="dxa"/>
            <w:vAlign w:val="bottom"/>
          </w:tcPr>
          <w:p>
            <w:pPr>
              <w:spacing w:after="0"/>
              <w:rPr>
                <w:sz w:val="13"/>
                <w:szCs w:val="13"/>
                <w:color w:val="auto"/>
              </w:rPr>
            </w:pPr>
          </w:p>
        </w:tc>
        <w:tc>
          <w:tcPr>
            <w:tcW w:w="9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13,566</w:t>
            </w:r>
          </w:p>
        </w:tc>
        <w:tc>
          <w:tcPr>
            <w:tcW w:w="42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12,412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32,242,210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3"/>
              </w:rPr>
              <w:t>32,242,210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w w:val="93"/>
              </w:rPr>
              <w:t>Nine Months Ended September 30, 2019</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500" w:type="dxa"/>
            <w:vAlign w:val="bottom"/>
          </w:tcPr>
          <w:p>
            <w:pPr>
              <w:spacing w:after="0"/>
              <w:rPr>
                <w:sz w:val="13"/>
                <w:szCs w:val="13"/>
                <w:color w:val="auto"/>
              </w:rPr>
            </w:pPr>
          </w:p>
        </w:tc>
        <w:tc>
          <w:tcPr>
            <w:tcW w:w="9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48,127</w:t>
            </w:r>
          </w:p>
        </w:tc>
        <w:tc>
          <w:tcPr>
            <w:tcW w:w="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48,127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43,610</w:t>
            </w:r>
          </w:p>
        </w:tc>
        <w:tc>
          <w:tcPr>
            <w:tcW w:w="4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43,610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34,251,005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34,251,005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w w:val="93"/>
              </w:rPr>
              <w:t>Nine Months Ended September 30, 2018</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500" w:type="dxa"/>
            <w:vAlign w:val="bottom"/>
          </w:tcPr>
          <w:p>
            <w:pPr>
              <w:spacing w:after="0"/>
              <w:rPr>
                <w:sz w:val="13"/>
                <w:szCs w:val="13"/>
                <w:color w:val="auto"/>
              </w:rPr>
            </w:pPr>
          </w:p>
        </w:tc>
        <w:tc>
          <w:tcPr>
            <w:tcW w:w="9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39,559</w:t>
            </w:r>
          </w:p>
        </w:tc>
        <w:tc>
          <w:tcPr>
            <w:tcW w:w="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40,292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36,731</w:t>
            </w:r>
          </w:p>
        </w:tc>
        <w:tc>
          <w:tcPr>
            <w:tcW w:w="4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37,464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32,238,663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32,238,663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The amended Partnership Agreement provides that the Partnership will distribute cash each quarter to all the unitholders, pro rata, until each unit has received a distribution of $1.2938. If cash distributions to the Partnership's unitholders exceed $1.2938 per unit in any quarter, the Partnership's unitholders and Westlake, as the holder of the Partnership's incentive distribution rights, will receive distributions according to the following percentage allocations: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$1.2938 up to $1.4063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Partnership's distribution for the three months ended September 30, 2019 did not exceed the $1.2938 per unit threshold, and, as a result, no distribution was made with respect to the Partnership's incentive distribution rights to Westlake, as the holder of the Partnership's incentive distribution rights.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three and nine months ended September 30, 2019 and 2018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6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0.4579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0.4088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1.3359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1.1927</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9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October 4, 2018, the Partnership and Westlake GP,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No common units had been issued under this program as of September 30, 2019.</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Net proceeds to the Partnership from the sale of the units were approximately $62,661. TTWF LP, Westlake's principal stockholder and a related party, acquired 1,401,869 common units out of 2,940,818 common units issued in the private placement.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6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216,678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313,381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703,765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802,085</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7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Feedstock purchased from Westlake and included in cost 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285,567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403,833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25,990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28,693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81,026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83,636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99,803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207,186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366,593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487,469</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Services received from Westlake and included in selling, general</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6,525</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4,655</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19,875</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administrative 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Goods and services purchased from Westlake and capitalized as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79"/>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$716 and $496 was included in the receivable under the Investment Management Agreement balance at September 30, 2019 and December 31, 2018, respectively. Total interest earned related to the Investment Management Agreement was $716 and $703 for the three months ended September 30, 2019 and 2018, respectively, and $2,688 and $1,861 for the nine months ended September 30, 2019 and 2018, respectively.</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under the Investment Management Agreement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164,888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148,956</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Partnership's accounts receivable from Westlake result primarily from ethylene sales to Westlake under the Ethylene Sales Agreement.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6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35,001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57,280</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9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13,330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27,477</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OpCo is obligated to Westlake under various rail cars leases. Operating lease rentals paid to Westlake for such leases were $597 and $687 for the three months ended September 30, 2019 and 2018, respectively, and $1,673 and $1,705 for nine months ended September 30, 2019 and 2018, respectively, and reflected in other charges from Westlake that are included in cost of sales.</w:t>
      </w:r>
    </w:p>
    <w:p>
      <w:pPr>
        <w:spacing w:after="0" w:line="4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See Note 9 for a description of related party debt payable balances. Interest on related party debt payable balances for the three months ended September 30, 2019 and 2018 was $4,411 and $5,639, respectively, and for the nine months ended September 30, 2019 and 2018 was $15,436 and $16,052, respectively. Interest on related party debt payable is presented as interest expense—Westlake in the consolidated statements of operations. Interest capitalized as a component of property, plant and equipment on related party debt was $0 and $63 for the three months ended September 30, 2019 and 2018, respectively, and for the nine months ended September 30, 2019 and 2018 was zero and $109, respectively. At September 30, 2019 and December 31, 2018, accrued interest on related party debt was $4,411 and $5,448, respectively, and is reflected as a component of accrued liabilities in the consolidated balance sheets.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477,608</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three months ended September 30, 2019 and 2018, Westlake accounted for approximately 86.7% and 86.2%, respectively, of the Partnership's net sales. During the nine months ended September 30, 2019 and 2018, Westlake accounted for approximately 85.9% and 84.4%, respectively, of the Partnership's net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7 above for an additional related party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 (variable interest rate of LIBOR plus 2.0%, scheduled maturity of September 25,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224,064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MLP Revolver (variable interest rate of LIBOR plus 2.0%, scheduled maturity of April 29, 2021)</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253,544</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477,608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April 30, 2019, the Partnership repaid $201,445 of borrowings under the OpCo Revolver.</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March 29, 2019, the Partnership borrowed $123,511 under the MLP Revolver to partially fund the purchase of the additional 4.5% interest in OpCo.</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weighted average interest rate on all long-term debt was 4.3% and 4.4%, respectively, at September 30, 2019 and December 31, 2018.</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2019, the Partnership was in compliance with all of the covenants under the OpCo Revolver and the MLP Revolver.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Commodity Instruments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From time to time, the Partnership uses derivative instruments to reduce price volatility risk on commodities, primarily ethane and ethylene. The Partnership does not use derivative instruments to engage in speculative activities.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Partnership had no derivatives that were designated as fair value hedges during the nine months ended September 30, 2019 and 2018.</w:t>
      </w:r>
    </w:p>
    <w:p>
      <w:pPr>
        <w:spacing w:after="0" w:line="10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Gains and losses from changes in the fair value of derivative instruments that are not designated as hedging instruments were included in net sales and cost of sales in the consolidated statements of operations for the nine months ended September 30, 2019. There were no non-hedge designated derivative instruments for the nine months ended September 30, 2018.</w:t>
      </w:r>
    </w:p>
    <w:p>
      <w:pPr>
        <w:spacing w:after="0" w:line="4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exposure on commodity derivatives used for price risk management includes the risk that the counterparty will not pay if the market price declines below the established fixed price. In such case, the Partnership would lose the benefit of the derivative differential on the volume of the commodities covered. In any event, the Partnership would continue to receive the market price on the actual volume hedge. The Partnership also bears the risk that it could lose the benefit of market improvements over the fixed derivative price for the term and volume of the derivative instruments (as such improvements would accrue to the benefit of the counterparty). The Partnership had non-hedge designated derivatives covering approximately 49.4 million gallons and 117.5 million pounds of commodities as of September 30, 2019.</w:t>
      </w:r>
    </w:p>
    <w:p>
      <w:pPr>
        <w:spacing w:after="0" w:line="5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At September 30, 2019, the fair value of </w:t>
      </w:r>
      <w:r>
        <w:rPr>
          <w:rFonts w:ascii="Arial" w:cs="Arial" w:eastAsia="Arial" w:hAnsi="Arial"/>
          <w:sz w:val="18"/>
          <w:szCs w:val="18"/>
          <w:color w:val="212529"/>
        </w:rPr>
        <w:t>these non-hedge designated derivatives</w:t>
      </w:r>
      <w:r>
        <w:rPr>
          <w:rFonts w:ascii="Arial" w:cs="Arial" w:eastAsia="Arial" w:hAnsi="Arial"/>
          <w:sz w:val="18"/>
          <w:szCs w:val="18"/>
          <w:color w:val="auto"/>
        </w:rPr>
        <w:t xml:space="preserve"> recorded as accrued liabilities, other liabilities and deferred charges and other assets, net were $7,160, $172 and $274, respectively. At December 31, 2018, the fair value of these derivative instruments recorded as accrued liabilities and accounts receivable, net were $315 and $253, respectively. The losses related to these derivatives recognized in net sales and cost of sales were $6,801 and $1,294, respectively, for the three months ended September 30, 2019, and $4,375 and $2,678, respectively, for the nine months ended September 30, 2019</w:t>
      </w:r>
      <w:r>
        <w:rPr>
          <w:rFonts w:ascii="Arial" w:cs="Arial" w:eastAsia="Arial" w:hAnsi="Arial"/>
          <w:sz w:val="18"/>
          <w:szCs w:val="18"/>
          <w:color w:val="212529"/>
        </w:rPr>
        <w:t>.</w:t>
      </w:r>
    </w:p>
    <w:p>
      <w:pPr>
        <w:spacing w:after="0" w:line="5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Partnership's commodity contracts are measured using forward curves supplied by industry recognized sources and unrelated third-party services and classified as Level 2 under the fair value measurement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Partnership has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2019 and December 31, 2018 are summarized in the table below. The Partnership's long-term debt includes the OpCo Revolver and the MLP Revolver at September 30, 2019.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2019</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16"/>
                <w:szCs w:val="16"/>
                <w:color w:val="auto"/>
              </w:rPr>
            </w:pPr>
          </w:p>
        </w:tc>
      </w:tr>
      <w:tr>
        <w:trPr>
          <w:trHeight w:val="152"/>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102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3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224,064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221,002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MLP Revolver</w:t>
            </w:r>
          </w:p>
        </w:tc>
        <w:tc>
          <w:tcPr>
            <w:tcW w:w="3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378,618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249,747</w:t>
            </w:r>
          </w:p>
        </w:tc>
      </w:tr>
      <w:tr>
        <w:trPr>
          <w:trHeight w:val="702"/>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ind w:right="9100" w:firstLine="8"/>
        <w:spacing w:after="0" w:line="390"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280" w:firstLine="405"/>
        <w:spacing w:after="0" w:line="259" w:lineRule="auto"/>
        <w:rPr>
          <w:sz w:val="20"/>
          <w:szCs w:val="20"/>
          <w:color w:val="auto"/>
        </w:rPr>
      </w:pPr>
      <w:r>
        <w:rPr>
          <w:rFonts w:ascii="Arial" w:cs="Arial" w:eastAsia="Arial" w:hAnsi="Arial"/>
          <w:sz w:val="18"/>
          <w:szCs w:val="18"/>
          <w:color w:val="auto"/>
        </w:rPr>
        <w:t>Accrued liabilities were $22,964 and $16,250 at September 30, 2019 and December 31, 2018, respectively. Commodity derivative related accrual, accrued taxes and accrued interest, which are components of accrued liabilities, were $7,160, $4,918, and $4,411, respectively, at September 30, 2019, and $315, $1,564, and $5,448, respectively, at December 31, 2018. No other component of accrued liabilities was more than five percent of total current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The change in capital expenditure accrual resulted in an increase in additions to property, plant and equipment by $1,213 for the nine months ended September 30, 2019. The change in capital expenditure accrual resulted in a decrease in additions to property, plant and equipment by $1,380 for the nine months ended September 30,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2018 (the "2018 Form 10-K"), as filed with the SEC on March 1, 2019.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ind w:right="80" w:firstLine="405"/>
        <w:spacing w:after="0" w:line="255"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spacing w:after="0" w:line="1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The non-GAAP financial measures described in this Form 10-Q are not substitutes for the GAAP measures of earnings and cash flows. We use each of MLP distributable cash flow and EBITDA to analyze our performance.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5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MLP distributable cash flow is not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04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385"/>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216,678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313,381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703,765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802,085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147,812</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249,925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363,650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819,073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949,897</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269,743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666,367</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93,219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93,907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275,831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283,530</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20,417</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86,397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87,998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254,397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263,113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(16,052)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82,551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83,027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241,494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248,803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82,479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240,985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248,989</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Less: Net income attributable to noncontrolling interest in OpCo</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211,525</w:t>
            </w:r>
          </w:p>
        </w:tc>
      </w:tr>
      <w:tr>
        <w:trPr>
          <w:trHeight w:val="29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14,922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12,412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43,610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37,464</w:t>
            </w:r>
          </w:p>
        </w:tc>
      </w:tr>
      <w:tr>
        <w:trPr>
          <w:trHeight w:val="257"/>
        </w:trPr>
        <w:tc>
          <w:tcPr>
            <w:tcW w:w="514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20,452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15,024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45,500</w:t>
            </w:r>
          </w:p>
        </w:tc>
      </w:tr>
      <w:tr>
        <w:trPr>
          <w:trHeight w:val="283"/>
        </w:trPr>
        <w:tc>
          <w:tcPr>
            <w:tcW w:w="5140" w:type="dxa"/>
            <w:vAlign w:val="bottom"/>
          </w:tcPr>
          <w:p>
            <w:pPr>
              <w:ind w:left="2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113,643</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115,558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337,312</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347,031</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91" w:lineRule="exact"/>
        <w:rPr>
          <w:sz w:val="20"/>
          <w:szCs w:val="20"/>
          <w:color w:val="auto"/>
        </w:rPr>
      </w:pPr>
    </w:p>
    <w:p>
      <w:pPr>
        <w:ind w:left="300" w:hanging="251"/>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300" w:hanging="251"/>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"Reconciliation of EBITDA to Net Income, Income from Operations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Nine Months Ended September 30, 2019</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Volume</w:t>
            </w: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64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Product sales prices and volume percentage change from</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prior-year period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548"/>
        </w:trPr>
        <w:tc>
          <w:tcPr>
            <w:tcW w:w="4880" w:type="dxa"/>
            <w:vAlign w:val="bottom"/>
          </w:tcPr>
          <w:p>
            <w:pPr>
              <w:spacing w:after="0"/>
              <w:rPr>
                <w:sz w:val="24"/>
                <w:szCs w:val="24"/>
                <w:color w:val="auto"/>
              </w:rPr>
            </w:pPr>
          </w:p>
        </w:tc>
        <w:tc>
          <w:tcPr>
            <w:tcW w:w="3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 September 30,</w:t>
            </w:r>
          </w:p>
        </w:tc>
        <w:tc>
          <w:tcPr>
            <w:tcW w:w="320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80" w:type="dxa"/>
            <w:vAlign w:val="bottom"/>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540" w:type="dxa"/>
            <w:vAlign w:val="bottom"/>
          </w:tcPr>
          <w:p>
            <w:pPr>
              <w:jc w:val="right"/>
              <w:ind w:right="156"/>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580" w:type="dxa"/>
            <w:vAlign w:val="bottom"/>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520" w:type="dxa"/>
            <w:vAlign w:val="bottom"/>
          </w:tcPr>
          <w:p>
            <w:pPr>
              <w:jc w:val="right"/>
              <w:ind w:right="11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6"/>
        </w:trPr>
        <w:tc>
          <w:tcPr>
            <w:tcW w:w="488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80" w:type="dxa"/>
            <w:vAlign w:val="bottom"/>
          </w:tcPr>
          <w:p>
            <w:pPr>
              <w:jc w:val="right"/>
              <w:ind w:right="16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1540" w:type="dxa"/>
            <w:vAlign w:val="bottom"/>
          </w:tcPr>
          <w:p>
            <w:pPr>
              <w:jc w:val="right"/>
              <w:ind w:right="156"/>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1580" w:type="dxa"/>
            <w:vAlign w:val="bottom"/>
          </w:tcPr>
          <w:p>
            <w:pPr>
              <w:jc w:val="right"/>
              <w:ind w:right="16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1520" w:type="dxa"/>
            <w:vAlign w:val="bottom"/>
          </w:tcPr>
          <w:p>
            <w:pPr>
              <w:jc w:val="right"/>
              <w:ind w:right="116"/>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_____________</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03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121,482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335,154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330,004</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(80,422)</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82,479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240,985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248,989</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w w:val="99"/>
              </w:rPr>
              <w:t>Depreciation, amortization and disposition of property, plant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540"/>
              <w:spacing w:after="0"/>
              <w:rPr>
                <w:sz w:val="20"/>
                <w:szCs w:val="20"/>
                <w:color w:val="auto"/>
              </w:rPr>
            </w:pPr>
            <w:r>
              <w:rPr>
                <w:rFonts w:ascii="Arial" w:cs="Arial" w:eastAsia="Arial" w:hAnsi="Arial"/>
                <w:sz w:val="18"/>
                <w:szCs w:val="18"/>
                <w:color w:val="auto"/>
              </w:rPr>
              <w:t>and equipment</w:t>
            </w:r>
          </w:p>
        </w:tc>
        <w:tc>
          <w:tcPr>
            <w:tcW w:w="28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26,582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26,918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80,787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82,769</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Mark-to-market adjustment loss on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 to turnaround reserves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(12,602)</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(22,184)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Incentive distribution rights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w w:val="95"/>
              </w:rPr>
              <w:t>Distributable cash flow attributable to noncontrolling interest in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540"/>
              <w:spacing w:after="0"/>
              <w:rPr>
                <w:sz w:val="20"/>
                <w:szCs w:val="20"/>
                <w:color w:val="auto"/>
              </w:rPr>
            </w:pPr>
            <w:r>
              <w:rPr>
                <w:rFonts w:ascii="Arial" w:cs="Arial" w:eastAsia="Arial" w:hAnsi="Arial"/>
                <w:sz w:val="18"/>
                <w:szCs w:val="18"/>
                <w:color w:val="auto"/>
              </w:rPr>
              <w:t>OpCo</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(86,304)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(234,057)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(250,739)</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MLP distributable cash flow</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20,452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54,429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45,500</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9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121,482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335,154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330,004</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(80,422)</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82,479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240,985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248,989</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(16,052)</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(Provision)/Benefit for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86,397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87,998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254,397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263,113</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82,176</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1,742</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113,643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115,558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337,312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347,031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04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For the quarter ended September 30, 2019, net income of $82.5 million on net sales of $249.9 million was comparable to net income of $83.8 million on net sales of $363.7 million for the quarter ended September 30, 2018. Net income attributable to Westlake Chemical Partners LP for the third quarter of 2019 was $14.9 million as compared to $12.4 million for the third quarter of 2018, an increase of $2.5 million, which was primarily due to a 4.5% increase in the Partnership's interest in OpCo, effective as of January 1, 2019. Net sales for the third quarter of 2019 decreased by $113.8 million as compared to net sales for the third quarter of 2018 mainly due to lower sales prices to Westlake per the terms of the Ethylene Sales Agreement. Income from operations was $86.4 million for the third quarter of 2019 as compared to $88.0 million for the third quarter of 2018. Income from operations for the third quarter of 2019 decreased slightly, mainly as a result of higher selling, general and administrative expenses, as compared to the third quarter of 2018.</w:t>
      </w:r>
    </w:p>
    <w:p>
      <w:pPr>
        <w:spacing w:after="0" w:line="11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For the nine months ended September 30, 2019, net income was $241.0 million on net sales of $819.1 million. This represents a decrease in net income of $8.0 million as compared to the nine months ended September 30, 2018 net income of $249.0 million on net sales of $949.9 million. The decrease in net income in the nine months ended September 30, 2019 was primarily due to lower average third party sales prices, derivative loss positions and expenses associated with the acquisition of the incremental interest in OpCo, partially offset by higher third party sales volumes and lower feedstock costs, as compared to the nine months ended September 30, 2018. Net income attributable to Westlake Chemical Partners LP for the nine months ended September 30, 2019 was $43.6 million as compared to $37.5 million for the nine months ended September 30, 2018, an increase of $6.1 million, which was primarily due to a 4.5% increase in the Partnership's interest in OpCo, effective as of January 1, 2019, and higher ethylene sales margins, partially offset by higher selling, general and administrative expenses. Net sales for the nine months ended September 30, 2019 decreased by $130.8 million as compared to net sales for the nine months ended September 30, 2018 mainly due to decreased sales prices to Westlake per the terms of the Ethylene Sales Agreement and lower third party sales prices. Income from operations was $254.4 million for the nine months ended September 30, 2019 as compared to $263.1 million for the nine months ended September 30, 2018. Income from operations for the nine months ended September 30, 2019 decreased mainly as a result of lower third party sales prices and derivative loss positions, partially offset by higher third party ethylene volumes and lower feedstock costs as compared to the nine months ended 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2019 Compared with Third Quarter 2018</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decreased by $113.8 million, or 31.3%, to $249.9 million in the third quarter of 2019 from $363.7 million in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2018. The overall average sales price in the third quarter of 2019 contributed to a 29.6% decrease in net sales, primarily due to lower ethylene sales prices to Westlake per the terms of the Ethylene Sales Agreement, compared to the third quarter of 2018. Overall sales volumes for the third quarter of 2019 were comparable to the third quarter of 2018.</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$93.2 million for the third quarter of 2019, which was comparable to $93.9 million for the third quarter of 2018.</w:t>
      </w:r>
    </w:p>
    <w:p>
      <w:pPr>
        <w:spacing w:after="0" w:line="183"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by $0.9 million, or 15.3%, to $6.8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2019 as compared to $5.9 million in the third quarter of 2018. The increase in the third quarter of 2019 was mainly attributable to an increase in general and administrative expense allocations, partially offset by a decrease in provision for doubtful accounts as compared to the third quarter of 2018.</w:t>
      </w:r>
    </w:p>
    <w:p>
      <w:pPr>
        <w:spacing w:after="0" w:line="93"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$1.2 million to $4.4 million in the third quarter of 2019 from $5.6 million in the third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due to a lower average debt balance resulting from the partial repayment of borrowings under the OpCo Revolver in April 2019 and a decrease in the applicable margin on the OpCo Revolver from 3% to 2% effective September 25, 2018, partially offset by a higher interest rate on debt due to an increase in the London Interbank Offered Rate ("LIBOR").</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 the third quarter of 2019 was comparable to the third quarter of 2018.</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$0.1 million in the third quarter of 2019 as compared to a benefit of $0.8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2018. The increase was mainly attributable to a tax benefit in 2018 due to a revaluation of the state deferred income tax liability arising from a decrease in state tax apportionment.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44" w:right="239" w:bottom="1440" w:gutter="0" w:footer="0" w:header="0"/>
        </w:sectPr>
      </w:pPr>
    </w:p>
    <w:bookmarkStart w:id="22" w:name="page23"/>
    <w:bookmarkEnd w:id="22"/>
    <w:p>
      <w:pPr>
        <w:ind w:right="180" w:firstLine="432"/>
        <w:spacing w:after="0" w:line="312" w:lineRule="auto"/>
        <w:rPr>
          <w:sz w:val="20"/>
          <w:szCs w:val="20"/>
          <w:color w:val="auto"/>
        </w:rPr>
      </w:pPr>
      <w:r>
        <w:rPr>
          <w:rFonts w:ascii="Arial" w:cs="Arial" w:eastAsia="Arial" w:hAnsi="Arial"/>
          <w:sz w:val="16"/>
          <w:szCs w:val="16"/>
          <w:i w:val="1"/>
          <w:iCs w:val="1"/>
          <w:color w:val="auto"/>
        </w:rPr>
        <w:t xml:space="preserve">MLP Distributable Cash Flow. </w:t>
      </w:r>
      <w:r>
        <w:rPr>
          <w:rFonts w:ascii="Arial" w:cs="Arial" w:eastAsia="Arial" w:hAnsi="Arial"/>
          <w:sz w:val="16"/>
          <w:szCs w:val="16"/>
          <w:color w:val="auto"/>
        </w:rPr>
        <w:t>MLP distributable cash flow increased by $5.5 million to $20.5 million in the third quarter of 2019 from $15.0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third quarter of 2018. The increased MLP distributable cash flow in the third quarter of 2019, as compared to the prior-year period, was primarily a result of the 4.5% increase in the Partnership's interest in OpCo, effective as of January 1, 2019, higher third party sales volume and margins.</w:t>
      </w:r>
    </w:p>
    <w:p>
      <w:pPr>
        <w:spacing w:after="0" w:line="9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$2.0 million to $113.6 million in the third quarter of 2019 from $115.6 million in the third quarter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EBITDA as compared to the prior-year period was primarily due to derivative losses, partially offset by higher third party ethylene sales prices and margins.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with Nine Months Ended September 30, 2018</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decreased by $130.8 million, or 13.8%, to $819.1 million in the nine months ended September 30, 2019 from $949.9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September 30, 2018. The overall decreased sales price for the nine months ended September 30, 2019 contributed to a 14.0% decrease in net sales, as compared to the nine months ended September 30, 2018, which was mainly due to lower sales prices to Westlake per the terms of the Ethylene Sales Agreement as well as lower third party sales prices. Overall sales volumes in the nine months ended September 30, 2019 were comparable to the nine months ended September 30, 2018.</w:t>
      </w:r>
    </w:p>
    <w:p>
      <w:pPr>
        <w:spacing w:after="0" w:line="134"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decreased to $275.8 million for the nine months ended September 30, 2019 from $283.5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The nine months ended September 30, 2019 gross profit was lower mainly due to lower third party sales prices and derivative loss positions, partially offset by higher third party ethylene sales volume and lower feedstock costs, as compared to the nine months ended September 30, 2018.</w:t>
      </w:r>
    </w:p>
    <w:p>
      <w:pPr>
        <w:spacing w:after="0" w:line="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remained relatively comparable to the prior-year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slight increase of $1.0 million, or 4.9%, to $21.4 million in the nine months ended September 30, 2019 as compared to $20.4 million in the nine months ended September 30, 2018. The increase was mainly attributable to expenses associated with the acquisition of an incremental interest in OpCo and increased general and administrative expense allocations, partially offset by a decrease in provision for doubtful accounts in the nine months ended September 30, 2019, as compared to the prior-year period.</w:t>
      </w:r>
    </w:p>
    <w:p>
      <w:pPr>
        <w:spacing w:after="0" w:line="134" w:lineRule="exact"/>
        <w:rPr>
          <w:sz w:val="20"/>
          <w:szCs w:val="20"/>
          <w:color w:val="auto"/>
        </w:rPr>
      </w:pPr>
    </w:p>
    <w:p>
      <w:pPr>
        <w:jc w:val="both"/>
        <w:ind w:right="100" w:firstLine="432"/>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$0.7 million to $15.4 million in the nine months ended September 30, 2019 from $16.1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due to a lower average debt balance resulting from the partial repayment of borrowings under the OpCo Revolver in April 2019 and a decrease in the applicable margin on the OpCo Revolver from 3% to 2% effective September 25, 2018, partially offset by a higher interest rate on debt due to an increase in the London Interbank Offered Rate ("LIBOR") in the nine months ended September 30, 2019. The lower debt balance was due to the partial repayment of borrowings under the OpCo Revolver during the second quarter of 2019, using funds generated from the private placement of common units.</w:t>
      </w:r>
    </w:p>
    <w:p>
      <w:pPr>
        <w:spacing w:after="0" w:line="139"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increased by $0.8 million in the nine months ended September 30, 2019 as compared to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primarily due to an increase in interest income earned under the Investment Management Agreement.</w:t>
      </w:r>
    </w:p>
    <w:p>
      <w:pPr>
        <w:spacing w:after="0" w:line="93"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$0.5 million for the nine months ended September 30, 2019 as compared to a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for the nine months ended September 30, 2018. The increase was mainly attributable to a tax benefit in 2018 due to a revaluation of the state deferred income tax liability arising from a decrease in state tax apportionment.</w:t>
      </w:r>
    </w:p>
    <w:p>
      <w:pPr>
        <w:spacing w:after="0" w:line="12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$8.9 million to $54.4 million in the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$45.5 million in the nine months ended September 30, 2018. The increased MLP distributable cash flow in the nine months ended September 30, 2019 as compared to the prior-year period was primarily due to the 4.5% increase in the Partnership's interest in OpCo, effective as of January 1, 2019. The increase was partially offset by the timing of maintenance capital expenditures and one-time costs associated with the acquisition of the incremental interest in OpCo.</w:t>
      </w:r>
    </w:p>
    <w:p>
      <w:pPr>
        <w:spacing w:after="0" w:line="13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$9.7 million to $337.3 million in the nine months ended September 30, 2019 from $347.0 million in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The decreased EBITDA as compared to the prior-year period was primarily due to lower third party sales prices and derivative loss positions, partially offset by higher third party ethylene sales volume and lower feedstock costs.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62" w:right="239" w:bottom="1440" w:gutter="0" w:footer="0" w:header="0"/>
        </w:sectPr>
      </w:pPr>
    </w:p>
    <w:bookmarkStart w:id="23" w:name="page24"/>
    <w:bookmarkEnd w:id="23"/>
    <w:p>
      <w:pPr>
        <w:ind w:right="3640"/>
        <w:spacing w:after="0" w:line="346" w:lineRule="auto"/>
        <w:rPr>
          <w:sz w:val="20"/>
          <w:szCs w:val="20"/>
          <w:color w:val="auto"/>
        </w:rPr>
      </w:pPr>
      <w:r>
        <w:rPr>
          <w:rFonts w:ascii="Arial" w:cs="Arial" w:eastAsia="Arial" w:hAnsi="Arial"/>
          <w:sz w:val="18"/>
          <w:szCs w:val="18"/>
          <w:b w:val="1"/>
          <w:bCs w:val="1"/>
          <w:color w:val="auto"/>
        </w:rPr>
        <w:t xml:space="preserve">CASH FLOW DISCUSSION FOR THE NINE MONTHS ENDED SEPTEMBER 30, 2019 AND 2018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Operating activities provided cash of $335.2 million in the first nine months of 2019 compared to cash provided by operating activities of $330.0 million in the first nine months of 2018. The $5.2 million increase in cash flows from operating activities was mainly due to an increase in cash provided by working capital during the nine months ended September 30, 2019 as compared to the prior-year period, partially offset by a decrease in income from operations.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provided cash of $14.7 million in the first nine months of 2019 as compared to $1.5 million of cash used in the first nine months of 2018, resulting in an overall favorable change of $16.2 million. The favorable change in working capital was mainly attributable to favorable changes in third party and Westlake accounts receivable, accounts payable and accrued and other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for investing activities during the first nine months of 2019 was $46.0 million as compared to net cash used for investing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$45.0 million in the first nine months of 2018, mainly due to increased net cash used under the Investment Management Agreement in the first nine months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as compared to the prior-year period. Capital expenditures during the first nine months of 2019 and 2018 were primarily related to projects to improve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production capacity or reduce costs, maintenance and safety and environmental projects at our facilities.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for financing activities during the first nine months of 2019 was $290.3 million as compared to net cash used for financing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$295.0 million in the first nine months of 2018. The cash inflows during the first nine months of 2019 were a result of borrowings under the MLP Revolver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$123.5 million and net proceeds from the private placement of common units of approximately $62.7 million. The outflows during the first nine months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2019 were related to partial repayments of borrowings under the OpCo Revolver of $201.4 million and the distribution of $229.3 million to Westlake and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$45.7 million to other unitholders by the Partnership. The cash outflows during the first nine months of 2018 were related to the distribution of $258.8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Westlake and of $39.8 million to other unitholders by the Partnership. The distributions in the first nine months of 2018 were partially offset by borrowings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OpCo Revolver of $3.6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On March 29, 2019, we completed the private placement of 2,940,818 common units at a price of $21.40 per unit. Net proceeds from the issuance of these common units were approximately $62.7 million. The Partnership believes that, with the net proceeds from this private placement, there will be no further need for the Partnership to access the equity capital markets during the remainder of 2019.</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Pursuant to the terms of the ATM Agreement, the Partnership may offer and sell the Partnership's common units from time to time to or through the Managers, as the Partnership's sales agents or as principals, having an aggregate offering amount of up to $50.0 million. The Partnership intends to use the net proceeds of sales of the common units, if any, for general partnership purposes, including the funding of potential drop-downs and other acquisitions. No common units had been issued under this program as of September 30, 2019.</w:t>
      </w:r>
    </w:p>
    <w:p>
      <w:pPr>
        <w:spacing w:after="0" w:line="13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40" w:right="239" w:bottom="1440" w:gutter="0" w:footer="0" w:header="0"/>
        </w:sectPr>
      </w:pPr>
    </w:p>
    <w:bookmarkStart w:id="24" w:name="page25"/>
    <w:bookmarkEnd w:id="24"/>
    <w:p>
      <w:pPr>
        <w:ind w:right="8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1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cash is generated from cash distributions from OpCo. OpCo is a restricted subsidiary under certain indentures governing Westlake's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2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On October 31, 2019, the board of directors of Westlake Chemical Partners GP LLC, our general partner, approved a quarterly distribution of $0.4646 per unit payable on November 26, 2019 to unitholders of record as of November 12, 2019, which equates to a total amount of approximately $16.3 million per quarter, or approximately $65.4 million per year in aggregate, based on the number of common units outstanding on September 30, 2019. We do not have a legal or contractual obligation to pay distributions on a quarterly basis or any other basis at our minimum quarterly distribution rate or any other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Westlake has historically funded expansion capital expenditures related to Lake Charles Olefins and Calvert City Olefins. During the nine months ended September 30, 2018, Westlake loaned OpCo $3.6 million to fund capital expenditures. Total capital expenditures for the nine months ended September 30, 2019 were $30.0 million. No funding was required by OpCo to fund capital expenditures during the nine months ended September 30, 2019. We expect that Westlake will loan additional cash to OpCo to fund its expansion capital expenditures in the future, but Westlake is under no obligation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As of September 30, 2019, our cash and cash equivalents totaled $18.6 million. In addition, we have cash invested under the Investment Management Agreement (as described below) and a revolving credit facility with Westlake available to supplement cash if needed, as described under "Indebtedness" below.</w:t>
      </w:r>
    </w:p>
    <w:p>
      <w:pPr>
        <w:spacing w:after="0" w:line="127"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$164.9 million of cash invested under the Investment Management Agreement at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(the "OpCo Revolver") that may be used to fund growth projects and working capital needs. On April 30, 2019, the Partnership repaid $201.4 million of borrowings under the OpCo Revolver. As of September 30, 2019, outstanding borrowings under the OpCo Revolver totaled $22.6 million and bore interest at the LIBOR rate plus 2.0%, which is accrued in arrears quarterly. In September 2018, the OpCo Revolver was amended to extend the scheduled maturity date from August 4, 2019 to September 25, 2023 and revise the applicable margin from 3% to 2%.</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6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MLP Revolver</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2015, we entered into a senior, unsecured revolving credit agreement with Westlake Chemical Finance Corporation, an affiliate of Westlake (the "MLP Revolver"). The MLP Revolver has a borrowing capacity of $600 million and is scheduled to mature in 2021. On March 29, 2019, the Partnership borrowed $123.5 million under the MLP Revolver to partially fund the purchase of an additional 4.5% interest in OpCo.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September 30, 2019,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962" w:right="259" w:bottom="1440" w:gutter="0" w:footer="0" w:header="0"/>
        </w:sectPr>
      </w:pPr>
    </w:p>
    <w:bookmarkStart w:id="26" w:name="page27"/>
    <w:bookmarkEnd w:id="26"/>
    <w:p>
      <w:pPr>
        <w:ind w:right="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2018 Form 10-K and the following:</w:t>
      </w:r>
    </w:p>
    <w:p>
      <w:pPr>
        <w:spacing w:after="0" w:line="5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3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6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 Additionally, we may use derivative instruments to reduce price volatility risk on feedstocks and ethylene associated with the production and sales to third parties. We entered into some of these agreements in 2018 and 2019. Based on our open derivative positions as of September 30, 2019, a hypothetical $0.10 increase in the price of a gallon of ethane would have increased our income before taxes by $4.9 million and a hypothetical $0.10 decrease in the price of a pound of ethylene would have increased our income before taxes by $11.8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exposed to interest rate risk with respect to our outstanding debt, all of which is variable rate debt. At September 30, 2019, we had total variable rate debt of $399.7 million outstanding, all of which was owed to wholly-owned subsidiaries of Westlake, and currently accrues interest at a variable rate of LIBOR plus 200 basis points. The weighted average variable interest rate of our debt as of September 30, 2019 was 4.3%.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September 30, 2019 debt balance.</w:t>
      </w:r>
    </w:p>
    <w:p>
      <w:pPr>
        <w:spacing w:after="0" w:line="58"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LIBOR is used as a reference rate for all of our outstanding variable rate debt as of September 30, 2019. LIBOR is set to be phased out at the end of 2021. We are currently reviewing how the LIBOR phase-out will affect the Company, but we do not expect the impact to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2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2019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2018 Form 10-K, filed on March 1, 2019, contained a description of various legal proceedings in which we are involved, including environmental proceedings. See below and Note 13 to the unaudited consolidated financial statements within this Quarterly Report on Form 10-Q for a discussion on legal proceedings, which information is incorporated by reference herein.</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Under the Omnibus Agreement, Westlake Chemical Corporation ("Westlake") has agreed to indemnify the Partnership for certain environmental and other liabilities relating to OpCo's processing facilities and related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040" w:right="259" w:bottom="1440" w:gutter="0" w:footer="0" w:header="0"/>
        </w:sectPr>
      </w:pPr>
    </w:p>
    <w:bookmarkStart w:id="28" w:name="page29"/>
    <w:bookmarkEnd w:id="28"/>
    <w:p>
      <w:pPr>
        <w:ind w:firstLine="405"/>
        <w:spacing w:after="0" w:line="273"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Environmental Protection Agency ("EPA") has been conducting an enforcement initiative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12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2018 Form 10-K. There have been no material changes from those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6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9460" w:type="dxa"/>
            <w:vAlign w:val="bottom"/>
            <w:gridSpan w:val="5"/>
          </w:tcPr>
          <w:p>
            <w:pPr>
              <w:ind w:left="47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0000FF"/>
              </w:rPr>
              <w:t>Rule 13a – 14(a) / 15d – 14(a) Certification (Principal Executive Officer)</w:t>
            </w:r>
          </w:p>
        </w:tc>
      </w:tr>
      <w:tr>
        <w:trPr>
          <w:trHeight w:val="372"/>
        </w:trPr>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2"/>
              </w:rPr>
              <w:t>Rule 13a – 14(a) / 15d – 14(a) Certification (Principal Financial Officer)</w:t>
            </w:r>
          </w:p>
        </w:tc>
        <w:tc>
          <w:tcPr>
            <w:tcW w:w="40" w:type="dxa"/>
            <w:vAlign w:val="bottom"/>
            <w:tcBorders>
              <w:top w:val="single" w:sz="8" w:color="0000FF"/>
            </w:tcBorders>
          </w:tcPr>
          <w:p>
            <w:pPr>
              <w:spacing w:after="0"/>
              <w:rPr>
                <w:sz w:val="24"/>
                <w:szCs w:val="24"/>
                <w:color w:val="auto"/>
              </w:rPr>
            </w:pPr>
          </w:p>
        </w:tc>
        <w:tc>
          <w:tcPr>
            <w:tcW w:w="4200" w:type="dxa"/>
            <w:vAlign w:val="bottom"/>
            <w:gridSpan w:val="2"/>
          </w:tcPr>
          <w:p>
            <w:pPr>
              <w:spacing w:after="0"/>
              <w:rPr>
                <w:sz w:val="24"/>
                <w:szCs w:val="24"/>
                <w:color w:val="auto"/>
              </w:rPr>
            </w:pP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0000FF"/>
              </w:rPr>
              <w:t>Section 1350 Certification (Principal Executive Officer and Principal Financial Officer)</w:t>
            </w:r>
          </w:p>
        </w:tc>
      </w:tr>
      <w:tr>
        <w:trPr>
          <w:trHeight w:val="20"/>
        </w:trPr>
        <w:tc>
          <w:tcPr>
            <w:tcW w:w="1380" w:type="dxa"/>
            <w:vAlign w:val="bottom"/>
            <w:gridSpan w:val="2"/>
          </w:tcPr>
          <w:p>
            <w:pPr>
              <w:spacing w:after="0" w:line="20" w:lineRule="exact"/>
              <w:rPr>
                <w:sz w:val="1"/>
                <w:szCs w:val="1"/>
                <w:color w:val="auto"/>
              </w:rPr>
            </w:pPr>
          </w:p>
        </w:tc>
        <w:tc>
          <w:tcPr>
            <w:tcW w:w="6300" w:type="dxa"/>
            <w:vAlign w:val="bottom"/>
            <w:gridSpan w:val="4"/>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9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5"/>
          </w:tcPr>
          <w:p>
            <w:pPr>
              <w:spacing w:after="0"/>
              <w:rPr>
                <w:sz w:val="20"/>
                <w:szCs w:val="20"/>
                <w:color w:val="auto"/>
              </w:rPr>
            </w:pPr>
            <w:r>
              <w:rPr>
                <w:rFonts w:ascii="Arial" w:cs="Arial" w:eastAsia="Arial" w:hAnsi="Arial"/>
                <w:sz w:val="18"/>
                <w:szCs w:val="18"/>
                <w:color w:val="auto"/>
                <w:w w:val="89"/>
              </w:rPr>
              <w:t>XBRL Instance Document–The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92"/>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61" w:lineRule="exact"/>
        <w:rPr>
          <w:sz w:val="20"/>
          <w:szCs w:val="20"/>
          <w:color w:val="auto"/>
        </w:rPr>
      </w:pPr>
    </w:p>
    <w:p>
      <w:pPr>
        <w:ind w:left="1420" w:hanging="1385"/>
        <w:spacing w:after="0" w:line="266"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1040" w:right="359" w:bottom="1440" w:gutter="0" w:footer="0" w:header="0"/>
        </w:sectPr>
      </w:pPr>
    </w:p>
    <w:bookmarkStart w:id="30" w:name="page31"/>
    <w:bookmarkEnd w:id="30"/>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Senior Vice President, Chief Financial Officer and</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3"/>
          <w:szCs w:val="13"/>
          <w:b w:val="1"/>
          <w:bCs w:val="1"/>
          <w:color w:val="auto"/>
        </w:rPr>
        <w:t>Director of 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240" w:top="1012" w:right="7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November 6, 2019</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Senior Vice President, Chief Financial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September 30, 2019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November 6, 2019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November 6, 2019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2020-01-09T07:18:07Z</dcterms:created>
  <dcterms:modified xsi:type="dcterms:W3CDTF">2020-01-09T07:18:07Z</dcterms:modified>
</cp:coreProperties>
</file>