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560"/>
        <w:gridCol w:w="1532"/>
        <w:gridCol w:w="1532"/>
        <w:gridCol w:w="1532"/>
        <w:gridCol w:w="1532"/>
        <w:gridCol w:w="21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5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043"/>
        <w:gridCol w:w="2818"/>
        <w:gridCol w:w="40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c>
          <w:tcPr>
            <w:tcW w:w="40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No. 001-36567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32-0436529</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2801 Post Oak Boulevard, 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77056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(713) 585-2900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199" w:type="dxa"/>
        <w:jc w:val="center"/>
        <w:tblInd w:w="0" w:type="dxa"/>
        <w:tblLayout w:type="fixed"/>
        <w:tblCellMar>
          <w:top w:w="28" w:type="dxa"/>
          <w:left w:w="28" w:type="dxa"/>
          <w:bottom w:w="28" w:type="dxa"/>
          <w:right w:w="28" w:type="dxa"/>
        </w:tblCellMar>
      </w:tblPr>
      <w:tblGrid>
        <w:gridCol w:w="1691"/>
        <w:gridCol w:w="1486"/>
        <w:gridCol w:w="1503"/>
        <w:gridCol w:w="564"/>
        <w:gridCol w:w="564"/>
        <w:gridCol w:w="566"/>
        <w:gridCol w:w="1118"/>
        <w:gridCol w:w="1118"/>
        <w:gridCol w:w="1589"/>
      </w:tblGrid>
      <w:tr>
        <w:trPr/>
        <w:tc>
          <w:tcPr>
            <w:tcW w:w="16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units representing limited partnership interests</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WLKP</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100" w:after="283"/>
        <w:jc w:val="center"/>
        <w:rPr/>
      </w:pPr>
      <w:r>
        <w:rPr/>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b/>
          <w:color w:val="000000"/>
          <w:sz w:val="20"/>
        </w:rPr>
        <w:t>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color w:val="000000"/>
          <w:sz w:val="20"/>
        </w:rPr>
        <w:t>No</w:t>
      </w:r>
      <w:r>
        <w:rPr>
          <w:color w:val="000000"/>
        </w:rPr>
        <w:t>   ☐</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serif" w:hAnsi="Times New Roman;serif"/>
          <w:b/>
          <w:color w:val="000000"/>
          <w:sz w:val="20"/>
        </w:rPr>
        <w:t>Yes</w:t>
      </w:r>
      <w:r>
        <w:rPr>
          <w:color w:val="000000"/>
        </w:rPr>
        <w:t>   </w:t>
      </w:r>
      <w:r>
        <w:rPr>
          <w:rFonts w:ascii="Wingdings;sans-serif" w:hAnsi="Wingdings;sans-serif"/>
          <w:b w:val="false"/>
          <w:color w:val="000000"/>
          <w:sz w:val="20"/>
        </w:rPr>
        <w:t>x</w:t>
      </w:r>
      <w:r>
        <w:rPr>
          <w:color w:val="000000"/>
        </w:rPr>
        <w:t>     </w:t>
      </w:r>
      <w:r>
        <w:rPr>
          <w:rFonts w:ascii="Times New Roman;serif" w:hAnsi="Times New Roman;serif"/>
          <w:b/>
          <w:color w:val="000000"/>
          <w:sz w:val="20"/>
        </w:rPr>
        <w:t>No</w:t>
      </w: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261" w:type="dxa"/>
        <w:jc w:val="left"/>
        <w:tblInd w:w="0" w:type="dxa"/>
        <w:tblLayout w:type="fixed"/>
        <w:tblCellMar>
          <w:top w:w="28" w:type="dxa"/>
          <w:left w:w="28" w:type="dxa"/>
          <w:bottom w:w="28" w:type="dxa"/>
          <w:right w:w="28" w:type="dxa"/>
        </w:tblCellMar>
      </w:tblPr>
      <w:tblGrid>
        <w:gridCol w:w="750"/>
        <w:gridCol w:w="660"/>
        <w:gridCol w:w="661"/>
        <w:gridCol w:w="109"/>
        <w:gridCol w:w="109"/>
        <w:gridCol w:w="109"/>
        <w:gridCol w:w="125"/>
        <w:gridCol w:w="125"/>
        <w:gridCol w:w="126"/>
        <w:gridCol w:w="109"/>
        <w:gridCol w:w="109"/>
        <w:gridCol w:w="109"/>
        <w:gridCol w:w="819"/>
        <w:gridCol w:w="819"/>
        <w:gridCol w:w="823"/>
        <w:gridCol w:w="109"/>
        <w:gridCol w:w="109"/>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80" w:after="283"/>
        <w:jc w:val="left"/>
        <w:rPr/>
      </w:pPr>
      <w:r>
        <w:rPr>
          <w:rFonts w:ascii="Times New Roman;serif" w:hAnsi="Times New Roman;serif"/>
          <w:b w:val="false"/>
          <w:color w:val="000000"/>
          <w:sz w:val="20"/>
        </w:rPr>
        <w:t>Indicate by check mark whether the registrant is a shell company (as defined in Rule 12b-2 of the Exchange Act)     </w:t>
      </w:r>
      <w:r>
        <w:rPr>
          <w:rFonts w:ascii="Times New Roman;serif" w:hAnsi="Times New Roman;serif"/>
          <w:b/>
          <w:color w:val="000000"/>
          <w:sz w:val="20"/>
        </w:rPr>
        <w:t>Yes</w:t>
      </w:r>
      <w:r>
        <w:rPr>
          <w:color w:val="000000"/>
        </w:rPr>
        <w:t>   ☐     </w:t>
      </w:r>
      <w:r>
        <w:rPr>
          <w:rFonts w:ascii="Times New Roman;serif" w:hAnsi="Times New Roman;serif"/>
          <w:b/>
          <w:color w:val="000000"/>
          <w:sz w:val="20"/>
        </w:rPr>
        <w:t>No</w:t>
      </w:r>
      <w:r>
        <w:rPr>
          <w:color w:val="000000"/>
        </w:rPr>
        <w:t>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registrant had 35,245,879 common units outstanding as of July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8356" w:type="dxa"/>
        <w:jc w:val="left"/>
        <w:tblInd w:w="0" w:type="dxa"/>
        <w:tblLayout w:type="fixed"/>
        <w:tblCellMar>
          <w:top w:w="28" w:type="dxa"/>
          <w:left w:w="28" w:type="dxa"/>
          <w:bottom w:w="28" w:type="dxa"/>
          <w:right w:w="28" w:type="dxa"/>
        </w:tblCellMar>
      </w:tblPr>
      <w:tblGrid>
        <w:gridCol w:w="163"/>
        <w:gridCol w:w="143"/>
        <w:gridCol w:w="145"/>
        <w:gridCol w:w="2463"/>
        <w:gridCol w:w="2463"/>
        <w:gridCol w:w="2468"/>
        <w:gridCol w:w="149"/>
        <w:gridCol w:w="149"/>
        <w:gridCol w:w="213"/>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9679b38ebe747ed88fae015f5343281_10">
              <w:r>
                <w:rPr>
                  <w:rStyle w:val="InternetLink"/>
                  <w:rFonts w:ascii="Times New Roman;serif" w:hAnsi="Times New Roman;serif"/>
                  <w:b/>
                  <w:strike w:val="false"/>
                  <w:dstrike w:val="false"/>
                  <w:color w:val="000000"/>
                  <w:sz w:val="20"/>
                  <w:u w:val="none"/>
                  <w:effect w:val="non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Item</w:t>
            </w:r>
          </w:p>
        </w:tc>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13">
              <w:r>
                <w:rPr>
                  <w:rStyle w:val="InternetLink"/>
                  <w:rFonts w:ascii="Times New Roman;serif" w:hAnsi="Times New Roman;serif"/>
                  <w:b w:val="false"/>
                  <w:strike w:val="false"/>
                  <w:dstrike w:val="false"/>
                  <w:color w:val="000000"/>
                  <w:sz w:val="20"/>
                  <w:u w:val="none"/>
                  <w:effect w:val="none"/>
                </w:rPr>
                <w:t>1)</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13">
              <w:r>
                <w:rPr>
                  <w:rStyle w:val="InternetLink"/>
                  <w:strike w:val="false"/>
                  <w:dstrike w:val="false"/>
                  <w:color w:val="000000"/>
                  <w:u w:val="none"/>
                  <w:effect w:val="none"/>
                </w:rPr>
                <w:t> </w:t>
              </w:r>
            </w:hyperlink>
            <w:hyperlink w:anchor="id9679b38ebe747ed88fae015f5343281_13">
              <w:r>
                <w:rPr>
                  <w:rStyle w:val="InternetLink"/>
                  <w:rFonts w:ascii="Times New Roman;serif" w:hAnsi="Times New Roman;serif"/>
                  <w:b w:val="false"/>
                  <w:strike w:val="false"/>
                  <w:dstrike w:val="false"/>
                  <w:color w:val="000000"/>
                  <w:sz w:val="20"/>
                  <w:u w:val="none"/>
                  <w:effect w:val="non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13">
              <w:r>
                <w:rPr>
                  <w:rStyle w:val="InternetLink"/>
                  <w:rFonts w:ascii="Times New Roman;serif" w:hAnsi="Times New Roman;serif"/>
                  <w:b w:val="false"/>
                  <w:strike w:val="false"/>
                  <w:dstrike w:val="false"/>
                  <w:color w:val="000000"/>
                  <w:sz w:val="20"/>
                  <w:u w:val="none"/>
                  <w:effect w:val="none"/>
                </w:rPr>
                <w:t>1</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73">
              <w:r>
                <w:rPr>
                  <w:rStyle w:val="InternetLink"/>
                  <w:rFonts w:ascii="Times New Roman;serif" w:hAnsi="Times New Roman;serif"/>
                  <w:b w:val="false"/>
                  <w:strike w:val="false"/>
                  <w:dstrike w:val="false"/>
                  <w:color w:val="000000"/>
                  <w:sz w:val="20"/>
                  <w:u w:val="none"/>
                  <w:effect w:val="none"/>
                </w:rPr>
                <w:t>2)</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73">
              <w:r>
                <w:rPr>
                  <w:rStyle w:val="InternetLink"/>
                  <w:strike w:val="false"/>
                  <w:dstrike w:val="false"/>
                  <w:color w:val="000000"/>
                  <w:u w:val="none"/>
                  <w:effect w:val="none"/>
                </w:rPr>
                <w:t> </w:t>
              </w:r>
            </w:hyperlink>
            <w:hyperlink w:anchor="id9679b38ebe747ed88fae015f5343281_73">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73">
              <w:r>
                <w:rPr>
                  <w:rStyle w:val="InternetLink"/>
                  <w:rFonts w:ascii="Times New Roman;serif" w:hAnsi="Times New Roman;serif"/>
                  <w:b w:val="false"/>
                  <w:strike w:val="false"/>
                  <w:dstrike w:val="false"/>
                  <w:color w:val="000000"/>
                  <w:sz w:val="20"/>
                  <w:u w:val="none"/>
                  <w:effect w:val="none"/>
                </w:rPr>
                <w:t>18</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76">
              <w:r>
                <w:rPr>
                  <w:rStyle w:val="InternetLink"/>
                  <w:rFonts w:ascii="Times New Roman;serif" w:hAnsi="Times New Roman;serif"/>
                  <w:b w:val="false"/>
                  <w:strike w:val="false"/>
                  <w:dstrike w:val="false"/>
                  <w:color w:val="000000"/>
                  <w:sz w:val="20"/>
                  <w:u w:val="none"/>
                  <w:effect w:val="none"/>
                </w:rPr>
                <w:t>3)</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76">
              <w:r>
                <w:rPr>
                  <w:rStyle w:val="InternetLink"/>
                  <w:strike w:val="false"/>
                  <w:dstrike w:val="false"/>
                  <w:color w:val="000000"/>
                  <w:u w:val="none"/>
                  <w:effect w:val="none"/>
                </w:rPr>
                <w:t> </w:t>
              </w:r>
            </w:hyperlink>
            <w:hyperlink w:anchor="id9679b38ebe747ed88fae015f5343281_76">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76">
              <w:r>
                <w:rPr>
                  <w:rStyle w:val="InternetLink"/>
                  <w:rFonts w:ascii="Times New Roman;serif" w:hAnsi="Times New Roman;serif"/>
                  <w:b w:val="false"/>
                  <w:strike w:val="false"/>
                  <w:dstrike w:val="false"/>
                  <w:color w:val="000000"/>
                  <w:sz w:val="20"/>
                  <w:u w:val="none"/>
                  <w:effect w:val="none"/>
                </w:rPr>
                <w:t>30</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79">
              <w:r>
                <w:rPr>
                  <w:rStyle w:val="InternetLink"/>
                  <w:rFonts w:ascii="Times New Roman;serif" w:hAnsi="Times New Roman;serif"/>
                  <w:b w:val="false"/>
                  <w:strike w:val="false"/>
                  <w:dstrike w:val="false"/>
                  <w:color w:val="000000"/>
                  <w:sz w:val="20"/>
                  <w:u w:val="none"/>
                  <w:effect w:val="none"/>
                </w:rPr>
                <w:t>4)</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79">
              <w:r>
                <w:rPr>
                  <w:rStyle w:val="InternetLink"/>
                  <w:strike w:val="false"/>
                  <w:dstrike w:val="false"/>
                  <w:color w:val="000000"/>
                  <w:u w:val="none"/>
                  <w:effect w:val="none"/>
                </w:rPr>
                <w:t> </w:t>
              </w:r>
            </w:hyperlink>
            <w:hyperlink w:anchor="id9679b38ebe747ed88fae015f5343281_79">
              <w:r>
                <w:rPr>
                  <w:rStyle w:val="InternetLink"/>
                  <w:rFonts w:ascii="Times New Roman;serif" w:hAnsi="Times New Roman;serif"/>
                  <w:b w:val="false"/>
                  <w:strike w:val="false"/>
                  <w:dstrike w:val="false"/>
                  <w:color w:val="000000"/>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79">
              <w:r>
                <w:rPr>
                  <w:rStyle w:val="InternetLink"/>
                  <w:rFonts w:ascii="Times New Roman;serif" w:hAnsi="Times New Roman;serif"/>
                  <w:b w:val="false"/>
                  <w:strike w:val="false"/>
                  <w:dstrike w:val="false"/>
                  <w:color w:val="000000"/>
                  <w:sz w:val="20"/>
                  <w:u w:val="none"/>
                  <w:effect w:val="none"/>
                </w:rPr>
                <w:t>30</w:t>
              </w:r>
            </w:hyperlink>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9679b38ebe747ed88fae015f5343281_82">
              <w:r>
                <w:rPr>
                  <w:rStyle w:val="InternetLink"/>
                  <w:rFonts w:ascii="Times New Roman;serif" w:hAnsi="Times New Roman;serif"/>
                  <w:b/>
                  <w:strike w:val="false"/>
                  <w:dstrike w:val="false"/>
                  <w:color w:val="000000"/>
                  <w:sz w:val="20"/>
                  <w:u w:val="none"/>
                  <w:effect w:val="non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85">
              <w:r>
                <w:rPr>
                  <w:rStyle w:val="InternetLink"/>
                  <w:rFonts w:ascii="Times New Roman;serif" w:hAnsi="Times New Roman;serif"/>
                  <w:b w:val="false"/>
                  <w:strike w:val="false"/>
                  <w:dstrike w:val="false"/>
                  <w:color w:val="000000"/>
                  <w:sz w:val="20"/>
                  <w:u w:val="none"/>
                  <w:effect w:val="none"/>
                </w:rPr>
                <w:t>1)</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85">
              <w:r>
                <w:rPr>
                  <w:rStyle w:val="InternetLink"/>
                  <w:strike w:val="false"/>
                  <w:dstrike w:val="false"/>
                  <w:color w:val="000000"/>
                  <w:u w:val="none"/>
                  <w:effect w:val="none"/>
                </w:rPr>
                <w:t> </w:t>
              </w:r>
            </w:hyperlink>
            <w:hyperlink w:anchor="id9679b38ebe747ed88fae015f5343281_85">
              <w:r>
                <w:rPr>
                  <w:rStyle w:val="InternetLink"/>
                  <w:rFonts w:ascii="Times New Roman;serif" w:hAnsi="Times New Roman;serif"/>
                  <w:b w:val="false"/>
                  <w:strike w:val="false"/>
                  <w:dstrike w:val="false"/>
                  <w:color w:val="000000"/>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85">
              <w:r>
                <w:rPr>
                  <w:rStyle w:val="InternetLink"/>
                  <w:rFonts w:ascii="Times New Roman;serif" w:hAnsi="Times New Roman;serif"/>
                  <w:b w:val="false"/>
                  <w:strike w:val="false"/>
                  <w:dstrike w:val="false"/>
                  <w:color w:val="000000"/>
                  <w:sz w:val="20"/>
                  <w:u w:val="none"/>
                  <w:effect w:val="none"/>
                </w:rPr>
                <w:t>31</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88">
              <w:r>
                <w:rPr>
                  <w:rStyle w:val="InternetLink"/>
                  <w:rFonts w:ascii="Times New Roman;serif" w:hAnsi="Times New Roman;serif"/>
                  <w:b w:val="false"/>
                  <w:strike w:val="false"/>
                  <w:dstrike w:val="false"/>
                  <w:color w:val="000000"/>
                  <w:sz w:val="20"/>
                  <w:u w:val="none"/>
                  <w:effect w:val="none"/>
                </w:rPr>
                <w:t>1A)</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88">
              <w:r>
                <w:rPr>
                  <w:rStyle w:val="InternetLink"/>
                  <w:strike w:val="false"/>
                  <w:dstrike w:val="false"/>
                  <w:color w:val="000000"/>
                  <w:u w:val="none"/>
                  <w:effect w:val="none"/>
                </w:rPr>
                <w:t> </w:t>
              </w:r>
            </w:hyperlink>
            <w:hyperlink w:anchor="id9679b38ebe747ed88fae015f5343281_88">
              <w:r>
                <w:rPr>
                  <w:rStyle w:val="InternetLink"/>
                  <w:rFonts w:ascii="Times New Roman;serif" w:hAnsi="Times New Roman;serif"/>
                  <w:b w:val="false"/>
                  <w:strike w:val="false"/>
                  <w:dstrike w:val="false"/>
                  <w:color w:val="000000"/>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88">
              <w:r>
                <w:rPr>
                  <w:rStyle w:val="InternetLink"/>
                  <w:rFonts w:ascii="Times New Roman;serif" w:hAnsi="Times New Roman;serif"/>
                  <w:b w:val="false"/>
                  <w:strike w:val="false"/>
                  <w:dstrike w:val="false"/>
                  <w:color w:val="000000"/>
                  <w:sz w:val="20"/>
                  <w:u w:val="none"/>
                  <w:effect w:val="none"/>
                </w:rPr>
                <w:t>31</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91">
              <w:r>
                <w:rPr>
                  <w:rStyle w:val="InternetLink"/>
                  <w:rFonts w:ascii="Times New Roman;serif" w:hAnsi="Times New Roman;serif"/>
                  <w:b w:val="false"/>
                  <w:strike w:val="false"/>
                  <w:dstrike w:val="false"/>
                  <w:color w:val="000000"/>
                  <w:sz w:val="20"/>
                  <w:u w:val="none"/>
                  <w:effect w:val="none"/>
                </w:rPr>
                <w:t>5)</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91">
              <w:r>
                <w:rPr>
                  <w:rStyle w:val="InternetLink"/>
                  <w:strike w:val="false"/>
                  <w:dstrike w:val="false"/>
                  <w:color w:val="000000"/>
                  <w:u w:val="none"/>
                  <w:effect w:val="none"/>
                </w:rPr>
                <w:t> </w:t>
              </w:r>
            </w:hyperlink>
            <w:hyperlink w:anchor="id9679b38ebe747ed88fae015f5343281_91">
              <w:r>
                <w:rPr>
                  <w:rStyle w:val="InternetLink"/>
                  <w:rFonts w:ascii="Times New Roman;serif" w:hAnsi="Times New Roman;serif"/>
                  <w:b w:val="false"/>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91">
              <w:r>
                <w:rPr>
                  <w:rStyle w:val="InternetLink"/>
                  <w:rFonts w:ascii="Times New Roman;serif" w:hAnsi="Times New Roman;serif"/>
                  <w:b w:val="false"/>
                  <w:strike w:val="false"/>
                  <w:dstrike w:val="false"/>
                  <w:color w:val="000000"/>
                  <w:sz w:val="20"/>
                  <w:u w:val="none"/>
                  <w:effect w:val="none"/>
                </w:rPr>
                <w:t>31</w:t>
              </w:r>
            </w:hyperlink>
          </w:p>
        </w:tc>
      </w:tr>
      <w:tr>
        <w:trPr/>
        <w:tc>
          <w:tcPr>
            <w:tcW w:w="4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94">
              <w:r>
                <w:rPr>
                  <w:rStyle w:val="InternetLink"/>
                  <w:rFonts w:ascii="Times New Roman;serif" w:hAnsi="Times New Roman;serif"/>
                  <w:b w:val="false"/>
                  <w:strike w:val="false"/>
                  <w:dstrike w:val="false"/>
                  <w:color w:val="000000"/>
                  <w:sz w:val="20"/>
                  <w:u w:val="none"/>
                  <w:effect w:val="none"/>
                </w:rPr>
                <w:t>6)</w:t>
              </w:r>
            </w:hyperlink>
          </w:p>
        </w:tc>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679b38ebe747ed88fae015f5343281_94">
              <w:r>
                <w:rPr>
                  <w:rStyle w:val="InternetLink"/>
                  <w:strike w:val="false"/>
                  <w:dstrike w:val="false"/>
                  <w:color w:val="000000"/>
                  <w:u w:val="none"/>
                  <w:effect w:val="none"/>
                </w:rPr>
                <w:t> </w:t>
              </w:r>
            </w:hyperlink>
            <w:hyperlink w:anchor="id9679b38ebe747ed88fae015f5343281_94">
              <w:r>
                <w:rPr>
                  <w:rStyle w:val="InternetLink"/>
                  <w:rFonts w:ascii="Times New Roman;serif" w:hAnsi="Times New Roman;serif"/>
                  <w:b w:val="false"/>
                  <w:strike w:val="false"/>
                  <w:dstrike w:val="false"/>
                  <w:color w:val="000000"/>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679b38ebe747ed88fae015f5343281_94">
              <w:r>
                <w:rPr>
                  <w:rStyle w:val="InternetLink"/>
                  <w:rFonts w:ascii="Times New Roman;serif" w:hAnsi="Times New Roman;serif"/>
                  <w:b w:val="false"/>
                  <w:strike w:val="false"/>
                  <w:dstrike w:val="false"/>
                  <w:color w:val="000000"/>
                  <w:sz w:val="20"/>
                  <w:u w:val="none"/>
                  <w:effect w:val="none"/>
                </w:rPr>
                <w:t>32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16"/>
        <w:gridCol w:w="2063"/>
        <w:gridCol w:w="2052"/>
        <w:gridCol w:w="109"/>
        <w:gridCol w:w="109"/>
        <w:gridCol w:w="109"/>
        <w:gridCol w:w="237"/>
        <w:gridCol w:w="1102"/>
        <w:gridCol w:w="122"/>
        <w:gridCol w:w="122"/>
        <w:gridCol w:w="122"/>
        <w:gridCol w:w="122"/>
        <w:gridCol w:w="237"/>
        <w:gridCol w:w="1102"/>
        <w:gridCol w:w="181"/>
      </w:tblGrid>
      <w:tr>
        <w:trPr/>
        <w:tc>
          <w:tcPr>
            <w:tcW w:w="2416"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 except unit amounts)</w:t>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under the Investment Management Agreement—Westlake Corporation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886,012 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1,217,348 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1,256,533 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and other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to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unitholders—publicly and privately held (21,123,649 and 21,123,649 units</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issued and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457,957 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unitholder—Westlake (14,122,230 and 14,122,230 units issued and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Westlake Chemical Partners LP partners'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Westlake Chemical OpCo LP ("OpCo")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543,816 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1,217,348 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1,256,533 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68"/>
        <w:gridCol w:w="1204"/>
        <w:gridCol w:w="1218"/>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 except unit amounts and per unit data)</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459,857 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co-products, ethylene and other sales—third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 in 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Westlake Chemical Partners LP and limited partners' interest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19,506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limited partner unit attributable to Westlake Chemical Partners LP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limited partner units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units—publicly and privately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21,123,649 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21,116,326 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units—Westlake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14,122,230 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14,122,230 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14,122,230 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14,122,230 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999"/>
        <w:gridCol w:w="616"/>
        <w:gridCol w:w="619"/>
        <w:gridCol w:w="109"/>
        <w:gridCol w:w="109"/>
        <w:gridCol w:w="109"/>
        <w:gridCol w:w="246"/>
        <w:gridCol w:w="967"/>
        <w:gridCol w:w="127"/>
        <w:gridCol w:w="109"/>
        <w:gridCol w:w="109"/>
        <w:gridCol w:w="109"/>
        <w:gridCol w:w="243"/>
        <w:gridCol w:w="831"/>
        <w:gridCol w:w="125"/>
        <w:gridCol w:w="109"/>
        <w:gridCol w:w="109"/>
        <w:gridCol w:w="109"/>
        <w:gridCol w:w="211"/>
        <w:gridCol w:w="853"/>
        <w:gridCol w:w="109"/>
        <w:gridCol w:w="109"/>
        <w:gridCol w:w="109"/>
        <w:gridCol w:w="109"/>
        <w:gridCol w:w="109"/>
        <w:gridCol w:w="109"/>
        <w:gridCol w:w="222"/>
        <w:gridCol w:w="871"/>
        <w:gridCol w:w="115"/>
        <w:gridCol w:w="109"/>
        <w:gridCol w:w="109"/>
        <w:gridCol w:w="109"/>
        <w:gridCol w:w="211"/>
        <w:gridCol w:w="826"/>
        <w:gridCol w:w="161"/>
      </w:tblGrid>
      <w:tr>
        <w:trPr/>
        <w:tc>
          <w:tcPr>
            <w:tcW w:w="9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Unitholders</w:t>
            </w:r>
            <w:r>
              <w:rPr>
                <w:color w:val="000000"/>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Publicly and Privately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Unitholder</w:t>
            </w:r>
            <w:r>
              <w:rPr>
                <w:color w:val="000000"/>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Westlake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General </w:t>
            </w:r>
          </w:p>
          <w:p>
            <w:pPr>
              <w:pStyle w:val="TableContents"/>
              <w:bidi w:val="0"/>
              <w:spacing w:lineRule="auto" w:line="240" w:before="0" w:after="0"/>
              <w:jc w:val="center"/>
              <w:rPr/>
            </w:pPr>
            <w:r>
              <w:rPr>
                <w:rFonts w:ascii="Times New Roman;serif" w:hAnsi="Times New Roman;serif"/>
                <w:b/>
                <w:color w:val="000000"/>
                <w:sz w:val="16"/>
              </w:rPr>
              <w:t>Partner</w:t>
            </w:r>
            <w:r>
              <w:rPr>
                <w:color w:val="000000"/>
              </w:rPr>
              <w: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Westlake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w:t>
              <w:br/>
              <w:t>in OpCo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c>
          <w:tcPr>
            <w:tcW w:w="1525" w:type="dxa"/>
            <w:gridSpan w:val="6"/>
            <w:tcBorders/>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 retained in OpCo by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536,296 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792,386 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 retained in OpCo by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(88,720)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457,957 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515,700 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769,413 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001"/>
        <w:gridCol w:w="618"/>
        <w:gridCol w:w="620"/>
        <w:gridCol w:w="109"/>
        <w:gridCol w:w="109"/>
        <w:gridCol w:w="109"/>
        <w:gridCol w:w="247"/>
        <w:gridCol w:w="968"/>
        <w:gridCol w:w="127"/>
        <w:gridCol w:w="109"/>
        <w:gridCol w:w="109"/>
        <w:gridCol w:w="109"/>
        <w:gridCol w:w="241"/>
        <w:gridCol w:w="825"/>
        <w:gridCol w:w="126"/>
        <w:gridCol w:w="109"/>
        <w:gridCol w:w="109"/>
        <w:gridCol w:w="109"/>
        <w:gridCol w:w="211"/>
        <w:gridCol w:w="853"/>
        <w:gridCol w:w="109"/>
        <w:gridCol w:w="109"/>
        <w:gridCol w:w="109"/>
        <w:gridCol w:w="109"/>
        <w:gridCol w:w="109"/>
        <w:gridCol w:w="109"/>
        <w:gridCol w:w="222"/>
        <w:gridCol w:w="871"/>
        <w:gridCol w:w="115"/>
        <w:gridCol w:w="109"/>
        <w:gridCol w:w="109"/>
        <w:gridCol w:w="109"/>
        <w:gridCol w:w="211"/>
        <w:gridCol w:w="826"/>
        <w:gridCol w:w="161"/>
      </w:tblGrid>
      <w:tr>
        <w:trPr/>
        <w:tc>
          <w:tcPr>
            <w:tcW w:w="100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Partnership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Unitholders—</w:t>
              <w:br/>
              <w:t>Publicly and Privately Held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Unitholder—</w:t>
              <w:br/>
              <w:t>Westlake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General </w:t>
              <w:br/>
              <w:t>Partner—</w:t>
              <w:br/>
              <w:t>Westlake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Noncontrolling </w:t>
              <w:br/>
              <w:t>Interest</w:t>
              <w:br/>
              <w:t>in OpCo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1" w:type="dxa"/>
            <w:gridSpan w:val="2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c>
          <w:tcPr>
            <w:tcW w:w="1525" w:type="dxa"/>
            <w:gridSpan w:val="6"/>
            <w:tcBorders/>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 retained in OpCo by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 retained in OpCo by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463,109 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831,165 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WESTLAKE CHEMICAL PARTNERS LP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176" w:type="dxa"/>
        <w:jc w:val="left"/>
        <w:tblInd w:w="0" w:type="dxa"/>
        <w:tblLayout w:type="fixed"/>
        <w:tblCellMar>
          <w:top w:w="28" w:type="dxa"/>
          <w:left w:w="28" w:type="dxa"/>
          <w:bottom w:w="28" w:type="dxa"/>
          <w:right w:w="28" w:type="dxa"/>
        </w:tblCellMar>
      </w:tblPr>
      <w:tblGrid>
        <w:gridCol w:w="2597"/>
        <w:gridCol w:w="2286"/>
        <w:gridCol w:w="2302"/>
        <w:gridCol w:w="109"/>
        <w:gridCol w:w="109"/>
        <w:gridCol w:w="109"/>
        <w:gridCol w:w="211"/>
        <w:gridCol w:w="826"/>
        <w:gridCol w:w="109"/>
        <w:gridCol w:w="109"/>
        <w:gridCol w:w="109"/>
        <w:gridCol w:w="109"/>
        <w:gridCol w:w="211"/>
        <w:gridCol w:w="82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disposition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accounts receivable—Westlake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 and others,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with Westlake under the Investment Management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investments with Westlake under the Investment Management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payable to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payable to 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 retained in OpCo by 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1. Description of Business and Basis of Presentation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owns a 22.8% limited partner interest in Westlake Chemical OpCo LP ("OpCo") and a 100% interest in Westlake Chemical OpCo GP LLC ("OpCo GP"), which is the general partner of OpCo. OpCo owns three ethylene production facilities and one common carrier ethylene pipeline. The remaining 77.2% limited partner interest in OpCo is owned by Westlake Corporation. References to "Westlake" refer collectively to Westlake Corporation and its subsidiaries, other than the Partnership, OpCo and OpCo GP.</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OpCo and Westlake entered into an ethylene sales agreement (the "Ethylene Sales Agreement") pursuant to which the Partnership generates a substantial majority of its revenue. For more information, see Note 8.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2025 (the "2025 Form 10-K"), filed with the SEC on March 4, 2026. These financial statements have been prepared in conformity with the accounting principles and practices as disclosed in the notes to the consolidated financial statements of the Partnership for the fiscal year ended December 31,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The Partnership's operations consist exclusively of the variable interest entity's operations and, as such, no additional variable interest entity disclosures are considered necessary. Westlake's retained interest of 77.2% is recorded as noncontrolling interest in the Partnership's consolidated financial statements.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June 30, 2026, its results of operations for the three and six months ended June 30, 2026 and 2025 and the changes in its cash position for the six months ended June 30, 2026 and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Results of operations and changes in cash position for the interim periods presented are not necessarily indicative of the results that will be realized for the fiscal year ending December 31, 2026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Recently Issued Accounting Pronouncement</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 (ASU No. 2024-03)</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an accounting standards update requiring public entities to disclose, on an annual and interim basis, detailed information about the types of expenses in relevant expense captions presented on the face of the income statement, including amounts for inventory purchases, employee compensation, depreciation and amortization of intangible assets and a qualitative description for remaining amounts not separately disaggregated. Additionally, the update requires disclosure of total selling expenses, and in annual periods, an entity's definition of selling expenses. The amendments in this update are effective for annual reporting periods beginning after December 15, 2026, and interim periods beginning after December 15, 2027 and are to be applied either prospectively or retrospectively. Early adoption is permitted. The Partnership is currently evaluating the impact of the update on the disclosures in the Partnership's consolidated financial statements.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Measurement of Credit Losses for Accounts Receivable and Contract Assets (ASU No. 2025-05)</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an accounting standards update to add a practical expedient in developing reasonable and supportable forecasts as part of estimating expected credit losses. All entities may elect a practical expedient that assumes the current conditions as of the balance sheet date do not change for the remaining life of the asset. The amendments in this update are effective for annual reporting periods beginning after December 15, 2025 and interim reporting periods within those annual reporting periods, with early adoption permitted. Entities should apply the new guidance prospectively. The Partnership adopted the standard electing a practical expedient effective January 1, 2026, and the adoption of this accounting standard did not have a material impact on its consolidated statements of financial position, results of operations, or cash flows, or on related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2. Accounts Receivable—Third Parties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Accounts receivable—third parties consisted of the following:</w:t>
      </w:r>
    </w:p>
    <w:tbl>
      <w:tblPr>
        <w:tblW w:w="6120" w:type="dxa"/>
        <w:jc w:val="left"/>
        <w:tblInd w:w="0" w:type="dxa"/>
        <w:tblLayout w:type="fixed"/>
        <w:tblCellMar>
          <w:top w:w="28" w:type="dxa"/>
          <w:left w:w="28" w:type="dxa"/>
          <w:bottom w:w="28" w:type="dxa"/>
          <w:right w:w="28" w:type="dxa"/>
        </w:tblCellMar>
      </w:tblPr>
      <w:tblGrid>
        <w:gridCol w:w="1188"/>
        <w:gridCol w:w="1045"/>
        <w:gridCol w:w="1052"/>
        <w:gridCol w:w="109"/>
        <w:gridCol w:w="109"/>
        <w:gridCol w:w="109"/>
        <w:gridCol w:w="211"/>
        <w:gridCol w:w="721"/>
        <w:gridCol w:w="109"/>
        <w:gridCol w:w="109"/>
        <w:gridCol w:w="109"/>
        <w:gridCol w:w="109"/>
        <w:gridCol w:w="245"/>
        <w:gridCol w:w="716"/>
        <w:gridCol w:w="17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3. Inventories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5715" w:type="dxa"/>
        <w:jc w:val="left"/>
        <w:tblInd w:w="0" w:type="dxa"/>
        <w:tblLayout w:type="fixed"/>
        <w:tblCellMar>
          <w:top w:w="28" w:type="dxa"/>
          <w:left w:w="28" w:type="dxa"/>
          <w:bottom w:w="28" w:type="dxa"/>
          <w:right w:w="28" w:type="dxa"/>
        </w:tblCellMar>
      </w:tblPr>
      <w:tblGrid>
        <w:gridCol w:w="1081"/>
        <w:gridCol w:w="950"/>
        <w:gridCol w:w="954"/>
        <w:gridCol w:w="109"/>
        <w:gridCol w:w="109"/>
        <w:gridCol w:w="109"/>
        <w:gridCol w:w="211"/>
        <w:gridCol w:w="616"/>
        <w:gridCol w:w="109"/>
        <w:gridCol w:w="109"/>
        <w:gridCol w:w="109"/>
        <w:gridCol w:w="109"/>
        <w:gridCol w:w="245"/>
        <w:gridCol w:w="716"/>
        <w:gridCol w:w="179"/>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Feedstock, additives and chemicals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4. Property, Plant and Equipment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Depreciation expense on property, plant and equipment of $22,913 and $21,587 is included in cost of sales in the consolidated statements of operations for the three months ended June 30, 2026 and 2025, respectively. </w:t>
      </w:r>
      <w:r>
        <w:rPr>
          <w:rFonts w:ascii="Times New Roman;serif" w:hAnsi="Times New Roman;serif"/>
          <w:b w:val="false"/>
          <w:color w:val="000000"/>
          <w:sz w:val="20"/>
          <w:shd w:fill="FFFFFF" w:val="clear"/>
        </w:rPr>
        <w:t xml:space="preserve">Depreciation expense on property, plant and equipment of </w:t>
      </w:r>
      <w:r>
        <w:rPr>
          <w:rFonts w:ascii="Times New Roman;serif" w:hAnsi="Times New Roman;serif"/>
          <w:b w:val="false"/>
          <w:color w:val="000000"/>
          <w:sz w:val="20"/>
        </w:rPr>
        <w:t>$45,252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$42,423</w:t>
      </w:r>
      <w:r>
        <w:rPr>
          <w:color w:val="000000"/>
          <w:shd w:fill="FFFFFF" w:val="clear"/>
        </w:rPr>
        <w:t xml:space="preserve"> </w:t>
      </w:r>
      <w:r>
        <w:rPr>
          <w:rFonts w:ascii="Times New Roman;serif" w:hAnsi="Times New Roman;serif"/>
          <w:b w:val="false"/>
          <w:color w:val="000000"/>
          <w:sz w:val="20"/>
          <w:shd w:fill="FFFFFF" w:val="clear"/>
        </w:rPr>
        <w:t xml:space="preserve">is included in cost of </w:t>
      </w:r>
      <w:r>
        <w:rPr>
          <w:rFonts w:ascii="Times New Roman;serif" w:hAnsi="Times New Roman;serif"/>
          <w:b w:val="false"/>
          <w:color w:val="000000"/>
          <w:sz w:val="20"/>
        </w:rPr>
        <w:t>sales</w:t>
      </w:r>
      <w:r>
        <w:rPr>
          <w:color w:val="000000"/>
          <w:shd w:fill="FFFFFF" w:val="clear"/>
        </w:rPr>
        <w:t xml:space="preserve"> </w:t>
      </w:r>
      <w:r>
        <w:rPr>
          <w:rFonts w:ascii="Times New Roman;serif" w:hAnsi="Times New Roman;serif"/>
          <w:b w:val="false"/>
          <w:color w:val="000000"/>
          <w:sz w:val="20"/>
          <w:shd w:fill="FFFFFF" w:val="clear"/>
        </w:rPr>
        <w:t xml:space="preserve">in the consolidated statements of operations for the </w:t>
      </w:r>
      <w:r>
        <w:rPr>
          <w:rFonts w:ascii="Times New Roman;serif" w:hAnsi="Times New Roman;serif"/>
          <w:b w:val="false"/>
          <w:color w:val="000000"/>
          <w:sz w:val="20"/>
        </w:rPr>
        <w:t>six months ended June 30, 2026 and 2025</w:t>
      </w:r>
      <w:r>
        <w:rPr>
          <w:rFonts w:ascii="Times New Roman;serif" w:hAnsi="Times New Roman;serif"/>
          <w:b w:val="false"/>
          <w:color w:val="000000"/>
          <w:sz w:val="20"/>
          <w:shd w:fill="FFFFFF" w:val="clear"/>
        </w:rPr>
        <w:t xml:space="preserv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5. Deferred Charges and Other Assets </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Amortization expense on deferred charges and other assets of $12,115 and $10,897 is included in cost of sales in the consolidated statements of operations for the three months ended June 30, 2026 and 2025, respectively</w:t>
      </w:r>
      <w:r>
        <w:rPr>
          <w:rFonts w:ascii="Times New Roman;serif" w:hAnsi="Times New Roman;serif"/>
          <w:b w:val="false"/>
          <w:color w:val="000000"/>
          <w:sz w:val="20"/>
          <w:shd w:fill="FFFFFF" w:val="clear"/>
        </w:rPr>
        <w:t xml:space="preserve">. Amortization expense on deferred charges and other assets of </w:t>
      </w:r>
      <w:r>
        <w:rPr>
          <w:rFonts w:ascii="Times New Roman;serif" w:hAnsi="Times New Roman;serif"/>
          <w:b w:val="false"/>
          <w:color w:val="000000"/>
          <w:sz w:val="20"/>
        </w:rPr>
        <w:t xml:space="preserve">$24,075 and $17,129 is included in cost of sales in the consolidated statements of operations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6. Distributions and Net Income Per Limited Partner Unit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3, 2026, the board of directors of Westlake Chemical Partners GP LLC ("Westlake GP"), the Partnership's general partner, declared a quarterly cash distribution for the three months ended June 30, 2026 of 0.4714 per common unit. This distribution is payable on August 28, 2026 to unitholders of record as of August 13,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Distributions are declared subsequent to quarter end; therefore, the table below represents total cash distributions declared from earnings of the related periods pertaining to such distributions.</w:t>
      </w:r>
    </w:p>
    <w:tbl>
      <w:tblPr>
        <w:tblW w:w="10205" w:type="dxa"/>
        <w:jc w:val="left"/>
        <w:tblInd w:w="0" w:type="dxa"/>
        <w:tblLayout w:type="fixed"/>
        <w:tblCellMar>
          <w:top w:w="28" w:type="dxa"/>
          <w:left w:w="28" w:type="dxa"/>
          <w:bottom w:w="28" w:type="dxa"/>
          <w:right w:w="28" w:type="dxa"/>
        </w:tblCellMar>
      </w:tblPr>
      <w:tblGrid>
        <w:gridCol w:w="1671"/>
        <w:gridCol w:w="1467"/>
        <w:gridCol w:w="147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94"/>
        <w:gridCol w:w="156"/>
      </w:tblGrid>
      <w:tr>
        <w:trPr/>
        <w:tc>
          <w:tcPr>
            <w:tcW w:w="1671"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partners' distribution declared on 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 in excess of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in the event distributions related to the incentive distribution rights are made, net income equal to the amount of those distributions would first be allocated to the general partner before the remaining net income would be allocated to the unitholders based on their respective ownership percentages. Basic and diluted net income per unit is the same because the Partnership does not have any potentially dilutive units outstanding for the periods presented.</w:t>
      </w:r>
    </w:p>
    <w:tbl>
      <w:tblPr>
        <w:tblW w:w="10205" w:type="dxa"/>
        <w:jc w:val="left"/>
        <w:tblInd w:w="0" w:type="dxa"/>
        <w:tblLayout w:type="fixed"/>
        <w:tblCellMar>
          <w:top w:w="28" w:type="dxa"/>
          <w:left w:w="28" w:type="dxa"/>
          <w:bottom w:w="28" w:type="dxa"/>
          <w:right w:w="28" w:type="dxa"/>
        </w:tblCellMar>
      </w:tblPr>
      <w:tblGrid>
        <w:gridCol w:w="1245"/>
        <w:gridCol w:w="1091"/>
        <w:gridCol w:w="1097"/>
        <w:gridCol w:w="109"/>
        <w:gridCol w:w="109"/>
        <w:gridCol w:w="109"/>
        <w:gridCol w:w="498"/>
        <w:gridCol w:w="1679"/>
        <w:gridCol w:w="253"/>
        <w:gridCol w:w="109"/>
        <w:gridCol w:w="109"/>
        <w:gridCol w:w="109"/>
        <w:gridCol w:w="615"/>
        <w:gridCol w:w="1185"/>
        <w:gridCol w:w="321"/>
        <w:gridCol w:w="109"/>
        <w:gridCol w:w="109"/>
        <w:gridCol w:w="109"/>
        <w:gridCol w:w="244"/>
        <w:gridCol w:w="837"/>
        <w:gridCol w:w="159"/>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 Common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Incentive Distribution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 in excess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35,245,879 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limited partner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25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5"/>
        <w:gridCol w:w="1091"/>
        <w:gridCol w:w="1097"/>
        <w:gridCol w:w="109"/>
        <w:gridCol w:w="109"/>
        <w:gridCol w:w="109"/>
        <w:gridCol w:w="498"/>
        <w:gridCol w:w="1679"/>
        <w:gridCol w:w="253"/>
        <w:gridCol w:w="109"/>
        <w:gridCol w:w="109"/>
        <w:gridCol w:w="109"/>
        <w:gridCol w:w="615"/>
        <w:gridCol w:w="1185"/>
        <w:gridCol w:w="321"/>
        <w:gridCol w:w="109"/>
        <w:gridCol w:w="109"/>
        <w:gridCol w:w="109"/>
        <w:gridCol w:w="244"/>
        <w:gridCol w:w="837"/>
        <w:gridCol w:w="159"/>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 Common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Incentive Distribution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 in excess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35,238,556 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35,238,556 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limited partner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25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5"/>
        <w:gridCol w:w="1091"/>
        <w:gridCol w:w="1097"/>
        <w:gridCol w:w="109"/>
        <w:gridCol w:w="109"/>
        <w:gridCol w:w="109"/>
        <w:gridCol w:w="498"/>
        <w:gridCol w:w="1679"/>
        <w:gridCol w:w="253"/>
        <w:gridCol w:w="109"/>
        <w:gridCol w:w="109"/>
        <w:gridCol w:w="109"/>
        <w:gridCol w:w="615"/>
        <w:gridCol w:w="1185"/>
        <w:gridCol w:w="321"/>
        <w:gridCol w:w="109"/>
        <w:gridCol w:w="109"/>
        <w:gridCol w:w="109"/>
        <w:gridCol w:w="244"/>
        <w:gridCol w:w="837"/>
        <w:gridCol w:w="159"/>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 Common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Incentive Distribution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 in excess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35,245,879 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35,245,879 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limited partner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5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5"/>
        <w:gridCol w:w="1091"/>
        <w:gridCol w:w="1097"/>
        <w:gridCol w:w="109"/>
        <w:gridCol w:w="109"/>
        <w:gridCol w:w="109"/>
        <w:gridCol w:w="498"/>
        <w:gridCol w:w="1679"/>
        <w:gridCol w:w="253"/>
        <w:gridCol w:w="109"/>
        <w:gridCol w:w="109"/>
        <w:gridCol w:w="109"/>
        <w:gridCol w:w="615"/>
        <w:gridCol w:w="1185"/>
        <w:gridCol w:w="321"/>
        <w:gridCol w:w="109"/>
        <w:gridCol w:w="109"/>
        <w:gridCol w:w="109"/>
        <w:gridCol w:w="244"/>
        <w:gridCol w:w="837"/>
        <w:gridCol w:w="159"/>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Limited Partners' Common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Incentive Distribution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Distribution in excess of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35,238,556 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35,238,556 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limited partner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9"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25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amended Partnership Agreement provides that the Partnership will distribute cash that is deemed to be an appropriate portion of the Partnership's total operating surplus. Incentive distribution rights represent the right to receive increasing percentages (15.0 %, 25.0 % and 50.0 %) of quarterly distributions from operating surplus after the target distribution levels have been achieved.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tbl>
      <w:tblPr>
        <w:tblW w:w="6325" w:type="dxa"/>
        <w:jc w:val="left"/>
        <w:tblInd w:w="0" w:type="dxa"/>
        <w:tblLayout w:type="fixed"/>
        <w:tblCellMar>
          <w:top w:w="28" w:type="dxa"/>
          <w:left w:w="28" w:type="dxa"/>
          <w:bottom w:w="28" w:type="dxa"/>
          <w:right w:w="28" w:type="dxa"/>
        </w:tblCellMar>
      </w:tblPr>
      <w:tblGrid>
        <w:gridCol w:w="928"/>
        <w:gridCol w:w="815"/>
        <w:gridCol w:w="822"/>
        <w:gridCol w:w="109"/>
        <w:gridCol w:w="109"/>
        <w:gridCol w:w="109"/>
        <w:gridCol w:w="362"/>
        <w:gridCol w:w="362"/>
        <w:gridCol w:w="362"/>
        <w:gridCol w:w="362"/>
        <w:gridCol w:w="362"/>
        <w:gridCol w:w="362"/>
        <w:gridCol w:w="362"/>
        <w:gridCol w:w="362"/>
        <w:gridCol w:w="537"/>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Marginal Percentage Interest in Distributions</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Unitholders</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IDR Holders</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$1.2938 up to $1.4063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15.0 %</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$1.4063 up to $1.6875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25.0 %</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Above $1.6875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50.0 %</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cash distributions to the Partnership's unitholders do not exceed $1.2938 per common unit in a quarter, then no distribution is made with respect to the Partnership's incentive distribution rights for such quarter. The Partnership's distribution for the three months ended June 30, 2026 was $0.4714 per common unit, which did not exceed the $1.2938 per unit threshold, and, as a result, no distribution was made with respect to the Partnership's incentive distribution rights to Westlake, as the holder of the Partnership's incentive distribution rights.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Distributions Per Common Unit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per common unit for the three and six months ended June 30, 2026 and 2025 were as follows: </w:t>
      </w:r>
    </w:p>
    <w:tbl>
      <w:tblPr>
        <w:tblW w:w="8126" w:type="dxa"/>
        <w:jc w:val="left"/>
        <w:tblInd w:w="0" w:type="dxa"/>
        <w:tblLayout w:type="fixed"/>
        <w:tblCellMar>
          <w:top w:w="28" w:type="dxa"/>
          <w:left w:w="28" w:type="dxa"/>
          <w:bottom w:w="28" w:type="dxa"/>
          <w:right w:w="28" w:type="dxa"/>
        </w:tblCellMar>
      </w:tblPr>
      <w:tblGrid>
        <w:gridCol w:w="946"/>
        <w:gridCol w:w="829"/>
        <w:gridCol w:w="83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per common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7.</w:t>
      </w:r>
      <w:r>
        <w:rPr>
          <w:color w:val="000000"/>
        </w:rPr>
        <w:t xml:space="preserve"> </w:t>
      </w:r>
      <w:r>
        <w:rPr>
          <w:rFonts w:ascii="Times New Roman;serif" w:hAnsi="Times New Roman;serif"/>
          <w:b/>
          <w:color w:val="000000"/>
          <w:sz w:val="20"/>
        </w:rPr>
        <w:t>Partners' Equity</w:t>
      </w:r>
      <w:r>
        <w:rPr>
          <w:color w:val="000000"/>
        </w:rPr>
        <w:t xml:space="preserv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and subsequent renewals thereof for utilization under this agreement. To date, no common units have been issued under this program.</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pPr>
      <w:r>
        <w:rPr>
          <w:rFonts w:ascii="Times New Roman;serif" w:hAnsi="Times New Roman;serif"/>
          <w:b/>
          <w:color w:val="000000"/>
          <w:sz w:val="20"/>
        </w:rPr>
        <w:t>8.</w:t>
      </w:r>
      <w:r>
        <w:rPr>
          <w:color w:val="000000"/>
        </w:rPr>
        <w:t xml:space="preserve"> </w:t>
      </w:r>
      <w:r>
        <w:rPr>
          <w:rFonts w:ascii="Times New Roman;serif" w:hAnsi="Times New Roman;serif"/>
          <w:b/>
          <w:color w:val="000000"/>
          <w:sz w:val="20"/>
        </w:rPr>
        <w:t xml:space="preserve">Related Party Transactions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Related party transactions between the Partnership, OpCo and Westlake are primarily based on agreements such as the Ethylene Sales Agreement, the Feedstock Supply Agreement, the Services and Secondment Agreement, Site Lease Agreements, the Omnibus Agreement, the Investment Management Agreement, the Exchange Agreement, the OpCo Partnership Agreement, the OpCo Revolver and the MLP Revolver. These agreements, discussed in detail in the Partnership's 2025 consolidated financial statements included in the 2025 Form 10-K filed on March 4, 2026, reflect the pervasive effect of the relationship with Westlake on the Partnership's operations and its consolidated financial statements. Pursuant to these agreements, the Partnership and OpCo regularly enter into transactions with Westlake. See below for descriptions and details of significant related party transactions.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Sales to Related Parties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OpCo sells ethylene to Westlake under the Ethylene Sales Agreement. Additionally, the Partnership and OpCo from time to time provide other services or products for which it charges Westlake a fee.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OpCo sells a significant portion of its ethylene production to Westlake. Sales to related parties were as follows:</w:t>
      </w:r>
    </w:p>
    <w:tbl>
      <w:tblPr>
        <w:tblW w:w="7721" w:type="dxa"/>
        <w:jc w:val="left"/>
        <w:tblInd w:w="0" w:type="dxa"/>
        <w:tblLayout w:type="fixed"/>
        <w:tblCellMar>
          <w:top w:w="28" w:type="dxa"/>
          <w:left w:w="28" w:type="dxa"/>
          <w:bottom w:w="28" w:type="dxa"/>
          <w:right w:w="28" w:type="dxa"/>
        </w:tblCellMar>
      </w:tblPr>
      <w:tblGrid>
        <w:gridCol w:w="645"/>
        <w:gridCol w:w="567"/>
        <w:gridCol w:w="57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OpCo's production resulted in expected "excess quantities" of ethylene produced based on annual estimated production. Pursuant to the terms of the Ethylene Sales Agreement, the excess quantities produced by the Partnership were sold to Westlake at prices that excluded certain fixed costs of production. The fixed cost of production associated with the estimated excess quantities for the six months ended June 30, 2026 was approximately $2,100.</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Cost of Sales from Related Parties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Charges for goods and services purchased by the Partnership and OpCo from Westlake and included in cost of sales relate primarily to feedstock purchased under the Feedstock Supply Agreement and services provided under the Services and Secondment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 Partnership's inputs included in cost of sales are supplied by Westlake. Charges from related parties for significant inputs included in cost of sales were as follows:</w:t>
      </w:r>
    </w:p>
    <w:tbl>
      <w:tblPr>
        <w:tblW w:w="10205" w:type="dxa"/>
        <w:jc w:val="left"/>
        <w:tblInd w:w="0" w:type="dxa"/>
        <w:tblLayout w:type="fixed"/>
        <w:tblCellMar>
          <w:top w:w="28" w:type="dxa"/>
          <w:left w:w="28" w:type="dxa"/>
          <w:bottom w:w="28" w:type="dxa"/>
          <w:right w:w="28" w:type="dxa"/>
        </w:tblCellMar>
      </w:tblPr>
      <w:tblGrid>
        <w:gridCol w:w="1618"/>
        <w:gridCol w:w="1424"/>
        <w:gridCol w:w="1434"/>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6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Feedstock purchased from Westlake and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from Westlake and included in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Services from Related Parties Included in Selling, General and Administrative Expenses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Charges from related parties included within selling, general and administrative expenses were as follows:</w:t>
      </w:r>
    </w:p>
    <w:tbl>
      <w:tblPr>
        <w:tblW w:w="10205" w:type="dxa"/>
        <w:jc w:val="left"/>
        <w:tblInd w:w="0" w:type="dxa"/>
        <w:tblLayout w:type="fixed"/>
        <w:tblCellMar>
          <w:top w:w="28" w:type="dxa"/>
          <w:left w:w="28" w:type="dxa"/>
          <w:bottom w:w="28" w:type="dxa"/>
          <w:right w:w="28" w:type="dxa"/>
        </w:tblCellMar>
      </w:tblPr>
      <w:tblGrid>
        <w:gridCol w:w="1762"/>
        <w:gridCol w:w="1548"/>
        <w:gridCol w:w="1552"/>
        <w:gridCol w:w="109"/>
        <w:gridCol w:w="109"/>
        <w:gridCol w:w="109"/>
        <w:gridCol w:w="214"/>
        <w:gridCol w:w="626"/>
        <w:gridCol w:w="110"/>
        <w:gridCol w:w="110"/>
        <w:gridCol w:w="110"/>
        <w:gridCol w:w="110"/>
        <w:gridCol w:w="214"/>
        <w:gridCol w:w="626"/>
        <w:gridCol w:w="110"/>
        <w:gridCol w:w="109"/>
        <w:gridCol w:w="109"/>
        <w:gridCol w:w="109"/>
        <w:gridCol w:w="211"/>
        <w:gridCol w:w="721"/>
        <w:gridCol w:w="109"/>
        <w:gridCol w:w="109"/>
        <w:gridCol w:w="109"/>
        <w:gridCol w:w="109"/>
        <w:gridCol w:w="211"/>
        <w:gridCol w:w="721"/>
        <w:gridCol w:w="159"/>
      </w:tblGrid>
      <w:tr>
        <w:trPr/>
        <w:tc>
          <w:tcPr>
            <w:tcW w:w="176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received from Westlake and included in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Goods and Services from Related Parties Capitalized as Assets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Charges for goods and services purchased by the Partnership and OpCo from Westlake, which were capitalized as assets, relate primarily to the services of Westlake employees under the Services and Secondment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Charges from related parties for goods and services capitalized as assets were as follows:</w:t>
      </w:r>
    </w:p>
    <w:tbl>
      <w:tblPr>
        <w:tblW w:w="10205" w:type="dxa"/>
        <w:jc w:val="left"/>
        <w:tblInd w:w="0" w:type="dxa"/>
        <w:tblLayout w:type="fixed"/>
        <w:tblCellMar>
          <w:top w:w="28" w:type="dxa"/>
          <w:left w:w="28" w:type="dxa"/>
          <w:bottom w:w="28" w:type="dxa"/>
          <w:right w:w="28" w:type="dxa"/>
        </w:tblCellMar>
      </w:tblPr>
      <w:tblGrid>
        <w:gridCol w:w="1839"/>
        <w:gridCol w:w="1615"/>
        <w:gridCol w:w="1620"/>
        <w:gridCol w:w="109"/>
        <w:gridCol w:w="109"/>
        <w:gridCol w:w="109"/>
        <w:gridCol w:w="229"/>
        <w:gridCol w:w="507"/>
        <w:gridCol w:w="118"/>
        <w:gridCol w:w="118"/>
        <w:gridCol w:w="118"/>
        <w:gridCol w:w="118"/>
        <w:gridCol w:w="229"/>
        <w:gridCol w:w="671"/>
        <w:gridCol w:w="118"/>
        <w:gridCol w:w="109"/>
        <w:gridCol w:w="109"/>
        <w:gridCol w:w="109"/>
        <w:gridCol w:w="211"/>
        <w:gridCol w:w="616"/>
        <w:gridCol w:w="109"/>
        <w:gridCol w:w="109"/>
        <w:gridCol w:w="109"/>
        <w:gridCol w:w="109"/>
        <w:gridCol w:w="211"/>
        <w:gridCol w:w="616"/>
        <w:gridCol w:w="161"/>
      </w:tblGrid>
      <w:tr>
        <w:trPr/>
        <w:tc>
          <w:tcPr>
            <w:tcW w:w="183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purchased from Westlake and capitalized as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Receivable under the Investment Management Agreement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$405 and $206 was included in the receivable under the Investment Management Agreement balance at June 30, 2026 and December 31, 2025, respectively. Total interest earned related to the Investment Management Agreement was $405 and $752 for the three months ended June 30, 2026 and 2025, respectively, and $674 and $2,109 for the six months ended June 30, 2026 and 2025,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Partnership's receivable under the Investment Management Agreement was as follows:</w:t>
      </w:r>
    </w:p>
    <w:tbl>
      <w:tblPr>
        <w:tblW w:w="7663" w:type="dxa"/>
        <w:jc w:val="left"/>
        <w:tblInd w:w="0" w:type="dxa"/>
        <w:tblLayout w:type="fixed"/>
        <w:tblCellMar>
          <w:top w:w="28" w:type="dxa"/>
          <w:left w:w="28" w:type="dxa"/>
          <w:bottom w:w="28" w:type="dxa"/>
          <w:right w:w="28" w:type="dxa"/>
        </w:tblCellMar>
      </w:tblPr>
      <w:tblGrid>
        <w:gridCol w:w="1751"/>
        <w:gridCol w:w="1535"/>
        <w:gridCol w:w="1543"/>
        <w:gridCol w:w="109"/>
        <w:gridCol w:w="109"/>
        <w:gridCol w:w="109"/>
        <w:gridCol w:w="211"/>
        <w:gridCol w:w="721"/>
        <w:gridCol w:w="109"/>
        <w:gridCol w:w="109"/>
        <w:gridCol w:w="109"/>
        <w:gridCol w:w="109"/>
        <w:gridCol w:w="221"/>
        <w:gridCol w:w="757"/>
        <w:gridCol w:w="161"/>
      </w:tblGrid>
      <w:tr>
        <w:trPr/>
        <w:tc>
          <w:tcPr>
            <w:tcW w:w="175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under the Investment Management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Accounts Receivable from Related Parties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Partnership's accounts receivable from Westlake result primarily from ethylene sales to Westlake and any Buyer Deficiency Fee and Shortfall recognized under the Ethylene Sales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OpCo had an annual production deficiency under the Ethylene Sales Agreement for the full year 2025 primarily due to the Petro 1 turnaround extending into April 2025, which was later than the planned completion in March 2025.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 is classified as a component of net sales—Westlake. The total Buyer Deficiency Fee recognized by the Partnership during the twelve months ended December 31, 2025 was $5,835. The Buyer Deficiency Fee recognized in 2025 was received by the Partnership in January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Partnership's accounts receivable from Westlake were as follows:</w:t>
      </w:r>
    </w:p>
    <w:tbl>
      <w:tblPr>
        <w:tblW w:w="5548" w:type="dxa"/>
        <w:jc w:val="center"/>
        <w:tblInd w:w="0" w:type="dxa"/>
        <w:tblLayout w:type="fixed"/>
        <w:tblCellMar>
          <w:top w:w="28" w:type="dxa"/>
          <w:left w:w="28" w:type="dxa"/>
          <w:bottom w:w="28" w:type="dxa"/>
          <w:right w:w="28" w:type="dxa"/>
        </w:tblCellMar>
      </w:tblPr>
      <w:tblGrid>
        <w:gridCol w:w="984"/>
        <w:gridCol w:w="864"/>
        <w:gridCol w:w="866"/>
        <w:gridCol w:w="109"/>
        <w:gridCol w:w="109"/>
        <w:gridCol w:w="109"/>
        <w:gridCol w:w="211"/>
        <w:gridCol w:w="721"/>
        <w:gridCol w:w="109"/>
        <w:gridCol w:w="109"/>
        <w:gridCol w:w="109"/>
        <w:gridCol w:w="109"/>
        <w:gridCol w:w="221"/>
        <w:gridCol w:w="757"/>
        <w:gridCol w:w="161"/>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Accounts Payable to Related Parties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Partnership's accounts payable to Westlake result primarily from feedstock purchases under the Feedstock Supply Agreement and services provided under the Services and Secondment Agreement and the Omnibus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Partnership's accounts payable to Westlake were as follows:</w:t>
      </w:r>
    </w:p>
    <w:tbl>
      <w:tblPr>
        <w:tblW w:w="5353" w:type="dxa"/>
        <w:jc w:val="left"/>
        <w:tblInd w:w="0" w:type="dxa"/>
        <w:tblLayout w:type="fixed"/>
        <w:tblCellMar>
          <w:top w:w="28" w:type="dxa"/>
          <w:left w:w="28" w:type="dxa"/>
          <w:bottom w:w="28" w:type="dxa"/>
          <w:right w:w="28" w:type="dxa"/>
        </w:tblCellMar>
      </w:tblPr>
      <w:tblGrid>
        <w:gridCol w:w="912"/>
        <w:gridCol w:w="802"/>
        <w:gridCol w:w="805"/>
        <w:gridCol w:w="109"/>
        <w:gridCol w:w="109"/>
        <w:gridCol w:w="109"/>
        <w:gridCol w:w="211"/>
        <w:gridCol w:w="721"/>
        <w:gridCol w:w="109"/>
        <w:gridCol w:w="109"/>
        <w:gridCol w:w="109"/>
        <w:gridCol w:w="109"/>
        <w:gridCol w:w="221"/>
        <w:gridCol w:w="757"/>
        <w:gridCol w:w="161"/>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OpCo is obligated to Westlake under various long-term and short-term noncancelable operating leases, primarily related to rail cars and land. Operating lease rentals paid to Westlake for such leases were $481 and $440 for the three months ended June 30, 2026 and 2025, respectively, and $918 and $778 for the six months ended June 30, 2026 and 2025 respectively, an</w:t>
      </w:r>
      <w:r>
        <w:rPr>
          <w:rFonts w:ascii="Times New Roman;serif" w:hAnsi="Times New Roman;serif"/>
          <w:b w:val="false"/>
          <w:color w:val="000000"/>
          <w:sz w:val="20"/>
          <w:shd w:fill="FFFFFF" w:val="clear"/>
        </w:rPr>
        <w:t>d are reflected in other charges from Westlake that are included in cost of sales.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OpCo has two site lease agreements with Westlake, each of which has a term of 50 years. Pursuant to the site lease agreements, OpCo pays Westlake one dollar per site per year.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Debt Payable to Related Parties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See Note 9 for a description of related party debt payable balances.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Interest on related party debt payable balances, net of capitalized interest, for the three months ended June 30, 2026 and 2025 was $5,119 and $5,907, respecti</w:t>
      </w:r>
      <w:r>
        <w:rPr>
          <w:rFonts w:ascii="Times New Roman;serif" w:hAnsi="Times New Roman;serif"/>
          <w:b w:val="false"/>
          <w:color w:val="000000"/>
          <w:sz w:val="20"/>
          <w:shd w:fill="FFFFFF" w:val="clear"/>
        </w:rPr>
        <w:t xml:space="preserve">vely. Interest on related party debt payable balances, net of capitalized interest, for the </w:t>
      </w:r>
      <w:r>
        <w:rPr>
          <w:rFonts w:ascii="Times New Roman;serif" w:hAnsi="Times New Roman;serif"/>
          <w:b w:val="false"/>
          <w:color w:val="000000"/>
          <w:sz w:val="20"/>
        </w:rPr>
        <w:t xml:space="preserve">six months ended June 30, 2026 and 2025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$10,204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$11,444</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Interest on related party debt payable is presented as interest expense—Westlake in the consolidated statements of operations. At June 30, 2026 and December 31, 2025, accrued interest on related party debt was $5,119 and $5,508, respectively, and is reflected as a component of accrued and other liabilities in the consolidated balance sheets.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Debt payable to related parties was as follows:</w:t>
      </w:r>
    </w:p>
    <w:tbl>
      <w:tblPr>
        <w:tblW w:w="6066" w:type="dxa"/>
        <w:jc w:val="left"/>
        <w:tblInd w:w="0" w:type="dxa"/>
        <w:tblLayout w:type="fixed"/>
        <w:tblCellMar>
          <w:top w:w="28" w:type="dxa"/>
          <w:left w:w="28" w:type="dxa"/>
          <w:bottom w:w="28" w:type="dxa"/>
          <w:right w:w="28" w:type="dxa"/>
        </w:tblCellMar>
      </w:tblPr>
      <w:tblGrid>
        <w:gridCol w:w="1112"/>
        <w:gridCol w:w="980"/>
        <w:gridCol w:w="983"/>
        <w:gridCol w:w="109"/>
        <w:gridCol w:w="109"/>
        <w:gridCol w:w="109"/>
        <w:gridCol w:w="211"/>
        <w:gridCol w:w="826"/>
        <w:gridCol w:w="109"/>
        <w:gridCol w:w="109"/>
        <w:gridCol w:w="109"/>
        <w:gridCol w:w="109"/>
        <w:gridCol w:w="211"/>
        <w:gridCol w:w="82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to 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Major Customer and Concentration of Credit Risk</w:t>
      </w:r>
    </w:p>
    <w:p>
      <w:pPr>
        <w:pStyle w:val="TextBody"/>
        <w:bidi w:val="0"/>
        <w:spacing w:lineRule="auto" w:line="288" w:before="100" w:after="283"/>
        <w:ind w:left="0" w:right="0" w:firstLine="450"/>
        <w:jc w:val="left"/>
        <w:rPr/>
      </w:pPr>
      <w:r>
        <w:rPr>
          <w:rFonts w:ascii="Times New Roman;serif" w:hAnsi="Times New Roman;serif"/>
          <w:b w:val="false"/>
          <w:color w:val="000000"/>
          <w:sz w:val="20"/>
        </w:rPr>
        <w:t>During the three months ended June 30, 2026 and 2025, Westlake accounted for approximately 80.1% and 90.6%, respectively, of the Partnership's net sale</w:t>
      </w:r>
      <w:r>
        <w:rPr>
          <w:rFonts w:ascii="Times New Roman;serif" w:hAnsi="Times New Roman;serif"/>
          <w:b w:val="false"/>
          <w:color w:val="000000"/>
          <w:sz w:val="20"/>
          <w:shd w:fill="FFFFFF" w:val="clear"/>
        </w:rPr>
        <w:t xml:space="preserve">s. During the </w:t>
      </w:r>
      <w:r>
        <w:rPr>
          <w:rFonts w:ascii="Times New Roman;serif" w:hAnsi="Times New Roman;serif"/>
          <w:b w:val="false"/>
          <w:color w:val="000000"/>
          <w:sz w:val="20"/>
        </w:rPr>
        <w:t xml:space="preserve">six months ended June 30, 2026 and 2025, </w:t>
      </w:r>
      <w:r>
        <w:rPr>
          <w:rFonts w:ascii="Times New Roman;serif" w:hAnsi="Times New Roman;serif"/>
          <w:b w:val="false"/>
          <w:color w:val="000000"/>
          <w:sz w:val="20"/>
          <w:shd w:fill="FFFFFF" w:val="clear"/>
        </w:rPr>
        <w:t xml:space="preserve">Westlake accounted for approximately </w:t>
      </w:r>
      <w:r>
        <w:rPr>
          <w:rFonts w:ascii="Times New Roman;serif" w:hAnsi="Times New Roman;serif"/>
          <w:b w:val="false"/>
          <w:color w:val="000000"/>
          <w:sz w:val="20"/>
        </w:rPr>
        <w:t>83.1%</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86.0%</w:t>
      </w:r>
      <w:r>
        <w:rPr>
          <w:rFonts w:ascii="Times New Roman;serif" w:hAnsi="Times New Roman;serif"/>
          <w:b w:val="false"/>
          <w:color w:val="000000"/>
          <w:sz w:val="20"/>
          <w:shd w:fill="FFFFFF" w:val="clear"/>
        </w:rPr>
        <w:t>, respectively, of the Partnership's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9. Long-Term Debt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Long-term debt payable to Westlake consisted of the following:</w:t>
      </w:r>
    </w:p>
    <w:tbl>
      <w:tblPr>
        <w:tblW w:w="6065" w:type="dxa"/>
        <w:jc w:val="left"/>
        <w:tblInd w:w="0" w:type="dxa"/>
        <w:tblLayout w:type="fixed"/>
        <w:tblCellMar>
          <w:top w:w="28" w:type="dxa"/>
          <w:left w:w="28" w:type="dxa"/>
          <w:bottom w:w="28" w:type="dxa"/>
          <w:right w:w="28" w:type="dxa"/>
        </w:tblCellMar>
      </w:tblPr>
      <w:tblGrid>
        <w:gridCol w:w="1112"/>
        <w:gridCol w:w="978"/>
        <w:gridCol w:w="984"/>
        <w:gridCol w:w="109"/>
        <w:gridCol w:w="109"/>
        <w:gridCol w:w="109"/>
        <w:gridCol w:w="211"/>
        <w:gridCol w:w="826"/>
        <w:gridCol w:w="109"/>
        <w:gridCol w:w="109"/>
        <w:gridCol w:w="109"/>
        <w:gridCol w:w="109"/>
        <w:gridCol w:w="211"/>
        <w:gridCol w:w="82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OpCo Revolver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MLP Revolver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377,055 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to 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outstanding borrowings under the OpCo Revolver and the MLP Revolver bore interest at the Secured Overnight Financing Rate, as administered by the Federal Reserve Bank of New York ("SOFR") plus the Applicable Margin plus a 0.10% credit spread adjustment. The Applicable Margin under the OpCo Revolver is 1.75%. The Applicable Margin under the MLP Revolver varies between 1.75% and 2.75%, depending on the Partnership's Consolidated Leverage Ratio. As of June 30, 2026, the OpCo Revolver and the MLP Revolver were scheduled to mature on July 12, 2027. See Note 14 for information regarding amendments to the OpCo and MLP Revolvers.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 average interest rate on all long-term debt was 5.5% and 5.8% at June 30, 2026 and December 31, 2025,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the Partnership was in compliance with all of the covenants under the OpCo Revolver and the MLP Revolver.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10. Fair Value Measurements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1: Quoted market prices in active markets for identical assets or liabilities.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2: Observable market-based inputs or unobservable inputs that are corroborated by market data.</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that are not corroborated by market data.</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cash and cash equivalents, accounts receivable, net and accounts payable approximate their fair value due to the short maturities of these instruments. The carrying and fair values of the Partnership's long-term debt at June 30, 2026 and December 31, 2025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tbl>
      <w:tblPr>
        <w:tblW w:w="9012" w:type="dxa"/>
        <w:jc w:val="left"/>
        <w:tblInd w:w="0" w:type="dxa"/>
        <w:tblLayout w:type="fixed"/>
        <w:tblCellMar>
          <w:top w:w="28" w:type="dxa"/>
          <w:left w:w="28" w:type="dxa"/>
          <w:bottom w:w="28" w:type="dxa"/>
          <w:right w:w="28" w:type="dxa"/>
        </w:tblCellMar>
      </w:tblPr>
      <w:tblGrid>
        <w:gridCol w:w="1112"/>
        <w:gridCol w:w="980"/>
        <w:gridCol w:w="98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payable to 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pPr>
      <w:r>
        <w:rPr>
          <w:rFonts w:ascii="Times New Roman;serif" w:hAnsi="Times New Roman;serif"/>
          <w:b/>
          <w:color w:val="000000"/>
          <w:sz w:val="20"/>
        </w:rPr>
        <w:t>11.</w:t>
      </w:r>
      <w:r>
        <w:rPr>
          <w:color w:val="000000"/>
        </w:rPr>
        <w:t xml:space="preserve"> </w:t>
      </w:r>
      <w:r>
        <w:rPr>
          <w:rFonts w:ascii="Times New Roman;serif" w:hAnsi="Times New Roman;serif"/>
          <w:b/>
          <w:color w:val="000000"/>
          <w:sz w:val="20"/>
        </w:rPr>
        <w:t xml:space="preserve">Supplemental Information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Accrued and Other Liabilities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 were $19,135 and $22,199 at June 30, 2026 and December 31, 2025, respectively. Accrued taxes, accrued maintenance and accrued interest on related party debt, which are components of accrued and other liabilities, were $4,949, $2,371 and $5,119, respectively, at June 30, 2026 and $2,104, $2,764 and $5,508, respectively, at December 31, 2025. No other component of accrued and other liabilities was more than five percent of total current liabilities.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Cash Flow Information</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Non-cash Investing Activity</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Capital expenditure related liabilities, included in accounts payable—third parties and accrued and other liabilities, were $5,277 and $10,915 at June 30, 2026 and 2025, respectively.</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right-of-use assets obtained in exchange for operating lease obligations for the six months ended June 30, 2026. Right-of-use assets obtained in exchange for operating lease obligations were $173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12. Commitments and Contingencies</w:t>
      </w:r>
      <w:r>
        <w:rPr>
          <w:color w:val="000000"/>
        </w:rPr>
        <w:t xml:space="preserv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Pursuant to the Omnibus Agreement, certain subsidiaries of Westlake will indemnify the Partnership for certain environmental and other liabilities that occurred or existed prior to August 4, 2014. Pursuant to the Services and Secondment Agreement, certain subsidiaries of Westlake will indemnify the Partnership for certain liabilities incurred in connection with the performance of Westlake's services under such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pPr>
      <w:r>
        <w:rPr>
          <w:rFonts w:ascii="Times New Roman;serif" w:hAnsi="Times New Roman;serif"/>
          <w:b/>
          <w:color w:val="000000"/>
          <w:sz w:val="20"/>
        </w:rPr>
        <w:t>13. Segment Information</w:t>
      </w:r>
      <w:r>
        <w:rPr>
          <w:color w:val="000000"/>
        </w:rPr>
        <w:t xml:space="preserve">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has one operating segment, which is the Partnership's reportable segment, OpCo. Consolidated net sales and provision for income taxes as disclosed in the consolidated statements of operations and depreciation and amortization and additions to property, plant and equipment as disclosed in the consolidated statements of cash flows are fully attributed to the OpCo segment, and as such, separate OpCo segment amounts are not repeated in the tables below.</w:t>
      </w:r>
    </w:p>
    <w:tbl>
      <w:tblPr>
        <w:tblW w:w="10205" w:type="dxa"/>
        <w:jc w:val="left"/>
        <w:tblInd w:w="0" w:type="dxa"/>
        <w:tblLayout w:type="fixed"/>
        <w:tblCellMar>
          <w:top w:w="28" w:type="dxa"/>
          <w:left w:w="28" w:type="dxa"/>
          <w:bottom w:w="28" w:type="dxa"/>
          <w:right w:w="28" w:type="dxa"/>
        </w:tblCellMar>
      </w:tblPr>
      <w:tblGrid>
        <w:gridCol w:w="1562"/>
        <w:gridCol w:w="1350"/>
        <w:gridCol w:w="135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6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segment expenses and other segment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 energy, manufacturing and logistics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Interest expense—Westlake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reconciliation of total segment net income to consolidated net income is as follows:</w:t>
      </w:r>
    </w:p>
    <w:tbl>
      <w:tblPr>
        <w:tblW w:w="7721" w:type="dxa"/>
        <w:jc w:val="left"/>
        <w:tblInd w:w="0" w:type="dxa"/>
        <w:tblLayout w:type="fixed"/>
        <w:tblCellMar>
          <w:top w:w="28" w:type="dxa"/>
          <w:left w:w="28" w:type="dxa"/>
          <w:bottom w:w="28" w:type="dxa"/>
          <w:right w:w="28" w:type="dxa"/>
        </w:tblCellMar>
      </w:tblPr>
      <w:tblGrid>
        <w:gridCol w:w="722"/>
        <w:gridCol w:w="633"/>
        <w:gridCol w:w="63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from 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401"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211"/>
        <w:gridCol w:w="976"/>
        <w:gridCol w:w="109"/>
        <w:gridCol w:w="109"/>
        <w:gridCol w:w="109"/>
        <w:gridCol w:w="109"/>
        <w:gridCol w:w="211"/>
        <w:gridCol w:w="976"/>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jc w:val="left"/>
        <w:rPr>
          <w:rFonts w:ascii="Times New Roman;serif" w:hAnsi="Times New Roman;serif"/>
          <w:b w:val="false"/>
          <w:color w:val="000000"/>
          <w:sz w:val="12"/>
          <w:shd w:fill="FFFFFF" w:val="clear"/>
        </w:rPr>
      </w:pPr>
      <w:r>
        <w:rPr>
          <w:rFonts w:ascii="Times New Roman;serif" w:hAnsi="Times New Roman;serif"/>
          <w:b w:val="false"/>
          <w:color w:val="000000"/>
          <w:sz w:val="12"/>
          <w:shd w:fill="FFFFFF" w:val="clear"/>
        </w:rPr>
        <w:t>_____________________________</w:t>
      </w:r>
    </w:p>
    <w:p>
      <w:pPr>
        <w:pStyle w:val="TextBody"/>
        <w:bidi w:val="0"/>
        <w:spacing w:lineRule="auto" w:line="288" w:before="100" w:after="283"/>
        <w:ind w:left="0" w:right="0" w:hanging="450"/>
        <w:jc w:val="left"/>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Other segment items includes interest expense—Westlake, other income, net and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WESTLAKE CHEMICAL PARTNERS LP</w:t>
      </w:r>
    </w:p>
    <w:p>
      <w:pPr>
        <w:pStyle w:val="TextBody"/>
        <w:bidi w:val="0"/>
        <w:spacing w:lineRule="auto" w:line="288" w:before="0" w:after="0"/>
        <w:jc w:val="center"/>
        <w:rPr/>
      </w:pPr>
      <w:r>
        <w:rPr>
          <w:rFonts w:ascii="Times New Roman;serif" w:hAnsi="Times New Roman;serif"/>
          <w:b/>
          <w:color w:val="000000"/>
          <w:sz w:val="20"/>
        </w:rPr>
        <w:t>NOTES TO CONSOLIDATED FINANCIAL STATEMENTS</w:t>
      </w:r>
      <w:r>
        <w:rPr>
          <w:color w:val="000000"/>
        </w:rPr>
        <w:t>—</w:t>
      </w:r>
      <w:r>
        <w:rPr>
          <w:rFonts w:ascii="Times New Roman;serif" w:hAnsi="Times New Roman;serif"/>
          <w:b/>
          <w:color w:val="000000"/>
          <w:sz w:val="20"/>
        </w:rPr>
        <w:t>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dollars, except unit amounts and per unit data)</w:t>
      </w:r>
    </w:p>
    <w:p>
      <w:pPr>
        <w:pStyle w:val="TextBody"/>
        <w:bidi w:val="0"/>
        <w:spacing w:before="0" w:after="0"/>
        <w:jc w:val="center"/>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8, 2026, OpCo entered into the Third Amendment to the OpCo Revolver and the Partnership entered into the Fifth Amendment to the MLP Revolver, which extended the maturity dates of the OpCo Revolver and the MLP Revolver and removed the 0.10% credit spread adjustments that had previously applied to the SOFR-based interest rates under the OpCo Revolver and the MLP Revolver. The OpCo Revolver and the MLP Revolver are now scheduled to mature on July 11, 2031.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2025 (the "2025 Form 10-K"), as filed with the SEC on March 4, 2026. Unless otherwise indicated, references in this report to "we," "our," "us" or like terms, refer to Westlake Chemical Partners LP (the "Partnership"), Westlake Chemical OpCo LP ("OpCo") and Westlake Chemical OpCo GP LLC ("OpCo GP"). References to "Westlake" refer to Westlake Corporation and its consolidated subsidiaries other than the Partnership, OpCo GP and OpCo. The following discussion contains forward-looking statements. Please read "Forward-Looking Statements" for a discussion of limitations inherent in such statements.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Partnership Overview</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Neither we nor OpCo has any employees. OpCo and Westlake are parties to the Services and Secondment Agreement, pursuant to which Westlake provides OpCo with various utility services, comprehensive operating services for OpCo's units, services for the maintenance and operation of the common facilities and seconded employees to perform all services required under the agreement. The Services and Secondment Agreement, as amended, provides for an initial term through December 31, 2026 and, subject to the simultaneous renewal of the Ethylene Sales Agreement, automatic 12-month renewal periods until terminated at the end of the initial term or any renewal term on not less than 12-months'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 We Generate Revenue</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 is obligated to pay for the annual minimum quantity (95% of OpCo's budgeted ethylene production). In the event Westlake purchases less than its annual commitment, we recognize a buyer deficiency fee ("Buyer Deficiency Fee") representing fixed margin and all expenses and expenditures incurred per pound of volume committed but not taken by Westlake. The annual commitment is not reduced for a force majeure event affecting OpCo's plants that lasts fewer than 45 consecutive days; however, in the event of such a force majeure event, we recognize a Buyer Deficiency Fee representing fixed margin and unavoided operating and maintenance capital expenditures and maintenance expenses per pound of volume committed by Westlake during the force majeure period. Payment of the Buyer Deficiency Fee is scheduled to be received by the Partnership after the conclusion of the year in which the annual commitment was not purchased and taken by Westlake.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Operating Expenses, Maintenance Capital Expenditures and Turnaround Costs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MLP Distributable Cash Flow and EBITDA</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Buyer Deficiency Fees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w:t>
      </w:r>
      <w:r>
        <w:rPr>
          <w:rFonts w:ascii="Times New Roman;serif" w:hAnsi="Times New Roman;serif"/>
          <w:b w:val="false"/>
          <w:color w:val="000000"/>
          <w:sz w:val="20"/>
          <w:shd w:fill="FFFFFF" w:val="clear"/>
        </w:rPr>
        <w:t>"</w:t>
      </w:r>
      <w:r>
        <w:rPr>
          <w:rFonts w:ascii="Times New Roman;serif" w:hAnsi="Times New Roman;serif"/>
          <w:b w:val="false"/>
          <w:color w:val="000000"/>
          <w:sz w:val="20"/>
        </w:rPr>
        <w:t>Results of Operations" section below.</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8, 2026, OpCo entered into the Third Amendment (the "OpCo Revolver Amendment") to the Amended and Restated Senior Unsecured Revolving Credit Agreement (as so amended, the "OpCo Revolver"). The OpCo Revolver Amendment extended the maturity date of the OpCo Revolver to July 11, 2031 and removed the 0.10% credit spread adjustment that had previously applied to the OpCo Revolver's SOFR-based interest rate. Borrowings under the OpCo Revolver now bear interest at a variable rate of either (a) SOFR plus the Applicable Margin or, if SOFR is no longer available, (b) the Alternate Base Rate plus the Applicable Margin minus 1.0%. The Applicable Margin under the OpCo Revolver is 1.75%.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8, 2026, the Partnership entered into the Fifth Amendment (the "MLP Revolver Amendment") to the Senior Unsecured Revolving Credit Agreement (as so amended, the "MLP Revolver"). The MLP Revolver Amendment extended the maturity date of the MLP Revolver to July 11, 2031 and removed the 0.10% credit spread adjustment that had previously applied to the MLP Revolver's SOFR-based interest rate. Borrowings under the MLP Revolver will now bear interest at a variable rate of either (a) SOFR plus the Applicable Margin or, if SOFR is no longer available, (b) the Alternate Base Rate plus the Applicable Margin minus 1.0%. The Applicable Margin under the MLP Revolver varies between 1.75% and 2.75%, depending on the Partnership's Consolidated Leverage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ind w:left="0" w:right="0" w:hanging="1080"/>
        <w:jc w:val="left"/>
        <w:rPr>
          <w:rFonts w:ascii="Times New Roman;serif" w:hAnsi="Times New Roman;serif"/>
          <w:b/>
          <w:color w:val="000000"/>
          <w:sz w:val="20"/>
        </w:rPr>
      </w:pPr>
      <w:r>
        <w:rPr>
          <w:rFonts w:ascii="Times New Roman;serif" w:hAnsi="Times New Roman;serif"/>
          <w:b/>
          <w:color w:val="000000"/>
          <w:sz w:val="20"/>
        </w:rPr>
        <w:t>Results of Operations</w:t>
      </w:r>
    </w:p>
    <w:tbl>
      <w:tblPr>
        <w:tblW w:w="10205" w:type="dxa"/>
        <w:jc w:val="left"/>
        <w:tblInd w:w="0" w:type="dxa"/>
        <w:tblLayout w:type="fixed"/>
        <w:tblCellMar>
          <w:top w:w="28" w:type="dxa"/>
          <w:left w:w="28" w:type="dxa"/>
          <w:bottom w:w="28" w:type="dxa"/>
          <w:right w:w="28" w:type="dxa"/>
        </w:tblCellMar>
      </w:tblPr>
      <w:tblGrid>
        <w:gridCol w:w="1530"/>
        <w:gridCol w:w="1198"/>
        <w:gridCol w:w="121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55"/>
      </w:tblGrid>
      <w:tr>
        <w:trPr/>
        <w:tc>
          <w:tcPr>
            <w:tcW w:w="153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of dollars)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co-products, ethylene and other sales—third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expense—Westlake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 in OpCo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attributable to Westlake Chemical Partners LP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MLP distributable cash flow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27"/>
            <w:tcBorders/>
            <w:tcMar>
              <w:top w:w="0" w:type="dxa"/>
              <w:left w:w="0" w:type="dxa"/>
              <w:bottom w:w="0" w:type="dxa"/>
              <w:right w:w="0" w:type="dxa"/>
            </w:tcMar>
            <w:vAlign w:val="center"/>
          </w:tcPr>
          <w:p>
            <w:pPr>
              <w:pStyle w:val="TableContents"/>
              <w:bidi w:val="0"/>
              <w:spacing w:lineRule="auto" w:line="240"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See "Reconciliation of MLP Distributable Cash Flow to Net Income and Net Cash Provided by Operating Activities"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27"/>
            <w:tcBorders/>
            <w:tcMar>
              <w:top w:w="0" w:type="dxa"/>
              <w:left w:w="0" w:type="dxa"/>
              <w:bottom w:w="0" w:type="dxa"/>
              <w:right w:w="0" w:type="dxa"/>
            </w:tcMar>
            <w:vAlign w:val="center"/>
          </w:tcPr>
          <w:p>
            <w:pPr>
              <w:pStyle w:val="TableContents"/>
              <w:bidi w:val="0"/>
              <w:spacing w:lineRule="auto" w:line="240"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See "Reconciliation of EBITDA to Net Income, Income from Operations and Net Cash Provided by Operating Activities"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60"/>
        <w:gridCol w:w="1459"/>
        <w:gridCol w:w="1468"/>
        <w:gridCol w:w="109"/>
        <w:gridCol w:w="109"/>
        <w:gridCol w:w="109"/>
        <w:gridCol w:w="233"/>
        <w:gridCol w:w="233"/>
        <w:gridCol w:w="503"/>
        <w:gridCol w:w="172"/>
        <w:gridCol w:w="172"/>
        <w:gridCol w:w="172"/>
        <w:gridCol w:w="292"/>
        <w:gridCol w:w="221"/>
        <w:gridCol w:w="429"/>
        <w:gridCol w:w="109"/>
        <w:gridCol w:w="109"/>
        <w:gridCol w:w="109"/>
        <w:gridCol w:w="233"/>
        <w:gridCol w:w="233"/>
        <w:gridCol w:w="494"/>
        <w:gridCol w:w="161"/>
        <w:gridCol w:w="161"/>
        <w:gridCol w:w="161"/>
        <w:gridCol w:w="320"/>
        <w:gridCol w:w="296"/>
        <w:gridCol w:w="478"/>
      </w:tblGrid>
      <w:tr>
        <w:trPr/>
        <w:tc>
          <w:tcPr>
            <w:tcW w:w="166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Sales Price</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Sales Price</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r>
      <w:tr>
        <w:trPr/>
        <w:tc>
          <w:tcPr>
            <w:tcW w:w="4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percentage change from prior-year period due to average sales price and volume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979"/>
        <w:gridCol w:w="1735"/>
        <w:gridCol w:w="1745"/>
        <w:gridCol w:w="109"/>
        <w:gridCol w:w="109"/>
        <w:gridCol w:w="109"/>
        <w:gridCol w:w="537"/>
        <w:gridCol w:w="445"/>
        <w:gridCol w:w="1120"/>
        <w:gridCol w:w="109"/>
        <w:gridCol w:w="109"/>
        <w:gridCol w:w="109"/>
        <w:gridCol w:w="497"/>
        <w:gridCol w:w="382"/>
        <w:gridCol w:w="1111"/>
      </w:tblGrid>
      <w:tr>
        <w:trPr/>
        <w:tc>
          <w:tcPr>
            <w:tcW w:w="1979"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Domestic US prices percentage change from prior-year period for fuel cost and feedstock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cost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Feedstock (Ethane)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Reconciliation of MLP Distributable Cash Flow to Net Income and Net Cash Provided by Operating Activities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reconciliations of MLP distributable cash flow to net income and net cash provided by operating activities, the most directly comparable GAAP financial measures, for each of the periods indicated.</w:t>
      </w:r>
    </w:p>
    <w:tbl>
      <w:tblPr>
        <w:tblW w:w="10205" w:type="dxa"/>
        <w:jc w:val="center"/>
        <w:tblInd w:w="0" w:type="dxa"/>
        <w:tblLayout w:type="fixed"/>
        <w:tblCellMar>
          <w:top w:w="28" w:type="dxa"/>
          <w:left w:w="28" w:type="dxa"/>
          <w:bottom w:w="28" w:type="dxa"/>
          <w:right w:w="28" w:type="dxa"/>
        </w:tblCellMar>
      </w:tblPr>
      <w:tblGrid>
        <w:gridCol w:w="1727"/>
        <w:gridCol w:w="1373"/>
        <w:gridCol w:w="1377"/>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5"/>
      </w:tblGrid>
      <w:tr>
        <w:trPr/>
        <w:tc>
          <w:tcPr>
            <w:tcW w:w="1727"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disposition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disposition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to turnaround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(41,083)</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Distributable cash flow attributable to noncontrolling interest in OpCo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(109,325)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MLP distributable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Reconciliation of EBITDA to Net Income, Income from Operations and Net Cash Provided by Operating Activities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reconciliations of EBITDA to net income, income from operations and net cash provided by operating activities, the most directly comparable GAAP financial measures, for each of the periods indicated.</w:t>
      </w:r>
    </w:p>
    <w:tbl>
      <w:tblPr>
        <w:tblW w:w="10205" w:type="dxa"/>
        <w:jc w:val="center"/>
        <w:tblInd w:w="0" w:type="dxa"/>
        <w:tblLayout w:type="fixed"/>
        <w:tblCellMar>
          <w:top w:w="28" w:type="dxa"/>
          <w:left w:w="28" w:type="dxa"/>
          <w:bottom w:w="28" w:type="dxa"/>
          <w:right w:w="28" w:type="dxa"/>
        </w:tblCellMar>
      </w:tblPr>
      <w:tblGrid>
        <w:gridCol w:w="1560"/>
        <w:gridCol w:w="1351"/>
        <w:gridCol w:w="135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6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 of dollars)</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disposition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128,104 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expense—Westlake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Summary</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For the quarter ended June 30, 2026, net income was $82.4 million on net sales of $297.1 million. This represents a decrease in net income of $3.4 million as compared to net income of $85.8 million on net sales of $297.1 million for the quarter ended June 30, 2025. Net income attributable to the Partnership for the second quarter of 2026 was $14.2 million as compared to $14.6 million for the second quarter of 2025, a decrease of </w:t>
      </w:r>
      <w:r>
        <w:rPr>
          <w:rFonts w:ascii="Times New Roman;serif" w:hAnsi="Times New Roman;serif"/>
          <w:b w:val="false"/>
          <w:color w:val="000000"/>
          <w:sz w:val="20"/>
          <w:shd w:fill="FFFFFF" w:val="clear"/>
        </w:rPr>
        <w:t>$0.4 million</w:t>
      </w:r>
      <w:r>
        <w:rPr>
          <w:rFonts w:ascii="Times New Roman;serif" w:hAnsi="Times New Roman;serif"/>
          <w:b w:val="false"/>
          <w:color w:val="000000"/>
          <w:sz w:val="20"/>
        </w:rPr>
        <w:t>. Income from operations was $87.3 million for the second quarter of 2026, as compared to $91.2 million for the second quarter of 2025, a decrease of $3.9 million.</w:t>
      </w:r>
      <w:r>
        <w:rPr>
          <w:color w:val="000000"/>
          <w:shd w:fill="FFFFFF" w:val="clear"/>
        </w:rPr>
        <w:t xml:space="preserve"> </w:t>
      </w:r>
      <w:r>
        <w:rPr>
          <w:rFonts w:ascii="Times New Roman;serif" w:hAnsi="Times New Roman;serif"/>
          <w:b w:val="false"/>
          <w:color w:val="000000"/>
          <w:sz w:val="20"/>
          <w:shd w:fill="FFFFFF" w:val="clear"/>
        </w:rPr>
        <w:t xml:space="preserve">Income from operations, net income and net income attributable to the partnership for the second quarter of 2026, as compared to the second quarter of 2025 were lower due to lower ethylene sales prices to Westlake in the second quarter of 2026, compared to the second quarter of 2025. </w:t>
      </w:r>
      <w:r>
        <w:rPr>
          <w:rFonts w:ascii="Times New Roman;serif" w:hAnsi="Times New Roman;serif"/>
          <w:b w:val="false"/>
          <w:color w:val="000000"/>
          <w:sz w:val="20"/>
        </w:rPr>
        <w:t>Net sales for the second quarter of 2026 remained consistent at $297.1 million as compared to the second quarter of 2025. Net sales in the second quarter of 2025 included a buyer deficiency fee from Westlake of $13.6 million as a result of a forecasted annual production deficiency due to the Petro 1 turnaround extending into April 2025, which was later than the planned completion in March 2025. Excluding the buyer deficiency fee effect, net sales for the second quarter of 2026 increased by $13.6 million as compared to the second quarter of 2025. The increase in net sales from the prior</w:t>
        <w:noBreakHyphen/>
        <w:t>year period was primarily due to higher ethylene sales volumes to Westlake and third parties, as well as higher co</w:t>
        <w:noBreakHyphen/>
        <w:t>product sales volumes to third parties, partially offset by the effect of lower average sales prices to Westlak</w:t>
      </w:r>
      <w:r>
        <w:rPr>
          <w:rFonts w:ascii="Times New Roman;serif" w:hAnsi="Times New Roman;serif"/>
          <w:b w:val="false"/>
          <w:color w:val="000000"/>
          <w:sz w:val="20"/>
          <w:shd w:fill="FFFFFF" w:val="clear"/>
        </w:rPr>
        <w:t xml:space="preserve">e, per the terms of the Ethylene Sales Agreement. The increase in sales volumes in the second quarter of 2026, as compared to the </w:t>
      </w:r>
      <w:r>
        <w:rPr>
          <w:rFonts w:ascii="Times New Roman;serif" w:hAnsi="Times New Roman;serif"/>
          <w:b w:val="false"/>
          <w:color w:val="000000"/>
          <w:sz w:val="20"/>
        </w:rPr>
        <w:t>second quarter of 2025</w:t>
      </w:r>
      <w:r>
        <w:rPr>
          <w:color w:val="000000"/>
          <w:shd w:fill="FFFFFF" w:val="clear"/>
        </w:rPr>
        <w:t xml:space="preserve"> </w:t>
      </w:r>
      <w:r>
        <w:rPr>
          <w:rFonts w:ascii="Times New Roman;serif" w:hAnsi="Times New Roman;serif"/>
          <w:b w:val="false"/>
          <w:color w:val="000000"/>
          <w:sz w:val="20"/>
          <w:shd w:fill="FFFFFF" w:val="clear"/>
        </w:rPr>
        <w:t xml:space="preserve">was due to increased production in the current period as the prior year comparative period production volume was negatively impacted by the Petro 1 turnaround. </w:t>
      </w:r>
    </w:p>
    <w:p>
      <w:pPr>
        <w:pStyle w:val="TextBody"/>
        <w:bidi w:val="0"/>
        <w:spacing w:lineRule="auto" w:line="288" w:before="100" w:after="283"/>
        <w:ind w:left="0" w:right="0" w:firstLine="450"/>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net income was </w:t>
      </w:r>
      <w:r>
        <w:rPr>
          <w:rFonts w:ascii="Times New Roman;serif" w:hAnsi="Times New Roman;serif"/>
          <w:b w:val="false"/>
          <w:color w:val="000000"/>
          <w:sz w:val="20"/>
        </w:rPr>
        <w:t>$164.0 million</w:t>
      </w:r>
      <w:r>
        <w:rPr>
          <w:color w:val="000000"/>
          <w:shd w:fill="FFFFFF" w:val="clear"/>
        </w:rPr>
        <w:t xml:space="preserve"> </w:t>
      </w:r>
      <w:r>
        <w:rPr>
          <w:rFonts w:ascii="Times New Roman;serif" w:hAnsi="Times New Roman;serif"/>
          <w:b w:val="false"/>
          <w:color w:val="000000"/>
          <w:sz w:val="20"/>
          <w:shd w:fill="FFFFFF" w:val="clear"/>
        </w:rPr>
        <w:t xml:space="preserve">on net sales of </w:t>
      </w:r>
      <w:r>
        <w:rPr>
          <w:rFonts w:ascii="Times New Roman;serif" w:hAnsi="Times New Roman;serif"/>
          <w:b w:val="false"/>
          <w:color w:val="000000"/>
          <w:sz w:val="20"/>
        </w:rPr>
        <w:t>$602.8 million</w:t>
      </w:r>
      <w:r>
        <w:rPr>
          <w:rFonts w:ascii="Times New Roman;serif" w:hAnsi="Times New Roman;serif"/>
          <w:b w:val="false"/>
          <w:color w:val="000000"/>
          <w:sz w:val="20"/>
          <w:shd w:fill="FFFFFF" w:val="clear"/>
        </w:rPr>
        <w:t xml:space="preserve">. This represents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net income of </w:t>
      </w:r>
      <w:r>
        <w:rPr>
          <w:rFonts w:ascii="Times New Roman;serif" w:hAnsi="Times New Roman;serif"/>
          <w:b w:val="false"/>
          <w:color w:val="000000"/>
          <w:sz w:val="20"/>
        </w:rPr>
        <w:t>$35.9 million</w:t>
      </w:r>
      <w:r>
        <w:rPr>
          <w:color w:val="000000"/>
          <w:shd w:fill="FFFFFF" w:val="clear"/>
        </w:rPr>
        <w:t xml:space="preserve"> </w:t>
      </w:r>
      <w:r>
        <w:rPr>
          <w:rFonts w:ascii="Times New Roman;serif" w:hAnsi="Times New Roman;serif"/>
          <w:b w:val="false"/>
          <w:color w:val="000000"/>
          <w:sz w:val="20"/>
          <w:shd w:fill="FFFFFF" w:val="clear"/>
        </w:rPr>
        <w:t xml:space="preserve">as compared to net income of </w:t>
      </w:r>
      <w:r>
        <w:rPr>
          <w:rFonts w:ascii="Times New Roman;serif" w:hAnsi="Times New Roman;serif"/>
          <w:b w:val="false"/>
          <w:color w:val="000000"/>
          <w:sz w:val="20"/>
        </w:rPr>
        <w:t>$128.1 million</w:t>
      </w:r>
      <w:r>
        <w:rPr>
          <w:color w:val="000000"/>
          <w:shd w:fill="FFFFFF" w:val="clear"/>
        </w:rPr>
        <w:t xml:space="preserve"> </w:t>
      </w:r>
      <w:r>
        <w:rPr>
          <w:rFonts w:ascii="Times New Roman;serif" w:hAnsi="Times New Roman;serif"/>
          <w:b w:val="false"/>
          <w:color w:val="000000"/>
          <w:sz w:val="20"/>
          <w:shd w:fill="FFFFFF" w:val="clear"/>
        </w:rPr>
        <w:t xml:space="preserve">on net sales of </w:t>
      </w:r>
      <w:r>
        <w:rPr>
          <w:rFonts w:ascii="Times New Roman;serif" w:hAnsi="Times New Roman;serif"/>
          <w:b w:val="false"/>
          <w:color w:val="000000"/>
          <w:sz w:val="20"/>
        </w:rPr>
        <w:t>$534.7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2025. Net income attributable to the Partnership for the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$28.4 million</w:t>
      </w:r>
      <w:r>
        <w:rPr>
          <w:color w:val="000000"/>
          <w:shd w:fill="FFFFFF" w:val="clear"/>
        </w:rPr>
        <w:t xml:space="preserve"> </w:t>
      </w:r>
      <w:r>
        <w:rPr>
          <w:rFonts w:ascii="Times New Roman;serif" w:hAnsi="Times New Roman;serif"/>
          <w:b w:val="false"/>
          <w:color w:val="000000"/>
          <w:sz w:val="20"/>
          <w:shd w:fill="FFFFFF" w:val="clear"/>
        </w:rPr>
        <w:t xml:space="preserve">as compared to </w:t>
      </w:r>
      <w:r>
        <w:rPr>
          <w:rFonts w:ascii="Times New Roman;serif" w:hAnsi="Times New Roman;serif"/>
          <w:b w:val="false"/>
          <w:color w:val="000000"/>
          <w:sz w:val="20"/>
        </w:rPr>
        <w:t>$19.5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2025,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$8.9 million</w:t>
      </w:r>
      <w:r>
        <w:rPr>
          <w:rFonts w:ascii="Times New Roman;serif" w:hAnsi="Times New Roman;serif"/>
          <w:b w:val="false"/>
          <w:color w:val="000000"/>
          <w:sz w:val="20"/>
          <w:shd w:fill="FFFFFF" w:val="clear"/>
        </w:rPr>
        <w:t xml:space="preserve">. Income from operations was </w:t>
      </w:r>
      <w:r>
        <w:rPr>
          <w:rFonts w:ascii="Times New Roman;serif" w:hAnsi="Times New Roman;serif"/>
          <w:b w:val="false"/>
          <w:color w:val="000000"/>
          <w:sz w:val="20"/>
        </w:rPr>
        <w:t>$173.9 million</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as compared to </w:t>
      </w:r>
      <w:r>
        <w:rPr>
          <w:rFonts w:ascii="Times New Roman;serif" w:hAnsi="Times New Roman;serif"/>
          <w:b w:val="false"/>
          <w:color w:val="000000"/>
          <w:sz w:val="20"/>
        </w:rPr>
        <w:t>$137.8 million</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2025, an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$36.1 million</w:t>
      </w:r>
      <w:r>
        <w:rPr>
          <w:rFonts w:ascii="Times New Roman;serif" w:hAnsi="Times New Roman;serif"/>
          <w:b w:val="false"/>
          <w:color w:val="000000"/>
          <w:sz w:val="20"/>
          <w:shd w:fill="FFFFFF" w:val="clear"/>
        </w:rPr>
        <w:t xml:space="preserve">. Income from operations, net income and net income attributable to the Partnership for the six months ended June 30, 2026 as compared to the six months ended June 30, 2025, were higher primarily due to the higher ethylene sales to Westlake and higher co-products sales during the six months ended June 30, 2026, as compared to the six months ended June 30, 2025. Net sales for the </w:t>
      </w:r>
      <w:r>
        <w:rPr>
          <w:rFonts w:ascii="Times New Roman;serif" w:hAnsi="Times New Roman;serif"/>
          <w:b w:val="false"/>
          <w:color w:val="000000"/>
          <w:sz w:val="20"/>
        </w:rPr>
        <w:t>six months ended June 30, 2026 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$68.1 million</w:t>
      </w:r>
      <w:r>
        <w:rPr>
          <w:color w:val="000000"/>
          <w:shd w:fill="FFFFFF" w:val="clear"/>
        </w:rPr>
        <w:t xml:space="preserve"> </w:t>
      </w:r>
      <w:r>
        <w:rPr>
          <w:rFonts w:ascii="Times New Roman;serif" w:hAnsi="Times New Roman;serif"/>
          <w:b w:val="false"/>
          <w:color w:val="000000"/>
          <w:sz w:val="20"/>
          <w:shd w:fill="FFFFFF" w:val="clear"/>
        </w:rPr>
        <w:t>as compared to net sales for the six months ended June 30, 2025, mainly due to higher ethylene sales volumes to Westlake and third parties as well as higher co</w:t>
        <w:noBreakHyphen/>
        <w:t xml:space="preserve">products sales volumes, partially offset by lower sales prices. The increase in sales volumes in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xml:space="preserve">, as compared to the six months ended June 30, 2025 was due to increased production in the current period as the prior year comparative period production volume was negatively impacted by the Petro 1 turnaround. </w:t>
      </w:r>
    </w:p>
    <w:p>
      <w:pPr>
        <w:pStyle w:val="TextBody"/>
        <w:bidi w:val="0"/>
        <w:spacing w:lineRule="auto" w:line="288" w:before="2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Second Quarter 2026 Compared with Second Quarter 2025</w:t>
      </w:r>
    </w:p>
    <w:p>
      <w:pPr>
        <w:pStyle w:val="TextBody"/>
        <w:bidi w:val="0"/>
        <w:spacing w:lineRule="auto" w:line="288" w:before="100" w:after="283"/>
        <w:ind w:left="0" w:right="0" w:firstLine="450"/>
        <w:jc w:val="left"/>
        <w:rPr/>
      </w:pPr>
      <w:r>
        <w:rPr>
          <w:rFonts w:ascii="Times New Roman;serif" w:hAnsi="Times New Roman;serif"/>
          <w:b w:val="false"/>
          <w:i/>
          <w:color w:val="000000"/>
          <w:sz w:val="20"/>
        </w:rPr>
        <w:t>Net Sales.</w:t>
      </w:r>
      <w:r>
        <w:rPr>
          <w:color w:val="000000"/>
        </w:rPr>
        <w:t> </w:t>
      </w:r>
      <w:r>
        <w:rPr>
          <w:rFonts w:ascii="Times New Roman;serif" w:hAnsi="Times New Roman;serif"/>
          <w:b w:val="false"/>
          <w:color w:val="000000"/>
          <w:sz w:val="20"/>
        </w:rPr>
        <w:t xml:space="preserve">Net sales remained consistent at $297.1 million in the second quarter of 2026, compared to $297.1 million in the second quarter of 2025. Net sales in the second quarter of 2025 included a buyer deficiency fee from Westlake of $13.6 million. Excluding the effect of the buyer deficiency fee, net sales increased by $13.6 million, or 4.8%, </w:t>
      </w:r>
      <w:r>
        <w:rPr>
          <w:rFonts w:ascii="Times New Roman;serif" w:hAnsi="Times New Roman;serif"/>
          <w:b w:val="false"/>
          <w:color w:val="000000"/>
          <w:sz w:val="20"/>
          <w:shd w:fill="FFFFFF" w:val="clear"/>
        </w:rPr>
        <w:t>in the second quarter of 2026 as compared to the second quarter of 2025.</w:t>
      </w:r>
      <w:r>
        <w:rPr>
          <w:color w:val="000000"/>
        </w:rPr>
        <w:t xml:space="preserve"> </w:t>
      </w:r>
      <w:r>
        <w:rPr>
          <w:rFonts w:ascii="Times New Roman;serif" w:hAnsi="Times New Roman;serif"/>
          <w:b w:val="false"/>
          <w:color w:val="000000"/>
          <w:sz w:val="20"/>
        </w:rPr>
        <w:t>The increase in net sales from the prior</w:t>
        <w:noBreakHyphen/>
        <w:t>year period was primarily due to higher ethylene sales volumes to Westlake and third parties, as well as higher co</w:t>
        <w:noBreakHyphen/>
        <w:t>product sales volumes to third parties, partially offset by the effect of lower average sales prices to Westlake.</w:t>
      </w:r>
      <w:r>
        <w:rPr>
          <w:color w:val="000000"/>
          <w:shd w:fill="FFFFFF" w:val="clear"/>
        </w:rPr>
        <w:t xml:space="preserve"> </w:t>
      </w:r>
      <w:r>
        <w:rPr>
          <w:rFonts w:ascii="Times New Roman;serif" w:hAnsi="Times New Roman;serif"/>
          <w:b w:val="false"/>
          <w:color w:val="000000"/>
          <w:sz w:val="20"/>
          <w:shd w:fill="FFFFFF" w:val="clear"/>
        </w:rPr>
        <w:t xml:space="preserve">Higher sales volumes in the second quarter of 2026 contributed to a </w:t>
      </w:r>
      <w:r>
        <w:rPr>
          <w:rFonts w:ascii="Times New Roman;serif" w:hAnsi="Times New Roman;serif"/>
          <w:b w:val="false"/>
          <w:color w:val="000000"/>
          <w:sz w:val="20"/>
        </w:rPr>
        <w:t>9.0%</w:t>
      </w:r>
      <w:r>
        <w:rPr>
          <w:color w:val="000000"/>
          <w:shd w:fill="FFFFFF" w:val="clear"/>
        </w:rPr>
        <w:t xml:space="preserve"> </w:t>
      </w:r>
      <w:r>
        <w:rPr>
          <w:rFonts w:ascii="Times New Roman;serif" w:hAnsi="Times New Roman;serif"/>
          <w:b w:val="false"/>
          <w:color w:val="000000"/>
          <w:sz w:val="20"/>
          <w:shd w:fill="FFFFFF" w:val="clear"/>
        </w:rPr>
        <w:t xml:space="preserve">increase in net sales compared to the second quarter of 2025, while lower average sales prices in the second quarter of 2026 contributed to a </w:t>
      </w:r>
      <w:r>
        <w:rPr>
          <w:rFonts w:ascii="Times New Roman;serif" w:hAnsi="Times New Roman;serif"/>
          <w:b w:val="false"/>
          <w:color w:val="000000"/>
          <w:sz w:val="20"/>
        </w:rPr>
        <w:t>4.2%</w:t>
      </w:r>
      <w:r>
        <w:rPr>
          <w:color w:val="000000"/>
          <w:shd w:fill="FFFFFF" w:val="clear"/>
        </w:rPr>
        <w:t xml:space="preserve"> </w:t>
      </w:r>
      <w:r>
        <w:rPr>
          <w:rFonts w:ascii="Times New Roman;serif" w:hAnsi="Times New Roman;serif"/>
          <w:b w:val="false"/>
          <w:color w:val="000000"/>
          <w:sz w:val="20"/>
          <w:shd w:fill="FFFFFF" w:val="clear"/>
        </w:rPr>
        <w:t>decrease in net sales compared to the second quarter of 2025.</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 xml:space="preserve">Gross profit decreased to $94.8 million in the second quarter of 2026 from $97.5 million in the second quarter of 2025. Gross </w:t>
      </w:r>
      <w:r>
        <w:rPr>
          <w:rFonts w:ascii="Times New Roman;serif" w:hAnsi="Times New Roman;serif"/>
          <w:b w:val="false"/>
          <w:color w:val="000000"/>
          <w:sz w:val="20"/>
          <w:shd w:fill="FFFFFF" w:val="clear"/>
        </w:rPr>
        <w:t>profit margin in the second quarter of 2026 was 31.9%, as compared to 32.8% in the second quarter of 2025. The marginally lower gross profit margin was primarily due to lower sales prices in the second quarter of 2026 as compared to the second quarter of 2025, offset by lower feedstock and fuel costs.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Selling, General and Administrative Expenses.</w:t>
      </w:r>
      <w:r>
        <w:rPr>
          <w:color w:val="000000"/>
        </w:rPr>
        <w:t> </w:t>
      </w:r>
      <w:r>
        <w:rPr>
          <w:rFonts w:ascii="Times New Roman;serif" w:hAnsi="Times New Roman;serif"/>
          <w:b w:val="false"/>
          <w:color w:val="000000"/>
          <w:sz w:val="20"/>
        </w:rPr>
        <w:t>Selling, general and administrative expenses increased by $1.2 million or 19.0%</w:t>
      </w:r>
      <w:r>
        <w:rPr>
          <w:color w:val="000000"/>
          <w:shd w:fill="FFFFFF" w:val="clear"/>
        </w:rPr>
        <w:t xml:space="preserve"> </w:t>
      </w:r>
      <w:r>
        <w:rPr>
          <w:rFonts w:ascii="Times New Roman;serif" w:hAnsi="Times New Roman;serif"/>
          <w:b w:val="false"/>
          <w:color w:val="000000"/>
          <w:sz w:val="20"/>
          <w:shd w:fill="FFFFFF" w:val="clear"/>
        </w:rPr>
        <w:t>to</w:t>
      </w:r>
      <w:r>
        <w:rPr>
          <w:color w:val="000000"/>
        </w:rPr>
        <w:t xml:space="preserve"> </w:t>
      </w:r>
      <w:r>
        <w:rPr>
          <w:rFonts w:ascii="Times New Roman;serif" w:hAnsi="Times New Roman;serif"/>
          <w:b w:val="false"/>
          <w:color w:val="000000"/>
          <w:sz w:val="20"/>
        </w:rPr>
        <w:t xml:space="preserve">$7.5 million in the second quarter of 2026 as compared to $6.3 million in the second quarter of 2025. The increase was mainly attributable to higher service costs </w:t>
      </w:r>
      <w:r>
        <w:rPr>
          <w:rFonts w:ascii="Times New Roman;serif" w:hAnsi="Times New Roman;serif"/>
          <w:b w:val="false"/>
          <w:color w:val="000000"/>
          <w:sz w:val="20"/>
          <w:shd w:fill="FFFFFF" w:val="clear"/>
        </w:rPr>
        <w:t>in the second quarter of 2026 as compared to the second quarter of 2025.</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Interest Expense—Westlake.</w:t>
      </w:r>
      <w:r>
        <w:rPr>
          <w:color w:val="000000"/>
        </w:rPr>
        <w:t> </w:t>
      </w:r>
      <w:r>
        <w:rPr>
          <w:rFonts w:ascii="Times New Roman;serif" w:hAnsi="Times New Roman;serif"/>
          <w:b w:val="false"/>
          <w:color w:val="000000"/>
          <w:sz w:val="20"/>
        </w:rPr>
        <w:t>Interest expense of $5.1 million in the second quarter of 2026 decreased from $5.9 million in the second quarter of 2025 mainly du</w:t>
      </w:r>
      <w:r>
        <w:rPr>
          <w:rFonts w:ascii="Times New Roman;serif" w:hAnsi="Times New Roman;serif"/>
          <w:b w:val="false"/>
          <w:color w:val="000000"/>
          <w:sz w:val="20"/>
          <w:shd w:fill="FFFFFF" w:val="clear"/>
        </w:rPr>
        <w:t xml:space="preserve">e to lower interest rates on the outstanding debt in </w:t>
      </w:r>
      <w:r>
        <w:rPr>
          <w:rFonts w:ascii="Times New Roman;serif" w:hAnsi="Times New Roman;serif"/>
          <w:b w:val="false"/>
          <w:color w:val="000000"/>
          <w:sz w:val="20"/>
        </w:rPr>
        <w:t>the second quarter of 2026 as compared to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Other Income, net</w:t>
      </w:r>
      <w:r>
        <w:rPr>
          <w:rFonts w:ascii="Times New Roman;serif" w:hAnsi="Times New Roman;serif"/>
          <w:b w:val="false"/>
          <w:color w:val="000000"/>
          <w:sz w:val="20"/>
        </w:rPr>
        <w:t>. Other income, net decreased to $0.3 million in the second quarter of 2026 from $0.7 million in the second quarter of 2025, primarily due</w:t>
      </w:r>
      <w:r>
        <w:rPr>
          <w:color w:val="000000"/>
          <w:shd w:fill="FFFFFF" w:val="clear"/>
        </w:rPr>
        <w:t xml:space="preserve"> </w:t>
      </w:r>
      <w:r>
        <w:rPr>
          <w:rFonts w:ascii="Times New Roman;serif" w:hAnsi="Times New Roman;serif"/>
          <w:b w:val="false"/>
          <w:color w:val="000000"/>
          <w:sz w:val="20"/>
          <w:shd w:fill="FFFFFF" w:val="clear"/>
        </w:rPr>
        <w:t xml:space="preserve">to a decrease in interest earned on investments with Westlake under the Investment Management Agreement due to a lower average amount of cash invested and lower interest rates in </w:t>
      </w:r>
      <w:r>
        <w:rPr>
          <w:rFonts w:ascii="Times New Roman;serif" w:hAnsi="Times New Roman;serif"/>
          <w:b w:val="false"/>
          <w:color w:val="000000"/>
          <w:sz w:val="20"/>
        </w:rPr>
        <w:t>the second quarter of 2026 as compared to the second quarter of 2025.</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MLP Distributable Cash Flow.</w:t>
      </w:r>
      <w:r>
        <w:rPr>
          <w:color w:val="000000"/>
        </w:rPr>
        <w:t xml:space="preserve"> </w:t>
      </w:r>
      <w:r>
        <w:rPr>
          <w:rFonts w:ascii="Times New Roman;serif" w:hAnsi="Times New Roman;serif"/>
          <w:b w:val="false"/>
          <w:color w:val="000000"/>
          <w:sz w:val="20"/>
        </w:rPr>
        <w:t>MLP distributable cash flow increased by $2.6 million to $17.6 million in the second quarter of 2026 from $15.0 million in the second quarter of 2025. The increase was primarily attributable to higher production and sales volumes and lower maintenance capital expenditures in the second quarter of 2026 as a result of the prior year’s Petro 1 turnaround.</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EBITDA decreased by $1.7 million</w:t>
      </w:r>
      <w:r>
        <w:rPr>
          <w:color w:val="000000"/>
          <w:shd w:fill="FFFFFF" w:val="clear"/>
        </w:rPr>
        <w:t xml:space="preserve"> </w:t>
      </w:r>
      <w:r>
        <w:rPr>
          <w:rFonts w:ascii="Times New Roman;serif" w:hAnsi="Times New Roman;serif"/>
          <w:b w:val="false"/>
          <w:color w:val="000000"/>
          <w:sz w:val="20"/>
          <w:shd w:fill="FFFFFF" w:val="clear"/>
        </w:rPr>
        <w:t>to $122.7 million in the second quarter of 2026 from $124.4 million in the second quarter of 2025. The decrease was primarily due to lower ethylene sales prices to Westlake in the second quarter of 2026 compared to the second quarter of 2025.</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Six Months Ended June 30, 2026 Compared with Six Months Ended June 30, 2025</w:t>
      </w:r>
    </w:p>
    <w:p>
      <w:pPr>
        <w:pStyle w:val="TextBody"/>
        <w:bidi w:val="0"/>
        <w:spacing w:lineRule="auto" w:line="288" w:before="100" w:after="283"/>
        <w:ind w:left="0" w:right="0" w:firstLine="450"/>
        <w:jc w:val="left"/>
        <w:rPr/>
      </w:pPr>
      <w:r>
        <w:rPr>
          <w:rFonts w:ascii="Times New Roman;serif" w:hAnsi="Times New Roman;serif"/>
          <w:b w:val="false"/>
          <w:i/>
          <w:color w:val="000000"/>
          <w:sz w:val="20"/>
        </w:rPr>
        <w:t>Net Sales.</w:t>
      </w:r>
      <w:r>
        <w:rPr>
          <w:color w:val="000000"/>
        </w:rPr>
        <w:t> </w:t>
      </w:r>
      <w:r>
        <w:rPr>
          <w:rFonts w:ascii="Times New Roman;serif" w:hAnsi="Times New Roman;serif"/>
          <w:b w:val="false"/>
          <w:color w:val="000000"/>
          <w:sz w:val="20"/>
        </w:rPr>
        <w:t>Net sales increased by $68.1 million, or 12.7%, to $602.8 million in the six months ended June 30, 2026 from $534.7 million in the six months ended June 30, 2025</w:t>
      </w:r>
      <w:r>
        <w:rPr>
          <w:rFonts w:ascii="Times New Roman;serif" w:hAnsi="Times New Roman;serif"/>
          <w:b w:val="false"/>
          <w:color w:val="000000"/>
          <w:sz w:val="20"/>
          <w:shd w:fill="FFFFFF" w:val="clear"/>
        </w:rPr>
        <w:t>. The increase in net sales in the six months ended June 30, 2026 as compared to the six months ended June 30, 2025 was primarily due to higher ethylene sales volumes to Westlake and third parties as well as higher co</w:t>
        <w:noBreakHyphen/>
        <w:t xml:space="preserve">products sales volumes, partially offset by lower sales prices. Net sales in the six months ended June 30, 2025 included a buyer deficiency fee from Westlake of </w:t>
      </w:r>
      <w:r>
        <w:rPr>
          <w:rFonts w:ascii="Times New Roman;serif" w:hAnsi="Times New Roman;serif"/>
          <w:b w:val="false"/>
          <w:color w:val="000000"/>
          <w:sz w:val="20"/>
        </w:rPr>
        <w:t>$13.6 million</w:t>
      </w:r>
      <w:r>
        <w:rPr>
          <w:rFonts w:ascii="Times New Roman;serif" w:hAnsi="Times New Roman;serif"/>
          <w:b w:val="false"/>
          <w:color w:val="000000"/>
          <w:sz w:val="20"/>
          <w:shd w:fill="FFFFFF" w:val="clear"/>
        </w:rPr>
        <w:t xml:space="preserve">. Excluding the effect of the buyer deficiency fee, the higher sales volumes in the six months ended June 30, 2026 contributed to a 21.6% increase in net sales compared to the six months ended June 30, 2025. Lower average sales prices in the six months ended June 30, 2026 contributed to a 5.9% decrease in net sales compared to the six months ended June 30, 2025. </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Gross Profit.</w:t>
      </w:r>
      <w:r>
        <w:rPr>
          <w:color w:val="000000"/>
        </w:rPr>
        <w:t> </w:t>
      </w:r>
      <w:r>
        <w:rPr>
          <w:rFonts w:ascii="Times New Roman;serif" w:hAnsi="Times New Roman;serif"/>
          <w:b w:val="false"/>
          <w:color w:val="000000"/>
          <w:sz w:val="20"/>
        </w:rPr>
        <w:t>Gross profit increased to $188.6 million in the six months ended June 30, 2026 from $151.6 million in the six months ended June 30, 2025. Gross profit margin in the six months ended June 30, 2026 was 31.3%, as compared to 28.4% in the six months ended June 30, 2025</w:t>
      </w:r>
      <w:r>
        <w:rPr>
          <w:rFonts w:ascii="Times New Roman;serif" w:hAnsi="Times New Roman;serif"/>
          <w:b w:val="false"/>
          <w:color w:val="000000"/>
          <w:sz w:val="20"/>
          <w:shd w:fill="FFFFFF" w:val="clear"/>
        </w:rPr>
        <w:t>. The higher gross profit margin was primarily due to higher production and sales in the six months ended June 30, 2026 as compared to the six months ended June 30, 2025, and lower feedstock costs, partially offset by higher fuel costs.</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Selling, General and Administrative Expenses.</w:t>
      </w:r>
      <w:r>
        <w:rPr>
          <w:color w:val="000000"/>
        </w:rPr>
        <w:t> </w:t>
      </w:r>
      <w:r>
        <w:rPr>
          <w:rFonts w:ascii="Times New Roman;serif" w:hAnsi="Times New Roman;serif"/>
          <w:b w:val="false"/>
          <w:color w:val="000000"/>
          <w:sz w:val="20"/>
        </w:rPr>
        <w:t>Selling, general and administrative expen</w:t>
      </w:r>
      <w:r>
        <w:rPr>
          <w:rFonts w:ascii="Times New Roman;serif" w:hAnsi="Times New Roman;serif"/>
          <w:b w:val="false"/>
          <w:color w:val="000000"/>
          <w:sz w:val="20"/>
          <w:shd w:fill="FFFFFF" w:val="clear"/>
        </w:rPr>
        <w:t>ses in</w:t>
      </w:r>
      <w:r>
        <w:rPr>
          <w:rFonts w:ascii="Times New Roman;serif" w:hAnsi="Times New Roman;serif"/>
          <w:b w:val="false"/>
          <w:color w:val="000000"/>
          <w:sz w:val="20"/>
        </w:rPr>
        <w:t>creased by $0.9 million or 6.5%</w:t>
      </w:r>
      <w:r>
        <w:rPr>
          <w:color w:val="000000"/>
          <w:shd w:fill="FFFFFF" w:val="clear"/>
        </w:rPr>
        <w:t xml:space="preserve"> </w:t>
      </w:r>
      <w:r>
        <w:rPr>
          <w:rFonts w:ascii="Times New Roman;serif" w:hAnsi="Times New Roman;serif"/>
          <w:b w:val="false"/>
          <w:color w:val="000000"/>
          <w:sz w:val="20"/>
          <w:shd w:fill="FFFFFF" w:val="clear"/>
        </w:rPr>
        <w:t>to</w:t>
      </w:r>
      <w:r>
        <w:rPr>
          <w:color w:val="000000"/>
        </w:rPr>
        <w:t xml:space="preserve"> </w:t>
      </w:r>
      <w:r>
        <w:rPr>
          <w:rFonts w:ascii="Times New Roman;serif" w:hAnsi="Times New Roman;serif"/>
          <w:b w:val="false"/>
          <w:color w:val="000000"/>
          <w:sz w:val="20"/>
        </w:rPr>
        <w:t>$14.7 million in the six months ended June 30, 2026 as compared to $13.8 million in the six months ended June 30, 2025. The increase was mainly attributable to higher service costs</w:t>
      </w:r>
      <w:r>
        <w:rPr>
          <w:color w:val="000000"/>
          <w:shd w:fill="FFFFFF" w:val="clear"/>
        </w:rPr>
        <w:t xml:space="preserve"> </w:t>
      </w:r>
      <w:r>
        <w:rPr>
          <w:rFonts w:ascii="Times New Roman;serif" w:hAnsi="Times New Roman;serif"/>
          <w:b w:val="false"/>
          <w:color w:val="000000"/>
          <w:sz w:val="20"/>
          <w:shd w:fill="FFFFFF" w:val="clear"/>
        </w:rPr>
        <w:t>in the six months ended June 30, 2026 as compared to the six months ended June 30, 2025.</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Interest Expense—Westlake.</w:t>
      </w:r>
      <w:r>
        <w:rPr>
          <w:color w:val="000000"/>
        </w:rPr>
        <w:t> </w:t>
      </w:r>
      <w:r>
        <w:rPr>
          <w:rFonts w:ascii="Times New Roman;serif" w:hAnsi="Times New Roman;serif"/>
          <w:b w:val="false"/>
          <w:color w:val="000000"/>
          <w:sz w:val="20"/>
        </w:rPr>
        <w:t>Interest expense of $10.2 million in the six months ended June 30, 2026 decreased from $11.4 million in the six months ended June 30, 2025 mainly due to</w:t>
      </w:r>
      <w:r>
        <w:rPr>
          <w:color w:val="000000"/>
          <w:shd w:fill="FFFFFF" w:val="clear"/>
        </w:rPr>
        <w:t xml:space="preserve"> </w:t>
      </w:r>
      <w:r>
        <w:rPr>
          <w:rFonts w:ascii="Times New Roman;serif" w:hAnsi="Times New Roman;serif"/>
          <w:b w:val="false"/>
          <w:color w:val="000000"/>
          <w:sz w:val="20"/>
          <w:shd w:fill="FFFFFF" w:val="clear"/>
        </w:rPr>
        <w:t>lower interest rates on the outstanding debt in</w:t>
      </w:r>
      <w:r>
        <w:rPr>
          <w:color w:val="000000"/>
        </w:rPr>
        <w:t xml:space="preserve"> </w:t>
      </w:r>
      <w:r>
        <w:rPr>
          <w:rFonts w:ascii="Times New Roman;serif" w:hAnsi="Times New Roman;serif"/>
          <w:b w:val="false"/>
          <w:color w:val="000000"/>
          <w:sz w:val="20"/>
        </w:rPr>
        <w:t>the six months ended June 30, 2026 as compared to the six months ended June 30, 2025.</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Other Income, net</w:t>
      </w:r>
      <w:r>
        <w:rPr>
          <w:rFonts w:ascii="Times New Roman;serif" w:hAnsi="Times New Roman;serif"/>
          <w:b w:val="false"/>
          <w:color w:val="000000"/>
          <w:sz w:val="20"/>
        </w:rPr>
        <w:t xml:space="preserve">. Other income, net decreased to $0.7 million in the six months ended June 30, 2026 from $2.0 million in the six months ended June 30, 2025, primarily due </w:t>
      </w:r>
      <w:r>
        <w:rPr>
          <w:rFonts w:ascii="Times New Roman;serif" w:hAnsi="Times New Roman;serif"/>
          <w:b w:val="false"/>
          <w:color w:val="000000"/>
          <w:sz w:val="20"/>
          <w:shd w:fill="FFFFFF" w:val="clear"/>
        </w:rPr>
        <w:t>to a decrease in interest earned on investments with Westlake under the Investment Management Agreement due to a lower average amount of cash invested and lower interest rates in the six months ended June 30, 2026 as compared to the six months ended June 30, 2025.</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MLP Distributable Cash Flow.</w:t>
      </w:r>
      <w:r>
        <w:rPr>
          <w:color w:val="000000"/>
        </w:rPr>
        <w:t xml:space="preserve"> </w:t>
      </w:r>
      <w:r>
        <w:rPr>
          <w:rFonts w:ascii="Times New Roman;serif" w:hAnsi="Times New Roman;serif"/>
          <w:b w:val="false"/>
          <w:color w:val="000000"/>
          <w:sz w:val="20"/>
        </w:rPr>
        <w:t>MLP distributable cash flow increased by $15.8 million to $35.5 million in the six months ended June 30, 2026 from $19.7 million in the six months ended June 30, 2025</w:t>
      </w:r>
      <w:r>
        <w:rPr>
          <w:rFonts w:ascii="Times New Roman;serif" w:hAnsi="Times New Roman;serif"/>
          <w:b w:val="false"/>
          <w:color w:val="000000"/>
          <w:sz w:val="20"/>
          <w:shd w:fill="FFFFFF" w:val="clear"/>
        </w:rPr>
        <w:t xml:space="preserve">. The increase was primarily attributable to </w:t>
      </w:r>
      <w:r>
        <w:rPr>
          <w:rFonts w:ascii="Times New Roman;serif" w:hAnsi="Times New Roman;serif"/>
          <w:b w:val="false"/>
          <w:color w:val="000000"/>
          <w:sz w:val="20"/>
        </w:rPr>
        <w:t>higher production and sales volumes</w:t>
      </w:r>
      <w:r>
        <w:rPr>
          <w:color w:val="000000"/>
          <w:shd w:fill="FFFFFF" w:val="clear"/>
        </w:rPr>
        <w:t xml:space="preserve"> </w:t>
      </w:r>
      <w:r>
        <w:rPr>
          <w:rFonts w:ascii="Times New Roman;serif" w:hAnsi="Times New Roman;serif"/>
          <w:b w:val="false"/>
          <w:color w:val="000000"/>
          <w:sz w:val="20"/>
          <w:shd w:fill="FFFFFF" w:val="clear"/>
        </w:rPr>
        <w:t>and lower maintenance capital expenditures</w:t>
      </w:r>
      <w:r>
        <w:rPr>
          <w:color w:val="000000"/>
        </w:rPr>
        <w:t xml:space="preserve"> </w:t>
      </w:r>
      <w:r>
        <w:rPr>
          <w:rFonts w:ascii="Times New Roman;serif" w:hAnsi="Times New Roman;serif"/>
          <w:b w:val="false"/>
          <w:color w:val="000000"/>
          <w:sz w:val="20"/>
        </w:rPr>
        <w:t>in the six months ended June 30, 2026 as a result of the prior year’s Petro 1 turnaround.</w:t>
      </w:r>
    </w:p>
    <w:p>
      <w:pPr>
        <w:pStyle w:val="TextBody"/>
        <w:bidi w:val="0"/>
        <w:spacing w:lineRule="auto" w:line="288" w:before="180" w:after="283"/>
        <w:ind w:left="0" w:right="0" w:firstLine="450"/>
        <w:jc w:val="left"/>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 xml:space="preserve">EBITDA increased by $44.5 million to $243.9 million </w:t>
      </w:r>
      <w:r>
        <w:rPr>
          <w:rFonts w:ascii="Times New Roman;serif" w:hAnsi="Times New Roman;serif"/>
          <w:b w:val="false"/>
          <w:color w:val="000000"/>
          <w:sz w:val="20"/>
          <w:shd w:fill="FFFFFF" w:val="clear"/>
        </w:rPr>
        <w:t>in the six months ended June 30, 2026 from $199.4 million in the six months ended June 30, 2025. The increase was primarily due to higher ethylene sales to Westlake and higher co-products sales in the six months ended June 30, 2026 compared to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CASH FLOW DISCUSSION FOR THE SIX MONTHS ENDED JUNE 30, 2026 AND 2025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Operating activities provided cash of $240.0 million in the first six months of 2026 compared to cash provided by operating activities of $54.9 million in the first six months of 2025. The $185.1 million increase in cash flows from operating activities was mainly due to higher income from operations in the first six months of 2026 as compared to the first six months of 2025 and a favorable impact in the first six months of 2026 as compared to the first six months of 2025 when significant cash was used in connection with the 2025 Petro 1 turnaround and an increase in cash provided by working capital changes. Changes in components of working capital resulted in cash inflow of $3.3 million in the first six months of 2026 as compared to $10.6 million of cash used in the first six months of 2025, resulting in an overall favorable change of $13.9 million. The favorable change in working capital was mainly attributable to a favorable change in net accounts receivable—Westlake. This favorable change was partially offset by unfavorable changes in accounts payable—third parties and accrued and other liabilities in the first six months of 2026.</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 xml:space="preserve">Net cash used for investing activities in the first six months of 2026 was $38.0 million as compared to net cash provided by investing activities of $49.7 million in the first six months of 2025, resulting in an overall unfavorable change of $87.7 million in investing cash flows. During the first six months of 2026, there were investments of $20.0 million with Westlake and no </w:t>
      </w:r>
      <w:r>
        <w:rPr>
          <w:rFonts w:ascii="Times New Roman;serif" w:hAnsi="Times New Roman;serif"/>
          <w:b w:val="false"/>
          <w:color w:val="000000"/>
          <w:sz w:val="20"/>
          <w:shd w:fill="FFFFFF" w:val="clear"/>
        </w:rPr>
        <w:t>maturities of inv</w:t>
      </w:r>
      <w:r>
        <w:rPr>
          <w:rFonts w:ascii="Times New Roman;serif" w:hAnsi="Times New Roman;serif"/>
          <w:b w:val="false"/>
          <w:color w:val="000000"/>
          <w:sz w:val="20"/>
        </w:rPr>
        <w:t>estments with Westlake under the Investment Management Agreement, whereas during the first six months of 2025, there were no investments with Westlake and there were maturities of $90.0 million. Capital expenditures decreased to $18.0 million in the first six months of 2026 as compared to $40.3 million in the first six months of 2025 due to the 2025 Petro 1 turnaround. Capital expenditures in the first six months of 2026 and 2025 were primarily related to projects to increase production capacity or reduce costs, maintenance costs and safety and environmental projects at our facilities.</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the first six months of 2026 was $197.0 million as compared to net cash used for financing activities of $126.3 million in the first six months of 2025. The cash outflows in the first six months of 2026 were related to distributions of $163.7 million to the noncontrolling interest retained in OpCo by Westlake and of $33.2 million to unitholders by the Partnership. The cash outflows in the first six months of 2025 were related to distributions of $93.0 million to the noncontrolling interest retained in OpCo by Westlake and of $33.2 million to unitholders by the Partnership.</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Liquidity and Financing Arrangements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which may include the funding of potential drop-downs and other acquisitions. No common units had been issued under the ATM Program as of June 30,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Partnership maintains separate bank accounts, but Westlake continues to provide treasury services on our behalf under the Omnibus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to eight years. By reserving additional cash annually, we intend to reduce the variability in OpCo's cash flow. Westlake's purchase price for its minimum commitment of ethylene under the Ethylene Sales Agreement includes a component (adjusted annually) designed to cover, over the long term, substantially all of OpCo's turnaround expenditures.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cash is generated from cash distributions from OpCo. OpCo is a restricted subsidiary under certain indentures governing Westlake's senior notes, and these restrictions limit OpCo's ability to, among other things, incur additional debt. Westlake's credit facility and various indentures do not prevent OpCo from making distributions to us.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3, 2026, the board of directors of Westlake Chemical Partners GP LLC, our general partner, approved a quarterly distribution of $0.4714 per common unit payable on August 28, 2026 to unitholders of record as of August 13, 2026, which equates to a total amount of approximately $16.6 million per quarter, or approximately $66.5 million per year in aggregate, based on the number of common units outstanding on June 30, 2026. We do not have a legal or contractual obligation to pay distributions on a quarterly basis or any other basis at our minimum quarterly distribution rate or any other rate.</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100" w:after="283"/>
        <w:ind w:left="0" w:right="0" w:firstLine="450"/>
        <w:jc w:val="left"/>
        <w:rPr/>
      </w:pPr>
      <w:r>
        <w:rPr>
          <w:rFonts w:ascii="Times New Roman;serif" w:hAnsi="Times New Roman;serif"/>
          <w:b w:val="false"/>
          <w:color w:val="000000"/>
          <w:sz w:val="20"/>
        </w:rPr>
        <w:t>Westlake has historically funded expansion capital expenditures related to Lake Charles Olefins and Calvert City Olefins. No such funding was required by OpCo during the six months ended June 30, 2026 and 2025. Total capital expenditures for the six months ended June 30, 2026 and 2025 were $18.0 million and $40.3 million, respectively. We expect that</w:t>
      </w:r>
      <w:r>
        <w:rPr>
          <w:color w:val="000000"/>
        </w:rPr>
        <w:t xml:space="preserve"> </w:t>
      </w:r>
      <w:r>
        <w:rPr>
          <w:rFonts w:ascii="Times New Roman;serif" w:hAnsi="Times New Roman;serif"/>
          <w:b w:val="false"/>
          <w:color w:val="000000"/>
          <w:sz w:val="20"/>
        </w:rPr>
        <w:t>Westlake will loan additional cash to OpCo to fund its expansion capital expenditures in the future, but Westlake is under no obligation to do so.</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our cash and cash equivalents totaled $49.3 million. In addition, we have cash invested under the Investment Management Agreement (as described below) and a revolving credit facility with Westlake available to supplement cash if needed, as described under "Indebtedness" below.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2017, the Partnership, OpCo and Westlake executed the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$43.6 million of cash invested under the Investment Management Agreement at June 30, 2026.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Indebtedness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OpCo Revolver</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OpCo entered into a $600.0 million revolving credit facility with an affiliate of Westlake, as amended in June 2017, September 2018, July 2022 and July 2026 (the "OpCo Revolver") that may be used to fund growth projects and working capital needs. The OpCo Revolver is scheduled to mature on July 11, 2031. On July 8, 2026, OpCo entered into the Third Amendment (the "OpCo Revolver Amendment") to the OpCo Revolver. The OpCo Revolver Amendment extended the maturity date to July 11, 2031 and removed the 0.10% credit spread adjustment that had previously applied to the OpCo Revolver's SOFR-based interest rate. Borrowings under the OpCo Revolver now bear interest at a variable rate of either (a) SOFR plus the Applicable Margin or, if SOFR is no longer available, (b) the Alternate Base Rate plus the Applicable Margin minus 1.0%. The Applicable Margin under the OpCo Revolver is 1.75%. As of June 30, 2026, outstanding borrowings under the OpCo Revolver totaled $22.6 million and bore interest at SOFR plus the Applicable Margin and credit spread adjustment, which is accrued in arrears quarterly.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MLP Revolver</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2015, we entered into a senior, unsecured revolving credit agreement with an affiliate of Westlake, as amended in August and November 2017, March 2020, July 2022 and July 2026 (the "MLP Revolver"). The MLP Revolver has a borrowing capacity of $600.0 million and is scheduled to mature on July 11, 2031. On July 8, 2026, the Partnership entered into the Fifth Amendment (the "MLP Revolver Amendment") to the MLP Revolver. The MLP Revolver Amendment extended the maturity date to July 11, 2031 and removed the 0.10% credit spread adjustment that had previously applied to the MLP Revolver's SOFR-based interest rate. Borrowings under the MLP Revolver now bear interest at a variable rate of either (a) SOFR plus the Applicable Margin or, if SOFR is no longer available, (b) the Alternate Base Rate plus the Applicable Margin minus 1.0%. The Applicable Margin under the MLP Revolver varies between 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June 30, 2026,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partnership purposes.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80" w:after="283"/>
        <w:ind w:left="0" w:right="0" w:hanging="10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See Note 1, "Description of Business and Basis of Presentation," to the unaudited consolidated financial statements included in Item 1 of this Form 10-Q for a full description of recent accounting pronouncements, including expected date of adoption and estimated effect on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ultimate timing, outcome and results of our strategies and plans;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amount of ethane that we are able to process, which could be adversely affected by, among other things, operating difficulties;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volume of ethylene that we are able to sell;</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price at which we are able to sell ethylene;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industry market outlook, including prices and margins in third-party ethylene and co-products sales;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widespread outbreak of an illness or any other communicable disease, or any other public health crisis;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impact of ongoing supply chain constraints caused by the conflicts in the Middle East and between Russia and Ukraine;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parties to whom we will sell ethylene and on what basis;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volumes of ethylene that Westlake may purchase, in addition to the minimum commitment under the Ethylene Sales Agreement;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timing, funding and results of capital expenditures;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intended quarterly distributions and the manner of making such distributions;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meet our liquidity needs;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timing of and amount of capital expenditures;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At-the-Market program and the use of any net proceeds from any sales under that program;</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and OpCo's ability to extend our credit agreements with Westlake;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potential loans from Westlake to OpCo to fund OpCo's expansion capital expenditures in the future;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expected mitigation of exposure to commodity price fluctuations;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turnaround activities and the variability of OpCo's cash flow;</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receipt of any Buyer Deficiency Fee and Shortfall under the Ethylene Sales Agreement;</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our ability to receive indemnification from Westlake for environmental and other losses;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effects of pending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2025 Form 10-K and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general economic and business conditions, including inflation, interest rates and possible recession;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cyclical nature of the chemical industry;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availability, cost and volatility of raw materials and energy;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lower crude oil prices reducing the cost advantage of ethane-based ethylene producers;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actions taken by Westlake, including the renewal or renegotiation of, or determinations made pursuant to, our contractual arrangements with Westlake;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uncertainties associated with the United States and worldwide economies, including those due to political tensions and conflict in the Middle East, between Russia and Ukraine and elsewhere;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uncertainties associated with pandemic infectious diseases;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uncertainties associated with climate change;</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potential impact on demand for ethylene due to initiatives such as recycling and customers seeking alternatives to polymers;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current and potential governmental regulatory actions in the United States and regulatory actions and political unrest in other countries, including environmental regulations;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industry production capacity and operating rates;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the supply/demand balance for our products;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competitive products and pricing pressures;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instability in the credit and financial markets;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access to capital markets;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terrorist acts;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operating interruptions (including leaks, explosions, fires, weather-related incidents, mechanical failure, unscheduled downtime, delays in turnaround activities, labor difficulties, transportation interruptions, spills and releases and other environmental risks);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changes in laws or regulations;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the effects of government shutdowns;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technological developments;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information systems failures and cyberattacks;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our ability to implement our business strategies; and </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 xml:space="preserve">creditworthiness of our customers.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 xml:space="preserve">Commodity Price Risk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We did not have any open derivative positions at June 30, 2026. </w:t>
      </w:r>
    </w:p>
    <w:p>
      <w:pPr>
        <w:pStyle w:val="TextBody"/>
        <w:bidi w:val="0"/>
        <w:spacing w:lineRule="auto" w:line="288" w:before="280" w:after="283"/>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with respect to our outstanding debt, all of which is variable rate debt. At June 30, 2026, we had variable rate debt of $399.7 million outstanding, all of which was owed to wholly-owned subsidiaries of Westlake. On July 8, 2026, OpCo entered into the OpCo Revolver Amendment. The OpCo Revolver Amendment provided for the replacement of LIBOR with SOFR as the reference rate. Borrowings under the OpCo Revolver bear interest at a variable rate of either (a) SOFR plus the Applicable Margin or, if SOFR is no longer available, (b) the Alternate Base Rate plus the Applicable Margin minus 1.0%. The Applicable Margin under the OpCo Revolver is 1.75%. On July 8, 2026, the Partnership entered into the MLP Revolver Amendment. The MLP Revolver Amendment provided for the replacement of LIBOR with SOFR as the reference rate. Borrowings under the MLP Revolver now bear interest at a variable rate of either (a) SOFR plus the Applicable Margin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June 30, 2026 was 5.5%.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June 30, 2026 debt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President and Chief Executive Officer and our Senior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Senior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2025 Form 10-K, filed on March 4, 2026, contained a description of various legal proceedings in which we are involved, including environmental proceedings. See Note 12, "Commitments and Contingencies," to the unaudited consolidated financial statements within this Quarterly Report on Form 10-Q for an updated discussion of legal proceedings, which information is incorporated by reference herein.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Omnibus Agreement, certain subsidiaries of Westlake Corporation ("Westlake") have agreed to indemnify the Partnership for certain environmental and other liabilities relating to OpCo's processing facilities and related assets that occurred or existed prior to August 4, 2014. Pursuant to the Services and Secondment Agreement, certain subsidiaries of Westlake have agreed to indemnify the Partnership for certain liabilities incurred in connection with the performance of Westlake's services under such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matters described above, the Partnership is also involved in other legal proceedings incidental to the conduct of its business. After considering all relevant facts and circumstances, including applicable insurance and indemnification by Westlake, the Partnership does not believe that any of these legal proceedings will have a material adverse effect on its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a discussion of risk factors, please read Item 1A, "Risk Factors" in the 2025 Form 10-K. There have been no material changes from those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ind w:left="0" w:right="0" w:firstLine="450"/>
        <w:jc w:val="left"/>
        <w:rPr/>
      </w:pPr>
      <w:r>
        <w:rPr>
          <w:rFonts w:ascii="Times New Roman;serif" w:hAnsi="Times New Roman;serif"/>
          <w:b w:val="false"/>
          <w:i/>
          <w:color w:val="000000"/>
          <w:sz w:val="20"/>
        </w:rPr>
        <w:t xml:space="preserve">Rule 10b5-1 Trading Arrangements. </w:t>
      </w:r>
      <w:r>
        <w:rPr>
          <w:rFonts w:ascii="Times New Roman;serif" w:hAnsi="Times New Roman;serif"/>
          <w:b w:val="false"/>
          <w:color w:val="000000"/>
          <w:sz w:val="20"/>
        </w:rPr>
        <w:t>During the three months ended June 30, 2026, no director or officer of the Partnership's general partner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5"/>
        <w:gridCol w:w="303"/>
        <w:gridCol w:w="305"/>
        <w:gridCol w:w="109"/>
        <w:gridCol w:w="109"/>
        <w:gridCol w:w="109"/>
        <w:gridCol w:w="2606"/>
        <w:gridCol w:w="2606"/>
        <w:gridCol w:w="3713"/>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Exhibit </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5" w:type="dxa"/>
            <w:gridSpan w:val="3"/>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Limited Partnership of Westlake Chemical Partners LP (incorporated by reference to Exhibit 3.1 to Westlake Chemical Partners LP's Registration Statement on Form S-1 (File No. 333-195551), filed on April 29, 2014).</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First Amended and Restated Agreement of Limited Partnership of Westlake Chemical Partners LP (incorporated by reference to Exhibit 3.1 to Westlake Chemical Partners LP's Current Report on Form 8-K (File No. 001-36567) filed on August 8, 2014).</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No. 1 to the First Amended and Restated Agreement of Limited Partnership of Westlake Chemical Partners LP dated as of November 16, 2017 (incorporated by Reference to Exhibit 3.1 to Westlake Chemical Partners LP's Current Report on Form 8-K, filed on November 16, 2017, File No. 01-36567).</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Amendment No. 2 to the First Amended and Restated Agreement of Limited Partnership of Westlake Chemical Partners LP (incorporated by reference to Exhibit 3.1 to Westlake Chemical Partners LP's Current Report on Form 8-K filed on July 30, 2018 (File No. 01-36567)).</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Agreement of Limited Partnership of Westlake Chemical OpCo LP (incorporated by reference to Exhibit 10.7 to Westlake Chemical Partners LP's Current Report on Form 8-K (File No. 001-36567) filed on August 8, 2014).</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Amendment No. 1 to the Amended and Restated Agreement of Limited Partnership of Westlake Chemical OpCo LP dated as of December 1, 2017 (File No. 01-36567) (incorporated by reference to Exhibit 3.4 to Westlake Chemical Partners LP's Annual Report on Form 10-K for the year ended December 31, 2017 (File No. 01-36567) filed on March 1, 2018).</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_20260630thirdam.htm">
              <w:r>
                <w:rPr>
                  <w:rStyle w:val="InternetLink"/>
                  <w:rFonts w:ascii="Times New Roman;serif" w:hAnsi="Times New Roman;serif"/>
                  <w:b w:val="false"/>
                  <w:color w:val="0000FF"/>
                  <w:sz w:val="20"/>
                  <w:u w:val="single"/>
                </w:rPr>
                <w:t>Third Amendment to Amended and Restated Senior Unsecured Revolving Credit Agreement dated as of July 8, 2026</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_20260630fiftham.htm">
              <w:r>
                <w:rPr>
                  <w:rStyle w:val="InternetLink"/>
                  <w:rFonts w:ascii="Times New Roman;serif" w:hAnsi="Times New Roman;serif"/>
                  <w:b w:val="false"/>
                  <w:color w:val="0000FF"/>
                  <w:sz w:val="20"/>
                  <w:u w:val="single"/>
                </w:rPr>
                <w:t>Fifth Amendment to Senior Unsecured Revolving Credit Agreement dated as of July 8, 2026</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20260630.htm">
              <w:r>
                <w:rPr>
                  <w:rStyle w:val="InternetLink"/>
                  <w:rFonts w:ascii="Times New Roman;serif" w:hAnsi="Times New Roman;serif"/>
                  <w:b w:val="false"/>
                  <w:color w:val="0000FF"/>
                  <w:sz w:val="20"/>
                  <w:u w:val="single"/>
                </w:rPr>
                <w:t>Rule 13a – 14(a) / 15d – 14(a) Certification (Principal Executive Officer)</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20260630.htm">
              <w:r>
                <w:rPr>
                  <w:rStyle w:val="InternetLink"/>
                  <w:rFonts w:ascii="Times New Roman;serif" w:hAnsi="Times New Roman;serif"/>
                  <w:b w:val="false"/>
                  <w:color w:val="0000FF"/>
                  <w:sz w:val="20"/>
                  <w:u w:val="single"/>
                </w:rPr>
                <w:t>Rule 13a – 14(a) / 15d – 14(a) Certification (Principal Financial Officer)</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20260630.htm">
              <w:r>
                <w:rPr>
                  <w:rStyle w:val="InternetLink"/>
                  <w:rFonts w:ascii="Times New Roman;serif" w:hAnsi="Times New Roman;serif"/>
                  <w:b w:val="false"/>
                  <w:color w:val="0000FF"/>
                  <w:sz w:val="20"/>
                  <w:u w:val="single"/>
                </w:rPr>
                <w:t>Section 1350 Certification (Principal Executive Officer and Principal Financial Officer)</w:t>
              </w:r>
            </w:hyperlink>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because its XBRL tags are embedded within the Inline XBRL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60" w:after="283"/>
        <w:ind w:left="0" w:right="0" w:hanging="540"/>
        <w:jc w:val="left"/>
        <w:rPr>
          <w:color w:val="000000"/>
        </w:rPr>
      </w:pPr>
      <w:r>
        <w:rPr>
          <w:color w:val="000000"/>
        </w:rPr>
        <w:t>†    </w:t>
      </w:r>
      <w:r>
        <w:rPr>
          <w:rFonts w:ascii="Times New Roman;serif" w:hAnsi="Times New Roman;serif"/>
          <w:b w:val="false"/>
          <w:color w:val="000000"/>
          <w:sz w:val="20"/>
        </w:rPr>
        <w:t>Filed herewith.</w:t>
      </w:r>
    </w:p>
    <w:p>
      <w:pPr>
        <w:pStyle w:val="TextBody"/>
        <w:bidi w:val="0"/>
        <w:spacing w:lineRule="auto" w:line="288" w:before="6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9679b38ebe747ed88fae015f534328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782"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400"/>
        <w:gridCol w:w="400"/>
        <w:gridCol w:w="400"/>
        <w:gridCol w:w="400"/>
        <w:gridCol w:w="400"/>
        <w:gridCol w:w="400"/>
        <w:gridCol w:w="1107"/>
        <w:gridCol w:w="1107"/>
        <w:gridCol w:w="161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WESTLAKE CHEMICAL PARTNERS LP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Jean-Marc Gilson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Chief Executive Officer and Director of</w:t>
              <w:br/>
              <w:t>Westlake Chemical Partners GP LLC</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ONATHAN</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AKSHT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Jonathan Baksht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Senior Vice President, Chief Financial Officer and </w:t>
              <w:br/>
              <w:t>Director of Westlake Chemical Partners GP LLC</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THIRD AMENDMENT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SENIOR UNSECURED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REVOLVING CREDIT AGREEMENT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THIRD AMENDMENT TO AMENDED AND RESTATED SENIOR UNSECURED REVOLVING CREDIT AGREEMENT</w:t>
      </w:r>
      <w:r>
        <w:rPr>
          <w:color w:val="000000"/>
        </w:rPr>
        <w:t xml:space="preserve"> </w:t>
      </w:r>
      <w:r>
        <w:rPr>
          <w:rFonts w:ascii="Times New Roman;serif" w:hAnsi="Times New Roman;serif"/>
          <w:b w:val="false"/>
          <w:color w:val="000000"/>
          <w:sz w:val="24"/>
        </w:rPr>
        <w:t xml:space="preserve">(this “Amendment”) is made and entered into as of July 8, 2026, by and among </w:t>
      </w:r>
      <w:r>
        <w:rPr>
          <w:rFonts w:ascii="Times New Roman;serif" w:hAnsi="Times New Roman;serif"/>
          <w:b/>
          <w:color w:val="000000"/>
          <w:sz w:val="24"/>
        </w:rPr>
        <w:t>WESTLAKE CHEMICAL OPCO LP</w:t>
      </w:r>
      <w:r>
        <w:rPr>
          <w:rFonts w:ascii="Times New Roman;serif" w:hAnsi="Times New Roman;serif"/>
          <w:b w:val="false"/>
          <w:color w:val="000000"/>
          <w:sz w:val="24"/>
        </w:rPr>
        <w:t xml:space="preserve">, a Delaware limited partnership (“Borrower”), as borrower, </w:t>
      </w:r>
      <w:r>
        <w:rPr>
          <w:rFonts w:ascii="Times New Roman;serif" w:hAnsi="Times New Roman;serif"/>
          <w:b/>
          <w:color w:val="000000"/>
          <w:sz w:val="24"/>
        </w:rPr>
        <w:t>WESTLAKE POLYMERS LLC</w:t>
      </w:r>
      <w:r>
        <w:rPr>
          <w:rFonts w:ascii="Times New Roman;serif" w:hAnsi="Times New Roman;serif"/>
          <w:b w:val="false"/>
          <w:color w:val="000000"/>
          <w:sz w:val="24"/>
        </w:rPr>
        <w:t>, a Delaware limited liability company, as administrative agent (the “Agent”), and the lenders party thereto (the “Lenders”).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Borrower, the Agent and the Lenders entered into that certain Amended and Restated Senior Unsecured Revolving Credit Agreement, dated as of June 1, 2017, as amended by the First Amendment thereto, dated as of September 25, 2018, and the Second Amendment thereto, dated as of July 12, 2022 (as so amended, the “Credit Agreement”), pursuant to which the Lenders have made certain financial accommodations available to Borrower;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Lenders desire to make certain modifications to the Credit Agreement, including to extend the maturity date thereof, as more fully set forth herein.</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mutual covenants contained herein, and subject to the terms and conditions herein set forth, the parties hereto hereby agree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1. 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including in the text of the preamble and recitals hereto, all capitalized terms used herein shall have the respective meanings given to such terms in Section 1.1 of the Credit Agreement, as amended hereby. The rules of interpretation set forth in Sections 1.2 and 1.3 of the Credit Agreement shall apply to this Amendment in all respects.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2. Amendment to the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Article I of the Credit Agreement is hereby amended by deleting the defined term “Credit Spread Adjustment” in its entirety.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Article I of the Credit Agreement is hereby further amended by amending and restating the following defined terms, in each case by deleting the original definition in its entirety and replacing it with the amended definition stated herein: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Loan Interest Rate”</w:t>
      </w:r>
      <w:r>
        <w:rPr>
          <w:color w:val="000000"/>
        </w:rPr>
        <w:t xml:space="preserve"> </w:t>
      </w:r>
      <w:r>
        <w:rPr>
          <w:rFonts w:ascii="Times New Roman;serif" w:hAnsi="Times New Roman;serif"/>
          <w:b w:val="false"/>
          <w:color w:val="000000"/>
          <w:sz w:val="24"/>
        </w:rPr>
        <w:t xml:space="preserve">shall mean, (a) with respect to any SOFR Loan, SOFR in effect from time to time (as the same may vary from Interest Period to Interest Period) plus the Applicable Margin for the Loan Interest Rate (as set forth in, and determined in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the definition of “Applicable Margin”), or (b) with respect to any ABR Loan, the Alternate Base Rate plus the Applicable Margin for the Loan Interest Rate (as set forth in, and determined in accordance with, the definition of “Applicable Margin”) minus 1%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mean July 11, 2031.</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3. Effectiveness.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Amendment shall become effective upon the execution and delivery of this Amendment by Borrower and the Lenders.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4. 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i/>
          <w:color w:val="000000"/>
          <w:sz w:val="24"/>
        </w:rPr>
        <w:t>Full Force and Effect.</w:t>
      </w:r>
      <w:r>
        <w:rPr>
          <w:color w:val="000000"/>
        </w:rPr>
        <w:t xml:space="preserve"> </w:t>
      </w:r>
      <w:r>
        <w:rPr>
          <w:rFonts w:ascii="Times New Roman;serif" w:hAnsi="Times New Roman;serif"/>
          <w:b w:val="false"/>
          <w:color w:val="000000"/>
          <w:sz w:val="24"/>
        </w:rPr>
        <w:t>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the Lenders under the Credit Agreement, any applicable law or any existing or future Default or Event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i/>
          <w:color w:val="000000"/>
          <w:sz w:val="24"/>
        </w:rPr>
        <w:t>Headings.</w:t>
      </w:r>
      <w:r>
        <w:rPr>
          <w:color w:val="000000"/>
        </w:rPr>
        <w:t xml:space="preserve"> </w:t>
      </w:r>
      <w:r>
        <w:rPr>
          <w:rFonts w:ascii="Times New Roman;serif" w:hAnsi="Times New Roman;serif"/>
          <w:b w:val="false"/>
          <w:color w:val="000000"/>
          <w:sz w:val="24"/>
        </w:rPr>
        <w:t>Section headings used herein are for convenience of reference only, are not part of this Amendment and shall not affect the construction of, or be taken into consideration in interpreting,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i/>
          <w:color w:val="000000"/>
          <w:sz w:val="24"/>
        </w:rPr>
        <w:t>Counterparts.</w:t>
      </w:r>
      <w:r>
        <w:rPr>
          <w:color w:val="000000"/>
        </w:rPr>
        <w:t xml:space="preserve"> </w:t>
      </w:r>
      <w:r>
        <w:rPr>
          <w:rFonts w:ascii="Times New Roman;serif" w:hAnsi="Times New Roman;serif"/>
          <w:b w:val="false"/>
          <w:color w:val="000000"/>
          <w:sz w:val="24"/>
        </w:rPr>
        <w:t>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Governing Law.</w:t>
      </w:r>
      <w:r>
        <w:rPr>
          <w:color w:val="000000"/>
        </w:rPr>
        <w:t xml:space="preserve"> </w:t>
      </w:r>
      <w:r>
        <w:rPr>
          <w:rFonts w:ascii="Times New Roman;serif" w:hAnsi="Times New Roman;serif"/>
          <w:b w:val="false"/>
          <w:color w:val="000000"/>
          <w:sz w:val="24"/>
        </w:rPr>
        <w:t>This Amendment shall be construed in accordance with and governed by the law of the State of New York.</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day and year first above written.</w:t>
      </w:r>
    </w:p>
    <w:p>
      <w:pPr>
        <w:pStyle w:val="TextBody"/>
        <w:bidi w:val="0"/>
        <w:spacing w:lineRule="auto" w:line="288" w:before="480" w:after="240"/>
        <w:jc w:val="left"/>
        <w:rPr>
          <w:rFonts w:ascii="Times New Roman;serif" w:hAnsi="Times New Roman;serif"/>
          <w:b/>
          <w:color w:val="000000"/>
          <w:sz w:val="24"/>
        </w:rPr>
      </w:pPr>
      <w:r>
        <w:rPr>
          <w:rFonts w:ascii="Times New Roman;serif" w:hAnsi="Times New Roman;serif"/>
          <w:b/>
          <w:color w:val="000000"/>
          <w:sz w:val="24"/>
        </w:rPr>
        <w:t>WESTLAKE CHEMICAL OPCO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Westlake Chemical OpCo GP LLC,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its general partner,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Jeffrey A. Holy____________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A. Holy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&amp; Chief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WESTLAKE POLYMERS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Agent and as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Jonathan Baksht_____________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Baksht</w:t>
      </w:r>
    </w:p>
    <w:p>
      <w:pPr>
        <w:pStyle w:val="TextBody"/>
        <w:bidi w:val="0"/>
        <w:spacing w:lineRule="auto" w:line="288" w:before="0" w:after="0"/>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&amp;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WESTLAKE LONGVIEW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Jonathan Baksht______________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Baksht</w:t>
      </w:r>
    </w:p>
    <w:p>
      <w:pPr>
        <w:pStyle w:val="TextBody"/>
        <w:bidi w:val="0"/>
        <w:spacing w:lineRule="auto" w:line="288"/>
        <w:ind w:left="0" w:right="0" w:hanging="81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&amp;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Third Amendment to </w:t>
                              <w:br/>
                              <w:t>Amended and Restated Senior Unsecured Revolving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Third Amendment to </w:t>
                        <w:br/>
                        <w:t>Amended and Restated Senior Unsecured Revolving Credit Agreement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FIFTH AMENDMENT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SENIOR UNSECURED REVOLVING CREDIT AGREEMENT</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FIFTH AMENDMENT TO SENIOR UNSECURED REVOLVING CREDIT AGREEMENT</w:t>
      </w:r>
      <w:r>
        <w:rPr>
          <w:color w:val="000000"/>
        </w:rPr>
        <w:t xml:space="preserve"> </w:t>
      </w:r>
      <w:r>
        <w:rPr>
          <w:rFonts w:ascii="Times New Roman;serif" w:hAnsi="Times New Roman;serif"/>
          <w:b w:val="false"/>
          <w:color w:val="000000"/>
          <w:sz w:val="24"/>
        </w:rPr>
        <w:t xml:space="preserve">(this “Amendment”) is made and entered into as of July 8, 2026, by and among </w:t>
      </w:r>
      <w:r>
        <w:rPr>
          <w:rFonts w:ascii="Times New Roman;serif" w:hAnsi="Times New Roman;serif"/>
          <w:b/>
          <w:color w:val="000000"/>
          <w:sz w:val="24"/>
        </w:rPr>
        <w:t>WESTLAKE CHEMICAL PARTNERS LP</w:t>
      </w:r>
      <w:r>
        <w:rPr>
          <w:rFonts w:ascii="Times New Roman;serif" w:hAnsi="Times New Roman;serif"/>
          <w:b w:val="false"/>
          <w:color w:val="000000"/>
          <w:sz w:val="24"/>
        </w:rPr>
        <w:t xml:space="preserve">, a Delaware limited partnership (“Borrower”), as borrower and </w:t>
      </w:r>
      <w:r>
        <w:rPr>
          <w:rFonts w:ascii="Times New Roman;serif" w:hAnsi="Times New Roman;serif"/>
          <w:b/>
          <w:color w:val="000000"/>
          <w:sz w:val="24"/>
        </w:rPr>
        <w:t>WESTLAKE CHEMICAL FINANCE CORPORATION</w:t>
      </w:r>
      <w:r>
        <w:rPr>
          <w:rFonts w:ascii="Times New Roman;serif" w:hAnsi="Times New Roman;serif"/>
          <w:b w:val="false"/>
          <w:color w:val="000000"/>
          <w:sz w:val="24"/>
        </w:rPr>
        <w:t>, a Delaware corporation (“Lender”), as lender.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parties hereto entered into that certain Senior Unsecured Revolving Credit Agreement, dated as of April 29, 2015, as amended by the First Amendment thereto, dated as of August 1, 2017, the Second Amendment thereto, dated as of November 28, 2017, the Third Amendment thereto, dated as of March 19, 2020, and the Fourth Amendment thereto, dated as of July 12, 2022 (as so amended, the “Credit Agreement”), pursuant to which Lender has made certain financial accommodations available to Borrower;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Lender desires to make certain modifications to the Credit Agreement, including to extend the maturity date thereof, as more fully set forth herein.</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premises and the mutual covenants contained herein, and subject to the terms and conditions herein set forth, the parties hereto hereby agree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1. Definitions.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otherwise defined herein, including in the text of the preamble and recitals hereto, all capitalized terms used herein shall have the respective meanings given to such terms in Section 1.1 of the Credit Agreement, as amended hereby. The rules of interpretation set forth in Sections 1.2 and 1.3 of the Credit Agreement shall apply to this Amendment in all respects.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2. Amendment to the Credit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Article I of the Credit Agreement is hereby amended by deleting the defined term “Credit Spread Adjustment” in its entirety.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Article I of the Credit Agreement is hereby further amended by amending and restating the following defined terms, in each case by deleting the original definition in its entirety and replacing it with the amended definition stated herein: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Loan Interest Rate”</w:t>
      </w:r>
      <w:r>
        <w:rPr>
          <w:color w:val="000000"/>
        </w:rPr>
        <w:t xml:space="preserve"> </w:t>
      </w:r>
      <w:r>
        <w:rPr>
          <w:rFonts w:ascii="Times New Roman;serif" w:hAnsi="Times New Roman;serif"/>
          <w:b w:val="false"/>
          <w:color w:val="000000"/>
          <w:sz w:val="24"/>
        </w:rPr>
        <w:t xml:space="preserve">shall mean, (a) with respect to any SOFR Loan, SOFR in effect from time to time (as the same may vary from Interest Period to Interest Period) plus the Applicable Margin for the Loan Interest Rate (as set forth in, and determined in accordance with, the definition of “Applicable Margin”), or (b) with respect to any ABR Loan, the Alternate Base Rate plus the Applicable Margin for the Loan Interest Rate (as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set forth in, and determined in accordance with, the definition of “Applicable Margin”) minus 1% per annum.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mean July 11, 2031.</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3. Effectiveness.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Amendment shall become effective upon the execution and delivery of this Amendment by Borrower and Lender.</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Section 4. Miscellaneous.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i/>
          <w:color w:val="000000"/>
          <w:sz w:val="24"/>
        </w:rPr>
        <w:t>Full Force and Effect.</w:t>
      </w:r>
      <w:r>
        <w:rPr>
          <w:color w:val="000000"/>
        </w:rPr>
        <w:t xml:space="preserve"> </w:t>
      </w:r>
      <w:r>
        <w:rPr>
          <w:rFonts w:ascii="Times New Roman;serif" w:hAnsi="Times New Roman;serif"/>
          <w:b w:val="false"/>
          <w:color w:val="000000"/>
          <w:sz w:val="24"/>
        </w:rPr>
        <w:t>Except as specifically amended hereby, all of the terms and conditions of the Credit Agreement are unaffected and shall continue to be in full force and effect and shall be binding on the parties hereto in accordance with their respective terms. Each reference to the Credit Agreement therein or in any other agreement, document or instrument executed and delivered pursuant to the Credit Agreement shall mean and constitute a reference to the Credit Agreement as amended hereby. Except as specifically set forth in this Amendment, nothing in this Amendment shall be construed as modifying any other term or condition of the Credit Agreement or operate as a waiver of, or in prejudice to, any right, power or remedy of Lender under the Credit Agreement, any applicable law or any existing or future Default or Event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i/>
          <w:color w:val="000000"/>
          <w:sz w:val="24"/>
        </w:rPr>
        <w:t>Headings.</w:t>
      </w:r>
      <w:r>
        <w:rPr>
          <w:color w:val="000000"/>
        </w:rPr>
        <w:t xml:space="preserve"> </w:t>
      </w:r>
      <w:r>
        <w:rPr>
          <w:rFonts w:ascii="Times New Roman;serif" w:hAnsi="Times New Roman;serif"/>
          <w:b w:val="false"/>
          <w:color w:val="000000"/>
          <w:sz w:val="24"/>
        </w:rPr>
        <w:t>Section headings used herein are for convenience of reference only, are not part of this Amendment and shall not affect the construction of, or be taken into consideration in interpreting,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i/>
          <w:color w:val="000000"/>
          <w:sz w:val="24"/>
        </w:rPr>
        <w:t>Counterparts.</w:t>
      </w:r>
      <w:r>
        <w:rPr>
          <w:color w:val="000000"/>
        </w:rPr>
        <w:t xml:space="preserve"> </w:t>
      </w:r>
      <w:r>
        <w:rPr>
          <w:rFonts w:ascii="Times New Roman;serif" w:hAnsi="Times New Roman;serif"/>
          <w:b w:val="false"/>
          <w:color w:val="000000"/>
          <w:sz w:val="24"/>
        </w:rPr>
        <w:t>This Amendment may be executed in any number of counterparts, each of which shall be enforceable against the party executing such counterpart, and all of which together shall constitute one instrument. Each counterpart may be delivered in original, facsimile or electronic (e.g., “.pdf”) form.</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i/>
          <w:color w:val="000000"/>
          <w:sz w:val="24"/>
        </w:rPr>
        <w:t>Governing Law.</w:t>
      </w:r>
      <w:r>
        <w:rPr>
          <w:color w:val="000000"/>
        </w:rPr>
        <w:t xml:space="preserve"> </w:t>
      </w:r>
      <w:r>
        <w:rPr>
          <w:rFonts w:ascii="Times New Roman;serif" w:hAnsi="Times New Roman;serif"/>
          <w:b w:val="false"/>
          <w:color w:val="000000"/>
          <w:sz w:val="24"/>
        </w:rPr>
        <w:t>This Amendment shall be construed in accordance with and governed by the law of the State of New York.</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as of the day and year first above written.</w: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WESTLAKE CHEMICAL PARTNERS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Westlake Chemical Partners GP LLC, </w:t>
        <w:br/>
        <w:t>    its general partner</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A. Holy____________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A. Holy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Vice President &amp; Chief Accounting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WESTLAKE CHEMICAL FINANCE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_/s/ Jonathan Baksht___________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Jonathan Baksht</w:t>
      </w:r>
    </w:p>
    <w:p>
      <w:pPr>
        <w:pStyle w:val="TextBody"/>
        <w:bidi w:val="0"/>
        <w:spacing w:lineRule="auto" w:line="288"/>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Title:     Senior Vice President &amp;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Fifth Amendment to </w:t>
                              <w:br/>
                              <w:t>Senior Unsecured Revolving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 xml:space="preserve">Signature Page to Fifth Amendment to </w:t>
                        <w:br/>
                        <w:t>Senior Unsecured Revolving Credit Agreement</w:t>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Jean-Marc Gilson, certify that:</w:t>
      </w:r>
    </w:p>
    <w:tbl>
      <w:tblPr>
        <w:tblW w:w="8922" w:type="dxa"/>
        <w:jc w:val="left"/>
        <w:tblInd w:w="0" w:type="dxa"/>
        <w:tblLayout w:type="fixed"/>
        <w:tblCellMar>
          <w:top w:w="28" w:type="dxa"/>
          <w:left w:w="28" w:type="dxa"/>
          <w:bottom w:w="28" w:type="dxa"/>
          <w:right w:w="28" w:type="dxa"/>
        </w:tblCellMar>
      </w:tblPr>
      <w:tblGrid>
        <w:gridCol w:w="124"/>
        <w:gridCol w:w="109"/>
        <w:gridCol w:w="109"/>
        <w:gridCol w:w="2511"/>
        <w:gridCol w:w="2511"/>
        <w:gridCol w:w="3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5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Westlake Chemical Partners LP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100" w:after="283"/>
        <w:jc w:val="left"/>
        <w:rPr/>
      </w:pPr>
      <w:r>
        <w:rPr/>
      </w:r>
    </w:p>
    <w:tbl>
      <w:tblPr>
        <w:tblW w:w="737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09"/>
        <w:gridCol w:w="109"/>
        <w:gridCol w:w="109"/>
        <w:gridCol w:w="109"/>
        <w:gridCol w:w="109"/>
        <w:gridCol w:w="109"/>
        <w:gridCol w:w="1125"/>
        <w:gridCol w:w="1125"/>
        <w:gridCol w:w="15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Jean-Marc Gilson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President, Chief Executive Officer and Director of </w:t>
              <w:br/>
              <w:t>Westlake Chemical Partners GP LLC</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Jonathan Baksht, certify that:</w:t>
      </w:r>
    </w:p>
    <w:tbl>
      <w:tblPr>
        <w:tblW w:w="8922" w:type="dxa"/>
        <w:jc w:val="left"/>
        <w:tblInd w:w="0" w:type="dxa"/>
        <w:tblLayout w:type="fixed"/>
        <w:tblCellMar>
          <w:top w:w="28" w:type="dxa"/>
          <w:left w:w="28" w:type="dxa"/>
          <w:bottom w:w="28" w:type="dxa"/>
          <w:right w:w="28" w:type="dxa"/>
        </w:tblCellMar>
      </w:tblPr>
      <w:tblGrid>
        <w:gridCol w:w="124"/>
        <w:gridCol w:w="109"/>
        <w:gridCol w:w="109"/>
        <w:gridCol w:w="2511"/>
        <w:gridCol w:w="2511"/>
        <w:gridCol w:w="35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35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5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Westlake Chemical Partners LP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97"/>
        <w:gridCol w:w="175"/>
        <w:gridCol w:w="176"/>
        <w:gridCol w:w="426"/>
        <w:gridCol w:w="426"/>
        <w:gridCol w:w="428"/>
        <w:gridCol w:w="109"/>
        <w:gridCol w:w="109"/>
        <w:gridCol w:w="109"/>
        <w:gridCol w:w="109"/>
        <w:gridCol w:w="109"/>
        <w:gridCol w:w="109"/>
        <w:gridCol w:w="109"/>
        <w:gridCol w:w="109"/>
        <w:gridCol w:w="109"/>
        <w:gridCol w:w="109"/>
        <w:gridCol w:w="109"/>
        <w:gridCol w:w="109"/>
        <w:gridCol w:w="109"/>
        <w:gridCol w:w="109"/>
        <w:gridCol w:w="109"/>
        <w:gridCol w:w="1967"/>
        <w:gridCol w:w="1967"/>
        <w:gridCol w:w="2808"/>
      </w:tblGrid>
      <w:tr>
        <w:trPr/>
        <w:tc>
          <w:tcPr>
            <w:tcW w:w="19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r>
      <w:tr>
        <w:trPr/>
        <w:tc>
          <w:tcPr>
            <w:tcW w:w="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ONATHAN</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AKSHT</w:t>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Jonathan Baksht</w:t>
            </w:r>
          </w:p>
        </w:tc>
      </w:tr>
      <w:tr>
        <w:trPr/>
        <w:tc>
          <w:tcPr>
            <w:tcW w:w="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Chief Financial Officer and Director of Westlake Chemical Partners GP LLC</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i/>
          <w:color w:val="000000"/>
          <w:sz w:val="20"/>
        </w:rPr>
      </w:pPr>
      <w:r>
        <w:rPr>
          <w:rFonts w:ascii="Times New Roman;serif" w:hAnsi="Times New Roman;serif"/>
          <w:b/>
          <w:i/>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Westlake Chemical Partners LP (the "Partnership") on Form 10-Q for the fiscal quarter ended June 30, 2026 as filed with the Securities and Exchange Commission on the date hereof (the "Report"), I, Jean-Marc Gilson, President, Chief Executive Officer and Director of the general partner of the Partnership, and I, Jonathan Baksht, Senior Vice President, Chief Financial Officer and Director of the general partner of the Partnership, certify, to the best of our knowledge, pursuant to 18 U.S.C. §1350, as adopted pursuant to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Partnership.</w:t>
      </w:r>
    </w:p>
    <w:p>
      <w:pPr>
        <w:pStyle w:val="TextBody"/>
        <w:bidi w:val="0"/>
        <w:spacing w:before="100" w:after="283"/>
        <w:jc w:val="left"/>
        <w:rPr/>
      </w:pPr>
      <w:r>
        <w:rPr/>
      </w:r>
    </w:p>
    <w:tbl>
      <w:tblPr>
        <w:tblW w:w="737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
        <w:gridCol w:w="109"/>
        <w:gridCol w:w="109"/>
        <w:gridCol w:w="109"/>
        <w:gridCol w:w="109"/>
        <w:gridCol w:w="109"/>
        <w:gridCol w:w="109"/>
        <w:gridCol w:w="109"/>
        <w:gridCol w:w="109"/>
        <w:gridCol w:w="109"/>
        <w:gridCol w:w="109"/>
        <w:gridCol w:w="109"/>
        <w:gridCol w:w="1125"/>
        <w:gridCol w:w="1125"/>
        <w:gridCol w:w="15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EAN</w:t>
            </w:r>
            <w:r>
              <w:rPr>
                <w:rFonts w:ascii="Times New Roman;serif" w:hAnsi="Times New Roman;serif"/>
                <w:b w:val="false"/>
                <w:color w:val="000000"/>
                <w:sz w:val="20"/>
              </w:rPr>
              <w:t>-M</w:t>
            </w:r>
            <w:r>
              <w:rPr>
                <w:rFonts w:ascii="Times New Roman;serif" w:hAnsi="Times New Roman;serif"/>
                <w:b w:val="false"/>
                <w:color w:val="000000"/>
                <w:sz w:val="16"/>
              </w:rPr>
              <w:t>ARC</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ILSON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Jean-Marc Gilson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President, Chief Executive Officer and Director of </w:t>
              <w:br/>
              <w:t>Westlake Chemical Partners GP LLC</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ONATHAN</w:t>
            </w:r>
            <w:r>
              <w:rPr>
                <w:color w:val="000000"/>
              </w:rPr>
              <w:t xml:space="preserve"> </w:t>
            </w:r>
            <w:r>
              <w:rPr>
                <w:rFonts w:ascii="Times New Roman;serif" w:hAnsi="Times New Roman;serif"/>
                <w:b w:val="false"/>
                <w:color w:val="000000"/>
                <w:sz w:val="20"/>
              </w:rPr>
              <w:t>B</w:t>
            </w:r>
            <w:r>
              <w:rPr>
                <w:rFonts w:ascii="Times New Roman;serif" w:hAnsi="Times New Roman;serif"/>
                <w:b w:val="false"/>
                <w:color w:val="000000"/>
                <w:sz w:val="16"/>
              </w:rPr>
              <w:t>AKSHT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Jonathan Baksht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Senior Vice President, Chief Financial Officer and </w:t>
              <w:br/>
              <w:t>Director of Westlake Chemical Partners GP LLC</w:t>
              <w:b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4665/000119312514164760/d715499dex31.htm" TargetMode="External"/><Relationship Id="rId3" Type="http://schemas.openxmlformats.org/officeDocument/2006/relationships/hyperlink" Target="https://www.sec.gov/Archives/edgar/data/1604665/000119312514303305/d756630dex31.htm" TargetMode="External"/><Relationship Id="rId4" Type="http://schemas.openxmlformats.org/officeDocument/2006/relationships/hyperlink" Target="https://www.sec.gov/Archives/edgar/data/1604665/000119312517345554/d493400dex31.htm" TargetMode="External"/><Relationship Id="rId5" Type="http://schemas.openxmlformats.org/officeDocument/2006/relationships/hyperlink" Target="https://www.sec.gov/Archives/edgar/data/1604665/000119312518231463/d583758dex31.htm" TargetMode="External"/><Relationship Id="rId6" Type="http://schemas.openxmlformats.org/officeDocument/2006/relationships/hyperlink" Target="https://www.sec.gov/Archives/edgar/data/1604665/000119312514303305/d756630dex107.htm" TargetMode="External"/><Relationship Id="rId7" Type="http://schemas.openxmlformats.org/officeDocument/2006/relationships/hyperlink" Target="https://www.sec.gov/Archives/edgar/data/1604665/000160466518000007/ex3412311710k.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18112</Words>
  <Characters>99919</Characters>
  <CharactersWithSpaces>117050</CharactersWithSpaces>
  <Paragraphs>1863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