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1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140"/>
          </w:cols>
          <w:pgMar w:left="240" w:top="517"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420"/>
          </w:cols>
          <w:pgMar w:left="240" w:top="517"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380"/>
          </w:cols>
          <w:pgMar w:left="240" w:top="517" w:right="279" w:bottom="1440" w:gutter="0" w:footer="0" w:header="0"/>
          <w:type w:val="continuous"/>
        </w:sectPr>
      </w:pPr>
    </w:p>
    <w:p>
      <w:pPr>
        <w:spacing w:after="0" w:line="7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517" w:right="279" w:bottom="1440" w:gutter="0" w:footer="0" w:header="0"/>
          <w:type w:val="continuous"/>
        </w:sectPr>
      </w:pPr>
    </w:p>
    <w:p>
      <w:pPr>
        <w:spacing w:after="0" w:line="25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Accelerated filer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280" w:space="720"/>
            <w:col w:w="4080" w:space="720"/>
            <w:col w:w="2460" w:space="720"/>
            <w:col w:w="400"/>
          </w:cols>
          <w:pgMar w:left="240" w:top="517" w:right="279" w:bottom="1440" w:gutter="0" w:footer="0" w:header="0"/>
          <w:type w:val="continuous"/>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Non-accelerated filer</w:t>
      </w:r>
    </w:p>
    <w:p>
      <w:pPr>
        <w:spacing w:after="0" w:line="20" w:lineRule="exact"/>
        <w:rPr>
          <w:sz w:val="24"/>
          <w:szCs w:val="24"/>
          <w:color w:val="auto"/>
        </w:rPr>
      </w:pPr>
      <w:r>
        <w:rPr>
          <w:sz w:val="24"/>
          <w:szCs w:val="24"/>
          <w:color w:val="auto"/>
        </w:rPr>
        <w:br w:type="column"/>
      </w:r>
    </w:p>
    <w:p>
      <w:pPr>
        <w:jc w:val="center"/>
        <w:ind w:right="520"/>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2280" w:space="720"/>
            <w:col w:w="4080" w:space="720"/>
            <w:col w:w="2460" w:space="720"/>
            <w:col w:w="400"/>
          </w:cols>
          <w:pgMar w:left="240" w:top="517" w:right="27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0" w:lineRule="exact"/>
        <w:rPr>
          <w:sz w:val="24"/>
          <w:szCs w:val="24"/>
          <w:color w:val="auto"/>
        </w:rPr>
      </w:pPr>
    </w:p>
    <w:p>
      <w:pPr>
        <w:sectPr>
          <w:pgSz w:w="11900" w:h="16838" w:orient="portrait"/>
          <w:cols w:equalWidth="0" w:num="5">
            <w:col w:w="8140" w:space="220"/>
            <w:col w:w="260" w:space="140"/>
            <w:col w:w="160" w:space="220"/>
            <w:col w:w="220" w:space="140"/>
            <w:col w:w="1880"/>
          </w:cols>
          <w:pgMar w:left="240" w:top="517" w:right="279" w:bottom="1440" w:gutter="0" w:footer="0" w:header="0"/>
          <w:type w:val="continuous"/>
        </w:sectPr>
      </w:pPr>
    </w:p>
    <w:p>
      <w:pPr>
        <w:spacing w:after="0"/>
        <w:rPr>
          <w:sz w:val="20"/>
          <w:szCs w:val="20"/>
          <w:color w:val="auto"/>
        </w:rPr>
      </w:pPr>
      <w:r>
        <w:rPr>
          <w:rFonts w:ascii="Arial" w:cs="Arial" w:eastAsia="Arial" w:hAnsi="Arial"/>
          <w:sz w:val="16"/>
          <w:szCs w:val="16"/>
          <w:color w:val="auto"/>
        </w:rPr>
        <w:t>The registrant had 14,373,615 common units and 12,686,115 subordinated units outstanding as of August 2, 2016.</w:t>
      </w:r>
    </w:p>
    <w:p>
      <w:pPr>
        <w:sectPr>
          <w:pgSz w:w="11900" w:h="16838" w:orient="portrait"/>
          <w:cols w:equalWidth="0" w:num="1">
            <w:col w:w="11380"/>
          </w:cols>
          <w:pgMar w:left="240" w:top="517"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1">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21">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2">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32">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sz w:val="20"/>
                <w:szCs w:val="20"/>
                <w:color w:val="auto"/>
              </w:rPr>
            </w:pPr>
            <w:r>
              <w:rPr>
                <w:rFonts w:ascii="Arial" w:cs="Arial" w:eastAsia="Arial" w:hAnsi="Arial"/>
                <w:sz w:val="18"/>
                <w:szCs w:val="18"/>
                <w:color w:val="auto"/>
                <w:w w:val="99"/>
              </w:rPr>
              <w:t>5)</w:t>
            </w:r>
          </w:p>
        </w:tc>
        <w:tc>
          <w:tcPr>
            <w:tcW w:w="1006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8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2">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4"/>
        </w:trPr>
        <w:tc>
          <w:tcPr>
            <w:tcW w:w="8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169,559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receivable—Westlake Chemical Corporation ("Westlake")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39,655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222,561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225,287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1,203,249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1,020,469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Receivable from Westlake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38,779</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other assets, net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98,176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44,593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1,552,234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1,290,349</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26,558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15,550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payable—third parties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77,069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23,407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170,794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57,694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515,338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384,006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443,182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(Notes 9 and 15)</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Common unitholders—public (12,937,500 units issued and outstanding)</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296,704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294,565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unitholder—Westlake (1,436,115 units issued and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Subordinated unitholder—Westlake (12,686,115 units issued and outstanding)</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39,786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Accumulated other comprehensive (loss) income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96,561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763,575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750,606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863,750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57"/>
        </w:trPr>
        <w:tc>
          <w:tcPr>
            <w:tcW w:w="836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1,552,234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1,290,349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5160" w:type="dxa"/>
        <w:tblCellMar>
          <w:top w:w="0" w:type="dxa"/>
          <w:left w:w="0" w:type="dxa"/>
          <w:bottom w:w="0" w:type="dxa"/>
          <w:right w:w="0" w:type="dxa"/>
        </w:tblCellMar>
      </w:tblPr>
      <w:tr>
        <w:trPr>
          <w:trHeight w:val="192"/>
        </w:trPr>
        <w:tc>
          <w:tcPr>
            <w:tcW w:w="320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15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r>
    </w:tbl>
    <w:p>
      <w:pPr>
        <w:spacing w:after="0" w:line="193"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(in thousands of dollars, except unit amounts and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181,635</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204,669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412,895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413,582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sales—third parties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96,514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210,841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251,705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463,445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510,096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319,341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88,381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198,795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190,755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82,533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88,533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186,850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178,760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81,489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184,659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176,058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81,192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183,963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175,632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156,689</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9,344</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21,428</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18,943</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3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per limited partner unit attributable to</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Partners LP (basic and diluted)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12,937,500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12,937,500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1,436,115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12,686,115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12,686,115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thousands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81,192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183,963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175,632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rate contract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fair value of cash flow hedge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Reclassification of loss to net income</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81,019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87,243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183,059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175,632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noncontrolling</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162,535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156,689</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attributable to</w:t>
            </w: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9,171</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20,524</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18,943</w:t>
            </w:r>
          </w:p>
        </w:tc>
        <w:tc>
          <w:tcPr>
            <w:tcW w:w="0" w:type="dxa"/>
            <w:vAlign w:val="bottom"/>
          </w:tcPr>
          <w:p>
            <w:pPr>
              <w:spacing w:after="0"/>
              <w:rPr>
                <w:sz w:val="1"/>
                <w:szCs w:val="1"/>
                <w:color w:val="auto"/>
              </w:rPr>
            </w:pPr>
          </w:p>
        </w:tc>
      </w:tr>
      <w:tr>
        <w:trPr>
          <w:trHeight w:val="242"/>
        </w:trPr>
        <w:tc>
          <w:tcPr>
            <w:tcW w:w="5160" w:type="dxa"/>
            <w:vAlign w:val="bottom"/>
          </w:tcPr>
          <w:p>
            <w:pPr>
              <w:ind w:left="160"/>
              <w:spacing w:after="0"/>
              <w:rPr>
                <w:sz w:val="20"/>
                <w:szCs w:val="20"/>
                <w:color w:val="auto"/>
              </w:rPr>
            </w:pPr>
            <w:r>
              <w:rPr>
                <w:rFonts w:ascii="Arial" w:cs="Arial" w:eastAsia="Arial" w:hAnsi="Arial"/>
                <w:sz w:val="18"/>
                <w:szCs w:val="18"/>
                <w:color w:val="auto"/>
              </w:rPr>
              <w:t>Westlake Chemical Partners LP</w:t>
            </w:r>
          </w:p>
        </w:tc>
        <w:tc>
          <w:tcPr>
            <w:tcW w:w="3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General</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Unitholders</w:t>
            </w:r>
            <w:r>
              <w:rPr>
                <w:rFonts w:ascii="Arial" w:cs="Arial" w:eastAsia="Arial" w:hAnsi="Arial"/>
                <w:sz w:val="14"/>
                <w:szCs w:val="14"/>
                <w:color w:val="auto"/>
                <w:w w:val="95"/>
              </w:rPr>
              <w:t>—</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Interests</w:t>
            </w:r>
          </w:p>
        </w:tc>
        <w:tc>
          <w:tcPr>
            <w:tcW w:w="200" w:type="dxa"/>
            <w:vAlign w:val="bottom"/>
          </w:tcPr>
          <w:p>
            <w:pPr>
              <w:spacing w:after="0"/>
              <w:rPr>
                <w:sz w:val="12"/>
                <w:szCs w:val="1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5"/>
              </w:rPr>
              <w:t>Public</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ind w:left="660"/>
              <w:spacing w:after="0"/>
              <w:rPr>
                <w:sz w:val="20"/>
                <w:szCs w:val="20"/>
                <w:color w:val="auto"/>
              </w:rPr>
            </w:pPr>
            <w:r>
              <w:rPr>
                <w:rFonts w:ascii="Arial" w:cs="Arial" w:eastAsia="Arial" w:hAnsi="Arial"/>
                <w:sz w:val="14"/>
                <w:szCs w:val="14"/>
                <w:b w:val="1"/>
                <w:bCs w:val="1"/>
                <w:color w:val="auto"/>
              </w:rPr>
              <w:t>(in thousands of dollars)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290,377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747,426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834,950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156,689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175,632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(15,097)</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Arial" w:cs="Arial" w:eastAsia="Arial" w:hAnsi="Arial"/>
                <w:sz w:val="18"/>
                <w:szCs w:val="18"/>
                <w:color w:val="auto"/>
              </w:rPr>
              <w:t>interest retained in</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OpCo by Westlake</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(169,101)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(169,101)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June 30, 2015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292,216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735,014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826,384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162,535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183,963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retained in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(149,566)</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Balances at June 30,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296,704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4,739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41,882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(242,526)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763,575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863,750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385"/>
        </w:trPr>
        <w:tc>
          <w:tcPr>
            <w:tcW w:w="8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183,963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175,632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40,195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receivable—third parties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accounts receivable—Westlake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and other liabilities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26,905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185,277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229,899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(168,533)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(95,514)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(95,514)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131,832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188,695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(135,341)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(169,101)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(15,097)</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(130,844)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169,559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133,750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151,257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137,291</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2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Westlake Chemical Partners LP (the "Partnership") is a Delaware limited partnership formed in March 2014 to operate, acquire and develop facilities and related assets for the processing of natural gas liquids. On August 4, 2014, the Partnership completed its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OpCo owns three natural gas liquids processing facilities and a common carrier ethylene pipeline.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December 31, 2015 combined and consolidated financial statements and notes thereto of the Partnership included in the annual report on Form 10-K for the fiscal year ended December 31, 2015 (the "2015 Form 10-K"), filed with the SEC on March 8, 2016. These financial statements have been prepared in conformity with the accounting principles and practices as disclosed in the notes to the combined and consolidated financial statements of the Partnership for the fiscal year ended December 31, 2015.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References to "Westlake" refer collectively to Westlake Chemical Corporation and its subsidiaries, other than the Partnership, OpCo and OpCo GP.</w:t>
      </w:r>
    </w:p>
    <w:p>
      <w:pPr>
        <w:spacing w:after="0" w:line="183" w:lineRule="exact"/>
        <w:rPr>
          <w:sz w:val="20"/>
          <w:szCs w:val="20"/>
          <w:color w:val="auto"/>
        </w:rPr>
      </w:pPr>
    </w:p>
    <w:p>
      <w:pPr>
        <w:ind w:right="40" w:firstLine="392"/>
        <w:spacing w:after="0" w:line="270" w:lineRule="auto"/>
        <w:rPr>
          <w:sz w:val="20"/>
          <w:szCs w:val="20"/>
          <w:color w:val="auto"/>
        </w:rPr>
      </w:pPr>
      <w:r>
        <w:rPr>
          <w:rFonts w:ascii="Arial" w:cs="Arial" w:eastAsia="Arial" w:hAnsi="Arial"/>
          <w:sz w:val="17"/>
          <w:szCs w:val="17"/>
          <w:color w:val="auto"/>
        </w:rPr>
        <w:t>The Partnership holds a 13.3% limited partner interest and the entire non-economic general partner interest in OpCo. The remaining 86.7%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86.7% is recorded as noncontrolling interest in the Partnership's consolidated financial statements.</w:t>
      </w:r>
    </w:p>
    <w:p>
      <w:pPr>
        <w:spacing w:after="0" w:line="12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2016, its results of operations for the three and six months ended June 30, 2016 and 2015 and the changes in its cash position for the six months ended June 30, 2016 and 2015.</w:t>
      </w:r>
    </w:p>
    <w:p>
      <w:pPr>
        <w:spacing w:after="0" w:line="13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2016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9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2016, the FASB issued various additional authoritative guidance for the new revenue recognition standard. The accounting standard will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 (ASU No. 2016-09)</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March 2016, the FASB issued an accounting standards update to simplify several aspects of the accounting for share-based payment transactions, including income tax consequences, classifications of awards as either equity or liabilities and certain related classifications on the statement of cash flows. In addition, the new guidance permits entities to make an accounting policy election for the impact of forfeitures on the recognition of expense for share-based payment awards. Forfeitures can be estimated, as required today, or recognized when they occur. The accounting standard is effective for reporting periods beginning after December 15, 2016 and is not expected to have an impact on the Partnership's consolidated financial position, results of operations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The Partnership is in the process of evaluating the impact that the new accounting guidance will have on its consolidated financial position, results of operations and cash flows.</w:t>
      </w:r>
    </w:p>
    <w:p>
      <w:pPr>
        <w:spacing w:after="0" w:line="216" w:lineRule="exact"/>
        <w:rPr>
          <w:sz w:val="20"/>
          <w:szCs w:val="20"/>
          <w:color w:val="auto"/>
        </w:rPr>
      </w:pPr>
    </w:p>
    <w:p>
      <w:pPr>
        <w:ind w:right="9520" w:firstLine="8"/>
        <w:spacing w:after="0" w:line="390"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jc w:val="both"/>
        <w:ind w:right="520" w:firstLine="405"/>
        <w:spacing w:after="0" w:line="286" w:lineRule="auto"/>
        <w:rPr>
          <w:sz w:val="20"/>
          <w:szCs w:val="20"/>
          <w:color w:val="auto"/>
        </w:rPr>
      </w:pPr>
      <w:r>
        <w:rPr>
          <w:rFonts w:ascii="Arial" w:cs="Arial" w:eastAsia="Arial" w:hAnsi="Arial"/>
          <w:sz w:val="17"/>
          <w:szCs w:val="17"/>
          <w:color w:val="auto"/>
        </w:rPr>
        <w:t>The Partnership had $29,994 of held-to-maturity securities with original maturities of three months or less, primarily consisting of corporate debt securities, classified as cash equivalents at June 30, 2016. The Partnership's investments in held-to-maturity securities are held at amortized cost, which approximates fair value. There were no held-to-maturity securities, classified as cash equivalents, at December 31, 2015.</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9,620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6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9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As of June 30, 2016, the Partnership had property, plant and equipment, net totaling $1,203,249. The Partnership assesses these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and uncertainties associated with governmental actions. Long-lived assets assessed for impairment are grouped at the lowest level for which identifiable cash flows are largely independent of the cash flows of other assets and liabilities.</w:t>
      </w:r>
    </w:p>
    <w:p>
      <w:pPr>
        <w:spacing w:after="0" w:line="113"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Depreciation expense on property, plant and equipment of $17,094 and $16,182 is included in cost of sales in the consolidated statements of operations for the three months ended June 30, 2016 and 2015, respectively. Depreciation expense on property, plant and equipment of $33,647 and $31,775 is included in cost of sales in the consolidated statements of operations for the six months ended June 30, 2016 and 2015,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Assets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assets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asset—Goodwill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Deferred charges and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other assets, net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Turnaround costs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138,924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86,577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100,020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32,253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09"/>
        </w:trPr>
        <w:tc>
          <w:tcPr>
            <w:tcW w:w="4020" w:type="dxa"/>
            <w:vAlign w:val="bottom"/>
          </w:tcPr>
          <w:p>
            <w:pPr>
              <w:ind w:left="40"/>
              <w:spacing w:after="0"/>
              <w:rPr>
                <w:sz w:val="20"/>
                <w:szCs w:val="20"/>
                <w:color w:val="auto"/>
              </w:rPr>
            </w:pPr>
            <w:r>
              <w:rPr>
                <w:rFonts w:ascii="Arial" w:cs="Arial" w:eastAsia="Arial" w:hAnsi="Arial"/>
                <w:sz w:val="18"/>
                <w:szCs w:val="18"/>
                <w:color w:val="auto"/>
              </w:rPr>
              <w:t>Total deferred charges and</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other assets, net</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147,634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(55,272)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92,362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109,166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38,779</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153,448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98,176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114,980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44,593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Amortization expense on other assets of $3,692 and $4,210 is included in the consolidated statements of operations for the three months ended June 30, 2016 and 2015, respectively. Amortization expense on other assets of $7,535 and $8,420 is included in the consolidated statements of operations for the six months ended June 30, 2016 and 2015,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Distributions and Net Income Per Limited Partner Unit</w:t>
      </w:r>
    </w:p>
    <w:p>
      <w:pPr>
        <w:spacing w:after="0" w:line="175" w:lineRule="exact"/>
        <w:rPr>
          <w:sz w:val="20"/>
          <w:szCs w:val="20"/>
          <w:color w:val="auto"/>
        </w:rPr>
      </w:pPr>
    </w:p>
    <w:p>
      <w:pPr>
        <w:ind w:right="60" w:firstLine="392"/>
        <w:spacing w:after="0" w:line="312" w:lineRule="auto"/>
        <w:rPr>
          <w:sz w:val="20"/>
          <w:szCs w:val="20"/>
          <w:color w:val="auto"/>
        </w:rPr>
      </w:pPr>
      <w:r>
        <w:rPr>
          <w:rFonts w:ascii="Arial" w:cs="Arial" w:eastAsia="Arial" w:hAnsi="Arial"/>
          <w:sz w:val="16"/>
          <w:szCs w:val="16"/>
          <w:color w:val="auto"/>
        </w:rPr>
        <w:t>On July 27, 2016, the board of directors of Westlake Chemical Partners GP LLC ("Westlake GP"), the Partnership's general partner, declared a quarterly cash distribution for the period from April 1, 2016 through June 30, 2016 of $0.3259 per unit and of $46 to the holders of the Partnership's incentive distribution rights ("IDR Holders"). This distribution is payable on August 23, 2016 to unitholders and IDR Holders of record as of August 9, 2016.</w:t>
      </w:r>
    </w:p>
    <w:p>
      <w:pPr>
        <w:spacing w:after="0" w:line="1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Agreement provides that the Partnership will distribute cash each quarter during the subordination period in the following manner: first, to the holders of common units, until each common unit has received the minimum quarterly distribution of $0.2750, plus any arrearages from prior quarters; second, to the holders of subordinated units, until each subordinated unit has received the minimum quarterly distribution of $0.2750; and third, to the holders of common and subordinated units, pro-rata, until each unit has received a distribution of $0.3163. If cash distributions to the Partnership's unitholders exceed $0.3163 per common unit and subordinated unit in any quarter, the Partnership's unitholders and Westlake, as the holder of the Partnership's incentive distribution rights, will receive distributions according to the following percentage allocations: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80" w:firstLine="405"/>
        <w:spacing w:after="0" w:line="277" w:lineRule="auto"/>
        <w:rPr>
          <w:sz w:val="20"/>
          <w:szCs w:val="20"/>
          <w:color w:val="auto"/>
        </w:rPr>
      </w:pPr>
      <w:r>
        <w:rPr>
          <w:rFonts w:ascii="Arial" w:cs="Arial" w:eastAsia="Arial" w:hAnsi="Arial"/>
          <w:sz w:val="18"/>
          <w:szCs w:val="18"/>
          <w:color w:val="auto"/>
        </w:rPr>
        <w:t>For the three months ended June 30, 2016, the Partnership's distribution exceeded the $0.3163 per common and subordinated unit target, which resulted in distributions to the IDR Holders.</w:t>
      </w:r>
    </w:p>
    <w:p>
      <w:pPr>
        <w:spacing w:after="0" w:line="116"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cash distributions and the related periods pertaining to such distributions.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9,344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18,943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Less:</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4,684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8,248</w:t>
            </w:r>
          </w:p>
        </w:tc>
      </w:tr>
      <w:tr>
        <w:trPr>
          <w:trHeight w:val="229"/>
        </w:trPr>
        <w:tc>
          <w:tcPr>
            <w:tcW w:w="514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520"/>
              <w:spacing w:after="0"/>
              <w:rPr>
                <w:sz w:val="20"/>
                <w:szCs w:val="20"/>
                <w:color w:val="auto"/>
              </w:rPr>
            </w:pPr>
            <w:r>
              <w:rPr>
                <w:rFonts w:ascii="Arial" w:cs="Arial" w:eastAsia="Arial" w:hAnsi="Arial"/>
                <w:sz w:val="18"/>
                <w:szCs w:val="18"/>
                <w:color w:val="auto"/>
              </w:rPr>
              <w:t>subordinated units</w:t>
            </w:r>
          </w:p>
        </w:tc>
        <w:tc>
          <w:tcPr>
            <w:tcW w:w="9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4,134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8,153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7,281</w:t>
            </w: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 declared with respect to the incentive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distribution rights</w:t>
            </w: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Net income in excess of distribution</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3,414</w:t>
            </w: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71"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Three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4"/>
                <w:szCs w:val="14"/>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1"/>
              </w:rPr>
              <w:t>Rights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4,134</w:t>
            </w:r>
          </w:p>
        </w:tc>
        <w:tc>
          <w:tcPr>
            <w:tcW w:w="1200" w:type="dxa"/>
            <w:vAlign w:val="bottom"/>
            <w:gridSpan w:val="2"/>
          </w:tcPr>
          <w:p>
            <w:pPr>
              <w:jc w:val="right"/>
              <w:ind w:right="90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8,864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4,939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9,344</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 2015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36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1"/>
              </w:rPr>
              <w:t>Rights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3,691</w:t>
            </w:r>
          </w:p>
        </w:tc>
        <w:tc>
          <w:tcPr>
            <w:tcW w:w="1200" w:type="dxa"/>
            <w:vAlign w:val="bottom"/>
            <w:gridSpan w:val="2"/>
          </w:tcPr>
          <w:p>
            <w:pPr>
              <w:jc w:val="right"/>
              <w:ind w:right="90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7,874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5,548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4,895</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77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4"/>
                <w:szCs w:val="14"/>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060" w:type="dxa"/>
            <w:vAlign w:val="bottom"/>
          </w:tcPr>
          <w:p>
            <w:pPr>
              <w:jc w:val="center"/>
              <w:ind w:left="342"/>
              <w:spacing w:after="0"/>
              <w:rPr>
                <w:sz w:val="20"/>
                <w:szCs w:val="20"/>
                <w:color w:val="auto"/>
              </w:rPr>
            </w:pPr>
            <w:r>
              <w:rPr>
                <w:rFonts w:ascii="Arial" w:cs="Arial" w:eastAsia="Arial" w:hAnsi="Arial"/>
                <w:sz w:val="14"/>
                <w:szCs w:val="14"/>
                <w:b w:val="1"/>
                <w:bCs w:val="1"/>
                <w:color w:val="auto"/>
                <w:w w:val="91"/>
              </w:rPr>
              <w:t>Rights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9,238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8,153</w:t>
            </w:r>
          </w:p>
        </w:tc>
        <w:tc>
          <w:tcPr>
            <w:tcW w:w="1160" w:type="dxa"/>
            <w:vAlign w:val="bottom"/>
            <w:gridSpan w:val="2"/>
          </w:tcPr>
          <w:p>
            <w:pPr>
              <w:jc w:val="right"/>
              <w:ind w:right="86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17,439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11,357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10,023</w:t>
            </w:r>
          </w:p>
        </w:tc>
        <w:tc>
          <w:tcPr>
            <w:tcW w:w="1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21,428</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Six Months Ended June 30, 2015</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36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060" w:type="dxa"/>
            <w:vAlign w:val="bottom"/>
          </w:tcPr>
          <w:p>
            <w:pPr>
              <w:jc w:val="center"/>
              <w:ind w:left="342"/>
              <w:spacing w:after="0"/>
              <w:rPr>
                <w:sz w:val="20"/>
                <w:szCs w:val="20"/>
                <w:color w:val="auto"/>
              </w:rPr>
            </w:pPr>
            <w:r>
              <w:rPr>
                <w:rFonts w:ascii="Arial" w:cs="Arial" w:eastAsia="Arial" w:hAnsi="Arial"/>
                <w:sz w:val="14"/>
                <w:szCs w:val="14"/>
                <w:b w:val="1"/>
                <w:bCs w:val="1"/>
                <w:color w:val="auto"/>
                <w:w w:val="91"/>
              </w:rPr>
              <w:t>Rights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8,248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7,281</w:t>
            </w:r>
          </w:p>
        </w:tc>
        <w:tc>
          <w:tcPr>
            <w:tcW w:w="1160" w:type="dxa"/>
            <w:vAlign w:val="bottom"/>
            <w:gridSpan w:val="2"/>
          </w:tcPr>
          <w:p>
            <w:pPr>
              <w:jc w:val="right"/>
              <w:ind w:right="86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10,064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8,879</w:t>
            </w:r>
          </w:p>
        </w:tc>
        <w:tc>
          <w:tcPr>
            <w:tcW w:w="1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18,943</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each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181,635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204,669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412,895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413,582</w:t>
            </w:r>
          </w:p>
        </w:tc>
      </w:tr>
      <w:tr>
        <w:trPr>
          <w:trHeight w:val="27"/>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51,373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76,013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117,481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156,832</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19,665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19,595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40,118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33,491</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71,038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95,608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157,599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190,323</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4,971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10,471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10,119</w:t>
            </w:r>
          </w:p>
        </w:tc>
      </w:tr>
      <w:tr>
        <w:trPr>
          <w:trHeight w:val="27"/>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as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13,081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1,937</w:t>
            </w:r>
          </w:p>
        </w:tc>
      </w:tr>
      <w:tr>
        <w:trPr>
          <w:trHeight w:val="27"/>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Partnership's accounts receivable from Westlake result primarily from ethylene sales to Westlake and the shortfall recoverable from Westlake under the Ethylene Sales Agreement. Under the Ethylene Sales Agreement, if production costs billed to Westlake on an annual basis are less than 95% of the actual production costs incurred by OpCo during the year, OpCo is entitled to recover the shortfall in the subsequent year. The shortfall is recognized in the period when such production activities occur. The Partnership's accounts payable to Westlake result primarily from feedstock purchases under the Feedstock Supply Agreement and services provided under the Services and Secondment Agreement and the Omnibus Agreement.</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88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receivable—Westlake, current and non-current</w:t>
            </w:r>
          </w:p>
        </w:tc>
        <w:tc>
          <w:tcPr>
            <w:tcW w:w="3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87,366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39,655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(15,550)</w:t>
            </w:r>
          </w:p>
        </w:tc>
      </w:tr>
      <w:tr>
        <w:trPr>
          <w:trHeight w:val="486"/>
        </w:trPr>
        <w:tc>
          <w:tcPr>
            <w:tcW w:w="4880" w:type="dxa"/>
            <w:vAlign w:val="bottom"/>
          </w:tcPr>
          <w:p>
            <w:pPr>
              <w:spacing w:after="0"/>
              <w:rPr>
                <w:sz w:val="24"/>
                <w:szCs w:val="24"/>
                <w:color w:val="auto"/>
              </w:rPr>
            </w:pPr>
          </w:p>
        </w:tc>
        <w:tc>
          <w:tcPr>
            <w:tcW w:w="3480" w:type="dxa"/>
            <w:vAlign w:val="bottom"/>
          </w:tcPr>
          <w:p>
            <w:pPr>
              <w:jc w:val="right"/>
              <w:ind w:right="247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connection with the IPO, OpCo assumed promissory notes payable to Westlake ("the August 2013 Promissory Notes") and entered into a senior unsecured revolving credit facility with Westlake. In April 2015, the Partnership entered into an unsecured revolving credit facility with Westlake. See Note 9 for a description of related party debt payable balances. Interest on related party debt payable balances for the three months ended June 30, 2016 and 2015 were $1,203 and $1,364, respectively, and for the six months ended June 30, 2016 and 2015 were $2,434 and $2,740, respectively. Interest on related party debt payable is presented as interest expense—Westlake in the consolidated statements of operations. Interest capitalized as a component of plant and equipment on related party debt was $3,050 and $895 for the three months ended June 30, 2016 and 2015, respectively, and $5,436 and $2,110 for the six months ended June 30, 2016 and 2015, respectively. At June 30, 2016 and December 31, 2015, accrued interest on related party debt was $4,236 and $2,879, respectively, and is reflected as a component of accrued liabilities in the consolidated balance sheets.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515,338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384,006</w:t>
            </w: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jc w:val="both"/>
        <w:ind w:right="140" w:firstLine="405"/>
        <w:spacing w:after="0" w:line="279" w:lineRule="auto"/>
        <w:rPr>
          <w:sz w:val="20"/>
          <w:szCs w:val="20"/>
          <w:color w:val="auto"/>
        </w:rPr>
      </w:pPr>
      <w:r>
        <w:rPr>
          <w:rFonts w:ascii="Arial" w:cs="Arial" w:eastAsia="Arial" w:hAnsi="Arial"/>
          <w:sz w:val="17"/>
          <w:szCs w:val="17"/>
          <w:color w:val="auto"/>
        </w:rPr>
        <w:t>OpCo, together with other subsidiaries of Westlake not included in these consolidated financial statements, are guarantors under Westlake's revolving credit facility and the indentures governing its senior notes. As of June 30, 2016 and December 31, 2015, Westlake had outstanding letters of credit totaling $18,545 and $30,098, respectively, under its revolving credit facility and $754,000 principal amount outstanding under its senior notes (less the unamortized discount and debt issuance costs of $6,436 and $6,741, as of June 30, 2016 and December 31, 2015, respectively).</w:t>
      </w:r>
    </w:p>
    <w:p>
      <w:pPr>
        <w:spacing w:after="0" w:line="117"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The indentures governing Westlake's senior notes prevent OpCo from making distributions to the Partnership if any default or event of default (as defined in the indentures) exists. However, Westlake's credit facility does not prevent OpCo from making distributions to the Partnership.</w:t>
      </w:r>
    </w:p>
    <w:p>
      <w:pPr>
        <w:spacing w:after="0" w:line="70"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In 2015, the Partnership entered into an interest rate contract with Westlake to fix the London Interbank Offered Rate ("LIBOR") component of the interest rate for a portion of the MLP Revolver balance. See Note 11 for additional information on the interest rate contract.</w:t>
      </w:r>
    </w:p>
    <w:p>
      <w:pPr>
        <w:spacing w:after="0" w:line="116"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OpCo has two site lease agreements with Westlake, and each has a term of 50 years. Pursuant to the site lease agreements, OpCo pays Westlake one dollar per site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maturity of August 1, 2023)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OpCo Revolver (variable interest rate of LIBOR plus 3.0%, original scheduled maturity of</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August 4, 2019)</w:t>
            </w:r>
          </w:p>
        </w:tc>
        <w:tc>
          <w:tcPr>
            <w:tcW w:w="2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348,222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216,890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April 29, 2018)</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r>
      <w:tr>
        <w:trPr>
          <w:trHeight w:val="237"/>
        </w:trPr>
        <w:tc>
          <w:tcPr>
            <w:tcW w:w="83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515,338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384,006</w:t>
            </w: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3.45% and 3.30% at June 30, 2016 and December 31, 2015, respectively.</w:t>
      </w:r>
    </w:p>
    <w:p>
      <w:pPr>
        <w:spacing w:after="0" w:line="171"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As of June 30, 2016, the Partnership was in compliance with all of the covenants under the August 2013 Promissory Notes, the OpCo Revolver and the MLP Revolver.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 Income</w:t>
      </w:r>
    </w:p>
    <w:p>
      <w:pPr>
        <w:spacing w:after="0" w:line="94"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Accumulated other comprehensive income or loss primarily reflects the effective portion of the gain or loss on derivative instrument designated and qualified as a cash flow hedge. Gain or loss amounts related to a cash flow hedge recorded in accumulated other comprehensive income or loss are reclassified to income in the same period in which the underlying hedged forecasted transaction affects income. If it becomes probable that a forecasted transaction will not occur, the related net gain or loss in accumulated other comprehensive income or loss is immediately reclassified into income.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sets forth the changes in accumulated other comprehensive income (loss) for the six months ended June 30,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9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Interest rate contract—Other comprehensive loss before reclassification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contract—Amounts reclassified from accumulated other comprehensive loss into 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Balances at June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94"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During August 2015, the Partnership entered into an interest rate contract with Westlake designed to reduce the risks of variability of the interest rate under the MLP Revolver. The interest rate contract fixed the LIBOR component of the interest rate for a portion of the MLP Revolver balance. This contract was designated as a cash flow hedge. With the exception of this interest rate contract, the Partnership did not have any other derivative financial instruments during the three and six months ended June 30, 2016. The Partnership did not have any interest rate contracts for the three and six months ended June 30, 2015.</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derivative instrument on the Partnership's consolidated balance sheets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Derivative Assets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w w:val="96"/>
              </w:rPr>
              <w:t>Fair Value as of</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3"/>
                <w:szCs w:val="13"/>
                <w:color w:val="auto"/>
              </w:rPr>
            </w:pPr>
          </w:p>
        </w:tc>
        <w:tc>
          <w:tcPr>
            <w:tcW w:w="232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97"/>
              </w:rPr>
              <w:t>Balance Sheet Location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68"/>
              <w:spacing w:after="0" w:line="153" w:lineRule="exact"/>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 and other</w:t>
            </w:r>
          </w:p>
        </w:tc>
        <w:tc>
          <w:tcPr>
            <w:tcW w:w="1780" w:type="dxa"/>
            <w:vAlign w:val="bottom"/>
            <w:gridSpan w:val="3"/>
            <w:vMerge w:val="restart"/>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net</w:t>
            </w:r>
          </w:p>
        </w:tc>
        <w:tc>
          <w:tcPr>
            <w:tcW w:w="1780" w:type="dxa"/>
            <w:vAlign w:val="bottom"/>
            <w:gridSpan w:val="3"/>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Derivative Liabilities</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w w:val="96"/>
              </w:rPr>
              <w:t>Fair Value as of</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3"/>
                <w:szCs w:val="13"/>
                <w:color w:val="auto"/>
              </w:rPr>
            </w:pPr>
          </w:p>
        </w:tc>
        <w:tc>
          <w:tcPr>
            <w:tcW w:w="232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97"/>
              </w:rPr>
              <w:t>Balance Sheet Location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68"/>
              <w:spacing w:after="0" w:line="153" w:lineRule="exact"/>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780" w:type="dxa"/>
            <w:vAlign w:val="bottom"/>
            <w:gridSpan w:val="3"/>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14</w:t>
            </w: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tables present the effect of the derivative instrument designated as cash flow hedge on the consolidated statements of operations and the consolidated statements of comprehensive income for the three and six months ended June 30, 2016:</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540" w:type="dxa"/>
            <w:vAlign w:val="bottom"/>
          </w:tcPr>
          <w:p>
            <w:pPr>
              <w:jc w:val="center"/>
              <w:ind w:left="1028"/>
              <w:spacing w:after="0"/>
              <w:rPr>
                <w:sz w:val="20"/>
                <w:szCs w:val="20"/>
                <w:color w:val="auto"/>
              </w:rPr>
            </w:pPr>
            <w:r>
              <w:rPr>
                <w:rFonts w:ascii="Arial" w:cs="Arial" w:eastAsia="Arial" w:hAnsi="Arial"/>
                <w:sz w:val="14"/>
                <w:szCs w:val="14"/>
                <w:b w:val="1"/>
                <w:bCs w:val="1"/>
                <w:color w:val="auto"/>
                <w:w w:val="92"/>
              </w:rPr>
              <w:t>Location of Gain (Loss)</w:t>
            </w:r>
          </w:p>
        </w:tc>
        <w:tc>
          <w:tcPr>
            <w:tcW w:w="196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5"/>
              </w:rPr>
              <w:t>Three Months Ended</w:t>
            </w:r>
          </w:p>
        </w:tc>
        <w:tc>
          <w:tcPr>
            <w:tcW w:w="132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9"/>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Derivative in Cash Flow Hedging Relationship</w:t>
            </w:r>
          </w:p>
        </w:tc>
        <w:tc>
          <w:tcPr>
            <w:tcW w:w="3540" w:type="dxa"/>
            <w:vAlign w:val="bottom"/>
          </w:tcPr>
          <w:p>
            <w:pPr>
              <w:jc w:val="center"/>
              <w:ind w:left="1008"/>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9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vMerge w:val="continue"/>
          </w:tcPr>
          <w:p>
            <w:pPr>
              <w:spacing w:after="0"/>
              <w:rPr>
                <w:sz w:val="16"/>
                <w:szCs w:val="16"/>
                <w:color w:val="auto"/>
              </w:rPr>
            </w:pPr>
          </w:p>
        </w:tc>
        <w:tc>
          <w:tcPr>
            <w:tcW w:w="3540" w:type="dxa"/>
            <w:vAlign w:val="bottom"/>
          </w:tcPr>
          <w:p>
            <w:pPr>
              <w:jc w:val="center"/>
              <w:ind w:left="1028"/>
              <w:spacing w:after="0"/>
              <w:rPr>
                <w:sz w:val="20"/>
                <w:szCs w:val="20"/>
                <w:color w:val="auto"/>
              </w:rPr>
            </w:pPr>
            <w:r>
              <w:rPr>
                <w:rFonts w:ascii="Arial" w:cs="Arial" w:eastAsia="Arial" w:hAnsi="Arial"/>
                <w:sz w:val="14"/>
                <w:szCs w:val="14"/>
                <w:b w:val="1"/>
                <w:bCs w:val="1"/>
                <w:color w:val="auto"/>
                <w:w w:val="93"/>
              </w:rPr>
              <w:t>Statement of Operations</w:t>
            </w:r>
          </w:p>
        </w:tc>
        <w:tc>
          <w:tcPr>
            <w:tcW w:w="196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June 30, 2016</w:t>
            </w:r>
          </w:p>
        </w:tc>
        <w:tc>
          <w:tcPr>
            <w:tcW w:w="132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contract—Loss reclassified from</w:t>
            </w:r>
          </w:p>
        </w:tc>
        <w:tc>
          <w:tcPr>
            <w:tcW w:w="12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32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auto"/>
            </w:tcBorders>
            <w:gridSpan w:val="2"/>
            <w:vMerge w:val="continue"/>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Interest rate contract—Change in value recognized in other comprehensive loss</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ineffective portion of the derivative instrument during the three and six months ended June 30,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for the fair value of derivative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tables summarize, by level within the fair value hierarchy, the Partnership's liability and asset under the interest rate contract that was accounted for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June 30, 2016</w:t>
            </w:r>
          </w:p>
        </w:tc>
        <w:tc>
          <w:tcPr>
            <w:tcW w:w="9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Liability—Interest rate contract</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14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502</w:t>
            </w:r>
          </w:p>
        </w:tc>
      </w:tr>
      <w:tr>
        <w:trPr>
          <w:trHeight w:val="588"/>
        </w:trPr>
        <w:tc>
          <w:tcPr>
            <w:tcW w:w="83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December 31, 2015</w:t>
            </w:r>
          </w:p>
        </w:tc>
        <w:tc>
          <w:tcPr>
            <w:tcW w:w="92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Asset—Interest rate contract</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14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436</w:t>
            </w:r>
          </w:p>
        </w:tc>
      </w:tr>
    </w:tbl>
    <w:p>
      <w:pPr>
        <w:spacing w:after="0" w:line="17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fair value of the Level 2 interest rate contract is determined using standard valuation methodologies which incorporate relevant contract terms along with readily available market data (i.e. the 3-month LIBOR forward curve). There were no transfers in or out of Levels 1 and 2 of the fair value hierarchy during the six months ended June 30,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Partnership has other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June 30, 2016 and December 31, 2015 are summarized in the table below. The Partnership's long-term debt includes the August 2013 Promissory Notes, the OpCo Revolver and the MLP Revolver.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 2016</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11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Pr>
          <w:p>
            <w:pPr>
              <w:spacing w:after="0"/>
              <w:rPr>
                <w:sz w:val="16"/>
                <w:szCs w:val="16"/>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348,222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352,986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216,890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215,738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135,341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132,625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135,341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130,439</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right="9100" w:firstLine="8"/>
        <w:spacing w:after="0" w:line="390"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140" w:firstLine="405"/>
        <w:spacing w:after="0" w:line="286" w:lineRule="auto"/>
        <w:rPr>
          <w:sz w:val="20"/>
          <w:szCs w:val="20"/>
          <w:color w:val="auto"/>
        </w:rPr>
      </w:pPr>
      <w:r>
        <w:rPr>
          <w:rFonts w:ascii="Arial" w:cs="Arial" w:eastAsia="Arial" w:hAnsi="Arial"/>
          <w:sz w:val="17"/>
          <w:szCs w:val="17"/>
          <w:color w:val="auto"/>
        </w:rPr>
        <w:t>Accrued liabilities were $77,069 and $23,407 at June 30, 2016 and December 31, 2015, respectively. The accruals related to capital expenditures and turnaround costs, which are components of accrued liabilities, were $47,985 and $13,702, respectively, at June 30, 2016, and $14,745 and zero, respectively, at December 31, 2015. No other component of accrued liabilities was more than five percent of total 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change in capital expenditure accrual reducing additions to property, plant and equipment was $50,354 for the six months ended June 30, 2016. The change in capital expenditure accrual reducing additions to property, plant and equipment was $8,594 for the six months ended June 30,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Major Customer and Concentration of Credit Risk</w:t>
      </w:r>
    </w:p>
    <w:p>
      <w:pPr>
        <w:spacing w:after="0" w:line="9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During the three months ended June 30, 2016 and 2015, Westlake accounted for approximately 86.1% and 81.3%, respectively, of the Partnership's net sales. During the six months ended June 30, 2016 and 2015, Westlake accounted for approximately 89.1% and 81.1%, respectively, of the Partnership's net sales.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i w:val="1"/>
          <w:iCs w:val="1"/>
          <w:color w:val="auto"/>
        </w:rPr>
        <w:t>Contract Disputes with Goodrich and PolyOne</w:t>
      </w:r>
      <w:r>
        <w:rPr>
          <w:rFonts w:ascii="Arial" w:cs="Arial" w:eastAsia="Arial" w:hAnsi="Arial"/>
          <w:sz w:val="16"/>
          <w:szCs w:val="16"/>
          <w:color w:val="auto"/>
        </w:rPr>
        <w:t>. In connection with the 1990 and 1997 acquisitions of the Goodrich Corporation ("Goodrich")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in Calvert City, Kentucky, which is a portion of the B.F. Goodrich superfund site, Goodrich agreed to indemnify Westlake for any liabilities related to preexisting contamination at the site. Westlake agreed to indemnify Goodrich for post-closing contamination caused by Westlake's operations. The soil and groundwater at the site had been extensively contaminated under Goodrich's operations. In 1993, Goodrich spun off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predecessor of PolyOne Corporation ("PolyOne"), and that predecessor assumed Goodrich's indemnification obligations relating to preexisting contamination.</w:t>
      </w:r>
    </w:p>
    <w:p>
      <w:pPr>
        <w:spacing w:after="0" w:line="19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2003, litigation arose among Westlake, Goodrich and PolyOne with respect to the allocation of the cost of remediating contamination at the site. The parties settled this litigation in December 2007, and the case was dismissed. In the settlement the parties agreed that, among other things: (1) PolyOne would pay 100% of the costs (with specified exceptions), net of recoveries or credits from third parties, incurred with respect to environmental issues at the Calvert City site from August 1, 2007 forward; (2) either Westlake or PolyOne might, from time to time in the future (but not more than once every five years), institute an arbitration proceeding to adjust that percentage; and (3) Westlake and PolyOne would negotiate a new environmental remediation utilities and Services and Secondment Agreement to cover Westlake's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Westlake that have been invoiced to PolyOne to provide the environmental remediation services were $2,210 in 2015. By letter dated March 16, 2010, PolyOne notified Westlake that it was initiating an arbitration proceeding under the settlement agreement. In this proceeding, PolyOne sought to readjust the percentage allocation of costs and to recover approximately $1,400 from Westlake in reimbursement of previously paid remediation costs. In December 2015, the arbitration panel dismissed the proceeding with prejudice. In a separate proceeding in Ohio state court, Westlake is seeking certain insurance documents from PolyOne.</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Westlake will indemnify the Partnership for liabilities that occurred or existed prior to August 4, 2014.</w:t>
      </w:r>
    </w:p>
    <w:p>
      <w:pPr>
        <w:spacing w:after="0" w:line="212" w:lineRule="exact"/>
        <w:rPr>
          <w:sz w:val="20"/>
          <w:szCs w:val="20"/>
          <w:color w:val="auto"/>
        </w:rPr>
      </w:pPr>
    </w:p>
    <w:p>
      <w:pPr>
        <w:ind w:right="60" w:firstLine="392"/>
        <w:spacing w:after="0" w:line="271" w:lineRule="auto"/>
        <w:rPr>
          <w:sz w:val="20"/>
          <w:szCs w:val="20"/>
          <w:color w:val="auto"/>
        </w:rPr>
      </w:pPr>
      <w:r>
        <w:rPr>
          <w:rFonts w:ascii="Arial" w:cs="Arial" w:eastAsia="Arial" w:hAnsi="Arial"/>
          <w:sz w:val="17"/>
          <w:szCs w:val="17"/>
          <w:i w:val="1"/>
          <w:iCs w:val="1"/>
          <w:color w:val="auto"/>
        </w:rPr>
        <w:t>State Administrative Proceedings</w:t>
      </w:r>
      <w:r>
        <w:rPr>
          <w:rFonts w:ascii="Arial" w:cs="Arial" w:eastAsia="Arial" w:hAnsi="Arial"/>
          <w:sz w:val="17"/>
          <w:szCs w:val="17"/>
          <w:color w:val="auto"/>
        </w:rPr>
        <w:t>. There are several administrative proceedings in Kentucky involving Westlake, Goodrich and PolyOne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manufacturing site in Calvert City, which includes OpCo's natural gas liquids processing facility in Calvert City. In 2003, the Kentucky Environmental and Public Protection Cabinet (the "Cabinet") re-issued Goodrich's RCRA permit which requires Goodrich to remediate contamination at the Calvert City manufacturing site. Both Goodrich and PolyOne challenged various terms of the permit in an attempt to shift Goodrich's clean-up obligations under the permit to Westlake. Westlake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See "Federal Administrative Proceedings" below. Periodic status conferences will be held to evaluate whether additional proceedings will be required.</w:t>
      </w:r>
    </w:p>
    <w:p>
      <w:pPr>
        <w:spacing w:after="0" w:line="125" w:lineRule="exact"/>
        <w:rPr>
          <w:sz w:val="20"/>
          <w:szCs w:val="20"/>
          <w:color w:val="auto"/>
        </w:rPr>
      </w:pPr>
    </w:p>
    <w:p>
      <w:pPr>
        <w:ind w:right="60" w:firstLine="392"/>
        <w:spacing w:after="0" w:line="289" w:lineRule="auto"/>
        <w:rPr>
          <w:sz w:val="20"/>
          <w:szCs w:val="20"/>
          <w:color w:val="auto"/>
        </w:rPr>
      </w:pPr>
      <w:r>
        <w:rPr>
          <w:rFonts w:ascii="Arial" w:cs="Arial" w:eastAsia="Arial" w:hAnsi="Arial"/>
          <w:sz w:val="16"/>
          <w:szCs w:val="16"/>
          <w:i w:val="1"/>
          <w:iCs w:val="1"/>
          <w:color w:val="auto"/>
        </w:rPr>
        <w:t>Federal Administrative Proceedings</w:t>
      </w:r>
      <w:r>
        <w:rPr>
          <w:rFonts w:ascii="Arial" w:cs="Arial" w:eastAsia="Arial" w:hAnsi="Arial"/>
          <w:sz w:val="16"/>
          <w:szCs w:val="16"/>
          <w:color w:val="auto"/>
        </w:rPr>
        <w:t>. In May 2009, the Cabinet sent a letter to the EPA requesting the EPA's assistance in addressing contamination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Calvert City site under CERCLA. In its response to the Cabinet, the EPA stated that it concurred with the Cabinet's request and would incorporate work previously conducted under the Cabinet's RCRA authority into the EPA's cleanup efforts under CERCLA. Since 1983, the EPA has been addressing contamination at an abandoned landfill adjacent to the Partnership's plant which had been operated by Goodrich and which was being remediated pursuant to CERCLA. The EPA has directed Goodrich and PolyOne to conduct additional investigation activities at the landfill and at the Calvert City site. In June 2009, the EPA notified Westlake that Westlake may have potential liability under section 107(a) of CERCLA at its plant site. Liability under section 107(a) of CERCLA is strict and joint and several. The EPA also identified Goodrich and PolyOne, among others, as potentially responsible parties at the plant site. Westlake negotiated, in conjunction with the other potentially responsible parties, an AOC and an order to conduct an RIFS. Due to the Partnership's ownership and current operation of the property, the Partnership may be subject to additional requirements and liabilities under CERCLA.</w:t>
      </w:r>
    </w:p>
    <w:p>
      <w:pPr>
        <w:spacing w:after="0" w:line="113" w:lineRule="exact"/>
        <w:rPr>
          <w:sz w:val="20"/>
          <w:szCs w:val="20"/>
          <w:color w:val="auto"/>
        </w:rPr>
      </w:pPr>
    </w:p>
    <w:p>
      <w:pPr>
        <w:ind w:right="80" w:firstLine="392"/>
        <w:spacing w:after="0" w:line="289" w:lineRule="auto"/>
        <w:rPr>
          <w:sz w:val="20"/>
          <w:szCs w:val="20"/>
          <w:color w:val="auto"/>
        </w:rPr>
      </w:pPr>
      <w:r>
        <w:rPr>
          <w:rFonts w:ascii="Arial" w:cs="Arial" w:eastAsia="Arial" w:hAnsi="Arial"/>
          <w:sz w:val="16"/>
          <w:szCs w:val="16"/>
          <w:i w:val="1"/>
          <w:iCs w:val="1"/>
          <w:color w:val="auto"/>
        </w:rPr>
        <w:t>Potential Flare Modifications</w:t>
      </w:r>
      <w:r>
        <w:rPr>
          <w:rFonts w:ascii="Arial" w:cs="Arial" w:eastAsia="Arial" w:hAnsi="Arial"/>
          <w:sz w:val="16"/>
          <w:szCs w:val="16"/>
          <w:color w:val="auto"/>
        </w:rPr>
        <w:t>. For several years, the EPA has been conducting an enforcement initiative against petroleum refineries and petrochemical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plants with respect to emissions from flares. A number of companies have entered into consent agreements with the EPA requiring both modifications to reduce flare emissions and the installation of additional equipment to better track flare operations and emissions. On April 21, 2014, Westlake received a Clean Air Act Section 114 Information Request from the EPA which sought information regarding flares at the Calvert City and Lake Charles facilities. Westlake submitted information pursuant to such request, including information regarding three flares that the Partnership owns. The EPA has informed Westlake that the information provided leads the EPA to believe that some of the flares are out of compliance with applicable standards. The EPA has demanded that Westlake conduct additional flare sampling and provide supplemental information. Westlake is currently in negotiations with the EPA regarding these demands, some of which are applicable to the Partnership's flares. The EPA has indicated that it is seeking a consent decree with that would obligate Westlake to take corrective actions relating to the alleged noncompliance. Westlake has not agreed that any flares are out of compliance or that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any corrective actions are warranted. Depending on the outcome of Westlake's negotiations with the EPA, additional controls on emissions from the Partnership's flares may be required and these could result in increased capital and operating costs.</w:t>
      </w:r>
    </w:p>
    <w:p>
      <w:pPr>
        <w:spacing w:after="0" w:line="1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assets, and those of Westlake, for various air compliance issues. The Partnership and Westlake are working with LDEQ to settle these claims, and a global settlement of all claims is being discussed. While settlement may result in a total civil penalty in excess of $100, such a settlement will likely cover assets owned by the Partnership and Westlake, and to the extent it covers the Partnership's assets, Westlake will indemnify the Partnership for liabilities that occurred or existed prior to August 4, 2014. Westlake has reached a verbal agreement with the LDEQ to settle various NOVs in two separate settlements for a combined $192 in civil penalties.</w:t>
      </w:r>
    </w:p>
    <w:p>
      <w:pPr>
        <w:spacing w:after="0" w:line="139"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94" w:lineRule="exact"/>
        <w:rPr>
          <w:sz w:val="20"/>
          <w:szCs w:val="20"/>
          <w:color w:val="auto"/>
        </w:rPr>
      </w:pPr>
    </w:p>
    <w:p>
      <w:pPr>
        <w:jc w:val="both"/>
        <w:ind w:right="280" w:firstLine="405"/>
        <w:spacing w:after="0" w:line="342" w:lineRule="auto"/>
        <w:rPr>
          <w:sz w:val="20"/>
          <w:szCs w:val="20"/>
          <w:color w:val="auto"/>
        </w:rPr>
      </w:pPr>
      <w:r>
        <w:rPr>
          <w:rFonts w:ascii="Arial" w:cs="Arial" w:eastAsia="Arial" w:hAnsi="Arial"/>
          <w:sz w:val="16"/>
          <w:szCs w:val="16"/>
          <w:color w:val="auto"/>
        </w:rPr>
        <w:t>On July 27, 2016, the board of directors of Westlake GP declared a quarterly distribution for the period from April 1, 2016 through June 30, 2016 of $0.3259 per unit and $46 to IDR Holders. This distribution is payable on August 23, 2016 to unitholders and IDR Holders of record as of August 9, 2016.</w:t>
      </w:r>
    </w:p>
    <w:p>
      <w:pPr>
        <w:spacing w:after="0" w:line="70"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On August 4, 2016, OpCo and Westlake entered into an amendment to the Ethylene Sales Agreement in order to provide that certain of the pricing components that make up the price for ethylene sold thereunder would be grossed up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5"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combined and consolidated financial statements and notes thereto included in Westlake Chemical Partners LP's annual report on Form 10-K for the fiscal year ended December 31, 2015 (the "2015 Form 10-K"), as filed with the SEC on March 8, 2016.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w:t>
      </w:r>
    </w:p>
    <w:p>
      <w:pPr>
        <w:spacing w:after="0" w:line="12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discussion contains forward-looking statements. Please read "Forward-Looking Statements" for a discussion of limitations inherent in such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On August 4, 2014, we closed our initial public offering (the "IPO'") of 12,937,500 common units. We are a Delaware limited partnership formed by Westlake to operate, acquire and develop facilities and related assets for the processing of natural gas liquids. Currently, our sole revenue generating asset is our 13.3% limited partner interest in OpCo, a limited partnership formed by Westlake and us in anticipation of the IPO to own and operate a natural gas liquids processing business. We control OpCo through our ownership of its general partner. Westlake retains the remaining 86.7% limited partner interest in OpCo as well as significant interest in us through its ownership of our general partner, 52.2% of our limited partner units (consisting of 1,436,115 common units and all of the subordinated units) and our incentive distribution rights. OpCo's assets include (1) two natural gas liquids processing facilities ("Petro 1" and "Petro 2" and, collectively, "Lake Charles Olefins") at Westlake's Lake Charles, Louisiana site; (2) one natural gas liquids processing facility ("Calvert City Olefins") at Westlake's Calvert City, Kentucky site; and (3) a 200-mile common carrier ethylene pipeline (the "Longview Pipeline") that runs from Mont Belvieu, Texas to Westlake's Longview, Texas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generate revenue primarily by selling ethylene and the resulting co-products we produce. In connection with the IPO, OpCo and Westlake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126"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2015, all the third-party ethylene and associated co-products sales generated greater than 17% of our total revenues. In the first six months of 2016, the third-party ethylene and associated co-product sales were 11% of our total revenues. The significant drop in crude oil prices since the third quarter of 2014 and continuing through the first half of 2016 may create volatility in the North American and global markets, which may result in reduced prices and margins with respect to third-party ethylene and co-products sales in 2016.</w:t>
      </w:r>
    </w:p>
    <w:p>
      <w:pPr>
        <w:spacing w:after="0" w:line="138"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On August 4, 2016, OpCo and Westlake entered into an amendment to the Ethylene Sales Agreement in order to provide that certain of the pricing components that make up the price for ethylene sold thereunder would be grossed up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In connection with the IPO, OpCo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OpCo may purchase the ethane and other feedstocks to produce ethylene and resulting co-products to sell to unrelated third parties from Westlake Petrochemicals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94"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6" w:lineRule="exact"/>
        <w:rPr>
          <w:sz w:val="20"/>
          <w:szCs w:val="20"/>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processing capacity;</w:t>
      </w:r>
    </w:p>
    <w:p>
      <w:pPr>
        <w:spacing w:after="0" w:line="9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or increase capacity at our existing processing facilities, or add additional processing capacity via organic expansion projects and acquisitions;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processing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firstLine="432"/>
        <w:spacing w:after="0" w:line="304" w:lineRule="auto"/>
        <w:rPr>
          <w:sz w:val="20"/>
          <w:szCs w:val="20"/>
          <w:color w:val="auto"/>
        </w:rPr>
      </w:pPr>
      <w:r>
        <w:rPr>
          <w:rFonts w:ascii="Arial" w:cs="Arial" w:eastAsia="Arial" w:hAnsi="Arial"/>
          <w:sz w:val="16"/>
          <w:szCs w:val="16"/>
          <w:color w:val="auto"/>
        </w:rPr>
        <w:t xml:space="preserve">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w:t>
      </w:r>
      <w:r>
        <w:rPr>
          <w:rFonts w:ascii="Arial" w:cs="Arial" w:eastAsia="Arial" w:hAnsi="Arial"/>
          <w:sz w:val="17"/>
          <w:szCs w:val="17"/>
          <w:color w:val="auto"/>
        </w:rPr>
        <w:t>T</w:t>
      </w:r>
      <w:r>
        <w:rPr>
          <w:rFonts w:ascii="Arial" w:cs="Arial" w:eastAsia="Arial" w:hAnsi="Arial"/>
          <w:sz w:val="16"/>
          <w:szCs w:val="16"/>
          <w:color w:val="auto"/>
        </w:rPr>
        <w:t>he impact on profitability is partially mitigated by the fact that we recognize any Shortfall as revenue in the period such costs and expenses are incurred. We seek to manage our operating and maintenance expenses on our natural gas liquids processing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financial measures that management and external users of our consolidated financial statements, such as industry analysts, investors, lenders and rating agencies, may use to assess:</w:t>
      </w:r>
    </w:p>
    <w:p>
      <w:pPr>
        <w:spacing w:after="0" w:line="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production in excess of the planned output on a contract year basis. As a result, our direct exposure to commodity price risk is limited to approximately 5% of our total ethylene output,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processing facilities.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In July 2016, we completed planned major maintenance activities, or a turnaround, of our Lake Charles Petro 1 ethylene unit in Lake Charles, Louisiana. In conjunction with this turnaround, we also completed an upgrade and capacity expansion of the Lake Charles Petro 1 ethylene unit. The Lake Charles Petro 1 expansion project is expected to increase ethylene capacity by approximately 250 million pounds annually.</w:t>
      </w:r>
    </w:p>
    <w:p>
      <w:pPr>
        <w:spacing w:after="0" w:line="1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Calvert City Olefins unit experienced an unexpected shutdown that occurred on June 1, 2016. We restarted the unit in mid July 2016 (after 46 days). The unplanned outage was caused by a mechanical failure, which resulted in a force majeure event under the Ethylene Sales Agreement with Westlake. Pursuant to the Ethylene Sales Agreement, Westlake’s obligation to pay for the annual minimum commitment (95% of OpCo’s budgeted ethylene production), which will be measured at the end of the year, will generally not be reduced for the first 45 days of a force majeure event, but will be reduced for the portion of a force majeure event extending beyond the 45th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181,635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204,669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412,895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413,582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sales—third parties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210,841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251,705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463,445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510,096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122,460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157,177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264,650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319,341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88,381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94,528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198,795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190,755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82,533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186,850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178,760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81,489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87,202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184,659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176,058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81,192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87,243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183,963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175,632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162,535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156,689</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9,344</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21,428</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18,943</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3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4,295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13,810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18,196</w:t>
            </w:r>
          </w:p>
        </w:tc>
        <w:tc>
          <w:tcPr>
            <w:tcW w:w="0" w:type="dxa"/>
            <w:vAlign w:val="bottom"/>
          </w:tcPr>
          <w:p>
            <w:pPr>
              <w:spacing w:after="0"/>
              <w:rPr>
                <w:sz w:val="1"/>
                <w:szCs w:val="1"/>
                <w:color w:val="auto"/>
              </w:rPr>
            </w:pPr>
          </w:p>
        </w:tc>
      </w:tr>
      <w:tr>
        <w:trPr>
          <w:trHeight w:val="283"/>
        </w:trPr>
        <w:tc>
          <w:tcPr>
            <w:tcW w:w="516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103,478</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108,958</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228,275</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218,993</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80" w:hanging="245"/>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117" w:lineRule="exact"/>
        <w:rPr>
          <w:rFonts w:ascii="Arial" w:cs="Arial" w:eastAsia="Arial" w:hAnsi="Arial"/>
          <w:sz w:val="18"/>
          <w:szCs w:val="18"/>
          <w:color w:val="auto"/>
        </w:rPr>
      </w:pPr>
    </w:p>
    <w:p>
      <w:pPr>
        <w:ind w:left="280" w:hanging="245"/>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"Reconciliation of EBITDA to Net Income and Net Cash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June 30, 2016</w:t>
            </w:r>
          </w:p>
        </w:tc>
        <w:tc>
          <w:tcPr>
            <w:tcW w:w="12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Six Months Ended June 30, 2016</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Volume</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Sales Price</w:t>
            </w:r>
          </w:p>
        </w:tc>
        <w:tc>
          <w:tcPr>
            <w:tcW w:w="166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Sales Price</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w:t>
            </w: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 period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561"/>
        </w:trPr>
        <w:tc>
          <w:tcPr>
            <w:tcW w:w="4940" w:type="dxa"/>
            <w:vAlign w:val="bottom"/>
          </w:tcPr>
          <w:p>
            <w:pPr>
              <w:spacing w:after="0"/>
              <w:rPr>
                <w:sz w:val="24"/>
                <w:szCs w:val="24"/>
                <w:color w:val="auto"/>
              </w:rPr>
            </w:pPr>
          </w:p>
        </w:tc>
        <w:tc>
          <w:tcPr>
            <w:tcW w:w="3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Three Months Ended June 30,</w:t>
            </w:r>
          </w:p>
        </w:tc>
        <w:tc>
          <w:tcPr>
            <w:tcW w:w="318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20" w:type="dxa"/>
            <w:vAlign w:val="bottom"/>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540" w:type="dxa"/>
            <w:vAlign w:val="bottom"/>
          </w:tcPr>
          <w:p>
            <w:pPr>
              <w:jc w:val="right"/>
              <w:ind w:right="136"/>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520" w:type="dxa"/>
            <w:vAlign w:val="bottom"/>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560" w:type="dxa"/>
            <w:vAlign w:val="bottom"/>
          </w:tcPr>
          <w:p>
            <w:pPr>
              <w:jc w:val="right"/>
              <w:ind w:right="13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6"/>
        </w:trPr>
        <w:tc>
          <w:tcPr>
            <w:tcW w:w="494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20" w:type="dxa"/>
            <w:vAlign w:val="bottom"/>
          </w:tcPr>
          <w:p>
            <w:pPr>
              <w:jc w:val="right"/>
              <w:ind w:right="10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1540" w:type="dxa"/>
            <w:vAlign w:val="bottom"/>
          </w:tcPr>
          <w:p>
            <w:pPr>
              <w:jc w:val="right"/>
              <w:ind w:right="136"/>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2"/>
                <w:szCs w:val="22"/>
                <w:color w:val="auto"/>
              </w:rPr>
            </w:pPr>
          </w:p>
        </w:tc>
        <w:tc>
          <w:tcPr>
            <w:tcW w:w="1520" w:type="dxa"/>
            <w:vAlign w:val="bottom"/>
          </w:tcPr>
          <w:p>
            <w:pPr>
              <w:jc w:val="right"/>
              <w:ind w:right="10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1560" w:type="dxa"/>
            <w:vAlign w:val="bottom"/>
          </w:tcPr>
          <w:p>
            <w:pPr>
              <w:jc w:val="right"/>
              <w:ind w:right="136"/>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_____________</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MLP distributable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4,295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18,196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Distributable cash flow attributable to noncontrolling interest 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OpCo</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39,171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113,087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152,732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48,252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81,862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Contribution to turnaround reserves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10,214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183,963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175,632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disposition of property, plant and equipment</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72,702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116,664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185,277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229,899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1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Higher maintenance capital expenditures in the second quarter of 2016 and the first six months of 2016 as compared to the second quarter of 2015 and the first six months of 2015 are primarily related to the Lake Charles Petro 1 facility maintenance capital expenditures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103,478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108,958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228,275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218,993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81,192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87,243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183,963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175,632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disposition of property, plant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72,702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116,664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185,277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229,899</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For the quarter ended June 30, 2016, net income was $81.2 million on net sales of $210.8 million. This represents a decrease in net income of $6.0 million as compared to the quarter ended June 30, 2015 net income of $87.2 million on net sales of $251.7 million. Net sales for the second quarter of 2016 decreased by $40.9 million as compared to net sales for the second quarter of 2015 mainly attributable to lower overall sales volumes to Westlake and third parties, partially offset by the Shortfall recognized for the period and higher ethylene sales prices to Westlake. Income from operations was $82.5 million for the second quarter of 2016 as compared to $88.5 million for the second quarter of 2015. Income from operations for the second quarter of 2016 decreased mainly as a result of the lower volume of ethylene sales to Westlake, partially offset by the Shortfall recognized during the period and higher volume of ethylene sales to third parties as compared to the second quarter of 2015.</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For the six months ended June 30, 2016, net income was $184.0 million on net sales of $463.4 million. This represents an increase in net income of $8.4 million as compared to the six months ended June 30, 2015 net income of $175.6 million on net sales of $510.1 million. Net sales for the six months ended June 30, 2016 decreased by $46.7 million as compared to net sales for the second quarter of 2015 mainly attributable to lower overall sales volumes to Westlake and third parties, partially offset by the Shortfall recognized for the period and higher ethylene sales prices to Westlake. Income from operations was $186.9 million for the six months ended June 30, 2016 as compared to $178.8 million for the six months ended June 30, 2015. Income from operations for the six months ended June 30, 2016 increased mainly as a result of the Shortfall recognized during the period, partially offset by the lower volume of ethylene sales to Westlake and third parties and lower ethylene sales prices to third parties as compared to the six months ended June 30,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2016 Compared with Second Quarter 2015</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Total net sales decreased by $40.9 million, or 16.2%, to $210.8 million in the second quarter of 2016 from $251.7 million in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2015. Lower sales volumes for the second quarter of 2016 resulted in a decrease in net sales by 34.0% as compared to the second quarter of 2015. The decrease in sales volume for the second quarter of 2016 was primarily due to a decrease in ethylene production as a result of our upgrade and capacity expansion project at the Lake Charles Petro I facility and lower ethylene production at the Calvert City Olefins facility due to an unplanned outage during the quarter. The increase in average sales price of ethylene and related co-products for the second quarter of 2016 resulted in an increase in net sales by 17.8% as compared to the second quarter of 2015. The increase in average sales price for the second quarter of 2016 was primarily due to the Shortfall of $47.3 million, resulting from the higher maintenance capital expenditures, recognized for the second quarter of 2016 and higher ethylene sales prices to Westlake, partially offset by lower ethylene sales price to third parties, as compared to the second quarter of 2015.</w:t>
      </w:r>
    </w:p>
    <w:p>
      <w:pPr>
        <w:spacing w:after="0" w:line="138" w:lineRule="exact"/>
        <w:rPr>
          <w:sz w:val="20"/>
          <w:szCs w:val="20"/>
          <w:color w:val="auto"/>
        </w:rPr>
      </w:pPr>
    </w:p>
    <w:p>
      <w:pPr>
        <w:ind w:right="40" w:firstLine="432"/>
        <w:spacing w:after="0" w:line="290"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decreased to $88.4 million for the second quarter of 2016 from $94.5 million for the second quarter of 2015,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lower operating rates at the Lake Charles Petro 1 and Calvert City Olefins processing facilities in the three months ended June 30, 2016, which resulted in lower ethylene sales volume to Westlake, as compared to the prior-year period. Additionally, ethylene sales prices to third parties were lower for the three months ended June 30, 2016 as compared to the prior-year period. These decreases were partially offset by the Shortfall recognized for the second quarter of 2016 as compared to the second quarter of 2015. The increase in gross profit margin to 41.9% for the second quarter of 2016 from 37.5% for the second quarter of 2015 was primarily due to the Shortfall recognized during the second quarter of 2016.</w:t>
      </w:r>
    </w:p>
    <w:p>
      <w:pPr>
        <w:spacing w:after="0" w:line="10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$0.2 million, or 3.3%, to $5.8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2016 as compared to $6.0 million in the second quarter of 2015. The decrease in selling, general and administrative expenses in the second quarter of 2016 as compared to the second quarter of 2015 was mainly attributable to lower professional fees, partially offset by an increase in general and administrative expense allocation from Westlake.</w:t>
      </w:r>
    </w:p>
    <w:p>
      <w:pPr>
        <w:spacing w:after="0" w:line="133"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$0.2 million to $1.2 million in the second quarter of 2016 from $1.4 million in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2015, primarily due to the lower weighted average interest rate and increased capitalized interest on major capital projects in the second quarter of 2016 as compared to the prior-year period. The lower average interest rate in the second quarter of 2016 was due to the April 2015 repayment of a significant portion of the August 2013 Promissory Notes, which bear a higher interest rate as compared to our other outstanding debt. This decrease was mostly offset by an increase in average debt balance, primarily to fund the capital expenditures related to the Lake Charles Petro 1 upgrade and expansion.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with Six Months Ended June 30, 2015</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Total net sales decreased by $46.7 million, or 9.2%, to $463.4 million for the six months ended June 30, 2016 from $510.1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2015. Lower sales volumes for the six months ended June 30, 2016 resulted in a decrease in net sales by 16.5% as compared to the six months ended June 30, 2015. The decrease in sales volume to Westlake and third parties during the six months ended June 30, 2016 was primarily due to a decrease in ethylene production. The ethylene production in the six months ended June 30, 2016 was lower as compared to the six months ended June 30, 2015 due to our upgrade and capacity expansion project at the Lake Charles Petro 1 facility and lower ethylene production at the Calvert City Olefins facility due to an unplanned outage during the 2016 period. The increase in average sales price of ethylene and related co-products for the six months ended June 30, 2016 resulted in an increase in net sales by 7.3% as compared to the six months ended June 30, 2015. The increase in average sales price for the six months ended June 30, 2016 was primarily due to the Shortfall of $56.5 million, resulting from the higher maintenance capital expenditures, recognized for the six months ended June 30, 2016 and higher ethylene sales price to Westlake, partially offset by lower ethylene sales price to third parties, as compared to the six months ended June 30, 2015.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firstLine="432"/>
        <w:spacing w:after="0" w:line="27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to $198.8 million, or 42.9%, for the six months ended June 30, 2016 from $190.8 million, or 37.4%,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2015, primarily due to the Shortfall recognized for the six months ended June 30, 2016, partially offset by the lower operating rates at the Lake Charles Petro 1 and Calvert City Olefins processing facilities during the six months ended June 30, 2016, which resulted in lower ethylene sales volumes to Westlake and third parties, as compared to the six months ended June 30, 2015.</w:t>
      </w:r>
    </w:p>
    <w:p>
      <w:pPr>
        <w:spacing w:after="0" w:line="11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$0.1 million, or 0.8%, to $11.9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2016 as compared to $12.0 million for the six months ended June 30, 2015. The decrease in selling, general and administrative expenses for the six months ended June 30, 2016 as compared to the six months ended June 30, 2015 was mainly attributable to lower professional fees, partially offset by an increase in general and administrative expense allocation from Westlake.</w:t>
      </w:r>
    </w:p>
    <w:p>
      <w:pPr>
        <w:spacing w:after="0" w:line="133"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$0.3 million to $2.4 million for the six months ended June 30, 2016 from $2.7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2015, primarily due to the lower weighted average interest rate and increased capitalized interest on major capital projects for the six months ended June 30, 2016 as compared to the prior-year period. The lower average interest rate for the six months ended June 30, 2016 was due to the April 2015 repayment of a significant portion of the August 2013 Promissory Notes, which bear a higher interest rate as compared to our other outstanding debt. This decrease was mostly offset by an increase in our average debt balance, primarily to fund the capital expenditures related to the Lake Charles Petro 1 upgrade and expansion.</w:t>
      </w:r>
    </w:p>
    <w:p>
      <w:pPr>
        <w:spacing w:after="0" w:line="216" w:lineRule="exact"/>
        <w:rPr>
          <w:sz w:val="20"/>
          <w:szCs w:val="20"/>
          <w:color w:val="auto"/>
        </w:rPr>
      </w:pPr>
    </w:p>
    <w:p>
      <w:pPr>
        <w:ind w:right="4420"/>
        <w:spacing w:after="0" w:line="346" w:lineRule="auto"/>
        <w:rPr>
          <w:sz w:val="20"/>
          <w:szCs w:val="20"/>
          <w:color w:val="auto"/>
        </w:rPr>
      </w:pPr>
      <w:r>
        <w:rPr>
          <w:rFonts w:ascii="Arial" w:cs="Arial" w:eastAsia="Arial" w:hAnsi="Arial"/>
          <w:sz w:val="18"/>
          <w:szCs w:val="18"/>
          <w:b w:val="1"/>
          <w:bCs w:val="1"/>
          <w:color w:val="auto"/>
        </w:rPr>
        <w:t xml:space="preserve">CASH FLOW DISCUSSION FOR THE SIX MONTHS ENDED JUNE 30, 2016 AND 2015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Operating activities provided cash of $185.3 million in the first six months of 2016 compared to cash provided by operating activities of $229.9 million in the first six months of 2015. The $44.6 million decrease in cash flows from operating activities was mainly due to the Lake Charles Petro 1 facility turnaround resulting in a net cash used of $61.6 million during the first six months of 2016 as compared to $0.7 million of net cash used in the first six months of 2015. This decrease was largely offset by an increase in income from operations for the first six months of 2016 and a decrease in the use of cash for working capital purposes, as compared to the prior-year period.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provided cash of $18.9 million in the first six months of 2016 as compared to $14.8 million of cash provided in the first six months of 2015, resulting in an overall favorable change of $4.1 million. The change in working capital is mainly attributable to favorable changes in third party payable and accrued liabilities balances at June 30, 2016 as compared to the prior-year period and unfavorable changes in Westlake and third party accounts receivable balances as compared to the prior-year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cash used for investing activities during the first six months of 2016 was $168.4 million as compared to net cash used for investing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$95.5 million in the first six months of 2015 mainly due to increased capital expenditures in the first six months of 2016 as compared to the prior-year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during the first six months of 2016 and the first six months of 2015 were primarily incurred for our upgrade and expansion of the Lake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Charles Petro 1 facility, which was completed in July 2016, to increase ethylene production capacity as further discussed under "Recent Developments"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Net cash used for financing activities during the first six months of 2016 was $35.1 million as compared to net cash used for financing activities of $130.8 million in the first six months of 2015. The cash outflows during the first six months of 2016 were related to the distribution of $149.6 million to Westlake and of $16.9 million to other unitholders by the Partnership and OpCo and the repayment of $0.5 million of borrowings under the OpCo Revolver to fund our working capital requirement as compared to the distribution of $169.1 million to Westlake and of $15.1 million to other unitholders and the repayment of $135.3 million of the August 2013 Promissory Notes during the first six months of 2015. The distributions and repayment in the first six months of 2016 were partially offset by the borrowings under the OpCo Revolver of $131.8 million to fund capital expenditures and our working capital requirements. The repayment and distributions in the first six months of 2015 were partially offset by the borrowings under the OpCo Revolver of $53.4 million, primarily to fund capital expenditures, and by the borrowings of $135.3 million under the MLP Revolver to fund the purchase of an additional 2.7% limited partner interest in OpCo.</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19" w:lineRule="exact"/>
        <w:rPr>
          <w:sz w:val="20"/>
          <w:szCs w:val="20"/>
          <w:color w:val="auto"/>
        </w:rPr>
      </w:pPr>
    </w:p>
    <w:p>
      <w:pPr>
        <w:jc w:val="both"/>
        <w:ind w:right="340" w:firstLine="432"/>
        <w:spacing w:after="0" w:line="302" w:lineRule="auto"/>
        <w:rPr>
          <w:sz w:val="20"/>
          <w:szCs w:val="20"/>
          <w:color w:val="auto"/>
        </w:rPr>
      </w:pPr>
      <w:r>
        <w:rPr>
          <w:rFonts w:ascii="Arial" w:cs="Arial" w:eastAsia="Arial" w:hAnsi="Arial"/>
          <w:sz w:val="16"/>
          <w:szCs w:val="16"/>
          <w:color w:val="auto"/>
        </w:rPr>
        <w:t>In order to fund non-annual turnaround expenditures, we cause OpCo to reserve approximately $30.0 million during each twelve-month period for turnaround activities. Each of OpCo's processing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0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Our cash is generated from cash distributions from OpCo. OpCo is a restricted subsidiary and guarantor under Westlake's credit facility and the indentures governing its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1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On July 27, 2016, the board of directors of Westlake Chemical Partners GP LLC, our general partner, approved a quarterly distribution of $0.3259 per unit payable on August 23, 2016 to unitholders of record as of August 9, 2016 and a distribution to the incentive distribution rights holders ("IDR Holders"), which equates to a total amount of approximately $8.9 million per quarter, or approximately $35.6 million per year in aggregate (in each case, including the distribution to the IDR Holders), based on the number of common and subordinated units outstanding on June 30, 2016. We do not have a legal or contractual obligation to pay distributions on a quarterly basis or any other basis at our minimum quarterly distribution rate or any other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January 2016, we announced an expansion project to increase the ethylene capacity of our ethylene processing facility at Calvert City Olefins. The expansion is expected to increase ethylene capacity by approximately 70 million pounds annually and is targeted for completion during the first half of 2017. This capital project is currently estimated to cost in the range of $70.0 million to $80.0 million and is expected to be funded solely with borrowings under the OpCo Revolver. Combined with other incremental capacity increases which we have undertaken, the total ethylene capacity of Calvert City Olefins is expected to increase to 730 million pounds annually at the completion of this project. As of June 30, 2016, we had incurred a total cost of approximately $21.8 million on the Calvert City Olefins expansion project.</w:t>
      </w:r>
    </w:p>
    <w:p>
      <w:pPr>
        <w:spacing w:after="0" w:line="13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During the six months ended June 30, 2016 and 2015, Westlake loaned OpCo $131.8 million and $188.7 million, respectively, of which $117.4 million and $53.4 million was used to fund the expansion capital expenditures in the first six months of 2016 and in the first six months of 2015, respectively. The total capital expenditures, which includes the expansion, capital maintenance and turnaround costs, for 2016 are expected to be approximately $293.0 million, of which $218.9 million was spent during the six months ended June 30, 2016. We expect that Westlake will loan additional cash to OpCo to fund its expansion capital expenditures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As of June 30, 2016, our cash and cash equivalents totaled $151.3 million. In addition, we have a revolving credit facility with Westlake available to supplement cash if needed, as described under "Indebtedness" below.</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2013 Promissory Notes</w:t>
      </w:r>
    </w:p>
    <w:p>
      <w:pPr>
        <w:spacing w:after="0" w:line="90"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In connection with the closing of the IPO, OpCo assumed $246.1 million of indebtedness under three intercompany promissory notes (the "August 2013 Promissory Notes"). As of June 30, 2016, $31.8 million of the principal amount of the August 2013 Promissory Notes was still outstanding. The August 2013 Promissory Notes have a ten-year term and bear 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(OpCo Revolver") that may be used to fund growth projects and working capital needs. As of June 30, 2016, outstanding borrowings under the OpCo Revolver totaled $348.2 million and bore interest at the LIBOR rate plus 3.0%, which is accrued in arrears quarterly. The OpCo Revolver matures in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2015, we entered into a $300.0 million senior, unsecured revolving credit agreement with Westlake Chemical Finance Corporation, an affiliate of Westlake ("MLP Revolver"). The MLP Revolver is scheduled to mature on April 29, 2018.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June 30, 2016, outstanding borrowings under the MLP Revolver totaled $135.3 million. We intend to use the MLP Revolver to purchase additional limited partnership interests in OpCo in the future, in the event OpCo desires to sell such additional interests to us.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funding and results of capital projects, such as OpCo’s plan to increase the ethylene capacity of the ethylene processing facility at Calvert City Olefins;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in "Risk Factors" in the 2015 Form 10-K and the following:</w:t>
      </w:r>
    </w:p>
    <w:p>
      <w:pPr>
        <w:spacing w:after="0" w:line="229" w:lineRule="exact"/>
        <w:rPr>
          <w:sz w:val="20"/>
          <w:szCs w:val="20"/>
          <w:color w:val="auto"/>
        </w:rPr>
      </w:pPr>
    </w:p>
    <w:p>
      <w:pPr>
        <w:ind w:left="900" w:hanging="325"/>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880" w:right="100" w:hanging="359"/>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current and potential governmental regulatory actions in the United States and regulatory actions and political unrest in other countries;</w:t>
      </w:r>
    </w:p>
    <w:p>
      <w:pPr>
        <w:spacing w:after="0" w:line="101" w:lineRule="exact"/>
        <w:rPr>
          <w:rFonts w:ascii="Arial" w:cs="Arial" w:eastAsia="Arial" w:hAnsi="Arial"/>
          <w:sz w:val="17"/>
          <w:szCs w:val="17"/>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exposed to interest rate risk with respect to our outstanding debt, all of which is variable rate debt. At June 30, 2016, we had variable rate debt of $515.3 million outstanding, all of which was owed to wholly owned subsidiaries of Westlake, $31.8 million of which accrues interest at a variable rate of prime plus 150 basis points, $348.2 million of which accrues interest at a variable rate of LIBOR plus 300 basis points and the remaining $135.3 million of which accrues interest at a variable rate of LIBOR plus 200 basis points. During August 2015, the Partnership entered into an interest rate contract with Westlake to fix the LIBOR component of the interest rate for a portion of the debt. The weighted average variable interest rate of our debt (excluding the effectively fixed rate portion through the interest rate contract) as of June 30, 2016 was 3.57%.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$4.5 million, based on the June 30, 2016 debt balance.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Senior Vice President, Chief Financial Officer and Treasurer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4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2016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2015 Form 10-K, filed on March 8, 2016, contained a description of various legal proceedings in which we are involved, including environmental proceedings. See Note 15 to the unaudited consolidated financial statements within this Quarterly Report on Form 10-Q for a description of certain of those proceedings, which information is incorporated by reference herein. In addition, under the Omnibus Agreement, Westlake has agreed to indemnify the Partnership for certain environmental and other liabilities relating to OpCo's processing facilities and related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2015 Form 10-K. There have been no material changes from those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a Material Definitive Agreement</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August 4, 2016, OpCo and Westlake entered into an amendment to the Ethylene Sales Agreement in order to provide that certain of the pricing components that make up the price for ethylene sold thereunder would be grossed up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 A description of the relationship between OpCo and Westlake is included under “Management's Discussion and Analysis of Financial Condition and Results of Operations,” and such description is incorporated by reference herein.</w:t>
      </w:r>
    </w:p>
    <w:p>
      <w:pPr>
        <w:spacing w:after="0" w:line="13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This summary of the amendment is qualified by reference to the full text of the amendment, a copy of which is filed as Exhibit 10.1 to this report,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First Amendment to Ethylene Sales Agreement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32.1†</w:t>
            </w:r>
          </w:p>
        </w:tc>
        <w:tc>
          <w:tcPr>
            <w:tcW w:w="6300" w:type="dxa"/>
            <w:vAlign w:val="bottom"/>
            <w:gridSpan w:val="2"/>
          </w:tcPr>
          <w:p>
            <w:pPr>
              <w:spacing w:after="0"/>
              <w:rPr>
                <w:sz w:val="20"/>
                <w:szCs w:val="20"/>
                <w:color w:val="auto"/>
              </w:rPr>
            </w:pPr>
            <w:r>
              <w:rPr>
                <w:rFonts w:ascii="Arial" w:cs="Arial" w:eastAsia="Arial" w:hAnsi="Arial"/>
                <w:sz w:val="18"/>
                <w:szCs w:val="18"/>
                <w:color w:val="auto"/>
                <w:w w:val="92"/>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August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3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August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auto"/>
        </w:rPr>
        <w:t>Senior Vice President, Chief Financial Officer,</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Treasurer and Director of</w:t>
      </w:r>
    </w:p>
    <w:p>
      <w:pPr>
        <w:jc w:val="center"/>
        <w:ind w:left="730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00"/>
          </w:cols>
          <w:pgMar w:left="240" w:top="125" w:right="7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First Amendment to Ethylene Sales Agreement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32.1†</w:t>
            </w:r>
          </w:p>
        </w:tc>
        <w:tc>
          <w:tcPr>
            <w:tcW w:w="6300" w:type="dxa"/>
            <w:vAlign w:val="bottom"/>
            <w:gridSpan w:val="2"/>
          </w:tcPr>
          <w:p>
            <w:pPr>
              <w:spacing w:after="0"/>
              <w:rPr>
                <w:sz w:val="20"/>
                <w:szCs w:val="20"/>
                <w:color w:val="auto"/>
              </w:rPr>
            </w:pPr>
            <w:r>
              <w:rPr>
                <w:rFonts w:ascii="Arial" w:cs="Arial" w:eastAsia="Arial" w:hAnsi="Arial"/>
                <w:sz w:val="18"/>
                <w:szCs w:val="18"/>
                <w:color w:val="auto"/>
                <w:w w:val="92"/>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440" w:type="dxa"/>
            <w:vAlign w:val="bottom"/>
          </w:tcPr>
          <w:p>
            <w:pPr>
              <w:spacing w:after="0"/>
              <w:rPr>
                <w:sz w:val="21"/>
                <w:szCs w:val="21"/>
                <w:color w:val="auto"/>
              </w:rPr>
            </w:pPr>
          </w:p>
        </w:tc>
        <w:tc>
          <w:tcPr>
            <w:tcW w:w="586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125"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ETHYLENE SALES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w:t>
      </w:r>
      <w:r>
        <w:rPr>
          <w:rFonts w:ascii="Arial" w:cs="Arial" w:eastAsia="Arial" w:hAnsi="Arial"/>
          <w:sz w:val="18"/>
          <w:szCs w:val="18"/>
          <w:color w:val="auto"/>
        </w:rPr>
        <w:t>, dated as of August 4, 2016 and with effect to January 1, 2016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to the </w:t>
      </w:r>
      <w:r>
        <w:rPr>
          <w:rFonts w:ascii="Arial" w:cs="Arial" w:eastAsia="Arial" w:hAnsi="Arial"/>
          <w:sz w:val="18"/>
          <w:szCs w:val="18"/>
          <w:b w:val="1"/>
          <w:bCs w:val="1"/>
          <w:color w:val="auto"/>
        </w:rPr>
        <w:t>ETHYLENE SALES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dated as of as of August 4, 2014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among</w:t>
      </w:r>
      <w:r>
        <w:rPr>
          <w:rFonts w:ascii="Arial" w:cs="Arial" w:eastAsia="Arial" w:hAnsi="Arial"/>
          <w:sz w:val="18"/>
          <w:szCs w:val="18"/>
          <w:b w:val="1"/>
          <w:bCs w:val="1"/>
          <w:color w:val="auto"/>
        </w:rPr>
        <w:t xml:space="preserve"> WESTLAKE CHEMICAL OPCO LP</w:t>
      </w:r>
      <w:r>
        <w:rPr>
          <w:rFonts w:ascii="Arial" w:cs="Arial" w:eastAsia="Arial" w:hAnsi="Arial"/>
          <w:sz w:val="18"/>
          <w:szCs w:val="18"/>
          <w:color w:val="auto"/>
        </w:rPr>
        <w:t>, a Delaware limited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xml:space="preserve">”), and </w:t>
      </w:r>
      <w:r>
        <w:rPr>
          <w:rFonts w:ascii="Arial" w:cs="Arial" w:eastAsia="Arial" w:hAnsi="Arial"/>
          <w:sz w:val="18"/>
          <w:szCs w:val="18"/>
          <w:b w:val="1"/>
          <w:bCs w:val="1"/>
          <w:color w:val="auto"/>
        </w:rPr>
        <w:t>WPT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WESTLAKE VINYLS, INC.</w:t>
      </w:r>
      <w:r>
        <w:rPr>
          <w:rFonts w:ascii="Arial" w:cs="Arial" w:eastAsia="Arial" w:hAnsi="Arial"/>
          <w:sz w:val="18"/>
          <w:szCs w:val="18"/>
          <w:color w:val="auto"/>
        </w:rPr>
        <w:t xml:space="preserve">, a Delaware corporation, and </w:t>
      </w:r>
      <w:r>
        <w:rPr>
          <w:rFonts w:ascii="Arial" w:cs="Arial" w:eastAsia="Arial" w:hAnsi="Arial"/>
          <w:sz w:val="18"/>
          <w:szCs w:val="18"/>
          <w:b w:val="1"/>
          <w:bCs w:val="1"/>
          <w:color w:val="auto"/>
        </w:rPr>
        <w:t>WESTLAKE</w:t>
      </w:r>
      <w:r>
        <w:rPr>
          <w:rFonts w:ascii="Arial" w:cs="Arial" w:eastAsia="Arial" w:hAnsi="Arial"/>
          <w:sz w:val="18"/>
          <w:szCs w:val="18"/>
          <w:color w:val="auto"/>
        </w:rPr>
        <w:t xml:space="preserve"> </w:t>
      </w:r>
      <w:r>
        <w:rPr>
          <w:rFonts w:ascii="Arial" w:cs="Arial" w:eastAsia="Arial" w:hAnsi="Arial"/>
          <w:sz w:val="18"/>
          <w:szCs w:val="18"/>
          <w:b w:val="1"/>
          <w:bCs w:val="1"/>
          <w:color w:val="auto"/>
        </w:rPr>
        <w:t>PETROCHEMCIALS LLC</w:t>
      </w:r>
      <w:r>
        <w:rPr>
          <w:rFonts w:ascii="Arial" w:cs="Arial" w:eastAsia="Arial" w:hAnsi="Arial"/>
          <w:sz w:val="18"/>
          <w:szCs w:val="18"/>
          <w:color w:val="auto"/>
        </w:rPr>
        <w:t>, a Delaware limited liability company (each, a “</w:t>
      </w:r>
      <w:r>
        <w:rPr>
          <w:rFonts w:ascii="Arial" w:cs="Arial" w:eastAsia="Arial" w:hAnsi="Arial"/>
          <w:sz w:val="18"/>
          <w:szCs w:val="18"/>
          <w:b w:val="1"/>
          <w:bCs w:val="1"/>
          <w:i w:val="1"/>
          <w:iCs w:val="1"/>
          <w:color w:val="auto"/>
        </w:rPr>
        <w:t>Buyer Party</w:t>
      </w:r>
      <w:r>
        <w:rPr>
          <w:rFonts w:ascii="Arial" w:cs="Arial" w:eastAsia="Arial" w:hAnsi="Arial"/>
          <w:sz w:val="18"/>
          <w:szCs w:val="18"/>
          <w:color w:val="auto"/>
        </w:rPr>
        <w:t>,” and collectively,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Seller and Buyer hereinafter 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each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the Agreement in 2014 in order to provide for the purchase by Buyer and the sale by Seller of certain Ethylene</w:t>
      </w:r>
      <w:r>
        <w:rPr>
          <w:rFonts w:ascii="Arial" w:cs="Arial" w:eastAsia="Arial" w:hAnsi="Arial"/>
          <w:sz w:val="18"/>
          <w:szCs w:val="18"/>
          <w:b w:val="1"/>
          <w:bCs w:val="1"/>
          <w:color w:val="auto"/>
        </w:rPr>
        <w:t xml:space="preserve"> </w:t>
      </w:r>
      <w:r>
        <w:rPr>
          <w:rFonts w:ascii="Arial" w:cs="Arial" w:eastAsia="Arial" w:hAnsi="Arial"/>
          <w:sz w:val="18"/>
          <w:szCs w:val="18"/>
          <w:color w:val="auto"/>
        </w:rPr>
        <w:t>produced by Seller at its Plants;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Seller also uses its Plants to reprocess certain Poly Purge of Buyer or its affiliates pursuant to the Services Agreement; and</w:t>
      </w:r>
    </w:p>
    <w:p>
      <w:pPr>
        <w:spacing w:after="0" w:line="23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17.8 of the ESA provides that the ESA may be amended only by a written agreement of all the Parties, designated on its face</w:t>
      </w:r>
      <w:r>
        <w:rPr>
          <w:rFonts w:ascii="Arial" w:cs="Arial" w:eastAsia="Arial" w:hAnsi="Arial"/>
          <w:sz w:val="18"/>
          <w:szCs w:val="18"/>
          <w:b w:val="1"/>
          <w:bCs w:val="1"/>
          <w:color w:val="auto"/>
        </w:rPr>
        <w:t xml:space="preserve"> </w:t>
      </w:r>
      <w:r>
        <w:rPr>
          <w:rFonts w:ascii="Arial" w:cs="Arial" w:eastAsia="Arial" w:hAnsi="Arial"/>
          <w:sz w:val="18"/>
          <w:szCs w:val="18"/>
          <w:color w:val="auto"/>
        </w:rPr>
        <w:t>an “Amendment;” and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determined to amend the Agreement to reflect certain modifications and clarifications to better reflect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intent of the Parties, including amendments to reflect the interplay of the Parties obligations hereunder and the obligations with respect to Poly Purge under the Services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representations, warranties, covenants and agreements herein contained,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the Parties hereby agrees as follows: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ind w:left="1540"/>
        <w:spacing w:after="0"/>
        <w:tabs>
          <w:tab w:leader="none" w:pos="19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Defined Terms</w:t>
      </w:r>
      <w:r>
        <w:rPr>
          <w:rFonts w:ascii="Arial" w:cs="Arial" w:eastAsia="Arial" w:hAnsi="Arial"/>
          <w:sz w:val="16"/>
          <w:szCs w:val="16"/>
          <w:color w:val="auto"/>
        </w:rPr>
        <w:t>. Capitalized terms not otherwise defined herein shall have the meanings set forth therefor in the Agreement.</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AMENDMENTS OF AGREEMENT</w:t>
      </w:r>
    </w:p>
    <w:p>
      <w:pPr>
        <w:spacing w:after="0" w:line="9" w:lineRule="exact"/>
        <w:rPr>
          <w:sz w:val="20"/>
          <w:szCs w:val="20"/>
          <w:color w:val="auto"/>
        </w:rPr>
      </w:pPr>
    </w:p>
    <w:p>
      <w:pPr>
        <w:ind w:left="1780"/>
        <w:spacing w:after="0"/>
        <w:tabs>
          <w:tab w:leader="none" w:pos="21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Section 1.1 of the Agreement is hereby amended to add or restate the following definitions therein:</w:t>
      </w:r>
    </w:p>
    <w:p>
      <w:pPr>
        <w:spacing w:after="0" w:line="207"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Output</w:t>
      </w:r>
      <w:r>
        <w:rPr>
          <w:rFonts w:ascii="Arial" w:cs="Arial" w:eastAsia="Arial" w:hAnsi="Arial"/>
          <w:sz w:val="18"/>
          <w:szCs w:val="18"/>
          <w:color w:val="auto"/>
        </w:rPr>
        <w:t>” means, for any year or portion thereof, the Annual Production for such year plus the amount of Poly Purge reprocessed during such year.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Planned Output</w:t>
      </w:r>
      <w:r>
        <w:rPr>
          <w:rFonts w:ascii="Arial" w:cs="Arial" w:eastAsia="Arial" w:hAnsi="Arial"/>
          <w:sz w:val="18"/>
          <w:szCs w:val="18"/>
          <w:color w:val="auto"/>
        </w:rPr>
        <w:t>” shall have the meaning set forth in Section 3.1.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Planned Production</w:t>
      </w:r>
      <w:r>
        <w:rPr>
          <w:rFonts w:ascii="Arial" w:cs="Arial" w:eastAsia="Arial" w:hAnsi="Arial"/>
          <w:sz w:val="18"/>
          <w:szCs w:val="18"/>
          <w:color w:val="auto"/>
        </w:rPr>
        <w:t>” shall have the meaning set forth in Section 3.1.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Purchase Ratio</w:t>
      </w:r>
      <w:r>
        <w:rPr>
          <w:rFonts w:ascii="Arial" w:cs="Arial" w:eastAsia="Arial" w:hAnsi="Arial"/>
          <w:sz w:val="18"/>
          <w:szCs w:val="18"/>
          <w:color w:val="auto"/>
        </w:rPr>
        <w:t>” means:</w:t>
      </w:r>
    </w:p>
    <w:p>
      <w:pPr>
        <w:spacing w:after="0" w:line="256" w:lineRule="exact"/>
        <w:rPr>
          <w:sz w:val="20"/>
          <w:szCs w:val="20"/>
          <w:color w:val="auto"/>
        </w:rPr>
      </w:pPr>
    </w:p>
    <w:p>
      <w:pPr>
        <w:ind w:left="660" w:firstLine="645"/>
        <w:spacing w:after="0" w:line="324" w:lineRule="auto"/>
        <w:tabs>
          <w:tab w:leader="none" w:pos="21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for purposes of Section 5.1 and Schedule 5.1, (i) actual Production purchased by Buyer plus the amount of Output used for Poly Purge,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(ii) Production purchased by Buyer;</w:t>
      </w:r>
    </w:p>
    <w:p>
      <w:pPr>
        <w:spacing w:after="0" w:line="143" w:lineRule="exact"/>
        <w:rPr>
          <w:rFonts w:ascii="Arial" w:cs="Arial" w:eastAsia="Arial" w:hAnsi="Arial"/>
          <w:sz w:val="18"/>
          <w:szCs w:val="18"/>
          <w:color w:val="auto"/>
        </w:rPr>
      </w:pPr>
    </w:p>
    <w:p>
      <w:pPr>
        <w:ind w:left="660" w:right="420" w:firstLine="645"/>
        <w:spacing w:after="0" w:line="277" w:lineRule="auto"/>
        <w:tabs>
          <w:tab w:leader="none" w:pos="16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purposes of Sections 5.2 or 5.3, (i) forecast Production expected to be purchased by Buyer plus the forecast amount of Output expected to be used for Poly Purge, divided by (ii) forecast Production expected to be purchased by Buyer.</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625" w:right="239" w:bottom="1440" w:gutter="0" w:footer="0" w:header="0"/>
        </w:sectPr>
      </w:pPr>
    </w:p>
    <w:bookmarkStart w:id="35" w:name="page36"/>
    <w:bookmarkEnd w:id="35"/>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Output</w:t>
      </w:r>
      <w:r>
        <w:rPr>
          <w:rFonts w:ascii="Arial" w:cs="Arial" w:eastAsia="Arial" w:hAnsi="Arial"/>
          <w:sz w:val="18"/>
          <w:szCs w:val="18"/>
          <w:color w:val="auto"/>
        </w:rPr>
        <w:t>” means, for any period, Production for such period plus the amount of Poly Purge reprocessed during such period.</w:t>
      </w:r>
    </w:p>
    <w:p>
      <w:pPr>
        <w:spacing w:after="0" w:line="225" w:lineRule="exact"/>
        <w:rPr>
          <w:sz w:val="20"/>
          <w:szCs w:val="20"/>
          <w:color w:val="auto"/>
        </w:rPr>
      </w:pPr>
    </w:p>
    <w:p>
      <w:pPr>
        <w:jc w:val="both"/>
        <w:ind w:lef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Poly Purge</w:t>
      </w:r>
      <w:r>
        <w:rPr>
          <w:rFonts w:ascii="Arial" w:cs="Arial" w:eastAsia="Arial" w:hAnsi="Arial"/>
          <w:sz w:val="18"/>
          <w:szCs w:val="18"/>
          <w:color w:val="auto"/>
        </w:rPr>
        <w:t>” shall mean the ethylene product recycle stream from certain Downstream Facilities and reprocessed by the Seller pursuant to the Services Agreement.</w:t>
      </w:r>
    </w:p>
    <w:p>
      <w:pPr>
        <w:spacing w:after="0" w:line="162" w:lineRule="exact"/>
        <w:rPr>
          <w:sz w:val="20"/>
          <w:szCs w:val="20"/>
          <w:color w:val="auto"/>
        </w:rPr>
      </w:pPr>
    </w:p>
    <w:p>
      <w:pPr>
        <w:jc w:val="both"/>
        <w:ind w:lef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Production</w:t>
      </w:r>
      <w:r>
        <w:rPr>
          <w:rFonts w:ascii="Arial" w:cs="Arial" w:eastAsia="Arial" w:hAnsi="Arial"/>
          <w:sz w:val="18"/>
          <w:szCs w:val="18"/>
          <w:color w:val="auto"/>
        </w:rPr>
        <w:t>” shall mean the aggregate quantities of Ethylene (in pounds) actually produced at the Plants by cracking Feedstock, regardless of whether purchased by Buyer, and, for the avoidance of doubt, excluding any Poly Purge.</w:t>
      </w:r>
    </w:p>
    <w:p>
      <w:pPr>
        <w:spacing w:after="0" w:line="162"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definition of “</w:t>
      </w:r>
      <w:r>
        <w:rPr>
          <w:rFonts w:ascii="Arial" w:cs="Arial" w:eastAsia="Arial" w:hAnsi="Arial"/>
          <w:sz w:val="16"/>
          <w:szCs w:val="16"/>
          <w:b w:val="1"/>
          <w:bCs w:val="1"/>
          <w:color w:val="auto"/>
        </w:rPr>
        <w:t>Metering Point</w:t>
      </w:r>
      <w:r>
        <w:rPr>
          <w:rFonts w:ascii="Arial" w:cs="Arial" w:eastAsia="Arial" w:hAnsi="Arial"/>
          <w:sz w:val="16"/>
          <w:szCs w:val="16"/>
          <w:color w:val="auto"/>
        </w:rPr>
        <w:t>” in Section 1.1 is amended to replace the word “deliveries” with the word “sold”.</w:t>
      </w:r>
    </w:p>
    <w:p>
      <w:pPr>
        <w:spacing w:after="0" w:line="229"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Section 3.1 of the Agreement is hereby amended by inserting the following text after the definition of “Annual Planned Production”:</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“and the Parties shall agree on a reasonable good faith projection of the total quantity of Poly Purge (in pounds) that will be reprocessed by Seller under the Services Agreement during such Contract Year (such quantity, together with the Annual Planned Production, the “</w:t>
      </w:r>
      <w:r>
        <w:rPr>
          <w:rFonts w:ascii="Arial" w:cs="Arial" w:eastAsia="Arial" w:hAnsi="Arial"/>
          <w:sz w:val="18"/>
          <w:szCs w:val="18"/>
          <w:b w:val="1"/>
          <w:bCs w:val="1"/>
          <w:color w:val="auto"/>
        </w:rPr>
        <w:t>Annual Planned</w:t>
      </w:r>
      <w:r>
        <w:rPr>
          <w:rFonts w:ascii="Arial" w:cs="Arial" w:eastAsia="Arial" w:hAnsi="Arial"/>
          <w:sz w:val="18"/>
          <w:szCs w:val="18"/>
          <w:color w:val="auto"/>
        </w:rPr>
        <w:t xml:space="preserve"> </w:t>
      </w:r>
      <w:r>
        <w:rPr>
          <w:rFonts w:ascii="Arial" w:cs="Arial" w:eastAsia="Arial" w:hAnsi="Arial"/>
          <w:sz w:val="18"/>
          <w:szCs w:val="18"/>
          <w:b w:val="1"/>
          <w:bCs w:val="1"/>
          <w:color w:val="auto"/>
        </w:rPr>
        <w:t>Output</w:t>
      </w:r>
      <w:r>
        <w:rPr>
          <w:rFonts w:ascii="Arial" w:cs="Arial" w:eastAsia="Arial" w:hAnsi="Arial"/>
          <w:sz w:val="18"/>
          <w:szCs w:val="18"/>
          <w:color w:val="auto"/>
        </w:rPr>
        <w:t>”)”</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2.4 The obligation set forth in Section 4.1(a)(ii) of the Agreement shall be subject to the limit of 95% of any Excess Quantity pursuant to Section 4.1(d).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2.5 The price for Excess Quantity under Section 4.1(d) of the Agreement shall be the price set forth in Section 5.1, provided that All Other Cash Production Costs shall only include Variable Cash Conversion Costs and the Prior Year Adjustment shall not apply.</w:t>
      </w:r>
    </w:p>
    <w:p>
      <w:pPr>
        <w:spacing w:after="0" w:line="170"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Section 4.4 is amended to replace the words “a quantity of Ethylene” with “a quantity of Output”.</w:t>
      </w:r>
    </w:p>
    <w:p>
      <w:pPr>
        <w:spacing w:after="0" w:line="22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2.7 Section 5.1 of the Agreement is hereby amended to delete Purge Gas Recovery from the calculation thereof and to provide that the $0.10/lb component shall be multiplied by the Buyer Purchase Ratio.</w:t>
      </w:r>
    </w:p>
    <w:p>
      <w:pPr>
        <w:spacing w:after="0" w:line="170"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2.8 Section 5.2(a) of the Agreement is amended (i) to replace “Annual Planned Production” with “Annual Planned Output”; (ii) to provide that the quotient of the division in the first paragraph thereof shall be multiplied by the Buyer Purchase Ratio; and (iii) to provide that, in all cost categories of AOCPC, incremental costs specific to reprocessing of Poly Purge (i.e. antifoulant and other chemicals) shall be excluded, but costs that would be incurred if additional Ethylene was produced in lieu of reprocessing Poly Purge shall be included.</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2.9 Section 5.2(c)(i)(B) and Section 5.2(c)(ii)(B) of the Agreement are amended to replace “Annual Planned Production” with “Annual Planned Output” and, in the case of Section 5.2(c)(ii)(B), to provide that the amount in clause (2) shall include the Seller’s reasonable good faith projection of the total quantity of Ethylene (in pounds) that it will reprocess (i.e. Poly Purge), in addition to the quantity of Ethylene (in pounds) that it will produce.</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2.10 Section 5.2(a) of the Agreement is amended to provide that the Prior Year Adjustment shall be calculated as the Shortfall Amount divided by the Annual Planned Output for such Contract Year multiplied by the Buyer Purchase Ratio for such Contract Year.</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2.11 Section 9.1 of the Agreement is amended to (i) delete the phrase “Other than in the event of an extended period of Force Majeure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in the second sentence thereof and (ii) capitalize the word “nothing” immediately following such phrase.</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2.12 Section 9.5 of the Agreement is amended to delete the following words “(a) the Annual Minimum Quantity shall be reduced by a quantity of Ethylene equal to the annualized average of such shortfall, (b) Buyer shall be credited such portion of the Ethylene Shortfall Fee(s) paid during the Contract Year (if any) for such deficient quantities, and (c)” therefrom.</w:t>
      </w:r>
    </w:p>
    <w:p>
      <w:pPr>
        <w:spacing w:after="0" w:line="181"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Schedule 5.1 of the Agreement is amended to:</w:t>
      </w:r>
    </w:p>
    <w:p>
      <w:pPr>
        <w:spacing w:after="0" w:line="200" w:lineRule="exact"/>
        <w:rPr>
          <w:sz w:val="20"/>
          <w:szCs w:val="20"/>
          <w:color w:val="auto"/>
        </w:rPr>
      </w:pPr>
    </w:p>
    <w:p>
      <w:pPr>
        <w:spacing w:after="0" w:line="264" w:lineRule="exact"/>
        <w:rPr>
          <w:sz w:val="20"/>
          <w:szCs w:val="20"/>
          <w:color w:val="auto"/>
        </w:rPr>
      </w:pPr>
    </w:p>
    <w:p>
      <w:pPr>
        <w:ind w:left="39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160"/>
          </w:cols>
          <w:pgMar w:left="500" w:top="364" w:right="239" w:bottom="1440" w:gutter="0" w:footer="0" w:header="0"/>
        </w:sectPr>
      </w:pPr>
    </w:p>
    <w:bookmarkStart w:id="36" w:name="page37"/>
    <w:bookmarkEnd w:id="36"/>
    <w:p>
      <w:pPr>
        <w:ind w:firstLine="1301"/>
        <w:spacing w:after="0" w:line="277" w:lineRule="auto"/>
        <w:tabs>
          <w:tab w:leader="none" w:pos="16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Restate clause (ii) of the definition of “Cost of Energy” as “the actual Output of the Plants (lb) during such period, multiplied by the Buyer Purchase Ratio for such period”;</w:t>
      </w:r>
    </w:p>
    <w:p>
      <w:pPr>
        <w:spacing w:after="0" w:line="170" w:lineRule="exact"/>
        <w:rPr>
          <w:rFonts w:ascii="Arial" w:cs="Arial" w:eastAsia="Arial" w:hAnsi="Arial"/>
          <w:sz w:val="18"/>
          <w:szCs w:val="18"/>
          <w:color w:val="auto"/>
        </w:rPr>
      </w:pPr>
    </w:p>
    <w:p>
      <w:pPr>
        <w:ind w:left="1700" w:hanging="399"/>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Delete the definitions “Purge Gas Recovery” and “Poly Purge”;</w:t>
      </w:r>
    </w:p>
    <w:p>
      <w:pPr>
        <w:spacing w:after="0" w:line="225" w:lineRule="exact"/>
        <w:rPr>
          <w:rFonts w:ascii="Arial" w:cs="Arial" w:eastAsia="Arial" w:hAnsi="Arial"/>
          <w:sz w:val="18"/>
          <w:szCs w:val="18"/>
          <w:color w:val="auto"/>
        </w:rPr>
      </w:pPr>
    </w:p>
    <w:p>
      <w:pPr>
        <w:ind w:right="320" w:firstLine="1301"/>
        <w:spacing w:after="0" w:line="277" w:lineRule="auto"/>
        <w:tabs>
          <w:tab w:leader="none" w:pos="16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definition of “Co-Product Credit”, restate “Seller’s total output” as “Production” and restate “the quantity of Ethylene (in pounds) actually delivered” as “the quantity of Production (in pounds) sold”;</w:t>
      </w:r>
    </w:p>
    <w:p>
      <w:pPr>
        <w:spacing w:after="0" w:line="170" w:lineRule="exact"/>
        <w:rPr>
          <w:rFonts w:ascii="Arial" w:cs="Arial" w:eastAsia="Arial" w:hAnsi="Arial"/>
          <w:sz w:val="18"/>
          <w:szCs w:val="18"/>
          <w:color w:val="auto"/>
        </w:rPr>
      </w:pPr>
    </w:p>
    <w:p>
      <w:pPr>
        <w:ind w:left="1700" w:hanging="399"/>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definition of “Feedstock Efficiency Adjuster”, in the formula of Actual Yield, adding “Poly Purge (lb)” to the numerator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ind w:left="1680" w:hanging="379"/>
        <w:spacing w:after="0"/>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definition of “Natural Gas”, inserting “and processing of Poly Purge” after “production of Ethylene”;</w:t>
      </w:r>
    </w:p>
    <w:p>
      <w:pPr>
        <w:spacing w:after="0" w:line="225" w:lineRule="exact"/>
        <w:rPr>
          <w:rFonts w:ascii="Arial" w:cs="Arial" w:eastAsia="Arial" w:hAnsi="Arial"/>
          <w:sz w:val="18"/>
          <w:szCs w:val="18"/>
          <w:color w:val="auto"/>
        </w:rPr>
      </w:pPr>
    </w:p>
    <w:p>
      <w:pPr>
        <w:ind w:left="1660" w:hanging="359"/>
        <w:spacing w:after="0"/>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Replacing the definition of “Ethylene Produced” with the following:</w:t>
      </w:r>
    </w:p>
    <w:p>
      <w:pPr>
        <w:spacing w:after="0" w:line="225" w:lineRule="exact"/>
        <w:rPr>
          <w:sz w:val="20"/>
          <w:szCs w:val="20"/>
          <w:color w:val="auto"/>
        </w:rPr>
      </w:pPr>
    </w:p>
    <w:p>
      <w:pPr>
        <w:ind w:left="1740" w:right="380"/>
        <w:spacing w:after="0" w:line="277" w:lineRule="auto"/>
        <w:rPr>
          <w:sz w:val="20"/>
          <w:szCs w:val="20"/>
          <w:color w:val="auto"/>
        </w:rPr>
      </w:pPr>
      <w:r>
        <w:rPr>
          <w:rFonts w:ascii="Arial" w:cs="Arial" w:eastAsia="Arial" w:hAnsi="Arial"/>
          <w:sz w:val="18"/>
          <w:szCs w:val="18"/>
          <w:u w:val="single" w:color="auto"/>
          <w:color w:val="auto"/>
        </w:rPr>
        <w:t>“Ethylene Output</w:t>
      </w:r>
      <w:r>
        <w:rPr>
          <w:rFonts w:ascii="Arial" w:cs="Arial" w:eastAsia="Arial" w:hAnsi="Arial"/>
          <w:sz w:val="18"/>
          <w:szCs w:val="18"/>
          <w:color w:val="auto"/>
        </w:rPr>
        <w:t xml:space="preserve"> (lb) = the total quantity (lb) of Ethylene delivered at the Metering Points during such Period, including both produced at the Plants and Poly Purge reprocessed;”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replacing the words “Ethylene Produced” with the words “Ethylene Output” in the formulas of Actual Energy and Actual Yield; and</w:t>
      </w:r>
    </w:p>
    <w:p>
      <w:pPr>
        <w:spacing w:after="0" w:line="22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In the definition of “Feedstock Consumed”, deleting the words “, Poly Purge”.</w:t>
      </w:r>
    </w:p>
    <w:p>
      <w:pPr>
        <w:spacing w:after="0" w:line="22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0" w:right="280" w:firstLine="648"/>
        <w:spacing w:after="0" w:line="277" w:lineRule="auto"/>
        <w:rPr>
          <w:sz w:val="20"/>
          <w:szCs w:val="20"/>
          <w:color w:val="auto"/>
        </w:rPr>
      </w:pPr>
      <w:r>
        <w:rPr>
          <w:rFonts w:ascii="Arial" w:cs="Arial" w:eastAsia="Arial" w:hAnsi="Arial"/>
          <w:sz w:val="18"/>
          <w:szCs w:val="18"/>
          <w:color w:val="auto"/>
        </w:rPr>
        <w:t>3.1 This Amendment shall be subject to and governed by the laws of the State of Texas, excluding any conflicts-of-law rule or principle that might refer the construction or interpretation of this Agreement to the laws of another state.</w:t>
      </w:r>
    </w:p>
    <w:p>
      <w:pPr>
        <w:spacing w:after="0" w:line="170" w:lineRule="exact"/>
        <w:rPr>
          <w:sz w:val="20"/>
          <w:szCs w:val="20"/>
          <w:color w:val="auto"/>
        </w:rPr>
      </w:pPr>
    </w:p>
    <w:p>
      <w:pPr>
        <w:ind w:left="68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Except as hereby amended, the Agreement shall remain in full force and effect.</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64"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80"/>
          </w:cols>
          <w:pgMar w:left="460" w:top="368" w:right="2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party hereto has caused this Amendment to be signed as of the date first written above.</w:t>
      </w:r>
    </w:p>
    <w:p>
      <w:pPr>
        <w:sectPr>
          <w:pgSz w:w="11900" w:h="16838" w:orient="portrait"/>
          <w:cols w:equalWidth="0" w:num="1">
            <w:col w:w="9559"/>
          </w:cols>
          <w:pgMar w:left="900" w:top="364" w:right="1440" w:bottom="1440" w:gutter="0" w:footer="0" w:header="0"/>
        </w:sectPr>
      </w:pPr>
    </w:p>
    <w:p>
      <w:pPr>
        <w:spacing w:after="0" w:line="35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SELLER:</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WESTLAKE CHEMICAL OPCO LP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Westlake Chemical OpCo GP LLC,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E. Teel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-10160</wp:posOffset>
            </wp:positionV>
            <wp:extent cx="1052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2195" cy="8890"/>
                    </a:xfrm>
                    <a:prstGeom prst="rect">
                      <a:avLst/>
                    </a:prstGeom>
                    <a:noFill/>
                  </pic:spPr>
                </pic:pic>
              </a:graphicData>
            </a:graphic>
          </wp:anchor>
        </w:drawing>
      </w:r>
    </w:p>
    <w:tbl>
      <w:tblPr>
        <w:tblLayout w:type="fixed"/>
        <w:tblInd w:w="3240" w:type="dxa"/>
        <w:tblCellMar>
          <w:top w:w="0" w:type="dxa"/>
          <w:left w:w="0" w:type="dxa"/>
          <w:bottom w:w="0" w:type="dxa"/>
          <w:right w:w="0" w:type="dxa"/>
        </w:tblCellMar>
      </w:tblPr>
      <w:tr>
        <w:trPr>
          <w:trHeight w:val="199"/>
        </w:trPr>
        <w:tc>
          <w:tcPr>
            <w:tcW w:w="640" w:type="dxa"/>
            <w:vAlign w:val="bottom"/>
          </w:tcPr>
          <w:p>
            <w:pPr>
              <w:spacing w:after="0" w:line="199"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7"/>
                <w:szCs w:val="17"/>
                <w:color w:val="auto"/>
              </w:rPr>
            </w:pPr>
          </w:p>
        </w:tc>
        <w:tc>
          <w:tcPr>
            <w:tcW w:w="144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auto"/>
              </w:rPr>
              <w:t>Lawrence E. Teel</w:t>
            </w:r>
          </w:p>
        </w:tc>
        <w:tc>
          <w:tcPr>
            <w:tcW w:w="300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1"/>
              </w:rPr>
              <w:t>Principal Operating Officer and Senior Vice President Olefins</w:t>
            </w:r>
          </w:p>
        </w:tc>
      </w:tr>
    </w:tbl>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WPT LLC</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Westlake Chemical Investments, Inc.,</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pacing w:after="0" w:line="227"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-10160</wp:posOffset>
            </wp:positionV>
            <wp:extent cx="812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2800" cy="8890"/>
                    </a:xfrm>
                    <a:prstGeom prst="rect">
                      <a:avLst/>
                    </a:prstGeom>
                    <a:noFill/>
                  </pic:spPr>
                </pic:pic>
              </a:graphicData>
            </a:graphic>
          </wp:anchor>
        </w:drawing>
      </w:r>
    </w:p>
    <w:p>
      <w:pPr>
        <w:spacing w:after="0" w:line="3"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-19050</wp:posOffset>
            </wp:positionV>
            <wp:extent cx="676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275" cy="8890"/>
                    </a:xfrm>
                    <a:prstGeom prst="rect">
                      <a:avLst/>
                    </a:prstGeom>
                    <a:noFill/>
                  </pic:spPr>
                </pic:pic>
              </a:graphicData>
            </a:graphic>
          </wp:anchor>
        </w:drawing>
      </w:r>
    </w:p>
    <w:p>
      <w:pPr>
        <w:ind w:left="3240"/>
        <w:spacing w:after="0"/>
        <w:tabs>
          <w:tab w:leader="none" w:pos="3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President</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WESTLAKE VINYLS, INC.</w:t>
      </w:r>
    </w:p>
    <w:p>
      <w:pPr>
        <w:spacing w:after="0" w:line="200" w:lineRule="exact"/>
        <w:rPr>
          <w:sz w:val="20"/>
          <w:szCs w:val="20"/>
          <w:color w:val="auto"/>
        </w:rPr>
      </w:pPr>
    </w:p>
    <w:p>
      <w:pPr>
        <w:spacing w:after="0" w:line="241"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-10160</wp:posOffset>
            </wp:positionV>
            <wp:extent cx="812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2800" cy="8890"/>
                    </a:xfrm>
                    <a:prstGeom prst="rect">
                      <a:avLst/>
                    </a:prstGeom>
                    <a:noFill/>
                  </pic:spPr>
                </pic:pic>
              </a:graphicData>
            </a:graphic>
          </wp:anchor>
        </w:drawing>
      </w:r>
    </w:p>
    <w:p>
      <w:pPr>
        <w:spacing w:after="0" w:line="3"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-19050</wp:posOffset>
            </wp:positionV>
            <wp:extent cx="676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275" cy="8890"/>
                    </a:xfrm>
                    <a:prstGeom prst="rect">
                      <a:avLst/>
                    </a:prstGeom>
                    <a:noFill/>
                  </pic:spPr>
                </pic:pic>
              </a:graphicData>
            </a:graphic>
          </wp:anchor>
        </w:drawing>
      </w:r>
    </w:p>
    <w:p>
      <w:pPr>
        <w:ind w:left="3240"/>
        <w:spacing w:after="0"/>
        <w:tabs>
          <w:tab w:leader="none" w:pos="3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President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WESTLAKE PETROCHEMICALS LLC</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Westlake Chemical Investments, Inc.,</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pacing w:after="0" w:line="227"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-10160</wp:posOffset>
            </wp:positionV>
            <wp:extent cx="812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2800" cy="8890"/>
                    </a:xfrm>
                    <a:prstGeom prst="rect">
                      <a:avLst/>
                    </a:prstGeom>
                    <a:noFill/>
                  </pic:spPr>
                </pic:pic>
              </a:graphicData>
            </a:graphic>
          </wp:anchor>
        </w:drawing>
      </w:r>
    </w:p>
    <w:p>
      <w:pPr>
        <w:spacing w:after="0" w:line="3"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-19050</wp:posOffset>
            </wp:positionV>
            <wp:extent cx="6762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275" cy="8890"/>
                    </a:xfrm>
                    <a:prstGeom prst="rect">
                      <a:avLst/>
                    </a:prstGeom>
                    <a:noFill/>
                  </pic:spPr>
                </pic:pic>
              </a:graphicData>
            </a:graphic>
          </wp:anchor>
        </w:drawing>
      </w:r>
    </w:p>
    <w:p>
      <w:pPr>
        <w:ind w:left="3240"/>
        <w:spacing w:after="0"/>
        <w:tabs>
          <w:tab w:leader="none" w:pos="3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720"/>
        <w:spacing w:after="0"/>
        <w:rPr>
          <w:sz w:val="20"/>
          <w:szCs w:val="20"/>
          <w:color w:val="auto"/>
        </w:rPr>
      </w:pPr>
      <w:r>
        <w:rPr>
          <w:rFonts w:ascii="Arial" w:cs="Arial" w:eastAsia="Arial" w:hAnsi="Arial"/>
          <w:sz w:val="18"/>
          <w:szCs w:val="18"/>
          <w:i w:val="1"/>
          <w:iCs w:val="1"/>
          <w:color w:val="auto"/>
        </w:rPr>
        <w:t>Signature Page to First Amendment to Ethylene Sales Agreement</w:t>
      </w:r>
    </w:p>
    <w:p>
      <w:pPr>
        <w:spacing w:after="0" w:line="248" w:lineRule="exact"/>
        <w:rPr>
          <w:sz w:val="20"/>
          <w:szCs w:val="20"/>
          <w:color w:val="auto"/>
        </w:rPr>
      </w:pPr>
    </w:p>
    <w:p>
      <w:pPr>
        <w:ind w:left="35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559"/>
          </w:cols>
          <w:pgMar w:left="900" w:top="364" w:right="1440"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August 9, 2016</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Senior Vice President, Chief Financial Officer, Treasurer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w:t>
      </w:r>
    </w:p>
    <w:p>
      <w:pPr>
        <w:jc w:val="center"/>
        <w:ind w:left="708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June 30, 2016 as filed with the Securities and Exchange Commission on the date hereof (the "Report"), I, Albert Chao, President, Chief Executive Officer and Director of the Partnership, and I, M. Steven Bender, Senior Vice President, Chief Financial Officer, Treasurer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August 9, 2016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August 9, 2016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Senior Vice President, Chief Financial Officer,</w:t>
      </w:r>
    </w:p>
    <w:p>
      <w:pPr>
        <w:jc w:val="center"/>
        <w:ind w:left="7080"/>
        <w:spacing w:after="0" w:line="226" w:lineRule="auto"/>
        <w:rPr>
          <w:sz w:val="20"/>
          <w:szCs w:val="20"/>
          <w:color w:val="auto"/>
        </w:rPr>
      </w:pPr>
      <w:r>
        <w:rPr>
          <w:rFonts w:ascii="Arial" w:cs="Arial" w:eastAsia="Arial" w:hAnsi="Arial"/>
          <w:sz w:val="14"/>
          <w:szCs w:val="14"/>
          <w:b w:val="1"/>
          <w:bCs w:val="1"/>
          <w:color w:val="auto"/>
        </w:rPr>
        <w:t>Treasurer and Director of</w:t>
      </w:r>
    </w:p>
    <w:p>
      <w:pPr>
        <w:jc w:val="center"/>
        <w:ind w:left="708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3"/>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lvl w:ilvl="1">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2020-01-21T03:04:14Z</dcterms:created>
  <dcterms:modified xsi:type="dcterms:W3CDTF">2020-01-21T03:04:14Z</dcterms:modified>
</cp:coreProperties>
</file>