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WESTLAKE CHEMICAL PARTNERS LP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2801 Post Oak Boulevard, Suite 600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Houston, Texas 77056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VIA EDGAR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March 9, 2026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United States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Industrial Applications and Services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Attention: Robert Augustin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  <w:tab/>
        <w:t>Westlake Chemical Partners LP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S-3, filed March 4, 2026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333-294019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firstLine="440"/>
        <w:spacing w:after="0" w:line="2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 accordance with Rule 461 promulgated under the Securities Act of 1933, as amended, Westlake Chemical Partners LP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Partnership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hereby requests acceleration of the effective date of the above-referenced Registration Statement on Form S-3 (File No. 333-294019)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Registration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Statement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”). The Partnership respectfully request that the Registration Statement become effective as of 4:05 p.m., Eastern Time, on March 11, 2026 or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as soon as practicable thereafter. Once the Registration Statement has been declared effective, please orally confirm that event with our counsel, Latham &amp; Watkins LLP, by calling Clayton M. Heery at (713) 546-7487.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[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Signature Page Follows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]</w:t>
      </w:r>
    </w:p>
    <w:p>
      <w:pPr>
        <w:sectPr>
          <w:pgSz w:w="11900" w:h="16838" w:orient="portrait"/>
          <w:cols w:equalWidth="0" w:num="1">
            <w:col w:w="10940"/>
          </w:cols>
          <w:pgMar w:left="440" w:top="225" w:right="519" w:bottom="1440" w:gutter="0" w:footer="0" w:header="0"/>
        </w:sectPr>
      </w:pPr>
    </w:p>
    <w:bookmarkStart w:id="1" w:name="page2"/>
    <w:bookmarkEnd w:id="1"/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Very truly yours,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WESTLAKE CHEMICAL PARTNERS LP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L. Benjamin Ederington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4200525</wp:posOffset>
            </wp:positionH>
            <wp:positionV relativeFrom="paragraph">
              <wp:posOffset>17145</wp:posOffset>
            </wp:positionV>
            <wp:extent cx="279463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L. Benjamin Ederington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Executive Vice President, Legal and External Affairs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left="444" w:right="6880" w:hanging="444"/>
        <w:spacing w:after="0" w:line="289" w:lineRule="auto"/>
        <w:tabs>
          <w:tab w:leader="none" w:pos="43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Ryan J. Maierson, Latham &amp; Watkins LLP Nick S. Dhesi, Latham &amp; Watkins LLP Clayton M. Heery, Latham &amp; Watkins LLP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0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[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Signature Page to Acceleration Request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]</w:t>
      </w:r>
    </w:p>
    <w:sectPr>
      <w:pgSz w:w="11900" w:h="16838" w:orient="portrait"/>
      <w:cols w:equalWidth="0" w:num="1">
        <w:col w:w="10424"/>
      </w:cols>
      <w:pgMar w:left="436" w:top="270" w:right="10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2026-04-13T23:09:20Z</dcterms:created>
  <dcterms:modified xsi:type="dcterms:W3CDTF">2026-04-13T23:09:20Z</dcterms:modified>
</cp:coreProperties>
</file>