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141605</wp:posOffset>
            </wp:positionV>
            <wp:extent cx="32061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6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135255</wp:posOffset>
            </wp:positionV>
            <wp:extent cx="32061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ind w:left="680" w:right="80" w:hanging="654"/>
        <w:spacing w:after="0" w:line="235" w:lineRule="auto"/>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 w:lineRule="exact"/>
        <w:rPr>
          <w:sz w:val="24"/>
          <w:szCs w:val="24"/>
          <w:color w:val="auto"/>
        </w:rPr>
      </w:pPr>
    </w:p>
    <w:p>
      <w:pPr>
        <w:ind w:left="680"/>
        <w:spacing w:after="0"/>
        <w:tabs>
          <w:tab w:leader="none" w:pos="3760" w:val="left"/>
        </w:tabs>
        <w:rPr>
          <w:sz w:val="20"/>
          <w:szCs w:val="20"/>
          <w:color w:val="auto"/>
        </w:rPr>
      </w:pPr>
      <w:r>
        <w:rPr>
          <w:rFonts w:ascii="Arial" w:cs="Arial" w:eastAsia="Arial" w:hAnsi="Arial"/>
          <w:sz w:val="18"/>
          <w:szCs w:val="18"/>
          <w:b w:val="1"/>
          <w:bCs w:val="1"/>
          <w:color w:val="auto"/>
        </w:rPr>
        <w:t>For the quarterly period ended</w:t>
      </w:r>
      <w:r>
        <w:rPr>
          <w:sz w:val="20"/>
          <w:szCs w:val="20"/>
          <w:color w:val="auto"/>
        </w:rPr>
        <w:tab/>
      </w:r>
      <w:r>
        <w:rPr>
          <w:rFonts w:ascii="Arial" w:cs="Arial" w:eastAsia="Arial" w:hAnsi="Arial"/>
          <w:sz w:val="15"/>
          <w:szCs w:val="15"/>
          <w:b w:val="1"/>
          <w:bCs w:val="1"/>
          <w:color w:val="auto"/>
        </w:rPr>
        <w:t>June 30, 2021</w:t>
      </w:r>
    </w:p>
    <w:p>
      <w:pPr>
        <w:spacing w:after="0" w:line="2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left="680" w:right="40" w:hanging="641"/>
        <w:spacing w:after="0" w:line="235" w:lineRule="auto"/>
        <w:tabs>
          <w:tab w:leader="none" w:pos="6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680"/>
        <w:spacing w:after="0"/>
        <w:tabs>
          <w:tab w:leader="none" w:pos="39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001-36567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154305</wp:posOffset>
            </wp:positionV>
            <wp:extent cx="32061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9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Westlake Chemical Partners LP</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107315</wp:posOffset>
            </wp:positionV>
            <wp:extent cx="32061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60" w:type="dxa"/>
            <w:vAlign w:val="bottom"/>
          </w:tcPr>
          <w:p>
            <w:pPr>
              <w:spacing w:after="0"/>
              <w:rPr>
                <w:sz w:val="19"/>
                <w:szCs w:val="19"/>
                <w:color w:val="auto"/>
              </w:rPr>
            </w:pPr>
          </w:p>
        </w:tc>
        <w:tc>
          <w:tcPr>
            <w:tcW w:w="3720" w:type="dxa"/>
            <w:vAlign w:val="bottom"/>
            <w:gridSpan w:val="2"/>
          </w:tcPr>
          <w:p>
            <w:pPr>
              <w:jc w:val="center"/>
              <w:ind w:left="1636"/>
              <w:spacing w:after="0"/>
              <w:rPr>
                <w:sz w:val="20"/>
                <w:szCs w:val="20"/>
                <w:color w:val="auto"/>
              </w:rPr>
            </w:pPr>
            <w:r>
              <w:rPr>
                <w:rFonts w:ascii="Arial" w:cs="Arial" w:eastAsia="Arial" w:hAnsi="Arial"/>
                <w:sz w:val="18"/>
                <w:szCs w:val="18"/>
                <w:b w:val="1"/>
                <w:bCs w:val="1"/>
                <w:color w:val="auto"/>
                <w:w w:val="91"/>
              </w:rPr>
              <w:t>Delaware</w:t>
            </w:r>
          </w:p>
        </w:tc>
        <w:tc>
          <w:tcPr>
            <w:tcW w:w="2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0" w:type="dxa"/>
            <w:vAlign w:val="bottom"/>
          </w:tcPr>
          <w:p>
            <w:pPr>
              <w:jc w:val="center"/>
              <w:ind w:right="1297"/>
              <w:spacing w:after="0"/>
              <w:rPr>
                <w:sz w:val="20"/>
                <w:szCs w:val="20"/>
                <w:color w:val="auto"/>
              </w:rPr>
            </w:pPr>
            <w:r>
              <w:rPr>
                <w:rFonts w:ascii="Arial" w:cs="Arial" w:eastAsia="Arial" w:hAnsi="Arial"/>
                <w:sz w:val="18"/>
                <w:szCs w:val="18"/>
                <w:b w:val="1"/>
                <w:bCs w:val="1"/>
                <w:color w:val="auto"/>
                <w:w w:val="89"/>
              </w:rPr>
              <w:t>32-0436529</w:t>
            </w: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3720" w:type="dxa"/>
            <w:vAlign w:val="bottom"/>
            <w:gridSpan w:val="2"/>
          </w:tcPr>
          <w:p>
            <w:pPr>
              <w:jc w:val="center"/>
              <w:ind w:left="1636"/>
              <w:spacing w:after="0" w:line="144" w:lineRule="exact"/>
              <w:rPr>
                <w:sz w:val="20"/>
                <w:szCs w:val="20"/>
                <w:color w:val="auto"/>
              </w:rPr>
            </w:pPr>
            <w:r>
              <w:rPr>
                <w:rFonts w:ascii="Arial" w:cs="Arial" w:eastAsia="Arial" w:hAnsi="Arial"/>
                <w:sz w:val="14"/>
                <w:szCs w:val="14"/>
                <w:b w:val="1"/>
                <w:bCs w:val="1"/>
                <w:color w:val="auto"/>
                <w:w w:val="93"/>
              </w:rPr>
              <w:t>(State or other jurisdiction of</w:t>
            </w:r>
          </w:p>
        </w:tc>
        <w:tc>
          <w:tcPr>
            <w:tcW w:w="2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0" w:type="dxa"/>
            <w:vAlign w:val="bottom"/>
          </w:tcPr>
          <w:p>
            <w:pPr>
              <w:jc w:val="center"/>
              <w:ind w:right="1317"/>
              <w:spacing w:after="0" w:line="144"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720" w:type="dxa"/>
            <w:vAlign w:val="bottom"/>
            <w:gridSpan w:val="2"/>
          </w:tcPr>
          <w:p>
            <w:pPr>
              <w:jc w:val="center"/>
              <w:ind w:left="1636"/>
              <w:spacing w:after="0"/>
              <w:rPr>
                <w:sz w:val="20"/>
                <w:szCs w:val="20"/>
                <w:color w:val="auto"/>
              </w:rPr>
            </w:pPr>
            <w:r>
              <w:rPr>
                <w:rFonts w:ascii="Arial" w:cs="Arial" w:eastAsia="Arial" w:hAnsi="Arial"/>
                <w:sz w:val="14"/>
                <w:szCs w:val="14"/>
                <w:b w:val="1"/>
                <w:bCs w:val="1"/>
                <w:color w:val="auto"/>
                <w:w w:val="94"/>
              </w:rPr>
              <w:t>incorporation or organization)</w:t>
            </w:r>
          </w:p>
        </w:tc>
        <w:tc>
          <w:tcPr>
            <w:tcW w:w="2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0" w:type="dxa"/>
            <w:vAlign w:val="bottom"/>
          </w:tcPr>
          <w:p>
            <w:pPr>
              <w:jc w:val="center"/>
              <w:ind w:right="1297"/>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443"/>
        </w:trPr>
        <w:tc>
          <w:tcPr>
            <w:tcW w:w="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60" w:type="dxa"/>
            <w:vAlign w:val="bottom"/>
            <w:gridSpan w:val="2"/>
          </w:tcPr>
          <w:p>
            <w:pPr>
              <w:jc w:val="center"/>
              <w:ind w:left="135"/>
              <w:spacing w:after="0"/>
              <w:rPr>
                <w:sz w:val="20"/>
                <w:szCs w:val="20"/>
                <w:color w:val="auto"/>
              </w:rPr>
            </w:pPr>
            <w:r>
              <w:rPr>
                <w:rFonts w:ascii="Arial" w:cs="Arial" w:eastAsia="Arial" w:hAnsi="Arial"/>
                <w:sz w:val="18"/>
                <w:szCs w:val="18"/>
                <w:b w:val="1"/>
                <w:bCs w:val="1"/>
                <w:color w:val="auto"/>
                <w:w w:val="90"/>
              </w:rPr>
              <w:t>2801 Post Oak Boulevard, Suite 600</w:t>
            </w: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60" w:type="dxa"/>
            <w:vAlign w:val="bottom"/>
            <w:gridSpan w:val="2"/>
          </w:tcPr>
          <w:p>
            <w:pPr>
              <w:jc w:val="center"/>
              <w:ind w:left="155"/>
              <w:spacing w:after="0"/>
              <w:rPr>
                <w:sz w:val="20"/>
                <w:szCs w:val="20"/>
                <w:color w:val="auto"/>
              </w:rPr>
            </w:pPr>
            <w:r>
              <w:rPr>
                <w:rFonts w:ascii="Arial" w:cs="Arial" w:eastAsia="Arial" w:hAnsi="Arial"/>
                <w:sz w:val="18"/>
                <w:szCs w:val="18"/>
                <w:b w:val="1"/>
                <w:bCs w:val="1"/>
                <w:color w:val="auto"/>
                <w:w w:val="87"/>
              </w:rPr>
              <w:t>Houston, Texas 77056</w:t>
            </w: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60" w:type="dxa"/>
            <w:vAlign w:val="bottom"/>
            <w:gridSpan w:val="3"/>
          </w:tcPr>
          <w:p>
            <w:pPr>
              <w:jc w:val="center"/>
              <w:ind w:right="3697"/>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0" w:type="dxa"/>
            <w:vAlign w:val="bottom"/>
          </w:tcPr>
          <w:p>
            <w:pPr>
              <w:spacing w:after="0"/>
              <w:rPr>
                <w:sz w:val="1"/>
                <w:szCs w:val="1"/>
                <w:color w:val="auto"/>
              </w:rPr>
            </w:pPr>
          </w:p>
        </w:tc>
      </w:tr>
      <w:tr>
        <w:trPr>
          <w:trHeight w:val="354"/>
        </w:trPr>
        <w:tc>
          <w:tcPr>
            <w:tcW w:w="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40" w:type="dxa"/>
            <w:vAlign w:val="bottom"/>
          </w:tcPr>
          <w:p>
            <w:pPr>
              <w:jc w:val="center"/>
              <w:ind w:left="755"/>
              <w:spacing w:after="0"/>
              <w:rPr>
                <w:sz w:val="20"/>
                <w:szCs w:val="20"/>
                <w:color w:val="auto"/>
              </w:rPr>
            </w:pPr>
            <w:r>
              <w:rPr>
                <w:rFonts w:ascii="Arial" w:cs="Arial" w:eastAsia="Arial" w:hAnsi="Arial"/>
                <w:sz w:val="18"/>
                <w:szCs w:val="18"/>
                <w:b w:val="1"/>
                <w:bCs w:val="1"/>
                <w:color w:val="auto"/>
                <w:w w:val="90"/>
              </w:rPr>
              <w:t>(713) 585-2900</w:t>
            </w:r>
          </w:p>
        </w:tc>
        <w:tc>
          <w:tcPr>
            <w:tcW w:w="6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60" w:type="dxa"/>
            <w:vAlign w:val="bottom"/>
            <w:gridSpan w:val="2"/>
          </w:tcPr>
          <w:p>
            <w:pPr>
              <w:jc w:val="center"/>
              <w:ind w:left="135"/>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4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8"/>
        </w:trPr>
        <w:tc>
          <w:tcPr>
            <w:tcW w:w="7240" w:type="dxa"/>
            <w:vAlign w:val="bottom"/>
            <w:gridSpan w:val="5"/>
          </w:tcPr>
          <w:p>
            <w:pPr>
              <w:spacing w:after="0"/>
              <w:rPr>
                <w:sz w:val="20"/>
                <w:szCs w:val="20"/>
                <w:color w:val="auto"/>
              </w:rPr>
            </w:pPr>
            <w:r>
              <w:rPr>
                <w:rFonts w:ascii="Arial" w:cs="Arial" w:eastAsia="Arial" w:hAnsi="Arial"/>
                <w:sz w:val="18"/>
                <w:szCs w:val="18"/>
                <w:b w:val="1"/>
                <w:bCs w:val="1"/>
                <w:color w:val="auto"/>
              </w:rPr>
              <w:t>Securities registered pursuant to Section 12(b) of the Act:</w:t>
            </w: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32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8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0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60" w:type="dxa"/>
            <w:vAlign w:val="bottom"/>
            <w:tcBorders>
              <w:right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500" w:type="dxa"/>
            <w:vAlign w:val="bottom"/>
            <w:tcBorders>
              <w:bottom w:val="single" w:sz="8" w:color="auto"/>
            </w:tcBorders>
          </w:tcPr>
          <w:p>
            <w:pPr>
              <w:spacing w:after="0"/>
              <w:rPr>
                <w:sz w:val="19"/>
                <w:szCs w:val="19"/>
                <w:color w:val="auto"/>
              </w:rPr>
            </w:pPr>
          </w:p>
        </w:tc>
        <w:tc>
          <w:tcPr>
            <w:tcW w:w="2840" w:type="dxa"/>
            <w:vAlign w:val="bottom"/>
            <w:tcBorders>
              <w:bottom w:val="single" w:sz="8" w:color="auto"/>
              <w:right w:val="single" w:sz="8" w:color="auto"/>
            </w:tcBorders>
          </w:tcPr>
          <w:p>
            <w:pPr>
              <w:jc w:val="center"/>
              <w:ind w:right="435"/>
              <w:spacing w:after="0"/>
              <w:rPr>
                <w:sz w:val="20"/>
                <w:szCs w:val="20"/>
                <w:color w:val="auto"/>
              </w:rPr>
            </w:pPr>
            <w:r>
              <w:rPr>
                <w:rFonts w:ascii="Arial" w:cs="Arial" w:eastAsia="Arial" w:hAnsi="Arial"/>
                <w:sz w:val="18"/>
                <w:szCs w:val="18"/>
                <w:b w:val="1"/>
                <w:bCs w:val="1"/>
                <w:color w:val="auto"/>
                <w:w w:val="91"/>
              </w:rPr>
              <w:t>Trading Symbol(s)</w:t>
            </w:r>
          </w:p>
        </w:tc>
        <w:tc>
          <w:tcPr>
            <w:tcW w:w="620" w:type="dxa"/>
            <w:vAlign w:val="bottom"/>
            <w:tcBorders>
              <w:bottom w:val="single" w:sz="8" w:color="auto"/>
            </w:tcBorders>
          </w:tcPr>
          <w:p>
            <w:pPr>
              <w:spacing w:after="0"/>
              <w:rPr>
                <w:sz w:val="19"/>
                <w:szCs w:val="19"/>
                <w:color w:val="auto"/>
              </w:rPr>
            </w:pPr>
          </w:p>
        </w:tc>
        <w:tc>
          <w:tcPr>
            <w:tcW w:w="4000" w:type="dxa"/>
            <w:vAlign w:val="bottom"/>
            <w:tcBorders>
              <w:bottom w:val="single" w:sz="8" w:color="auto"/>
              <w:right w:val="single" w:sz="8" w:color="auto"/>
            </w:tcBorders>
          </w:tcPr>
          <w:p>
            <w:pPr>
              <w:jc w:val="center"/>
              <w:ind w:right="577"/>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169"/>
        </w:trPr>
        <w:tc>
          <w:tcPr>
            <w:tcW w:w="60" w:type="dxa"/>
            <w:vAlign w:val="bottom"/>
            <w:tcBorders>
              <w:right w:val="single" w:sz="8" w:color="auto"/>
            </w:tcBorders>
          </w:tcPr>
          <w:p>
            <w:pPr>
              <w:spacing w:after="0"/>
              <w:rPr>
                <w:sz w:val="14"/>
                <w:szCs w:val="14"/>
                <w:color w:val="auto"/>
              </w:rPr>
            </w:pPr>
          </w:p>
        </w:tc>
        <w:tc>
          <w:tcPr>
            <w:tcW w:w="322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Common units representing limited</w:t>
            </w:r>
          </w:p>
        </w:tc>
        <w:tc>
          <w:tcPr>
            <w:tcW w:w="500" w:type="dxa"/>
            <w:vAlign w:val="bottom"/>
          </w:tcPr>
          <w:p>
            <w:pPr>
              <w:spacing w:after="0"/>
              <w:rPr>
                <w:sz w:val="14"/>
                <w:szCs w:val="14"/>
                <w:color w:val="auto"/>
              </w:rPr>
            </w:pPr>
          </w:p>
        </w:tc>
        <w:tc>
          <w:tcPr>
            <w:tcW w:w="2840" w:type="dxa"/>
            <w:vAlign w:val="bottom"/>
            <w:tcBorders>
              <w:right w:val="single" w:sz="8" w:color="auto"/>
            </w:tcBorders>
            <w:vMerge w:val="restart"/>
          </w:tcPr>
          <w:p>
            <w:pPr>
              <w:jc w:val="center"/>
              <w:ind w:right="435"/>
              <w:spacing w:after="0"/>
              <w:rPr>
                <w:sz w:val="20"/>
                <w:szCs w:val="20"/>
                <w:color w:val="auto"/>
              </w:rPr>
            </w:pPr>
            <w:r>
              <w:rPr>
                <w:rFonts w:ascii="Arial" w:cs="Arial" w:eastAsia="Arial" w:hAnsi="Arial"/>
                <w:sz w:val="18"/>
                <w:szCs w:val="18"/>
                <w:color w:val="auto"/>
              </w:rPr>
              <w:t>WLKP</w:t>
            </w:r>
          </w:p>
        </w:tc>
        <w:tc>
          <w:tcPr>
            <w:tcW w:w="620" w:type="dxa"/>
            <w:vAlign w:val="bottom"/>
          </w:tcPr>
          <w:p>
            <w:pPr>
              <w:spacing w:after="0"/>
              <w:rPr>
                <w:sz w:val="14"/>
                <w:szCs w:val="14"/>
                <w:color w:val="auto"/>
              </w:rPr>
            </w:pPr>
          </w:p>
        </w:tc>
        <w:tc>
          <w:tcPr>
            <w:tcW w:w="4000" w:type="dxa"/>
            <w:vAlign w:val="bottom"/>
            <w:tcBorders>
              <w:right w:val="single" w:sz="8" w:color="auto"/>
            </w:tcBorders>
            <w:vMerge w:val="restart"/>
          </w:tcPr>
          <w:p>
            <w:pPr>
              <w:jc w:val="center"/>
              <w:ind w:right="557"/>
              <w:spacing w:after="0"/>
              <w:rPr>
                <w:sz w:val="20"/>
                <w:szCs w:val="20"/>
                <w:color w:val="auto"/>
              </w:rPr>
            </w:pPr>
            <w:r>
              <w:rPr>
                <w:rFonts w:ascii="Arial" w:cs="Arial" w:eastAsia="Arial" w:hAnsi="Arial"/>
                <w:sz w:val="18"/>
                <w:szCs w:val="18"/>
                <w:color w:val="auto"/>
                <w:w w:val="91"/>
              </w:rPr>
              <w:t>The New York Stock Exchange</w:t>
            </w:r>
          </w:p>
        </w:tc>
        <w:tc>
          <w:tcPr>
            <w:tcW w:w="0" w:type="dxa"/>
            <w:vAlign w:val="bottom"/>
          </w:tcPr>
          <w:p>
            <w:pPr>
              <w:spacing w:after="0"/>
              <w:rPr>
                <w:sz w:val="1"/>
                <w:szCs w:val="1"/>
                <w:color w:val="auto"/>
              </w:rPr>
            </w:pPr>
          </w:p>
        </w:tc>
      </w:tr>
      <w:tr>
        <w:trPr>
          <w:trHeight w:val="230"/>
        </w:trPr>
        <w:tc>
          <w:tcPr>
            <w:tcW w:w="60" w:type="dxa"/>
            <w:vAlign w:val="bottom"/>
            <w:tcBorders>
              <w:right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partnership interests</w:t>
            </w:r>
          </w:p>
        </w:tc>
        <w:tc>
          <w:tcPr>
            <w:tcW w:w="500" w:type="dxa"/>
            <w:vAlign w:val="bottom"/>
            <w:tcBorders>
              <w:bottom w:val="single" w:sz="8" w:color="auto"/>
            </w:tcBorders>
          </w:tcPr>
          <w:p>
            <w:pPr>
              <w:spacing w:after="0"/>
              <w:rPr>
                <w:sz w:val="19"/>
                <w:szCs w:val="19"/>
                <w:color w:val="auto"/>
              </w:rPr>
            </w:pPr>
          </w:p>
        </w:tc>
        <w:tc>
          <w:tcPr>
            <w:tcW w:w="2840" w:type="dxa"/>
            <w:vAlign w:val="bottom"/>
            <w:tcBorders>
              <w:bottom w:val="single" w:sz="8" w:color="auto"/>
              <w:right w:val="single" w:sz="8" w:color="auto"/>
            </w:tcBorders>
            <w:vMerge w:val="continue"/>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00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99" w:lineRule="exact"/>
        <w:rPr>
          <w:sz w:val="24"/>
          <w:szCs w:val="24"/>
          <w:color w:val="auto"/>
        </w:rPr>
      </w:pPr>
    </w:p>
    <w:p>
      <w:pPr>
        <w:ind w:right="2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w:t>
      </w:r>
      <w:r>
        <w:rPr>
          <w:rFonts w:ascii="Arial" w:cs="Arial" w:eastAsia="Arial" w:hAnsi="Arial"/>
          <w:sz w:val="18"/>
          <w:szCs w:val="18"/>
          <w:color w:val="auto"/>
        </w:rPr>
        <w:t xml:space="preserve"> x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30" w:lineRule="exact"/>
        <w:rPr>
          <w:sz w:val="24"/>
          <w:szCs w:val="24"/>
          <w:color w:val="auto"/>
        </w:rPr>
      </w:pPr>
    </w:p>
    <w:p>
      <w:pPr>
        <w:ind w:right="360"/>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Arial" w:cs="Arial" w:eastAsia="Arial" w:hAnsi="Arial"/>
          <w:sz w:val="16"/>
          <w:szCs w:val="16"/>
          <w:b w:val="1"/>
          <w:bCs w:val="1"/>
          <w:color w:val="auto"/>
        </w:rPr>
        <w:t>Yes</w:t>
      </w:r>
      <w:r>
        <w:rPr>
          <w:rFonts w:ascii="Arial" w:cs="Arial" w:eastAsia="Arial" w:hAnsi="Arial"/>
          <w:sz w:val="16"/>
          <w:szCs w:val="16"/>
          <w:color w:val="auto"/>
        </w:rPr>
        <w:t xml:space="preserve"> x </w:t>
      </w:r>
      <w:r>
        <w:rPr>
          <w:rFonts w:ascii="Arial" w:cs="Arial" w:eastAsia="Arial" w:hAnsi="Arial"/>
          <w:sz w:val="16"/>
          <w:szCs w:val="16"/>
          <w:b w:val="1"/>
          <w:bCs w:val="1"/>
          <w:color w:val="auto"/>
        </w:rPr>
        <w:t>No</w:t>
      </w:r>
      <w:r>
        <w:rPr>
          <w:rFonts w:ascii="Arial" w:cs="Arial" w:eastAsia="Arial" w:hAnsi="Arial"/>
          <w:sz w:val="16"/>
          <w:szCs w:val="16"/>
          <w:color w:val="auto"/>
        </w:rPr>
        <w:t xml:space="preserve"> </w:t>
      </w:r>
      <w:r>
        <w:rPr>
          <w:rFonts w:ascii="MS PGothic" w:cs="MS PGothic" w:eastAsia="MS PGothic" w:hAnsi="MS PGothic"/>
          <w:sz w:val="16"/>
          <w:szCs w:val="16"/>
          <w:color w:val="auto"/>
        </w:rPr>
        <w:t>☐</w:t>
      </w:r>
    </w:p>
    <w:p>
      <w:pPr>
        <w:spacing w:after="0" w:line="128"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18"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380" w:type="dxa"/>
            <w:vAlign w:val="bottom"/>
          </w:tcPr>
          <w:p>
            <w:pPr>
              <w:spacing w:after="0"/>
              <w:rPr>
                <w:sz w:val="20"/>
                <w:szCs w:val="20"/>
                <w:color w:val="auto"/>
              </w:rPr>
            </w:pPr>
            <w:r>
              <w:rPr>
                <w:rFonts w:ascii="Arial" w:cs="Arial" w:eastAsia="Arial" w:hAnsi="Arial"/>
                <w:sz w:val="18"/>
                <w:szCs w:val="18"/>
                <w:b w:val="1"/>
                <w:bCs w:val="1"/>
                <w:color w:val="auto"/>
              </w:rPr>
              <w:t>Large accelerated filer</w:t>
            </w:r>
          </w:p>
        </w:tc>
        <w:tc>
          <w:tcPr>
            <w:tcW w:w="30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860" w:type="dxa"/>
            <w:vAlign w:val="bottom"/>
          </w:tcPr>
          <w:p>
            <w:pPr>
              <w:ind w:left="2220"/>
              <w:spacing w:after="0"/>
              <w:rPr>
                <w:sz w:val="20"/>
                <w:szCs w:val="20"/>
                <w:color w:val="auto"/>
              </w:rPr>
            </w:pPr>
            <w:r>
              <w:rPr>
                <w:rFonts w:ascii="Arial" w:cs="Arial" w:eastAsia="Arial" w:hAnsi="Arial"/>
                <w:sz w:val="18"/>
                <w:szCs w:val="18"/>
                <w:b w:val="1"/>
                <w:bCs w:val="1"/>
                <w:color w:val="auto"/>
              </w:rPr>
              <w:t>Accelerated filer</w:t>
            </w:r>
          </w:p>
        </w:tc>
        <w:tc>
          <w:tcPr>
            <w:tcW w:w="680" w:type="dxa"/>
            <w:vAlign w:val="bottom"/>
          </w:tcPr>
          <w:p>
            <w:pPr>
              <w:ind w:left="520"/>
              <w:spacing w:after="0"/>
              <w:rPr>
                <w:sz w:val="20"/>
                <w:szCs w:val="20"/>
                <w:color w:val="auto"/>
              </w:rPr>
            </w:pPr>
            <w:r>
              <w:rPr>
                <w:rFonts w:ascii="Arial" w:cs="Arial" w:eastAsia="Arial" w:hAnsi="Arial"/>
                <w:sz w:val="18"/>
                <w:szCs w:val="18"/>
                <w:color w:val="auto"/>
              </w:rPr>
              <w:t>x</w:t>
            </w:r>
          </w:p>
        </w:tc>
      </w:tr>
      <w:tr>
        <w:trPr>
          <w:trHeight w:val="338"/>
        </w:trPr>
        <w:tc>
          <w:tcPr>
            <w:tcW w:w="2380" w:type="dxa"/>
            <w:vAlign w:val="bottom"/>
          </w:tcPr>
          <w:p>
            <w:pPr>
              <w:spacing w:after="0"/>
              <w:rPr>
                <w:sz w:val="20"/>
                <w:szCs w:val="20"/>
                <w:color w:val="auto"/>
              </w:rPr>
            </w:pPr>
            <w:r>
              <w:rPr>
                <w:rFonts w:ascii="Arial" w:cs="Arial" w:eastAsia="Arial" w:hAnsi="Arial"/>
                <w:sz w:val="18"/>
                <w:szCs w:val="18"/>
                <w:b w:val="1"/>
                <w:bCs w:val="1"/>
                <w:color w:val="auto"/>
              </w:rPr>
              <w:t>Non-accelerated filer</w:t>
            </w:r>
          </w:p>
        </w:tc>
        <w:tc>
          <w:tcPr>
            <w:tcW w:w="30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860" w:type="dxa"/>
            <w:vAlign w:val="bottom"/>
          </w:tcPr>
          <w:p>
            <w:pPr>
              <w:ind w:left="2220"/>
              <w:spacing w:after="0"/>
              <w:rPr>
                <w:sz w:val="20"/>
                <w:szCs w:val="20"/>
                <w:color w:val="auto"/>
              </w:rPr>
            </w:pPr>
            <w:r>
              <w:rPr>
                <w:rFonts w:ascii="Arial" w:cs="Arial" w:eastAsia="Arial" w:hAnsi="Arial"/>
                <w:sz w:val="18"/>
                <w:szCs w:val="18"/>
                <w:b w:val="1"/>
                <w:bCs w:val="1"/>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860" w:type="dxa"/>
            <w:vAlign w:val="bottom"/>
          </w:tcPr>
          <w:p>
            <w:pPr>
              <w:ind w:left="2220"/>
              <w:spacing w:after="0"/>
              <w:rPr>
                <w:sz w:val="20"/>
                <w:szCs w:val="20"/>
                <w:color w:val="auto"/>
              </w:rPr>
            </w:pPr>
            <w:r>
              <w:rPr>
                <w:rFonts w:ascii="Arial" w:cs="Arial" w:eastAsia="Arial" w:hAnsi="Arial"/>
                <w:sz w:val="18"/>
                <w:szCs w:val="18"/>
                <w:b w:val="1"/>
                <w:bCs w:val="1"/>
                <w:color w:val="auto"/>
              </w:rPr>
              <w:t>Emerging growth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2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tabs>
          <w:tab w:leader="none" w:pos="8340" w:val="left"/>
          <w:tab w:leader="none" w:pos="91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ab/>
        <w:t xml:space="preserve">No  </w:t>
      </w:r>
      <w:r>
        <w:rPr>
          <w:rFonts w:ascii="Arial" w:cs="Arial" w:eastAsia="Arial" w:hAnsi="Arial"/>
          <w:sz w:val="18"/>
          <w:szCs w:val="18"/>
          <w:color w:val="auto"/>
        </w:rPr>
        <w:t>x</w:t>
      </w:r>
    </w:p>
    <w:p>
      <w:pPr>
        <w:spacing w:after="0" w:line="379" w:lineRule="exact"/>
        <w:rPr>
          <w:sz w:val="24"/>
          <w:szCs w:val="24"/>
          <w:color w:val="auto"/>
        </w:rPr>
      </w:pPr>
    </w:p>
    <w:p>
      <w:pPr>
        <w:spacing w:after="0"/>
        <w:rPr>
          <w:sz w:val="20"/>
          <w:szCs w:val="20"/>
          <w:color w:val="auto"/>
        </w:rPr>
      </w:pPr>
      <w:r>
        <w:rPr>
          <w:rFonts w:ascii="Arial" w:cs="Arial" w:eastAsia="Arial" w:hAnsi="Arial"/>
          <w:sz w:val="18"/>
          <w:szCs w:val="18"/>
          <w:color w:val="auto"/>
        </w:rPr>
        <w:t>The registrant had 35,204,561 common units outstanding as of July 28, 2021.</w:t>
      </w:r>
    </w:p>
    <w:p>
      <w:pPr>
        <w:sectPr>
          <w:pgSz w:w="11900" w:h="16838" w:orient="portrait"/>
          <w:cols w:equalWidth="0" w:num="1">
            <w:col w:w="11240"/>
          </w:cols>
          <w:pgMar w:left="320" w:top="1043" w:right="339" w:bottom="308"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170815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Item</w:t>
            </w:r>
          </w:p>
        </w:tc>
        <w:tc>
          <w:tcPr>
            <w:tcW w:w="200" w:type="dxa"/>
            <w:vAlign w:val="bottom"/>
          </w:tcPr>
          <w:p>
            <w:pPr>
              <w:spacing w:after="0"/>
              <w:rPr>
                <w:sz w:val="14"/>
                <w:szCs w:val="14"/>
                <w:color w:val="auto"/>
              </w:rPr>
            </w:pPr>
          </w:p>
        </w:tc>
        <w:tc>
          <w:tcPr>
            <w:tcW w:w="9920" w:type="dxa"/>
            <w:vAlign w:val="bottom"/>
          </w:tcPr>
          <w:p>
            <w:pPr>
              <w:spacing w:after="0"/>
              <w:rPr>
                <w:sz w:val="14"/>
                <w:szCs w:val="14"/>
                <w:color w:val="auto"/>
              </w:rPr>
            </w:pPr>
          </w:p>
        </w:tc>
        <w:tc>
          <w:tcPr>
            <w:tcW w:w="800" w:type="dxa"/>
            <w:vAlign w:val="bottom"/>
            <w:gridSpan w:val="2"/>
          </w:tcPr>
          <w:p>
            <w:pPr>
              <w:ind w:left="2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420" w:type="dxa"/>
            <w:vAlign w:val="bottom"/>
            <w:gridSpan w:val="3"/>
            <w:vMerge w:val="restart"/>
          </w:tcPr>
          <w:p>
            <w:pP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 FINANCIAL INFORMATION</w:t>
              </w:r>
            </w:hyperlink>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0420" w:type="dxa"/>
            <w:vAlign w:val="bottom"/>
            <w:gridSpan w:val="3"/>
            <w:vMerge w:val="continue"/>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 w:type="dxa"/>
            <w:vAlign w:val="bottom"/>
            <w:gridSpan w:val="3"/>
          </w:tcPr>
          <w:p>
            <w:pPr>
              <w:ind w:left="360"/>
              <w:spacing w:after="0"/>
              <w:rPr>
                <w:rFonts w:ascii="Arial" w:cs="Arial" w:eastAsia="Arial" w:hAnsi="Arial"/>
                <w:sz w:val="18"/>
                <w:szCs w:val="18"/>
                <w:color w:val="auto"/>
                <w:w w:val="87"/>
              </w:rPr>
            </w:pPr>
            <w:hyperlink w:anchor="page4">
              <w:r>
                <w:rPr>
                  <w:rFonts w:ascii="Arial" w:cs="Arial" w:eastAsia="Arial" w:hAnsi="Arial"/>
                  <w:sz w:val="18"/>
                  <w:szCs w:val="18"/>
                  <w:color w:val="auto"/>
                  <w:w w:val="87"/>
                </w:rPr>
                <w:t>1)</w:t>
              </w:r>
            </w:hyperlink>
          </w:p>
        </w:tc>
        <w:tc>
          <w:tcPr>
            <w:tcW w:w="9920" w:type="dxa"/>
            <w:vAlign w:val="bottom"/>
          </w:tcPr>
          <w:p>
            <w:pPr>
              <w:ind w:left="20"/>
              <w:spacing w:after="0"/>
              <w:rPr>
                <w:rFonts w:ascii="Arial" w:cs="Arial" w:eastAsia="Arial" w:hAnsi="Arial"/>
                <w:sz w:val="18"/>
                <w:szCs w:val="18"/>
                <w:color w:val="auto"/>
              </w:rPr>
            </w:pPr>
            <w:hyperlink w:anchor="page4">
              <w:r>
                <w:rPr>
                  <w:rFonts w:ascii="Arial" w:cs="Arial" w:eastAsia="Arial" w:hAnsi="Arial"/>
                  <w:sz w:val="18"/>
                  <w:szCs w:val="18"/>
                  <w:color w:val="auto"/>
                </w:rPr>
                <w:t>Financial Statements</w:t>
              </w:r>
            </w:hyperlink>
          </w:p>
        </w:tc>
        <w:tc>
          <w:tcPr>
            <w:tcW w:w="78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1</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 w:type="dxa"/>
            <w:vAlign w:val="bottom"/>
            <w:gridSpan w:val="3"/>
          </w:tcPr>
          <w:p>
            <w:pPr>
              <w:ind w:left="360"/>
              <w:spacing w:after="0"/>
              <w:rPr>
                <w:rFonts w:ascii="Arial" w:cs="Arial" w:eastAsia="Arial" w:hAnsi="Arial"/>
                <w:sz w:val="18"/>
                <w:szCs w:val="18"/>
                <w:color w:val="auto"/>
                <w:w w:val="87"/>
              </w:rPr>
            </w:pPr>
            <w:hyperlink w:anchor="page17">
              <w:r>
                <w:rPr>
                  <w:rFonts w:ascii="Arial" w:cs="Arial" w:eastAsia="Arial" w:hAnsi="Arial"/>
                  <w:sz w:val="18"/>
                  <w:szCs w:val="18"/>
                  <w:color w:val="auto"/>
                  <w:w w:val="87"/>
                </w:rPr>
                <w:t>2)</w:t>
              </w:r>
            </w:hyperlink>
          </w:p>
        </w:tc>
        <w:tc>
          <w:tcPr>
            <w:tcW w:w="9920" w:type="dxa"/>
            <w:vAlign w:val="bottom"/>
          </w:tcPr>
          <w:p>
            <w:pPr>
              <w:ind w:left="20"/>
              <w:spacing w:after="0"/>
              <w:rPr>
                <w:rFonts w:ascii="Arial" w:cs="Arial" w:eastAsia="Arial" w:hAnsi="Arial"/>
                <w:sz w:val="18"/>
                <w:szCs w:val="18"/>
                <w:color w:val="auto"/>
              </w:rPr>
            </w:pPr>
            <w:hyperlink w:anchor="page17">
              <w:r>
                <w:rPr>
                  <w:rFonts w:ascii="Arial" w:cs="Arial" w:eastAsia="Arial" w:hAnsi="Arial"/>
                  <w:sz w:val="18"/>
                  <w:szCs w:val="18"/>
                  <w:color w:val="auto"/>
                </w:rPr>
                <w:t>Management's Discussion and Analysis of Financial Condition and Results of Operations</w:t>
              </w:r>
            </w:hyperlink>
          </w:p>
        </w:tc>
        <w:tc>
          <w:tcPr>
            <w:tcW w:w="780" w:type="dxa"/>
            <w:vAlign w:val="bottom"/>
          </w:tcPr>
          <w:p>
            <w:pPr>
              <w:jc w:val="right"/>
              <w:spacing w:after="0"/>
              <w:rPr>
                <w:rFonts w:ascii="Arial" w:cs="Arial" w:eastAsia="Arial" w:hAnsi="Arial"/>
                <w:sz w:val="18"/>
                <w:szCs w:val="18"/>
                <w:color w:val="auto"/>
              </w:rPr>
            </w:pPr>
            <w:hyperlink w:anchor="page17">
              <w:r>
                <w:rPr>
                  <w:rFonts w:ascii="Arial" w:cs="Arial" w:eastAsia="Arial" w:hAnsi="Arial"/>
                  <w:sz w:val="18"/>
                  <w:szCs w:val="18"/>
                  <w:color w:val="auto"/>
                </w:rPr>
                <w:t>15</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 w:type="dxa"/>
            <w:vAlign w:val="bottom"/>
            <w:gridSpan w:val="3"/>
          </w:tcPr>
          <w:p>
            <w:pPr>
              <w:ind w:left="360"/>
              <w:spacing w:after="0"/>
              <w:rPr>
                <w:rFonts w:ascii="Arial" w:cs="Arial" w:eastAsia="Arial" w:hAnsi="Arial"/>
                <w:sz w:val="18"/>
                <w:szCs w:val="18"/>
                <w:color w:val="auto"/>
                <w:w w:val="87"/>
              </w:rPr>
            </w:pPr>
            <w:hyperlink w:anchor="page28">
              <w:r>
                <w:rPr>
                  <w:rFonts w:ascii="Arial" w:cs="Arial" w:eastAsia="Arial" w:hAnsi="Arial"/>
                  <w:sz w:val="18"/>
                  <w:szCs w:val="18"/>
                  <w:color w:val="auto"/>
                  <w:w w:val="87"/>
                </w:rPr>
                <w:t>3)</w:t>
              </w:r>
            </w:hyperlink>
          </w:p>
        </w:tc>
        <w:tc>
          <w:tcPr>
            <w:tcW w:w="9920" w:type="dxa"/>
            <w:vAlign w:val="bottom"/>
          </w:tcPr>
          <w:p>
            <w:pPr>
              <w:ind w:left="20"/>
              <w:spacing w:after="0"/>
              <w:rPr>
                <w:rFonts w:ascii="Arial" w:cs="Arial" w:eastAsia="Arial" w:hAnsi="Arial"/>
                <w:sz w:val="18"/>
                <w:szCs w:val="18"/>
                <w:color w:val="auto"/>
              </w:rPr>
            </w:pPr>
            <w:hyperlink w:anchor="page28">
              <w:r>
                <w:rPr>
                  <w:rFonts w:ascii="Arial" w:cs="Arial" w:eastAsia="Arial" w:hAnsi="Arial"/>
                  <w:sz w:val="18"/>
                  <w:szCs w:val="18"/>
                  <w:color w:val="auto"/>
                </w:rPr>
                <w:t>Quantitative and Qualitative Disclosures about Market Risk</w:t>
              </w:r>
            </w:hyperlink>
          </w:p>
        </w:tc>
        <w:tc>
          <w:tcPr>
            <w:tcW w:w="78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26</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 w:type="dxa"/>
            <w:vAlign w:val="bottom"/>
            <w:gridSpan w:val="3"/>
          </w:tcPr>
          <w:p>
            <w:pPr>
              <w:ind w:left="360"/>
              <w:spacing w:after="0"/>
              <w:rPr>
                <w:rFonts w:ascii="Arial" w:cs="Arial" w:eastAsia="Arial" w:hAnsi="Arial"/>
                <w:sz w:val="18"/>
                <w:szCs w:val="18"/>
                <w:color w:val="auto"/>
                <w:w w:val="87"/>
              </w:rPr>
            </w:pPr>
            <w:hyperlink w:anchor="page29">
              <w:r>
                <w:rPr>
                  <w:rFonts w:ascii="Arial" w:cs="Arial" w:eastAsia="Arial" w:hAnsi="Arial"/>
                  <w:sz w:val="18"/>
                  <w:szCs w:val="18"/>
                  <w:color w:val="auto"/>
                  <w:w w:val="87"/>
                </w:rPr>
                <w:t>4)</w:t>
              </w:r>
            </w:hyperlink>
          </w:p>
        </w:tc>
        <w:tc>
          <w:tcPr>
            <w:tcW w:w="9920" w:type="dxa"/>
            <w:vAlign w:val="bottom"/>
          </w:tcPr>
          <w:p>
            <w:pPr>
              <w:ind w:left="20"/>
              <w:spacing w:after="0"/>
              <w:rPr>
                <w:rFonts w:ascii="Arial" w:cs="Arial" w:eastAsia="Arial" w:hAnsi="Arial"/>
                <w:sz w:val="18"/>
                <w:szCs w:val="18"/>
                <w:color w:val="auto"/>
              </w:rPr>
            </w:pPr>
            <w:hyperlink w:anchor="page29">
              <w:r>
                <w:rPr>
                  <w:rFonts w:ascii="Arial" w:cs="Arial" w:eastAsia="Arial" w:hAnsi="Arial"/>
                  <w:sz w:val="18"/>
                  <w:szCs w:val="18"/>
                  <w:color w:val="auto"/>
                </w:rPr>
                <w:t>Controls and Procedures</w:t>
              </w:r>
            </w:hyperlink>
          </w:p>
        </w:tc>
        <w:tc>
          <w:tcPr>
            <w:tcW w:w="78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26</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20" w:type="dxa"/>
            <w:vAlign w:val="bottom"/>
          </w:tcPr>
          <w:p>
            <w:pPr>
              <w:spacing w:after="0"/>
              <w:rPr>
                <w:sz w:val="24"/>
                <w:szCs w:val="24"/>
                <w:color w:val="auto"/>
              </w:rPr>
            </w:pPr>
          </w:p>
        </w:tc>
        <w:tc>
          <w:tcPr>
            <w:tcW w:w="10420" w:type="dxa"/>
            <w:vAlign w:val="bottom"/>
            <w:gridSpan w:val="3"/>
          </w:tcPr>
          <w:p>
            <w:pPr>
              <w:spacing w:after="0"/>
              <w:rPr>
                <w:rFonts w:ascii="Arial" w:cs="Arial" w:eastAsia="Arial" w:hAnsi="Arial"/>
                <w:sz w:val="18"/>
                <w:szCs w:val="18"/>
                <w:b w:val="1"/>
                <w:bCs w:val="1"/>
                <w:color w:val="auto"/>
              </w:rPr>
            </w:pPr>
            <w:hyperlink w:anchor="page29">
              <w:r>
                <w:rPr>
                  <w:rFonts w:ascii="Arial" w:cs="Arial" w:eastAsia="Arial" w:hAnsi="Arial"/>
                  <w:sz w:val="18"/>
                  <w:szCs w:val="18"/>
                  <w:b w:val="1"/>
                  <w:bCs w:val="1"/>
                  <w:color w:val="auto"/>
                </w:rPr>
                <w:t>PART II. OTHER INFORMATION</w:t>
              </w:r>
            </w:hyperlink>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0" w:type="dxa"/>
            <w:vAlign w:val="bottom"/>
            <w:gridSpan w:val="3"/>
          </w:tcPr>
          <w:p>
            <w:pPr>
              <w:ind w:left="360"/>
              <w:spacing w:after="0"/>
              <w:rPr>
                <w:rFonts w:ascii="Arial" w:cs="Arial" w:eastAsia="Arial" w:hAnsi="Arial"/>
                <w:sz w:val="18"/>
                <w:szCs w:val="18"/>
                <w:color w:val="auto"/>
                <w:w w:val="87"/>
              </w:rPr>
            </w:pPr>
            <w:hyperlink w:anchor="page29">
              <w:r>
                <w:rPr>
                  <w:rFonts w:ascii="Arial" w:cs="Arial" w:eastAsia="Arial" w:hAnsi="Arial"/>
                  <w:sz w:val="18"/>
                  <w:szCs w:val="18"/>
                  <w:color w:val="auto"/>
                  <w:w w:val="87"/>
                </w:rPr>
                <w:t>1)</w:t>
              </w:r>
            </w:hyperlink>
          </w:p>
        </w:tc>
        <w:tc>
          <w:tcPr>
            <w:tcW w:w="9920" w:type="dxa"/>
            <w:vAlign w:val="bottom"/>
          </w:tcPr>
          <w:p>
            <w:pPr>
              <w:ind w:left="20"/>
              <w:spacing w:after="0"/>
              <w:rPr>
                <w:rFonts w:ascii="Arial" w:cs="Arial" w:eastAsia="Arial" w:hAnsi="Arial"/>
                <w:sz w:val="18"/>
                <w:szCs w:val="18"/>
                <w:color w:val="auto"/>
              </w:rPr>
            </w:pPr>
            <w:hyperlink w:anchor="page29">
              <w:r>
                <w:rPr>
                  <w:rFonts w:ascii="Arial" w:cs="Arial" w:eastAsia="Arial" w:hAnsi="Arial"/>
                  <w:sz w:val="18"/>
                  <w:szCs w:val="18"/>
                  <w:color w:val="auto"/>
                </w:rPr>
                <w:t>Legal Proceedings</w:t>
              </w:r>
            </w:hyperlink>
          </w:p>
        </w:tc>
        <w:tc>
          <w:tcPr>
            <w:tcW w:w="78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26</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120" w:type="dxa"/>
            <w:vAlign w:val="bottom"/>
            <w:gridSpan w:val="2"/>
          </w:tcPr>
          <w:p>
            <w:pPr>
              <w:ind w:left="40"/>
              <w:spacing w:after="0"/>
              <w:rPr>
                <w:rFonts w:ascii="Arial" w:cs="Arial" w:eastAsia="Arial" w:hAnsi="Arial"/>
                <w:sz w:val="18"/>
                <w:szCs w:val="18"/>
                <w:color w:val="auto"/>
              </w:rPr>
            </w:pPr>
            <w:hyperlink w:anchor="page30">
              <w:r>
                <w:rPr>
                  <w:rFonts w:ascii="Arial" w:cs="Arial" w:eastAsia="Arial" w:hAnsi="Arial"/>
                  <w:sz w:val="18"/>
                  <w:szCs w:val="18"/>
                  <w:color w:val="auto"/>
                </w:rPr>
                <w:t>1A) Risk Factors</w:t>
              </w:r>
            </w:hyperlink>
          </w:p>
        </w:tc>
        <w:tc>
          <w:tcPr>
            <w:tcW w:w="78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27</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 w:type="dxa"/>
            <w:vAlign w:val="bottom"/>
            <w:gridSpan w:val="3"/>
          </w:tcPr>
          <w:p>
            <w:pPr>
              <w:ind w:left="360"/>
              <w:spacing w:after="0"/>
              <w:rPr>
                <w:rFonts w:ascii="Arial" w:cs="Arial" w:eastAsia="Arial" w:hAnsi="Arial"/>
                <w:sz w:val="18"/>
                <w:szCs w:val="18"/>
                <w:color w:val="auto"/>
                <w:w w:val="87"/>
              </w:rPr>
            </w:pPr>
            <w:hyperlink w:anchor="page30">
              <w:r>
                <w:rPr>
                  <w:rFonts w:ascii="Arial" w:cs="Arial" w:eastAsia="Arial" w:hAnsi="Arial"/>
                  <w:sz w:val="18"/>
                  <w:szCs w:val="18"/>
                  <w:color w:val="auto"/>
                  <w:w w:val="87"/>
                </w:rPr>
                <w:t>6)</w:t>
              </w:r>
            </w:hyperlink>
          </w:p>
        </w:tc>
        <w:tc>
          <w:tcPr>
            <w:tcW w:w="9920" w:type="dxa"/>
            <w:vAlign w:val="bottom"/>
          </w:tcPr>
          <w:p>
            <w:pPr>
              <w:ind w:left="20"/>
              <w:spacing w:after="0"/>
              <w:rPr>
                <w:rFonts w:ascii="Arial" w:cs="Arial" w:eastAsia="Arial" w:hAnsi="Arial"/>
                <w:sz w:val="18"/>
                <w:szCs w:val="18"/>
                <w:color w:val="auto"/>
              </w:rPr>
            </w:pPr>
            <w:hyperlink w:anchor="page30">
              <w:r>
                <w:rPr>
                  <w:rFonts w:ascii="Arial" w:cs="Arial" w:eastAsia="Arial" w:hAnsi="Arial"/>
                  <w:sz w:val="18"/>
                  <w:szCs w:val="18"/>
                  <w:color w:val="auto"/>
                </w:rPr>
                <w:t>Exhibits</w:t>
              </w:r>
            </w:hyperlink>
          </w:p>
        </w:tc>
        <w:tc>
          <w:tcPr>
            <w:tcW w:w="78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27</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8"/>
        </w:trPr>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9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40" w:type="dxa"/>
            <w:vAlign w:val="bottom"/>
          </w:tcPr>
          <w:p>
            <w:pPr>
              <w:jc w:val="right"/>
              <w:ind w:right="21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8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8"/>
        </w:trPr>
        <w:tc>
          <w:tcPr>
            <w:tcW w:w="8240" w:type="dxa"/>
            <w:vAlign w:val="bottom"/>
          </w:tcPr>
          <w:p>
            <w:pPr>
              <w:spacing w:after="0"/>
              <w:rPr>
                <w:sz w:val="18"/>
                <w:szCs w:val="18"/>
                <w:color w:val="auto"/>
              </w:rPr>
            </w:pPr>
          </w:p>
        </w:tc>
        <w:tc>
          <w:tcPr>
            <w:tcW w:w="2980" w:type="dxa"/>
            <w:vAlign w:val="bottom"/>
            <w:gridSpan w:val="5"/>
          </w:tcPr>
          <w:p>
            <w:pPr>
              <w:jc w:val="right"/>
              <w:ind w:right="11"/>
              <w:spacing w:after="0"/>
              <w:rPr>
                <w:sz w:val="20"/>
                <w:szCs w:val="20"/>
                <w:color w:val="auto"/>
              </w:rPr>
            </w:pPr>
            <w:r>
              <w:rPr>
                <w:rFonts w:ascii="Arial" w:cs="Arial" w:eastAsia="Arial" w:hAnsi="Arial"/>
                <w:sz w:val="14"/>
                <w:szCs w:val="14"/>
                <w:b w:val="1"/>
                <w:bCs w:val="1"/>
                <w:color w:val="auto"/>
                <w:w w:val="93"/>
              </w:rPr>
              <w:t>(in thousands of dollars, except unit amounts)</w:t>
            </w:r>
          </w:p>
        </w:tc>
        <w:tc>
          <w:tcPr>
            <w:tcW w:w="0" w:type="dxa"/>
            <w:vAlign w:val="bottom"/>
          </w:tcPr>
          <w:p>
            <w:pPr>
              <w:spacing w:after="0"/>
              <w:rPr>
                <w:sz w:val="1"/>
                <w:szCs w:val="1"/>
                <w:color w:val="auto"/>
              </w:rPr>
            </w:pPr>
          </w:p>
        </w:tc>
      </w:tr>
      <w:tr>
        <w:trPr>
          <w:trHeight w:val="235"/>
        </w:trPr>
        <w:tc>
          <w:tcPr>
            <w:tcW w:w="8240" w:type="dxa"/>
            <w:vAlign w:val="bottom"/>
            <w:shd w:val="clear" w:color="auto" w:fill="CCEEFF"/>
          </w:tcPr>
          <w:p>
            <w:pPr>
              <w:jc w:val="center"/>
              <w:ind w:right="10"/>
              <w:spacing w:after="0"/>
              <w:rPr>
                <w:sz w:val="20"/>
                <w:szCs w:val="20"/>
                <w:color w:val="auto"/>
              </w:rPr>
            </w:pPr>
            <w:r>
              <w:rPr>
                <w:rFonts w:ascii="Arial" w:cs="Arial" w:eastAsia="Arial" w:hAnsi="Arial"/>
                <w:sz w:val="18"/>
                <w:szCs w:val="18"/>
                <w:b w:val="1"/>
                <w:bCs w:val="1"/>
                <w:color w:val="auto"/>
                <w:w w:val="91"/>
              </w:rPr>
              <w:t>ASSETS</w:t>
            </w: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17,154</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w w:val="93"/>
              </w:rPr>
              <w:t>Receivable under the Investment Management Agreement—Westlake Chemical Corporation ("Westlake")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222,249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123,228</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net—Westlake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108,028</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Accounts receivable, net—third parties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24,962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11,029</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3,474</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263,305</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1,030,016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1,050,677</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5,814</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charges and other assets, net</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29,111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36,692</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1,401,755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1,356,488</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jc w:val="center"/>
              <w:ind w:right="10"/>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Accounts payable—Westlake</w:t>
            </w: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20,134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7,855</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payable—third parties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13,131</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Accrued and other liabilities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18,768</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39,754</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Long-term debt payable to Westlake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399,674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399,674</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449,997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441,351</w:t>
            </w:r>
          </w:p>
        </w:tc>
        <w:tc>
          <w:tcPr>
            <w:tcW w:w="0" w:type="dxa"/>
            <w:vAlign w:val="bottom"/>
          </w:tcPr>
          <w:p>
            <w:pPr>
              <w:spacing w:after="0"/>
              <w:rPr>
                <w:sz w:val="1"/>
                <w:szCs w:val="1"/>
                <w:color w:val="auto"/>
              </w:rPr>
            </w:pPr>
          </w:p>
        </w:tc>
      </w:tr>
      <w:tr>
        <w:trPr>
          <w:trHeight w:val="210"/>
        </w:trPr>
        <w:tc>
          <w:tcPr>
            <w:tcW w:w="8240" w:type="dxa"/>
            <w:vAlign w:val="bottom"/>
          </w:tcPr>
          <w:p>
            <w:pPr>
              <w:ind w:left="20"/>
              <w:spacing w:after="0"/>
              <w:rPr>
                <w:sz w:val="20"/>
                <w:szCs w:val="20"/>
                <w:color w:val="auto"/>
              </w:rPr>
            </w:pPr>
            <w:r>
              <w:rPr>
                <w:rFonts w:ascii="Arial" w:cs="Arial" w:eastAsia="Arial" w:hAnsi="Arial"/>
                <w:sz w:val="18"/>
                <w:szCs w:val="18"/>
                <w:color w:val="auto"/>
              </w:rPr>
              <w:t>Commitments and contingencies (Note 12)</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jc w:val="center"/>
              <w:ind w:right="10"/>
              <w:spacing w:after="0"/>
              <w:rPr>
                <w:sz w:val="20"/>
                <w:szCs w:val="20"/>
                <w:color w:val="auto"/>
              </w:rPr>
            </w:pPr>
            <w:r>
              <w:rPr>
                <w:rFonts w:ascii="Arial" w:cs="Arial" w:eastAsia="Arial" w:hAnsi="Arial"/>
                <w:sz w:val="18"/>
                <w:szCs w:val="18"/>
                <w:b w:val="1"/>
                <w:bCs w:val="1"/>
                <w:color w:val="auto"/>
              </w:rPr>
              <w:t>EQUITY</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40" w:type="dxa"/>
            <w:vAlign w:val="bottom"/>
          </w:tcPr>
          <w:p>
            <w:pPr>
              <w:ind w:left="20"/>
              <w:spacing w:after="0" w:line="176" w:lineRule="exact"/>
              <w:rPr>
                <w:sz w:val="20"/>
                <w:szCs w:val="20"/>
                <w:color w:val="auto"/>
              </w:rPr>
            </w:pPr>
            <w:r>
              <w:rPr>
                <w:rFonts w:ascii="Arial" w:cs="Arial" w:eastAsia="Arial" w:hAnsi="Arial"/>
                <w:sz w:val="18"/>
                <w:szCs w:val="18"/>
                <w:color w:val="auto"/>
              </w:rPr>
              <w:t>Common unitholders—publicly and privately held (21,082,331 and 21,076,673 units</w:t>
            </w:r>
          </w:p>
        </w:tc>
        <w:tc>
          <w:tcPr>
            <w:tcW w:w="28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476,076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471,701</w:t>
            </w:r>
          </w:p>
        </w:tc>
        <w:tc>
          <w:tcPr>
            <w:tcW w:w="0" w:type="dxa"/>
            <w:vAlign w:val="bottom"/>
          </w:tcPr>
          <w:p>
            <w:pPr>
              <w:spacing w:after="0"/>
              <w:rPr>
                <w:sz w:val="1"/>
                <w:szCs w:val="1"/>
                <w:color w:val="auto"/>
              </w:rPr>
            </w:pPr>
          </w:p>
        </w:tc>
      </w:tr>
      <w:tr>
        <w:trPr>
          <w:trHeight w:val="230"/>
        </w:trPr>
        <w:tc>
          <w:tcPr>
            <w:tcW w:w="8240" w:type="dxa"/>
            <w:vAlign w:val="bottom"/>
          </w:tcPr>
          <w:p>
            <w:pPr>
              <w:ind w:left="160"/>
              <w:spacing w:after="0"/>
              <w:rPr>
                <w:sz w:val="20"/>
                <w:szCs w:val="20"/>
                <w:color w:val="auto"/>
              </w:rPr>
            </w:pPr>
            <w:r>
              <w:rPr>
                <w:rFonts w:ascii="Arial" w:cs="Arial" w:eastAsia="Arial" w:hAnsi="Arial"/>
                <w:sz w:val="18"/>
                <w:szCs w:val="18"/>
                <w:color w:val="auto"/>
              </w:rPr>
              <w:t>issued and outstanding at June 30, 2021 and December 31, 2020, respectively)</w:t>
            </w:r>
          </w:p>
        </w:tc>
        <w:tc>
          <w:tcPr>
            <w:tcW w:w="28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Common unitholder—Westlake (14,122,230 and 14,122,230 units issued and outstanding</w:t>
            </w:r>
          </w:p>
        </w:tc>
        <w:tc>
          <w:tcPr>
            <w:tcW w:w="2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51,103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48,270</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at June 30, 2021 and December 31, 2020, respectively)</w:t>
            </w:r>
          </w:p>
        </w:tc>
        <w:tc>
          <w:tcPr>
            <w:tcW w:w="28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partner—Westlake</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(242,572)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(242,572)</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Westlake Chemical Partners LP partners' capital</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277,399</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 in Westlake Chemical OpCo LP ("OpCo")</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667,151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637,738</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equity</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951,758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915,137</w:t>
            </w:r>
          </w:p>
        </w:tc>
        <w:tc>
          <w:tcPr>
            <w:tcW w:w="0" w:type="dxa"/>
            <w:vAlign w:val="bottom"/>
          </w:tcPr>
          <w:p>
            <w:pPr>
              <w:spacing w:after="0"/>
              <w:rPr>
                <w:sz w:val="1"/>
                <w:szCs w:val="1"/>
                <w:color w:val="auto"/>
              </w:rPr>
            </w:pPr>
          </w:p>
        </w:tc>
      </w:tr>
      <w:tr>
        <w:trPr>
          <w:trHeight w:val="223"/>
        </w:trPr>
        <w:tc>
          <w:tcPr>
            <w:tcW w:w="8240" w:type="dxa"/>
            <w:vAlign w:val="bottom"/>
          </w:tcPr>
          <w:p>
            <w:pPr>
              <w:ind w:left="680"/>
              <w:spacing w:after="0"/>
              <w:rPr>
                <w:sz w:val="20"/>
                <w:szCs w:val="20"/>
                <w:color w:val="auto"/>
              </w:rPr>
            </w:pPr>
            <w:r>
              <w:rPr>
                <w:rFonts w:ascii="Arial" w:cs="Arial" w:eastAsia="Arial" w:hAnsi="Arial"/>
                <w:sz w:val="18"/>
                <w:szCs w:val="18"/>
                <w:b w:val="1"/>
                <w:bCs w:val="1"/>
                <w:color w:val="auto"/>
              </w:rPr>
              <w:t>Total liabilities and equity</w:t>
            </w: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1,401,755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1,356,488</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4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7"/>
        </w:trPr>
        <w:tc>
          <w:tcPr>
            <w:tcW w:w="520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8"/>
        </w:trPr>
        <w:tc>
          <w:tcPr>
            <w:tcW w:w="5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740" w:type="dxa"/>
            <w:vAlign w:val="bottom"/>
            <w:gridSpan w:val="9"/>
          </w:tcPr>
          <w:p>
            <w:pPr>
              <w:jc w:val="right"/>
              <w:spacing w:after="0"/>
              <w:rPr>
                <w:sz w:val="20"/>
                <w:szCs w:val="20"/>
                <w:color w:val="auto"/>
              </w:rPr>
            </w:pPr>
            <w:r>
              <w:rPr>
                <w:rFonts w:ascii="Arial" w:cs="Arial" w:eastAsia="Arial" w:hAnsi="Arial"/>
                <w:sz w:val="14"/>
                <w:szCs w:val="14"/>
                <w:b w:val="1"/>
                <w:bCs w:val="1"/>
                <w:color w:val="auto"/>
              </w:rPr>
              <w:t>(in thousands of dollars, except unit amounts and per unit data)</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20"/>
              <w:spacing w:after="0"/>
              <w:rPr>
                <w:sz w:val="20"/>
                <w:szCs w:val="20"/>
                <w:color w:val="auto"/>
              </w:rPr>
            </w:pPr>
            <w:r>
              <w:rPr>
                <w:rFonts w:ascii="Arial" w:cs="Arial" w:eastAsia="Arial" w:hAnsi="Arial"/>
                <w:sz w:val="18"/>
                <w:szCs w:val="18"/>
                <w:color w:val="auto"/>
              </w:rPr>
              <w:t>Net sales—Westlake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240,956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227,431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460,759</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442,259</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co-product, ethylene and other sales—third parties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81,273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129,677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46,790</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Total net sales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322,229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238,500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590,436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489,049</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191,200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148,470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371,708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295,471</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131,029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90,030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218,728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193,578</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12,335</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122,760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83,891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201,786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181,243</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Arial" w:cs="Arial" w:eastAsia="Arial" w:hAnsi="Arial"/>
                <w:sz w:val="18"/>
                <w:szCs w:val="18"/>
                <w:color w:val="auto"/>
              </w:rPr>
              <w:t>Interest expense—Westlake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(4,460)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(7,381)</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net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120,557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80,583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197,354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174,570</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provision</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120,294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80,377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196,916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174,147</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Less: Net income attributable to noncontrolling interest in OpCo</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95,195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156,671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141,540</w:t>
            </w:r>
          </w:p>
        </w:tc>
        <w:tc>
          <w:tcPr>
            <w:tcW w:w="0" w:type="dxa"/>
            <w:vAlign w:val="bottom"/>
          </w:tcPr>
          <w:p>
            <w:pPr>
              <w:spacing w:after="0"/>
              <w:rPr>
                <w:sz w:val="1"/>
                <w:szCs w:val="1"/>
                <w:color w:val="auto"/>
              </w:rPr>
            </w:pPr>
          </w:p>
        </w:tc>
      </w:tr>
      <w:tr>
        <w:trPr>
          <w:trHeight w:val="156"/>
        </w:trPr>
        <w:tc>
          <w:tcPr>
            <w:tcW w:w="5200" w:type="dxa"/>
            <w:vAlign w:val="bottom"/>
          </w:tcPr>
          <w:p>
            <w:pPr>
              <w:ind w:left="20"/>
              <w:spacing w:after="0" w:line="156" w:lineRule="exact"/>
              <w:rPr>
                <w:sz w:val="20"/>
                <w:szCs w:val="20"/>
                <w:color w:val="auto"/>
              </w:rPr>
            </w:pPr>
            <w:r>
              <w:rPr>
                <w:rFonts w:ascii="Arial" w:cs="Arial" w:eastAsia="Arial" w:hAnsi="Arial"/>
                <w:sz w:val="18"/>
                <w:szCs w:val="18"/>
                <w:b w:val="1"/>
                <w:bCs w:val="1"/>
                <w:color w:val="auto"/>
                <w:w w:val="96"/>
              </w:rPr>
              <w:t>Net income attributable to Westlake Chemical Partners LP and</w:t>
            </w: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25,099</w:t>
            </w:r>
          </w:p>
        </w:tc>
        <w:tc>
          <w:tcPr>
            <w:tcW w:w="120" w:type="dxa"/>
            <w:vAlign w:val="bottom"/>
          </w:tcPr>
          <w:p>
            <w:pPr>
              <w:spacing w:after="0"/>
              <w:rPr>
                <w:sz w:val="13"/>
                <w:szCs w:val="13"/>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14,860</w:t>
            </w:r>
          </w:p>
        </w:tc>
        <w:tc>
          <w:tcPr>
            <w:tcW w:w="100" w:type="dxa"/>
            <w:vAlign w:val="bottom"/>
          </w:tcPr>
          <w:p>
            <w:pPr>
              <w:spacing w:after="0"/>
              <w:rPr>
                <w:sz w:val="13"/>
                <w:szCs w:val="13"/>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40,245</w:t>
            </w:r>
          </w:p>
        </w:tc>
        <w:tc>
          <w:tcPr>
            <w:tcW w:w="100" w:type="dxa"/>
            <w:vAlign w:val="bottom"/>
          </w:tcPr>
          <w:p>
            <w:pPr>
              <w:spacing w:after="0"/>
              <w:rPr>
                <w:sz w:val="13"/>
                <w:szCs w:val="13"/>
                <w:color w:val="auto"/>
              </w:rPr>
            </w:pPr>
          </w:p>
        </w:tc>
        <w:tc>
          <w:tcPr>
            <w:tcW w:w="46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32,607</w:t>
            </w:r>
          </w:p>
        </w:tc>
        <w:tc>
          <w:tcPr>
            <w:tcW w:w="0" w:type="dxa"/>
            <w:vAlign w:val="bottom"/>
          </w:tcPr>
          <w:p>
            <w:pPr>
              <w:spacing w:after="0"/>
              <w:rPr>
                <w:sz w:val="1"/>
                <w:szCs w:val="1"/>
                <w:color w:val="auto"/>
              </w:rPr>
            </w:pPr>
          </w:p>
        </w:tc>
      </w:tr>
      <w:tr>
        <w:trPr>
          <w:trHeight w:val="208"/>
        </w:trPr>
        <w:tc>
          <w:tcPr>
            <w:tcW w:w="520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limited partners' interest in net income</w:t>
            </w:r>
          </w:p>
        </w:tc>
        <w:tc>
          <w:tcPr>
            <w:tcW w:w="32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0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Net income per limited partner unit attributable to Westlake</w:t>
            </w: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2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b w:val="1"/>
                <w:bCs w:val="1"/>
                <w:color w:val="auto"/>
              </w:rPr>
              <w:t>Chemical Partners LP per limited partner unit (basic and</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diluted)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Arial" w:cs="Arial" w:eastAsia="Arial" w:hAnsi="Arial"/>
                <w:sz w:val="18"/>
                <w:szCs w:val="18"/>
                <w:color w:val="auto"/>
              </w:rPr>
              <w:t>Common units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0.71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175"/>
        </w:trPr>
        <w:tc>
          <w:tcPr>
            <w:tcW w:w="52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w w:val="96"/>
              </w:rPr>
              <w:t>Weighted average limited partner units outstanding (basic and</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diluted)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Arial" w:cs="Arial" w:eastAsia="Arial" w:hAnsi="Arial"/>
                <w:sz w:val="18"/>
                <w:szCs w:val="18"/>
                <w:color w:val="auto"/>
              </w:rPr>
              <w:t>Common units—publicly and privately held</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21,079,657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21,072,315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21,078,173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7"/>
              </w:rPr>
              <w:t>21,072,315</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units—Westlake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14,122,230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14,122,230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14,122,230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14,122,230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6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i w:val="1"/>
                <w:iCs w:val="1"/>
                <w:color w:val="auto"/>
              </w:rPr>
              <w:t>Partnership</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6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1"/>
                <w:szCs w:val="11"/>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1"/>
                <w:szCs w:val="11"/>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General</w:t>
            </w: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00" w:type="dxa"/>
            <w:vAlign w:val="bottom"/>
          </w:tcPr>
          <w:p>
            <w:pPr>
              <w:spacing w:after="0"/>
              <w:rPr>
                <w:sz w:val="11"/>
                <w:szCs w:val="11"/>
                <w:color w:val="auto"/>
              </w:rPr>
            </w:pPr>
          </w:p>
        </w:tc>
        <w:tc>
          <w:tcPr>
            <w:tcW w:w="10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Unitholders</w:t>
            </w:r>
            <w:r>
              <w:rPr>
                <w:rFonts w:ascii="Arial" w:cs="Arial" w:eastAsia="Arial" w:hAnsi="Arial"/>
                <w:sz w:val="14"/>
                <w:szCs w:val="14"/>
                <w:color w:val="auto"/>
                <w:w w:val="95"/>
              </w:rPr>
              <w:t>—</w:t>
            </w:r>
          </w:p>
        </w:tc>
        <w:tc>
          <w:tcPr>
            <w:tcW w:w="14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3"/>
              </w:rPr>
              <w:t>Public and</w:t>
            </w:r>
          </w:p>
        </w:tc>
        <w:tc>
          <w:tcPr>
            <w:tcW w:w="104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7"/>
              </w:rPr>
              <w:t>Unitholder</w:t>
            </w:r>
            <w:r>
              <w:rPr>
                <w:rFonts w:ascii="Arial" w:cs="Arial" w:eastAsia="Arial" w:hAnsi="Arial"/>
                <w:sz w:val="14"/>
                <w:szCs w:val="14"/>
                <w:color w:val="auto"/>
                <w:w w:val="97"/>
              </w:rPr>
              <w:t>—</w:t>
            </w:r>
          </w:p>
        </w:tc>
        <w:tc>
          <w:tcPr>
            <w:tcW w:w="140" w:type="dxa"/>
            <w:vAlign w:val="bottom"/>
          </w:tcPr>
          <w:p>
            <w:pPr>
              <w:spacing w:after="0"/>
              <w:rPr>
                <w:sz w:val="11"/>
                <w:szCs w:val="11"/>
                <w:color w:val="auto"/>
              </w:rPr>
            </w:pPr>
          </w:p>
        </w:tc>
        <w:tc>
          <w:tcPr>
            <w:tcW w:w="92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Partner</w:t>
            </w: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8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Interests</w:t>
            </w:r>
          </w:p>
        </w:tc>
        <w:tc>
          <w:tcPr>
            <w:tcW w:w="200" w:type="dxa"/>
            <w:vAlign w:val="bottom"/>
          </w:tcPr>
          <w:p>
            <w:pPr>
              <w:spacing w:after="0"/>
              <w:rPr>
                <w:sz w:val="11"/>
                <w:szCs w:val="11"/>
                <w:color w:val="auto"/>
              </w:rPr>
            </w:pPr>
          </w:p>
        </w:tc>
        <w:tc>
          <w:tcPr>
            <w:tcW w:w="7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000" w:type="dxa"/>
            <w:vAlign w:val="bottom"/>
          </w:tcPr>
          <w:p>
            <w:pPr>
              <w:spacing w:after="0"/>
              <w:rPr>
                <w:sz w:val="16"/>
                <w:szCs w:val="16"/>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Privately Held</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2"/>
              </w:rPr>
              <w:t>Westlake</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Westlake</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OpCo</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6"/>
          </w:tcPr>
          <w:p>
            <w:pPr>
              <w:ind w:left="600"/>
              <w:spacing w:after="0"/>
              <w:rPr>
                <w:sz w:val="20"/>
                <w:szCs w:val="20"/>
                <w:color w:val="auto"/>
              </w:rPr>
            </w:pPr>
            <w:r>
              <w:rPr>
                <w:rFonts w:ascii="Arial" w:cs="Arial" w:eastAsia="Arial" w:hAnsi="Arial"/>
                <w:sz w:val="14"/>
                <w:szCs w:val="14"/>
                <w:b w:val="1"/>
                <w:bCs w:val="1"/>
                <w:color w:val="auto"/>
                <w:w w:val="93"/>
              </w:rPr>
              <w:t>(in thousands of dollars)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471,701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48,270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w w:val="93"/>
              </w:rPr>
              <w:t>(242,572)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637,738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915,137</w:t>
            </w:r>
          </w:p>
        </w:tc>
        <w:tc>
          <w:tcPr>
            <w:tcW w:w="0" w:type="dxa"/>
            <w:vAlign w:val="bottom"/>
          </w:tcPr>
          <w:p>
            <w:pPr>
              <w:spacing w:after="0"/>
              <w:rPr>
                <w:sz w:val="1"/>
                <w:szCs w:val="1"/>
                <w:color w:val="auto"/>
              </w:rPr>
            </w:pP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9,069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6,077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61,476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76,622</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Quarterly distribution to unitholders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(16,593)</w:t>
            </w:r>
          </w:p>
        </w:tc>
        <w:tc>
          <w:tcPr>
            <w:tcW w:w="0" w:type="dxa"/>
            <w:vAlign w:val="bottom"/>
          </w:tcPr>
          <w:p>
            <w:pPr>
              <w:spacing w:after="0"/>
              <w:rPr>
                <w:sz w:val="1"/>
                <w:szCs w:val="1"/>
                <w:color w:val="auto"/>
              </w:rPr>
            </w:pP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w w:val="97"/>
              </w:rPr>
              <w:t>Quarterly distribution to noncontrolling interest retained in OpCo by Westlake</w:t>
            </w: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(62,058)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ind w:left="120"/>
              <w:spacing w:after="0"/>
              <w:rPr>
                <w:sz w:val="20"/>
                <w:szCs w:val="20"/>
                <w:color w:val="auto"/>
              </w:rPr>
            </w:pPr>
            <w:r>
              <w:rPr>
                <w:rFonts w:ascii="Arial" w:cs="Arial" w:eastAsia="Arial" w:hAnsi="Arial"/>
                <w:sz w:val="18"/>
                <w:szCs w:val="18"/>
                <w:color w:val="auto"/>
                <w:w w:val="92"/>
              </w:rPr>
              <w:t>(62,058)</w:t>
            </w:r>
          </w:p>
        </w:tc>
        <w:tc>
          <w:tcPr>
            <w:tcW w:w="0" w:type="dxa"/>
            <w:vAlign w:val="bottom"/>
          </w:tcPr>
          <w:p>
            <w:pPr>
              <w:spacing w:after="0"/>
              <w:rPr>
                <w:sz w:val="1"/>
                <w:szCs w:val="1"/>
                <w:color w:val="auto"/>
              </w:rPr>
            </w:pPr>
          </w:p>
        </w:tc>
      </w:tr>
      <w:tr>
        <w:trPr>
          <w:trHeight w:val="248"/>
        </w:trPr>
        <w:tc>
          <w:tcPr>
            <w:tcW w:w="6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March 31, 2021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470,834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47,690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w w:val="93"/>
              </w:rPr>
              <w:t>(242,572)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637,156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913,108</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95,195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120,294</w:t>
            </w:r>
          </w:p>
        </w:tc>
        <w:tc>
          <w:tcPr>
            <w:tcW w:w="0" w:type="dxa"/>
            <w:vAlign w:val="bottom"/>
          </w:tcPr>
          <w:p>
            <w:pPr>
              <w:spacing w:after="0"/>
              <w:rPr>
                <w:sz w:val="1"/>
                <w:szCs w:val="1"/>
                <w:color w:val="auto"/>
              </w:rPr>
            </w:pP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Units issued for vested phantom units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Quarterly distribution to unitholders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(16,593)</w:t>
            </w:r>
          </w:p>
        </w:tc>
        <w:tc>
          <w:tcPr>
            <w:tcW w:w="0" w:type="dxa"/>
            <w:vAlign w:val="bottom"/>
          </w:tcPr>
          <w:p>
            <w:pPr>
              <w:spacing w:after="0"/>
              <w:rPr>
                <w:sz w:val="1"/>
                <w:szCs w:val="1"/>
                <w:color w:val="auto"/>
              </w:rPr>
            </w:pP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w w:val="97"/>
              </w:rPr>
              <w:t>Quarterly distribution to noncontrolling interest retained in OpCo by Westlake</w:t>
            </w: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(65,200)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ind w:left="120"/>
              <w:spacing w:after="0"/>
              <w:rPr>
                <w:sz w:val="20"/>
                <w:szCs w:val="20"/>
                <w:color w:val="auto"/>
              </w:rPr>
            </w:pPr>
            <w:r>
              <w:rPr>
                <w:rFonts w:ascii="Arial" w:cs="Arial" w:eastAsia="Arial" w:hAnsi="Arial"/>
                <w:sz w:val="18"/>
                <w:szCs w:val="18"/>
                <w:color w:val="auto"/>
                <w:w w:val="92"/>
              </w:rPr>
              <w:t>(65,200)</w:t>
            </w:r>
          </w:p>
        </w:tc>
        <w:tc>
          <w:tcPr>
            <w:tcW w:w="0" w:type="dxa"/>
            <w:vAlign w:val="bottom"/>
          </w:tcPr>
          <w:p>
            <w:pPr>
              <w:spacing w:after="0"/>
              <w:rPr>
                <w:sz w:val="1"/>
                <w:szCs w:val="1"/>
                <w:color w:val="auto"/>
              </w:rPr>
            </w:pPr>
          </w:p>
        </w:tc>
      </w:tr>
      <w:tr>
        <w:trPr>
          <w:trHeight w:val="248"/>
        </w:trPr>
        <w:tc>
          <w:tcPr>
            <w:tcW w:w="6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June 30, 2021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476,076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51,103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w w:val="93"/>
              </w:rPr>
              <w:t>(242,572)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667,151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951,758</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6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i w:val="1"/>
                <w:iCs w:val="1"/>
                <w:color w:val="auto"/>
              </w:rPr>
              <w:t>Partnership</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6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1"/>
                <w:szCs w:val="11"/>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1"/>
                <w:szCs w:val="11"/>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General</w:t>
            </w: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00" w:type="dxa"/>
            <w:vAlign w:val="bottom"/>
          </w:tcPr>
          <w:p>
            <w:pPr>
              <w:spacing w:after="0"/>
              <w:rPr>
                <w:sz w:val="11"/>
                <w:szCs w:val="11"/>
                <w:color w:val="auto"/>
              </w:rPr>
            </w:pPr>
          </w:p>
        </w:tc>
        <w:tc>
          <w:tcPr>
            <w:tcW w:w="10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Unitholders—</w:t>
            </w:r>
          </w:p>
        </w:tc>
        <w:tc>
          <w:tcPr>
            <w:tcW w:w="14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3"/>
              </w:rPr>
              <w:t>Public and</w:t>
            </w:r>
          </w:p>
        </w:tc>
        <w:tc>
          <w:tcPr>
            <w:tcW w:w="104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7"/>
              </w:rPr>
              <w:t>Unitholder—</w:t>
            </w:r>
          </w:p>
        </w:tc>
        <w:tc>
          <w:tcPr>
            <w:tcW w:w="140" w:type="dxa"/>
            <w:vAlign w:val="bottom"/>
          </w:tcPr>
          <w:p>
            <w:pPr>
              <w:spacing w:after="0"/>
              <w:rPr>
                <w:sz w:val="11"/>
                <w:szCs w:val="11"/>
                <w:color w:val="auto"/>
              </w:rPr>
            </w:pPr>
          </w:p>
        </w:tc>
        <w:tc>
          <w:tcPr>
            <w:tcW w:w="92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Partner—</w:t>
            </w:r>
          </w:p>
        </w:tc>
        <w:tc>
          <w:tcPr>
            <w:tcW w:w="180" w:type="dxa"/>
            <w:vAlign w:val="bottom"/>
          </w:tcPr>
          <w:p>
            <w:pPr>
              <w:spacing w:after="0"/>
              <w:rPr>
                <w:sz w:val="11"/>
                <w:szCs w:val="11"/>
                <w:color w:val="auto"/>
              </w:rPr>
            </w:pPr>
          </w:p>
        </w:tc>
        <w:tc>
          <w:tcPr>
            <w:tcW w:w="88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Interests</w:t>
            </w:r>
          </w:p>
        </w:tc>
        <w:tc>
          <w:tcPr>
            <w:tcW w:w="200" w:type="dxa"/>
            <w:vAlign w:val="bottom"/>
          </w:tcPr>
          <w:p>
            <w:pPr>
              <w:spacing w:after="0"/>
              <w:rPr>
                <w:sz w:val="11"/>
                <w:szCs w:val="11"/>
                <w:color w:val="auto"/>
              </w:rPr>
            </w:pPr>
          </w:p>
        </w:tc>
        <w:tc>
          <w:tcPr>
            <w:tcW w:w="76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000" w:type="dxa"/>
            <w:vAlign w:val="bottom"/>
          </w:tcPr>
          <w:p>
            <w:pPr>
              <w:spacing w:after="0"/>
              <w:rPr>
                <w:sz w:val="16"/>
                <w:szCs w:val="16"/>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Privately Held</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2"/>
              </w:rPr>
              <w:t>Westlake</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Westlake</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OpCo</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6"/>
          </w:tcPr>
          <w:p>
            <w:pPr>
              <w:ind w:left="600"/>
              <w:spacing w:after="0"/>
              <w:rPr>
                <w:sz w:val="20"/>
                <w:szCs w:val="20"/>
                <w:color w:val="auto"/>
              </w:rPr>
            </w:pPr>
            <w:r>
              <w:rPr>
                <w:rFonts w:ascii="Arial" w:cs="Arial" w:eastAsia="Arial" w:hAnsi="Arial"/>
                <w:sz w:val="14"/>
                <w:szCs w:val="14"/>
                <w:b w:val="1"/>
                <w:bCs w:val="1"/>
                <w:color w:val="auto"/>
                <w:w w:val="93"/>
              </w:rPr>
              <w:t>(in thousands of dollars)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471,736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48,350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w w:val="93"/>
              </w:rPr>
              <w:t>(242,572)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674,621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952,135</w:t>
            </w:r>
          </w:p>
        </w:tc>
        <w:tc>
          <w:tcPr>
            <w:tcW w:w="0" w:type="dxa"/>
            <w:vAlign w:val="bottom"/>
          </w:tcPr>
          <w:p>
            <w:pPr>
              <w:spacing w:after="0"/>
              <w:rPr>
                <w:sz w:val="1"/>
                <w:szCs w:val="1"/>
                <w:color w:val="auto"/>
              </w:rPr>
            </w:pP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10,626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76,023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93,770</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Quarterly distribution to unitholders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(16,591)</w:t>
            </w:r>
          </w:p>
        </w:tc>
        <w:tc>
          <w:tcPr>
            <w:tcW w:w="0" w:type="dxa"/>
            <w:vAlign w:val="bottom"/>
          </w:tcPr>
          <w:p>
            <w:pPr>
              <w:spacing w:after="0"/>
              <w:rPr>
                <w:sz w:val="1"/>
                <w:szCs w:val="1"/>
                <w:color w:val="auto"/>
              </w:rPr>
            </w:pP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w w:val="97"/>
              </w:rPr>
              <w:t>Quarterly distribution to noncontrolling interest retained in OpCo by Westlake</w:t>
            </w: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(79,223)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(79,223)</w:t>
            </w:r>
          </w:p>
        </w:tc>
        <w:tc>
          <w:tcPr>
            <w:tcW w:w="0" w:type="dxa"/>
            <w:vAlign w:val="bottom"/>
          </w:tcPr>
          <w:p>
            <w:pPr>
              <w:spacing w:after="0"/>
              <w:rPr>
                <w:sz w:val="1"/>
                <w:szCs w:val="1"/>
                <w:color w:val="auto"/>
              </w:rPr>
            </w:pPr>
          </w:p>
        </w:tc>
      </w:tr>
      <w:tr>
        <w:trPr>
          <w:trHeight w:val="248"/>
        </w:trPr>
        <w:tc>
          <w:tcPr>
            <w:tcW w:w="6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March 31, 2020</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472,428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48,814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w w:val="93"/>
              </w:rPr>
              <w:t>(242,572)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671,421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950,091</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65,517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80,377</w:t>
            </w: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Quarterly distributions to unitholders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(9,933)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(6,657)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(16,590)</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w w:val="97"/>
              </w:rPr>
              <w:t>Quarterly distribution to noncontrolling interest retained in OpCo by Westlake</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(78,025)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(78,025)</w:t>
            </w:r>
          </w:p>
        </w:tc>
        <w:tc>
          <w:tcPr>
            <w:tcW w:w="0" w:type="dxa"/>
            <w:vAlign w:val="bottom"/>
          </w:tcPr>
          <w:p>
            <w:pPr>
              <w:spacing w:after="0"/>
              <w:rPr>
                <w:sz w:val="1"/>
                <w:szCs w:val="1"/>
                <w:color w:val="auto"/>
              </w:rPr>
            </w:pPr>
          </w:p>
        </w:tc>
      </w:tr>
      <w:tr>
        <w:trPr>
          <w:trHeight w:val="223"/>
        </w:trPr>
        <w:tc>
          <w:tcPr>
            <w:tcW w:w="6000" w:type="dxa"/>
            <w:vAlign w:val="bottom"/>
          </w:tcPr>
          <w:p>
            <w:pPr>
              <w:spacing w:after="0"/>
              <w:rPr>
                <w:sz w:val="20"/>
                <w:szCs w:val="20"/>
                <w:color w:val="auto"/>
              </w:rPr>
            </w:pPr>
            <w:r>
              <w:rPr>
                <w:rFonts w:ascii="Arial" w:cs="Arial" w:eastAsia="Arial" w:hAnsi="Arial"/>
                <w:sz w:val="18"/>
                <w:szCs w:val="18"/>
                <w:b w:val="1"/>
                <w:bCs w:val="1"/>
                <w:color w:val="auto"/>
              </w:rPr>
              <w:t>Balance at June 30, 2020</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471,392</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48,120</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w w:val="93"/>
              </w:rPr>
              <w:t>(242,572)</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658,913</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935,853</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r>
      <w:tr>
        <w:trPr>
          <w:trHeight w:val="218"/>
        </w:trPr>
        <w:tc>
          <w:tcPr>
            <w:tcW w:w="8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40" w:type="dxa"/>
            <w:vAlign w:val="bottom"/>
            <w:gridSpan w:val="4"/>
          </w:tcPr>
          <w:p>
            <w:pPr>
              <w:jc w:val="right"/>
              <w:ind w:right="651"/>
              <w:spacing w:after="0"/>
              <w:rPr>
                <w:sz w:val="20"/>
                <w:szCs w:val="20"/>
                <w:color w:val="auto"/>
              </w:rPr>
            </w:pPr>
            <w:r>
              <w:rPr>
                <w:rFonts w:ascii="Arial" w:cs="Arial" w:eastAsia="Arial" w:hAnsi="Arial"/>
                <w:sz w:val="14"/>
                <w:szCs w:val="14"/>
                <w:b w:val="1"/>
                <w:bCs w:val="1"/>
                <w:color w:val="auto"/>
              </w:rPr>
              <w:t>(in thousands of dollars)</w:t>
            </w:r>
          </w:p>
        </w:tc>
      </w:tr>
      <w:tr>
        <w:trPr>
          <w:trHeight w:val="235"/>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196,916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174,147</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56,244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51,844</w:t>
            </w: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from disposition of property, plant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Other gains,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Accounts receivable—third parties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(14,600)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3,235</w:t>
            </w: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accounts receivable—Westlake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(8,890)</w:t>
            </w: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955</w:t>
            </w: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1,207</w:t>
            </w: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and other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r>
      <w:tr>
        <w:trPr>
          <w:trHeight w:val="230"/>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r>
      <w:tr>
        <w:trPr>
          <w:trHeight w:val="223"/>
        </w:trPr>
        <w:tc>
          <w:tcPr>
            <w:tcW w:w="8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287,118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223,719</w:t>
            </w:r>
          </w:p>
        </w:tc>
      </w:tr>
      <w:tr>
        <w:trPr>
          <w:trHeight w:val="210"/>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to property, plant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(20,595)</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Maturities of investments with Westlake under the Investment Management Agreement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181,000</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with Westlake under the Investment Management Agreement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(190,000)</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used for investing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(29,595)</w:t>
            </w:r>
          </w:p>
        </w:tc>
      </w:tr>
      <w:tr>
        <w:trPr>
          <w:trHeight w:val="210"/>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Quarterly distributions to noncontrolling interest retained in OpCo by Westlake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(157,248)</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Quarterly distributions to unitholders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(33,186)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(33,181)</w:t>
            </w:r>
          </w:p>
        </w:tc>
      </w:tr>
      <w:tr>
        <w:trPr>
          <w:trHeight w:val="223"/>
        </w:trPr>
        <w:tc>
          <w:tcPr>
            <w:tcW w:w="8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used for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(190,429)</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3,695</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19,923</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17,665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23,618</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7280" w:firstLine="8"/>
        <w:spacing w:after="0" w:line="376"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Description of Business and Basis of Presentation </w:t>
      </w:r>
      <w:r>
        <w:rPr>
          <w:rFonts w:ascii="Arial" w:cs="Arial" w:eastAsia="Arial" w:hAnsi="Arial"/>
          <w:sz w:val="18"/>
          <w:szCs w:val="18"/>
          <w:b w:val="1"/>
          <w:bCs w:val="1"/>
          <w:i w:val="1"/>
          <w:iCs w:val="1"/>
          <w:color w:val="auto"/>
        </w:rPr>
        <w:t>Description of Business</w:t>
      </w:r>
    </w:p>
    <w:p>
      <w:pPr>
        <w:spacing w:after="0" w:line="30"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Westlake Chemical Partners LP (the "Partnership") is a Delaware limited partnership formed in March 2014 to operate, acquire and develop ethylene production facilities and related assets. On August 4, 2014, the Partnership completed its initial public offering (the "IPO") of 12,937,500 common units representing limited partner interests.</w:t>
      </w:r>
    </w:p>
    <w:p>
      <w:pPr>
        <w:spacing w:after="0" w:line="130" w:lineRule="exact"/>
        <w:rPr>
          <w:sz w:val="20"/>
          <w:szCs w:val="20"/>
          <w:color w:val="auto"/>
        </w:rPr>
      </w:pPr>
    </w:p>
    <w:p>
      <w:pPr>
        <w:ind w:right="160" w:firstLine="405"/>
        <w:spacing w:after="0" w:line="291" w:lineRule="auto"/>
        <w:rPr>
          <w:sz w:val="20"/>
          <w:szCs w:val="20"/>
          <w:color w:val="auto"/>
        </w:rPr>
      </w:pPr>
      <w:r>
        <w:rPr>
          <w:rFonts w:ascii="Arial" w:cs="Arial" w:eastAsia="Arial" w:hAnsi="Arial"/>
          <w:sz w:val="16"/>
          <w:szCs w:val="16"/>
          <w:color w:val="auto"/>
        </w:rPr>
        <w:t>In connection with the IPO, the Partnership acquired a 10.6% limited partner interest in Westlake Chemical OpCo LP ("OpCo") and a 100% interest in Westlake Chemical OpCo GP LLC ("OpCo GP"), which is the general partner of OpCo. OpCo owns three ethylene production facilities and one</w:t>
      </w:r>
    </w:p>
    <w:p>
      <w:pPr>
        <w:ind w:right="20"/>
        <w:spacing w:after="0" w:line="255" w:lineRule="auto"/>
        <w:rPr>
          <w:sz w:val="20"/>
          <w:szCs w:val="20"/>
          <w:color w:val="auto"/>
        </w:rPr>
      </w:pPr>
      <w:r>
        <w:rPr>
          <w:rFonts w:ascii="Arial" w:cs="Arial" w:eastAsia="Arial" w:hAnsi="Arial"/>
          <w:sz w:val="18"/>
          <w:szCs w:val="18"/>
          <w:color w:val="auto"/>
        </w:rPr>
        <w:t>common carrier ethylene pipeline (collectively, the "Contributed Assets"</w:t>
      </w:r>
      <w:r>
        <w:rPr>
          <w:rFonts w:ascii="Arial" w:cs="Arial" w:eastAsia="Arial" w:hAnsi="Arial"/>
          <w:sz w:val="21"/>
          <w:szCs w:val="21"/>
          <w:color w:val="auto"/>
        </w:rPr>
        <w:t>)</w:t>
      </w:r>
      <w:r>
        <w:rPr>
          <w:rFonts w:ascii="Arial" w:cs="Arial" w:eastAsia="Arial" w:hAnsi="Arial"/>
          <w:sz w:val="18"/>
          <w:szCs w:val="18"/>
          <w:color w:val="auto"/>
        </w:rPr>
        <w:t>. Since the IPO, the Partnership has periodically purchased additional limited partner interest in OpCo. Most recently, on March 29, 2019, the Partnership purchased an additional 4.5% newly-issued limited partner interest in OpCo for approximately $201,445, resulting in an aggregate 22.8% limited partner interest in OpCo, effective January 1, 2019. The remaining 77.2% limited partner interest in OpCo is owned by Westlake Chemical Corporation.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04" w:lineRule="exact"/>
        <w:rPr>
          <w:sz w:val="20"/>
          <w:szCs w:val="20"/>
          <w:color w:val="auto"/>
        </w:rPr>
      </w:pPr>
    </w:p>
    <w:p>
      <w:pPr>
        <w:ind w:right="200" w:firstLine="405"/>
        <w:spacing w:after="0" w:line="254" w:lineRule="auto"/>
        <w:rPr>
          <w:sz w:val="20"/>
          <w:szCs w:val="20"/>
          <w:color w:val="auto"/>
        </w:rPr>
      </w:pPr>
      <w:r>
        <w:rPr>
          <w:rFonts w:ascii="Arial" w:cs="Arial" w:eastAsia="Arial" w:hAnsi="Arial"/>
          <w:sz w:val="18"/>
          <w:szCs w:val="18"/>
          <w:color w:val="auto"/>
        </w:rPr>
        <w:t>The accompanying unaudited consolidated interim financial statements were prepared in accordance with the rules and regulations of the Securities and Exchange Commission (the "SEC") for interim periods. Accordingly, certain information and footnotes required for complete financial statements under generally accepted accounting principles in the United States ("U.S. GAAP") have not been included. These interim consolidated financial statements should be read in conjunction with the consolidated financial statements and notes thereto of the Partnership included in the annual report on Form 10-K for the fiscal year ended December 31, 2020 (the "2020 Form 10-K"), filed with the SEC on March 2, 2021. These financial statements have been prepared in conformity with the accounting principles and practices as disclosed in the notes to the consolidated financial statements of the Partnership for the fiscal year ended December 31, 2020.</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References to "Westlake" refer collectively to Westlake Chemical Corporation and its subsidiaries, other than the Partnership, OpCo and OpCo GP.</w:t>
      </w:r>
    </w:p>
    <w:p>
      <w:pPr>
        <w:spacing w:after="0" w:line="194"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The Partnership holds a 22.8% limited partner interest and the entire non-economic general partner interest in OpCo. The remaining 77.2% limited partner interest in OpCo is owned directly by Westlake, which has no rights to direct the activities that most significantly impact the economic performance of OpCo. As a result of the fact that substantially all of OpCo's activities are conducted on behalf of Westlake, and the fact that OpCo exhibits disproportionality of voting rights to economic interest, OpCo was deemed to be a variable interest entity. The Partnership, through its ownership of OpCo's general partner, has the power to direct the activities that most significantly impact the economic performance of OpCo, and it also has the obligation or right to absorb losses or receive benefits from OpCo that could potentially be significant to OpCo. As such, the Partnership was determined to be OpCo's primary beneficiary and therefore consolidates OpCo's results of operations and financial position. Westlake's retained interest of 77.2% is recorded as noncontrolling interest in the Partnership's consolidated financial statements.</w:t>
      </w:r>
    </w:p>
    <w:p>
      <w:pPr>
        <w:spacing w:after="0" w:line="124"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In the opinion of the Partnership's management, the accompanying unaudited consolidated interim financial statements reflect all adjustments (consisting only of normal recurring adjustments) that are necessary for a fair statement of the Partnership's financial position as of June 30, 2021, its results of operations for the three and six months ended June 30, 2021 and 2020 and the changes in its cash position for the six months ended June 30, 2021 and 2020.</w:t>
      </w:r>
    </w:p>
    <w:p>
      <w:pPr>
        <w:spacing w:after="0" w:line="133"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Results of operations and changes in cash position for the interim periods presented are not necessarily indicative of the results that will be realized for the fiscal year ending December 31, 2021 or any other interim period. The preparation of financial statements in conformity with U.S. GAAP requires management to make estimates and assumptions that affect the reported amounts of assets, liabilities, revenues and expenses and the disclosure of contingent assets and liabilities. Actual results could differ materially from those estimates.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212529"/>
        </w:rPr>
        <w:t xml:space="preserve">The COVID pandemic resulted in widespread adverse impacts on the global economy in 2020. </w:t>
      </w:r>
      <w:r>
        <w:rPr>
          <w:rFonts w:ascii="Arial" w:cs="Arial" w:eastAsia="Arial" w:hAnsi="Arial"/>
          <w:sz w:val="17"/>
          <w:szCs w:val="17"/>
          <w:color w:val="000000"/>
        </w:rPr>
        <w:t>The Partnership has not experienced significant</w:t>
      </w:r>
      <w:r>
        <w:rPr>
          <w:rFonts w:ascii="Arial" w:cs="Arial" w:eastAsia="Arial" w:hAnsi="Arial"/>
          <w:sz w:val="17"/>
          <w:szCs w:val="17"/>
          <w:color w:val="212529"/>
        </w:rPr>
        <w:t xml:space="preserve"> </w:t>
      </w:r>
      <w:r>
        <w:rPr>
          <w:rFonts w:ascii="Arial" w:cs="Arial" w:eastAsia="Arial" w:hAnsi="Arial"/>
          <w:sz w:val="17"/>
          <w:szCs w:val="17"/>
          <w:color w:val="000000"/>
        </w:rPr>
        <w:t>disruptions to its business operations in 2020 or during the six months ended June 30, 2021 and does not expect significant disruptions to its business operations resulting from COVID-19. However, the impact that COVID-19 will have on the Partnership's financial condition, results of operations and cash flows cannot be estimated with certainty at this time as it will depend on future developments, including, among others, the timing and logistics with respect to the distribution of vaccines globally and the efficacy of the available vaccines (including with respect to the more recent variants of COVID-19) and other treatments, the ultimate duration of the pandemic, geographic spread and severity of the virus, the consequences of governmental and other measures designed to prevent the spread of the virus, the impact on the operation of OpCo's facilities, Westlake, customers, suppliers and other third parties and the timing and extent to which normal economic and operating conditions resume.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Reference Rate Reform (ASU No. 2020-04)</w:t>
      </w:r>
    </w:p>
    <w:p>
      <w:pPr>
        <w:spacing w:after="0" w:line="104"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In March 2020, the FASB issued an accounting standards update to provide optional expedients and exceptions for applying generally accepted accounting principles to contracts, hedging relationships and other transactions affected by reference rate reform if certain criteria are met. The amendments in this update are effective for all entities as of March 12, 2020 through December 31, 2022 and are not expected to have a material impact on the Partnership's consolidated financial position, results of operations and cash flows.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Accounts Receivable—Third Parties</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Accounts receivable—third parties consist of the following:</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14"/>
                <w:szCs w:val="14"/>
                <w:color w:val="auto"/>
              </w:rPr>
            </w:pPr>
          </w:p>
        </w:tc>
        <w:tc>
          <w:tcPr>
            <w:tcW w:w="1220" w:type="dxa"/>
            <w:vAlign w:val="bottom"/>
          </w:tcPr>
          <w:p>
            <w:pPr>
              <w:jc w:val="center"/>
              <w:ind w:right="13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82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customers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11,344</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 for credit losses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11,029</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receivables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net—third parties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11,029</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3. Inventories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82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260" w:type="dxa"/>
            <w:vAlign w:val="bottom"/>
          </w:tcPr>
          <w:p>
            <w:pPr>
              <w:ind w:left="460"/>
              <w:spacing w:after="0"/>
              <w:rPr>
                <w:sz w:val="20"/>
                <w:szCs w:val="20"/>
                <w:color w:val="auto"/>
              </w:rPr>
            </w:pPr>
            <w:r>
              <w:rPr>
                <w:rFonts w:ascii="Arial" w:cs="Arial" w:eastAsia="Arial" w:hAnsi="Arial"/>
                <w:sz w:val="18"/>
                <w:szCs w:val="18"/>
                <w:color w:val="auto"/>
              </w:rPr>
              <w:t>Inventories consist of the following:</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22"/>
                <w:szCs w:val="22"/>
                <w:color w:val="auto"/>
              </w:rPr>
            </w:pPr>
          </w:p>
        </w:tc>
        <w:tc>
          <w:tcPr>
            <w:tcW w:w="1220" w:type="dxa"/>
            <w:vAlign w:val="bottom"/>
          </w:tcPr>
          <w:p>
            <w:pPr>
              <w:jc w:val="center"/>
              <w:ind w:right="13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82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products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Feedstock, additives and chemicals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3,474</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Plant and Equipment</w:t>
      </w:r>
    </w:p>
    <w:p>
      <w:pPr>
        <w:spacing w:after="0" w:line="108" w:lineRule="exact"/>
        <w:rPr>
          <w:sz w:val="20"/>
          <w:szCs w:val="20"/>
          <w:color w:val="auto"/>
        </w:rPr>
      </w:pPr>
    </w:p>
    <w:p>
      <w:pPr>
        <w:ind w:right="600" w:firstLine="405"/>
        <w:spacing w:after="0" w:line="311" w:lineRule="auto"/>
        <w:rPr>
          <w:sz w:val="20"/>
          <w:szCs w:val="20"/>
          <w:color w:val="auto"/>
        </w:rPr>
      </w:pPr>
      <w:r>
        <w:rPr>
          <w:rFonts w:ascii="Arial" w:cs="Arial" w:eastAsia="Arial" w:hAnsi="Arial"/>
          <w:sz w:val="16"/>
          <w:szCs w:val="16"/>
          <w:color w:val="auto"/>
        </w:rPr>
        <w:t>Depreciation expense on property, plant and equipment of $22,983 and $22,714 is included in cost of sales in the consolidated statements of operations for the three months ended June 30, 2021 and 2020, respectively. Depreciation expense on property, plant and equipment of $45,785 and $45,467 is included in cost of sales in the consolidated statements of operations for the six months ended June 30, 2021 and 2020,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Deferred Charges and Other Assets</w:t>
      </w:r>
    </w:p>
    <w:p>
      <w:pPr>
        <w:spacing w:after="0" w:line="108" w:lineRule="exact"/>
        <w:rPr>
          <w:sz w:val="20"/>
          <w:szCs w:val="20"/>
          <w:color w:val="auto"/>
        </w:rPr>
      </w:pPr>
    </w:p>
    <w:p>
      <w:pPr>
        <w:ind w:right="420" w:firstLine="405"/>
        <w:spacing w:after="0" w:line="286" w:lineRule="auto"/>
        <w:rPr>
          <w:sz w:val="20"/>
          <w:szCs w:val="20"/>
          <w:color w:val="auto"/>
        </w:rPr>
      </w:pPr>
      <w:r>
        <w:rPr>
          <w:rFonts w:ascii="Arial" w:cs="Arial" w:eastAsia="Arial" w:hAnsi="Arial"/>
          <w:sz w:val="17"/>
          <w:szCs w:val="17"/>
          <w:color w:val="auto"/>
        </w:rPr>
        <w:t>Amortization expense on other assets of $5,719 and $3,099 is included in costs of sales in the consolidated statements of operations for the three months ended June 30, 2021 and 2020, respectively. Amortization expense on other assets of $10,459 and $6,377 is included in costs of sales in the consolidated statements of operations for the six months ended June 30, 2021 and 2020, respectively.</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Distributions and Net Income Per Limited Partner Unit</w:t>
      </w:r>
    </w:p>
    <w:p>
      <w:pPr>
        <w:spacing w:after="0" w:line="94" w:lineRule="exact"/>
        <w:rPr>
          <w:sz w:val="20"/>
          <w:szCs w:val="20"/>
          <w:color w:val="auto"/>
        </w:rPr>
      </w:pPr>
    </w:p>
    <w:p>
      <w:pPr>
        <w:ind w:right="140" w:firstLine="405"/>
        <w:spacing w:after="0" w:line="263" w:lineRule="auto"/>
        <w:rPr>
          <w:sz w:val="20"/>
          <w:szCs w:val="20"/>
          <w:color w:val="auto"/>
        </w:rPr>
      </w:pPr>
      <w:r>
        <w:rPr>
          <w:rFonts w:ascii="Arial" w:cs="Arial" w:eastAsia="Arial" w:hAnsi="Arial"/>
          <w:sz w:val="18"/>
          <w:szCs w:val="18"/>
          <w:color w:val="auto"/>
        </w:rPr>
        <w:t>On August 2, 2021, the board of directors of Westlake Chemical Partners GP LLC ("Westlake GP"), the Partnership's general partner, declared a quarterly cash distribution for the three months ended June 30, 2021 of $0.4714 per unit. This distribution is payable on August 26, 2021 to unitholders of record as of August 12, 2021.</w:t>
      </w:r>
    </w:p>
    <w:p>
      <w:pPr>
        <w:spacing w:after="0" w:line="13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Distributions are declared subsequent to quarter end; therefore, the table below represents total cash distributions declared from earnings of the related periods pertaining to such distributions.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20" w:type="dxa"/>
            <w:vAlign w:val="bottom"/>
            <w:gridSpan w:val="4"/>
          </w:tcPr>
          <w:p>
            <w:pPr>
              <w:jc w:val="right"/>
              <w:ind w:right="555"/>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7"/>
        </w:trPr>
        <w:tc>
          <w:tcPr>
            <w:tcW w:w="524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the Partnership</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14,860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32,607</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Less: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Limited partners' distribution declared on common units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16,590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33,181</w:t>
            </w:r>
          </w:p>
        </w:tc>
        <w:tc>
          <w:tcPr>
            <w:tcW w:w="0" w:type="dxa"/>
            <w:vAlign w:val="bottom"/>
          </w:tcPr>
          <w:p>
            <w:pPr>
              <w:spacing w:after="0"/>
              <w:rPr>
                <w:sz w:val="1"/>
                <w:szCs w:val="1"/>
                <w:color w:val="auto"/>
              </w:rPr>
            </w:pPr>
          </w:p>
        </w:tc>
      </w:tr>
      <w:tr>
        <w:trPr>
          <w:trHeight w:val="155"/>
        </w:trPr>
        <w:tc>
          <w:tcPr>
            <w:tcW w:w="5240" w:type="dxa"/>
            <w:vAlign w:val="bottom"/>
          </w:tcPr>
          <w:p>
            <w:pPr>
              <w:ind w:left="20"/>
              <w:spacing w:after="0" w:line="156" w:lineRule="exact"/>
              <w:rPr>
                <w:sz w:val="20"/>
                <w:szCs w:val="20"/>
                <w:color w:val="auto"/>
              </w:rPr>
            </w:pPr>
            <w:r>
              <w:rPr>
                <w:rFonts w:ascii="Arial" w:cs="Arial" w:eastAsia="Arial" w:hAnsi="Arial"/>
                <w:sz w:val="18"/>
                <w:szCs w:val="18"/>
                <w:color w:val="auto"/>
              </w:rPr>
              <w:t>Net income in excess of distribution (distribution in excess of net</w:t>
            </w: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8,504</w:t>
            </w:r>
          </w:p>
        </w:tc>
        <w:tc>
          <w:tcPr>
            <w:tcW w:w="120" w:type="dxa"/>
            <w:vAlign w:val="bottom"/>
          </w:tcPr>
          <w:p>
            <w:pPr>
              <w:spacing w:after="0"/>
              <w:rPr>
                <w:sz w:val="13"/>
                <w:szCs w:val="13"/>
                <w:color w:val="auto"/>
              </w:rPr>
            </w:pP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ind w:left="520"/>
              <w:spacing w:after="0"/>
              <w:rPr>
                <w:sz w:val="20"/>
                <w:szCs w:val="20"/>
                <w:color w:val="auto"/>
              </w:rPr>
            </w:pPr>
            <w:r>
              <w:rPr>
                <w:rFonts w:ascii="Arial" w:cs="Arial" w:eastAsia="Arial" w:hAnsi="Arial"/>
                <w:sz w:val="18"/>
                <w:szCs w:val="18"/>
                <w:color w:val="auto"/>
                <w:w w:val="94"/>
              </w:rPr>
              <w:t>(1,730)</w:t>
            </w:r>
          </w:p>
        </w:tc>
        <w:tc>
          <w:tcPr>
            <w:tcW w:w="100" w:type="dxa"/>
            <w:vAlign w:val="bottom"/>
          </w:tcPr>
          <w:p>
            <w:pPr>
              <w:spacing w:after="0"/>
              <w:rPr>
                <w:sz w:val="13"/>
                <w:szCs w:val="13"/>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7,057</w:t>
            </w:r>
          </w:p>
        </w:tc>
        <w:tc>
          <w:tcPr>
            <w:tcW w:w="100" w:type="dxa"/>
            <w:vAlign w:val="bottom"/>
          </w:tcPr>
          <w:p>
            <w:pPr>
              <w:spacing w:after="0"/>
              <w:rPr>
                <w:sz w:val="13"/>
                <w:szCs w:val="13"/>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08"/>
        </w:trPr>
        <w:tc>
          <w:tcPr>
            <w:tcW w:w="5240" w:type="dxa"/>
            <w:vAlign w:val="bottom"/>
          </w:tcPr>
          <w:p>
            <w:pPr>
              <w:ind w:left="180"/>
              <w:spacing w:after="0" w:line="202" w:lineRule="exact"/>
              <w:rPr>
                <w:sz w:val="20"/>
                <w:szCs w:val="20"/>
                <w:color w:val="auto"/>
              </w:rPr>
            </w:pPr>
            <w:r>
              <w:rPr>
                <w:rFonts w:ascii="Arial" w:cs="Arial" w:eastAsia="Arial" w:hAnsi="Arial"/>
                <w:sz w:val="18"/>
                <w:szCs w:val="18"/>
                <w:color w:val="auto"/>
              </w:rPr>
              <w:t>income)</w:t>
            </w:r>
          </w:p>
        </w:tc>
        <w:tc>
          <w:tcPr>
            <w:tcW w:w="32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120" w:firstLine="405"/>
        <w:spacing w:after="0" w:line="271" w:lineRule="auto"/>
        <w:rPr>
          <w:sz w:val="20"/>
          <w:szCs w:val="20"/>
          <w:color w:val="auto"/>
        </w:rPr>
      </w:pPr>
      <w:r>
        <w:rPr>
          <w:rFonts w:ascii="Arial" w:cs="Arial" w:eastAsia="Arial" w:hAnsi="Arial"/>
          <w:sz w:val="17"/>
          <w:szCs w:val="17"/>
          <w:color w:val="auto"/>
        </w:rPr>
        <w:t>Net income per unit applicable to common limited partner units is computed by dividing the respective limited partners' interest in net income by the weighted-average number of common units outstanding for the period. Because the Partnership has more than one class of participating securities, it uses the two-class method when calculating the net income per unit applicable to limited partners. The classes of participating securities include common units and incentive distribution rights. Net income attributable to the Partnership is allocated to the unitholders in accordance with their respective ownership percentages in preparation of the consolidated statements of changes in equity. However, when distributions related to the incentive distribution rights are made, net income equal to the amount of those distributions is first allocated to the general partner before the remaining net income is allocated to the unitholders based on their respective ownership percentages. Basic and diluted net income per unit is the same because the Partnership does not have any potentially dilutive units outstanding for the periods presented.</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6"/>
          </w:tcPr>
          <w:p>
            <w:pPr>
              <w:jc w:val="center"/>
              <w:ind w:left="817"/>
              <w:spacing w:after="0"/>
              <w:rPr>
                <w:sz w:val="20"/>
                <w:szCs w:val="20"/>
                <w:color w:val="auto"/>
              </w:rPr>
            </w:pPr>
            <w:r>
              <w:rPr>
                <w:rFonts w:ascii="Arial" w:cs="Arial" w:eastAsia="Arial" w:hAnsi="Arial"/>
                <w:sz w:val="14"/>
                <w:szCs w:val="14"/>
                <w:b w:val="1"/>
                <w:bCs w:val="1"/>
                <w:color w:val="auto"/>
                <w:w w:val="93"/>
              </w:rPr>
              <w:t>Three Months Ended June 30, 2021</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3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right"/>
              <w:ind w:right="77"/>
              <w:spacing w:after="0" w:line="135" w:lineRule="exact"/>
              <w:rPr>
                <w:sz w:val="20"/>
                <w:szCs w:val="20"/>
                <w:color w:val="auto"/>
              </w:rPr>
            </w:pPr>
            <w:r>
              <w:rPr>
                <w:rFonts w:ascii="Arial" w:cs="Arial" w:eastAsia="Arial" w:hAnsi="Arial"/>
                <w:sz w:val="14"/>
                <w:szCs w:val="14"/>
                <w:b w:val="1"/>
                <w:bCs w:val="1"/>
                <w:color w:val="auto"/>
                <w:w w:val="98"/>
              </w:rPr>
              <w:t>Limited Partners'</w:t>
            </w:r>
          </w:p>
        </w:tc>
        <w:tc>
          <w:tcPr>
            <w:tcW w:w="100" w:type="dxa"/>
            <w:vAlign w:val="bottom"/>
          </w:tcPr>
          <w:p>
            <w:pPr>
              <w:spacing w:after="0"/>
              <w:rPr>
                <w:sz w:val="11"/>
                <w:szCs w:val="11"/>
                <w:color w:val="auto"/>
              </w:rPr>
            </w:pPr>
          </w:p>
        </w:tc>
        <w:tc>
          <w:tcPr>
            <w:tcW w:w="154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rPr>
              <w:t>Incentive Distribution</w:t>
            </w:r>
          </w:p>
        </w:tc>
        <w:tc>
          <w:tcPr>
            <w:tcW w:w="420" w:type="dxa"/>
            <w:vAlign w:val="bottom"/>
          </w:tcPr>
          <w:p>
            <w:pPr>
              <w:spacing w:after="0"/>
              <w:rPr>
                <w:sz w:val="11"/>
                <w:szCs w:val="11"/>
                <w:color w:val="auto"/>
              </w:rPr>
            </w:pPr>
          </w:p>
        </w:tc>
        <w:tc>
          <w:tcPr>
            <w:tcW w:w="102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3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ind w:right="157"/>
              <w:spacing w:after="0"/>
              <w:rPr>
                <w:sz w:val="20"/>
                <w:szCs w:val="20"/>
                <w:color w:val="auto"/>
              </w:rPr>
            </w:pPr>
            <w:r>
              <w:rPr>
                <w:rFonts w:ascii="Arial" w:cs="Arial" w:eastAsia="Arial" w:hAnsi="Arial"/>
                <w:sz w:val="14"/>
                <w:szCs w:val="14"/>
                <w:b w:val="1"/>
                <w:bCs w:val="1"/>
                <w:color w:val="auto"/>
              </w:rPr>
              <w:t>Common Units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Rights</w:t>
            </w:r>
          </w:p>
        </w:tc>
        <w:tc>
          <w:tcPr>
            <w:tcW w:w="4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the Partnership:</w:t>
            </w:r>
          </w:p>
        </w:tc>
        <w:tc>
          <w:tcPr>
            <w:tcW w:w="2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360"/>
              <w:spacing w:after="0"/>
              <w:rPr>
                <w:sz w:val="20"/>
                <w:szCs w:val="20"/>
                <w:color w:val="auto"/>
              </w:rPr>
            </w:pPr>
            <w:r>
              <w:rPr>
                <w:rFonts w:ascii="Arial" w:cs="Arial" w:eastAsia="Arial" w:hAnsi="Arial"/>
                <w:sz w:val="18"/>
                <w:szCs w:val="18"/>
                <w:color w:val="auto"/>
              </w:rPr>
              <w:t>Distribution</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16,595</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16,595</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in excess of distribution</w:t>
            </w:r>
          </w:p>
        </w:tc>
        <w:tc>
          <w:tcPr>
            <w:tcW w:w="2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8,504</w:t>
            </w:r>
          </w:p>
        </w:tc>
        <w:tc>
          <w:tcPr>
            <w:tcW w:w="0" w:type="dxa"/>
            <w:vAlign w:val="bottom"/>
          </w:tcPr>
          <w:p>
            <w:pPr>
              <w:spacing w:after="0"/>
              <w:rPr>
                <w:sz w:val="1"/>
                <w:szCs w:val="1"/>
                <w:color w:val="auto"/>
              </w:rPr>
            </w:pPr>
          </w:p>
        </w:tc>
      </w:tr>
      <w:tr>
        <w:trPr>
          <w:trHeight w:val="223"/>
        </w:trPr>
        <w:tc>
          <w:tcPr>
            <w:tcW w:w="4340" w:type="dxa"/>
            <w:vAlign w:val="bottom"/>
          </w:tcPr>
          <w:p>
            <w:pPr>
              <w:ind w:left="680"/>
              <w:spacing w:after="0"/>
              <w:rPr>
                <w:sz w:val="20"/>
                <w:szCs w:val="20"/>
                <w:color w:val="auto"/>
              </w:rPr>
            </w:pPr>
            <w:r>
              <w:rPr>
                <w:rFonts w:ascii="Arial" w:cs="Arial" w:eastAsia="Arial" w:hAnsi="Arial"/>
                <w:sz w:val="18"/>
                <w:szCs w:val="18"/>
                <w:color w:val="auto"/>
              </w:rPr>
              <w:t>Net income</w:t>
            </w:r>
          </w:p>
        </w:tc>
        <w:tc>
          <w:tcPr>
            <w:tcW w:w="24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25,099</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25,099</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units outstanding:</w:t>
            </w: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2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35,201,887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35,201,887</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per limited partner unit:</w:t>
            </w: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400" w:type="dxa"/>
            <w:vAlign w:val="bottom"/>
            <w:vMerge w:val="restart"/>
          </w:tcPr>
          <w:p>
            <w:pPr>
              <w:jc w:val="right"/>
              <w:ind w:right="990"/>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34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4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6"/>
          </w:tcPr>
          <w:p>
            <w:pPr>
              <w:jc w:val="center"/>
              <w:ind w:left="817"/>
              <w:spacing w:after="0"/>
              <w:rPr>
                <w:sz w:val="20"/>
                <w:szCs w:val="20"/>
                <w:color w:val="auto"/>
              </w:rPr>
            </w:pPr>
            <w:r>
              <w:rPr>
                <w:rFonts w:ascii="Arial" w:cs="Arial" w:eastAsia="Arial" w:hAnsi="Arial"/>
                <w:sz w:val="14"/>
                <w:szCs w:val="14"/>
                <w:b w:val="1"/>
                <w:bCs w:val="1"/>
                <w:color w:val="auto"/>
                <w:w w:val="93"/>
              </w:rPr>
              <w:t>Three Months Ended June 30, 2020</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6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center"/>
              <w:ind w:right="37"/>
              <w:spacing w:after="0" w:line="135" w:lineRule="exact"/>
              <w:rPr>
                <w:sz w:val="20"/>
                <w:szCs w:val="20"/>
                <w:color w:val="auto"/>
              </w:rPr>
            </w:pPr>
            <w:r>
              <w:rPr>
                <w:rFonts w:ascii="Arial" w:cs="Arial" w:eastAsia="Arial" w:hAnsi="Arial"/>
                <w:sz w:val="14"/>
                <w:szCs w:val="14"/>
                <w:b w:val="1"/>
                <w:bCs w:val="1"/>
                <w:color w:val="auto"/>
                <w:w w:val="96"/>
              </w:rPr>
              <w:t>Limited Partners'</w:t>
            </w:r>
          </w:p>
        </w:tc>
        <w:tc>
          <w:tcPr>
            <w:tcW w:w="100" w:type="dxa"/>
            <w:vAlign w:val="bottom"/>
          </w:tcPr>
          <w:p>
            <w:pPr>
              <w:spacing w:after="0"/>
              <w:rPr>
                <w:sz w:val="11"/>
                <w:szCs w:val="11"/>
                <w:color w:val="auto"/>
              </w:rPr>
            </w:pPr>
          </w:p>
        </w:tc>
        <w:tc>
          <w:tcPr>
            <w:tcW w:w="154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rPr>
              <w:t>Incentive Distribution</w:t>
            </w:r>
          </w:p>
        </w:tc>
        <w:tc>
          <w:tcPr>
            <w:tcW w:w="420" w:type="dxa"/>
            <w:vAlign w:val="bottom"/>
          </w:tcPr>
          <w:p>
            <w:pPr>
              <w:spacing w:after="0"/>
              <w:rPr>
                <w:sz w:val="11"/>
                <w:szCs w:val="11"/>
                <w:color w:val="auto"/>
              </w:rPr>
            </w:pPr>
          </w:p>
        </w:tc>
        <w:tc>
          <w:tcPr>
            <w:tcW w:w="102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37"/>
              <w:spacing w:after="0"/>
              <w:rPr>
                <w:sz w:val="20"/>
                <w:szCs w:val="20"/>
                <w:color w:val="auto"/>
              </w:rPr>
            </w:pPr>
            <w:r>
              <w:rPr>
                <w:rFonts w:ascii="Arial" w:cs="Arial" w:eastAsia="Arial" w:hAnsi="Arial"/>
                <w:sz w:val="14"/>
                <w:szCs w:val="14"/>
                <w:b w:val="1"/>
                <w:bCs w:val="1"/>
                <w:color w:val="auto"/>
                <w:w w:val="94"/>
              </w:rPr>
              <w:t>Common Units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Rights</w:t>
            </w:r>
          </w:p>
        </w:tc>
        <w:tc>
          <w:tcPr>
            <w:tcW w:w="4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the Partnership:</w:t>
            </w: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Distribution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16,590</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16,590</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 in excess of net income</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23"/>
        </w:trPr>
        <w:tc>
          <w:tcPr>
            <w:tcW w:w="6740" w:type="dxa"/>
            <w:vAlign w:val="bottom"/>
          </w:tcPr>
          <w:p>
            <w:pPr>
              <w:ind w:left="68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14,860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14,860</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units outstanding:</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35,194,545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35,194,545</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per limited partner unit:</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9"/>
        </w:trPr>
        <w:tc>
          <w:tcPr>
            <w:tcW w:w="67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6"/>
          </w:tcPr>
          <w:p>
            <w:pPr>
              <w:jc w:val="center"/>
              <w:ind w:left="797"/>
              <w:spacing w:after="0"/>
              <w:rPr>
                <w:sz w:val="20"/>
                <w:szCs w:val="20"/>
                <w:color w:val="auto"/>
              </w:rPr>
            </w:pPr>
            <w:r>
              <w:rPr>
                <w:rFonts w:ascii="Arial" w:cs="Arial" w:eastAsia="Arial" w:hAnsi="Arial"/>
                <w:sz w:val="14"/>
                <w:szCs w:val="14"/>
                <w:b w:val="1"/>
                <w:bCs w:val="1"/>
                <w:color w:val="auto"/>
                <w:w w:val="92"/>
              </w:rPr>
              <w:t>Six Months Ended June 30, 2021</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6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center"/>
              <w:ind w:right="37"/>
              <w:spacing w:after="0" w:line="135" w:lineRule="exact"/>
              <w:rPr>
                <w:sz w:val="20"/>
                <w:szCs w:val="20"/>
                <w:color w:val="auto"/>
              </w:rPr>
            </w:pPr>
            <w:r>
              <w:rPr>
                <w:rFonts w:ascii="Arial" w:cs="Arial" w:eastAsia="Arial" w:hAnsi="Arial"/>
                <w:sz w:val="14"/>
                <w:szCs w:val="14"/>
                <w:b w:val="1"/>
                <w:bCs w:val="1"/>
                <w:color w:val="auto"/>
                <w:w w:val="96"/>
              </w:rPr>
              <w:t>Limited Partners'</w:t>
            </w:r>
          </w:p>
        </w:tc>
        <w:tc>
          <w:tcPr>
            <w:tcW w:w="100" w:type="dxa"/>
            <w:vAlign w:val="bottom"/>
          </w:tcPr>
          <w:p>
            <w:pPr>
              <w:spacing w:after="0"/>
              <w:rPr>
                <w:sz w:val="11"/>
                <w:szCs w:val="11"/>
                <w:color w:val="auto"/>
              </w:rPr>
            </w:pPr>
          </w:p>
        </w:tc>
        <w:tc>
          <w:tcPr>
            <w:tcW w:w="154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rPr>
              <w:t>Incentive Distribution</w:t>
            </w:r>
          </w:p>
        </w:tc>
        <w:tc>
          <w:tcPr>
            <w:tcW w:w="420" w:type="dxa"/>
            <w:vAlign w:val="bottom"/>
          </w:tcPr>
          <w:p>
            <w:pPr>
              <w:spacing w:after="0"/>
              <w:rPr>
                <w:sz w:val="11"/>
                <w:szCs w:val="11"/>
                <w:color w:val="auto"/>
              </w:rPr>
            </w:pPr>
          </w:p>
        </w:tc>
        <w:tc>
          <w:tcPr>
            <w:tcW w:w="102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37"/>
              <w:spacing w:after="0"/>
              <w:rPr>
                <w:sz w:val="20"/>
                <w:szCs w:val="20"/>
                <w:color w:val="auto"/>
              </w:rPr>
            </w:pPr>
            <w:r>
              <w:rPr>
                <w:rFonts w:ascii="Arial" w:cs="Arial" w:eastAsia="Arial" w:hAnsi="Arial"/>
                <w:sz w:val="14"/>
                <w:szCs w:val="14"/>
                <w:b w:val="1"/>
                <w:bCs w:val="1"/>
                <w:color w:val="auto"/>
                <w:w w:val="94"/>
              </w:rPr>
              <w:t>Common Units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Rights</w:t>
            </w:r>
          </w:p>
        </w:tc>
        <w:tc>
          <w:tcPr>
            <w:tcW w:w="4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the Partnership:</w:t>
            </w: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Distribution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33,188</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33,188</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in excess of distribution</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7,057</w:t>
            </w:r>
          </w:p>
        </w:tc>
        <w:tc>
          <w:tcPr>
            <w:tcW w:w="0" w:type="dxa"/>
            <w:vAlign w:val="bottom"/>
          </w:tcPr>
          <w:p>
            <w:pPr>
              <w:spacing w:after="0"/>
              <w:rPr>
                <w:sz w:val="1"/>
                <w:szCs w:val="1"/>
                <w:color w:val="auto"/>
              </w:rPr>
            </w:pPr>
          </w:p>
        </w:tc>
      </w:tr>
      <w:tr>
        <w:trPr>
          <w:trHeight w:val="223"/>
        </w:trPr>
        <w:tc>
          <w:tcPr>
            <w:tcW w:w="6740" w:type="dxa"/>
            <w:vAlign w:val="bottom"/>
          </w:tcPr>
          <w:p>
            <w:pPr>
              <w:ind w:left="68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40,245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40,245</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units outstanding:</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35,200,403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35,200,403</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per limited partner unit:</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9"/>
        </w:trPr>
        <w:tc>
          <w:tcPr>
            <w:tcW w:w="67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6"/>
          </w:tcPr>
          <w:p>
            <w:pPr>
              <w:jc w:val="center"/>
              <w:ind w:left="797"/>
              <w:spacing w:after="0"/>
              <w:rPr>
                <w:sz w:val="20"/>
                <w:szCs w:val="20"/>
                <w:color w:val="auto"/>
              </w:rPr>
            </w:pPr>
            <w:r>
              <w:rPr>
                <w:rFonts w:ascii="Arial" w:cs="Arial" w:eastAsia="Arial" w:hAnsi="Arial"/>
                <w:sz w:val="14"/>
                <w:szCs w:val="14"/>
                <w:b w:val="1"/>
                <w:bCs w:val="1"/>
                <w:color w:val="auto"/>
                <w:w w:val="92"/>
              </w:rPr>
              <w:t>Six Months Ended June 30, 2020</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center"/>
              <w:ind w:right="37"/>
              <w:spacing w:after="0" w:line="135" w:lineRule="exact"/>
              <w:rPr>
                <w:sz w:val="20"/>
                <w:szCs w:val="20"/>
                <w:color w:val="auto"/>
              </w:rPr>
            </w:pPr>
            <w:r>
              <w:rPr>
                <w:rFonts w:ascii="Arial" w:cs="Arial" w:eastAsia="Arial" w:hAnsi="Arial"/>
                <w:sz w:val="14"/>
                <w:szCs w:val="14"/>
                <w:b w:val="1"/>
                <w:bCs w:val="1"/>
                <w:color w:val="auto"/>
                <w:w w:val="96"/>
              </w:rPr>
              <w:t>Limited Partners'</w:t>
            </w:r>
          </w:p>
        </w:tc>
        <w:tc>
          <w:tcPr>
            <w:tcW w:w="100" w:type="dxa"/>
            <w:vAlign w:val="bottom"/>
          </w:tcPr>
          <w:p>
            <w:pPr>
              <w:spacing w:after="0"/>
              <w:rPr>
                <w:sz w:val="11"/>
                <w:szCs w:val="11"/>
                <w:color w:val="auto"/>
              </w:rPr>
            </w:pPr>
          </w:p>
        </w:tc>
        <w:tc>
          <w:tcPr>
            <w:tcW w:w="154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rPr>
              <w:t>Incentive Distribution</w:t>
            </w:r>
          </w:p>
        </w:tc>
        <w:tc>
          <w:tcPr>
            <w:tcW w:w="420" w:type="dxa"/>
            <w:vAlign w:val="bottom"/>
          </w:tcPr>
          <w:p>
            <w:pPr>
              <w:spacing w:after="0"/>
              <w:rPr>
                <w:sz w:val="11"/>
                <w:szCs w:val="11"/>
                <w:color w:val="auto"/>
              </w:rPr>
            </w:pPr>
          </w:p>
        </w:tc>
        <w:tc>
          <w:tcPr>
            <w:tcW w:w="102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37"/>
              <w:spacing w:after="0"/>
              <w:rPr>
                <w:sz w:val="20"/>
                <w:szCs w:val="20"/>
                <w:color w:val="auto"/>
              </w:rPr>
            </w:pPr>
            <w:r>
              <w:rPr>
                <w:rFonts w:ascii="Arial" w:cs="Arial" w:eastAsia="Arial" w:hAnsi="Arial"/>
                <w:sz w:val="14"/>
                <w:szCs w:val="14"/>
                <w:b w:val="1"/>
                <w:bCs w:val="1"/>
                <w:color w:val="auto"/>
                <w:w w:val="94"/>
              </w:rPr>
              <w:t>Common Units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Rights</w:t>
            </w:r>
          </w:p>
        </w:tc>
        <w:tc>
          <w:tcPr>
            <w:tcW w:w="4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the Partnership:</w:t>
            </w: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Distribution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33,181</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33,181</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 in excess of net income</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23"/>
        </w:trPr>
        <w:tc>
          <w:tcPr>
            <w:tcW w:w="6740" w:type="dxa"/>
            <w:vAlign w:val="bottom"/>
          </w:tcPr>
          <w:p>
            <w:pPr>
              <w:ind w:left="68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32,607</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32,607</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units outstanding:</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35,194,545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35,194,545</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per limited partner unit:</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The amended Partnership Agreement provides that the Partnership will distribute cash each quarter to all the unitholders, pro rata, until each unit has received a distribution of $1.2938. If cash distributions to the Partnership's unitholders exceed $1.2938 per common unit in any quarter, the Partnership's unitholders and Westlake, as the holder of the Partnership's incentive distribution rights, will receive distributions according to the following percentage allocations: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6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tcBorders>
              <w:bottom w:val="single" w:sz="8" w:color="auto"/>
            </w:tcBorders>
            <w:gridSpan w:val="3"/>
          </w:tcPr>
          <w:p>
            <w:pPr>
              <w:jc w:val="right"/>
              <w:ind w:right="135"/>
              <w:spacing w:after="0"/>
              <w:rPr>
                <w:sz w:val="20"/>
                <w:szCs w:val="20"/>
                <w:color w:val="auto"/>
              </w:rPr>
            </w:pPr>
            <w:r>
              <w:rPr>
                <w:rFonts w:ascii="Arial" w:cs="Arial" w:eastAsia="Arial" w:hAnsi="Arial"/>
                <w:sz w:val="14"/>
                <w:szCs w:val="14"/>
                <w:b w:val="1"/>
                <w:bCs w:val="1"/>
                <w:color w:val="auto"/>
                <w:w w:val="99"/>
              </w:rPr>
              <w:t>Marginal Percentage Interest in Distributions</w:t>
            </w:r>
          </w:p>
        </w:tc>
      </w:tr>
      <w:tr>
        <w:trPr>
          <w:trHeight w:val="188"/>
        </w:trPr>
        <w:tc>
          <w:tcPr>
            <w:tcW w:w="3960" w:type="dxa"/>
            <w:vAlign w:val="bottom"/>
          </w:tcPr>
          <w:p>
            <w:pPr>
              <w:ind w:left="20"/>
              <w:spacing w:after="0"/>
              <w:rPr>
                <w:sz w:val="20"/>
                <w:szCs w:val="20"/>
                <w:color w:val="auto"/>
              </w:rPr>
            </w:pPr>
            <w:r>
              <w:rPr>
                <w:rFonts w:ascii="Arial" w:cs="Arial" w:eastAsia="Arial" w:hAnsi="Arial"/>
                <w:sz w:val="14"/>
                <w:szCs w:val="14"/>
                <w:b w:val="1"/>
                <w:bCs w:val="1"/>
                <w:color w:val="auto"/>
              </w:rPr>
              <w:t>Total Quarterly Distribution Per Unit</w:t>
            </w:r>
          </w:p>
        </w:tc>
        <w:tc>
          <w:tcPr>
            <w:tcW w:w="3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2"/>
          </w:tcPr>
          <w:p>
            <w:pPr>
              <w:ind w:left="420"/>
              <w:spacing w:after="0"/>
              <w:rPr>
                <w:sz w:val="20"/>
                <w:szCs w:val="20"/>
                <w:color w:val="auto"/>
              </w:rPr>
            </w:pPr>
            <w:r>
              <w:rPr>
                <w:rFonts w:ascii="Arial" w:cs="Arial" w:eastAsia="Arial" w:hAnsi="Arial"/>
                <w:sz w:val="14"/>
                <w:szCs w:val="14"/>
                <w:b w:val="1"/>
                <w:bCs w:val="1"/>
                <w:color w:val="auto"/>
              </w:rPr>
              <w:t>Unitholders</w:t>
            </w:r>
          </w:p>
        </w:tc>
        <w:tc>
          <w:tcPr>
            <w:tcW w:w="1560" w:type="dxa"/>
            <w:vAlign w:val="bottom"/>
          </w:tcPr>
          <w:p>
            <w:pPr>
              <w:jc w:val="right"/>
              <w:ind w:right="295"/>
              <w:spacing w:after="0"/>
              <w:rPr>
                <w:sz w:val="20"/>
                <w:szCs w:val="20"/>
                <w:color w:val="auto"/>
              </w:rPr>
            </w:pPr>
            <w:r>
              <w:rPr>
                <w:rFonts w:ascii="Arial" w:cs="Arial" w:eastAsia="Arial" w:hAnsi="Arial"/>
                <w:sz w:val="14"/>
                <w:szCs w:val="14"/>
                <w:b w:val="1"/>
                <w:bCs w:val="1"/>
                <w:color w:val="auto"/>
              </w:rPr>
              <w:t>IDR Holders</w:t>
            </w:r>
          </w:p>
        </w:tc>
      </w:tr>
      <w:tr>
        <w:trPr>
          <w:trHeight w:val="224"/>
        </w:trPr>
        <w:tc>
          <w:tcPr>
            <w:tcW w:w="3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Above $1.2938 up to $1.4063</w:t>
            </w:r>
          </w:p>
        </w:tc>
        <w:tc>
          <w:tcPr>
            <w:tcW w:w="39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85.0 %</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15.0 %</w:t>
            </w: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color w:val="auto"/>
              </w:rPr>
              <w:t>Above $1.4063 up to $1.6875</w:t>
            </w:r>
          </w:p>
        </w:tc>
        <w:tc>
          <w:tcPr>
            <w:tcW w:w="5620" w:type="dxa"/>
            <w:vAlign w:val="bottom"/>
            <w:gridSpan w:val="3"/>
          </w:tcPr>
          <w:p>
            <w:pPr>
              <w:jc w:val="right"/>
              <w:spacing w:after="0"/>
              <w:rPr>
                <w:sz w:val="20"/>
                <w:szCs w:val="20"/>
                <w:color w:val="auto"/>
              </w:rPr>
            </w:pPr>
            <w:r>
              <w:rPr>
                <w:rFonts w:ascii="Arial" w:cs="Arial" w:eastAsia="Arial" w:hAnsi="Arial"/>
                <w:sz w:val="18"/>
                <w:szCs w:val="18"/>
                <w:color w:val="auto"/>
              </w:rPr>
              <w:t>75.0 %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25.0 %</w:t>
            </w:r>
          </w:p>
        </w:tc>
      </w:tr>
      <w:tr>
        <w:trPr>
          <w:trHeight w:val="22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Above $1.6875</w:t>
            </w:r>
          </w:p>
        </w:tc>
        <w:tc>
          <w:tcPr>
            <w:tcW w:w="5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50.0 %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50.0 %</w:t>
            </w:r>
          </w:p>
        </w:tc>
      </w:tr>
      <w:tr>
        <w:trPr>
          <w:trHeight w:val="891"/>
        </w:trPr>
        <w:tc>
          <w:tcPr>
            <w:tcW w:w="3960" w:type="dxa"/>
            <w:vAlign w:val="bottom"/>
          </w:tcPr>
          <w:p>
            <w:pPr>
              <w:spacing w:after="0"/>
              <w:rPr>
                <w:sz w:val="24"/>
                <w:szCs w:val="24"/>
                <w:color w:val="auto"/>
              </w:rPr>
            </w:pPr>
          </w:p>
        </w:tc>
        <w:tc>
          <w:tcPr>
            <w:tcW w:w="3940" w:type="dxa"/>
            <w:vAlign w:val="bottom"/>
          </w:tcPr>
          <w:p>
            <w:pPr>
              <w:jc w:val="right"/>
              <w:ind w:right="215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15"/>
        </w:trPr>
        <w:tc>
          <w:tcPr>
            <w:tcW w:w="3960" w:type="dxa"/>
            <w:vAlign w:val="bottom"/>
            <w:tcBorders>
              <w:bottom w:val="single" w:sz="8" w:color="9A9A9A"/>
            </w:tcBorders>
          </w:tcPr>
          <w:p>
            <w:pPr>
              <w:spacing w:after="0"/>
              <w:rPr>
                <w:sz w:val="10"/>
                <w:szCs w:val="10"/>
                <w:color w:val="auto"/>
              </w:rPr>
            </w:pPr>
          </w:p>
        </w:tc>
        <w:tc>
          <w:tcPr>
            <w:tcW w:w="3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80" w:firstLine="405"/>
        <w:spacing w:after="0" w:line="342" w:lineRule="auto"/>
        <w:rPr>
          <w:sz w:val="20"/>
          <w:szCs w:val="20"/>
          <w:color w:val="auto"/>
        </w:rPr>
      </w:pPr>
      <w:r>
        <w:rPr>
          <w:rFonts w:ascii="Arial" w:cs="Arial" w:eastAsia="Arial" w:hAnsi="Arial"/>
          <w:sz w:val="16"/>
          <w:szCs w:val="16"/>
          <w:color w:val="auto"/>
        </w:rPr>
        <w:t>The Partnership's distribution for the three months ended June 30, 2021 did not exceed the $1.2938 per unit threshold, and, as a result, no distribution was made with respect to the Partnership's incentive distribution rights to Westlake, as the holder of the Partnership's incentive distribution rights.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Per Common Unit</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Distributions per common unit for the three and six months ended June 30, 2021 and 2020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3040" w:type="dxa"/>
            <w:vAlign w:val="bottom"/>
            <w:gridSpan w:val="6"/>
          </w:tcPr>
          <w:p>
            <w:pPr>
              <w:ind w:left="54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20" w:type="dxa"/>
            <w:vAlign w:val="bottom"/>
            <w:gridSpan w:val="4"/>
          </w:tcPr>
          <w:p>
            <w:pPr>
              <w:jc w:val="right"/>
              <w:ind w:right="559"/>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5240" w:type="dxa"/>
            <w:vAlign w:val="bottom"/>
            <w:tcBorders>
              <w:bottom w:val="single" w:sz="8" w:color="CCEEFF"/>
            </w:tcBorders>
          </w:tcPr>
          <w:p>
            <w:pPr>
              <w:spacing w:after="0"/>
              <w:rPr>
                <w:sz w:val="16"/>
                <w:szCs w:val="16"/>
                <w:color w:val="auto"/>
              </w:rPr>
            </w:pPr>
          </w:p>
        </w:tc>
        <w:tc>
          <w:tcPr>
            <w:tcW w:w="84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4"/>
                <w:szCs w:val="14"/>
                <w:b w:val="1"/>
                <w:bCs w:val="1"/>
                <w:color w:val="auto"/>
                <w:w w:val="83"/>
              </w:rPr>
              <w:t>2021</w:t>
            </w:r>
          </w:p>
        </w:tc>
        <w:tc>
          <w:tcPr>
            <w:tcW w:w="5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r>
      <w:tr>
        <w:trPr>
          <w:trHeight w:val="249"/>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Distributions per common unit</w:t>
            </w:r>
          </w:p>
        </w:tc>
        <w:tc>
          <w:tcPr>
            <w:tcW w:w="840" w:type="dxa"/>
            <w:vAlign w:val="bottom"/>
            <w:tcBorders>
              <w:bottom w:val="single" w:sz="8" w:color="auto"/>
            </w:tcBorders>
            <w:shd w:val="clear" w:color="auto" w:fill="CCEEFF"/>
          </w:tcPr>
          <w:p>
            <w:pPr>
              <w:jc w:val="right"/>
              <w:ind w:right="662"/>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0.4714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0.9428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0.9428</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Partners' Equity</w:t>
      </w:r>
    </w:p>
    <w:p>
      <w:pPr>
        <w:spacing w:after="0" w:line="94" w:lineRule="exact"/>
        <w:rPr>
          <w:sz w:val="20"/>
          <w:szCs w:val="20"/>
          <w:color w:val="auto"/>
        </w:rPr>
      </w:pPr>
    </w:p>
    <w:p>
      <w:pPr>
        <w:ind w:right="40" w:firstLine="405"/>
        <w:spacing w:after="0" w:line="275" w:lineRule="auto"/>
        <w:rPr>
          <w:sz w:val="20"/>
          <w:szCs w:val="20"/>
          <w:color w:val="auto"/>
        </w:rPr>
      </w:pPr>
      <w:r>
        <w:rPr>
          <w:rFonts w:ascii="Arial" w:cs="Arial" w:eastAsia="Arial" w:hAnsi="Arial"/>
          <w:sz w:val="17"/>
          <w:szCs w:val="17"/>
          <w:color w:val="auto"/>
        </w:rPr>
        <w:t>On October 4, 2018, the Partnership and Westlake Chemical Partners GP LLC, the general partner of the Partnership, entered into an Equity Distribution Agreement with UBS Securities LLC, Barclays Capital Inc., Citigroup Global Markets Inc., Deutsche Bank Securities Inc., RBC Capital Markets, LLC, Merrill Lynch, Pierce, Fenner &amp; Smith Incorporated and Wells Fargo Securities, LLC to offer and sell the Partnership's common units, from time to time, up to an aggregate offering amount of $50,000. The Equity Distribution Agreement was amended on February 28, 2020 to reference a new shelf registration for utilization under this agreement. No common units were issued under this program as of June 30, 2021.</w:t>
      </w:r>
    </w:p>
    <w:p>
      <w:pPr>
        <w:spacing w:after="0" w:line="122"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On March 29, 2019, the Partnership completed the issuance and sale of 2,940,818 common units at a price of $21.40 per unit through a private placement. TTWF LP, Westlake's principal stockholder and a related party, acquired 1,401,869 common units out of 2,940,818 common units issued in the private placement.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Related Party Transactions</w:t>
      </w:r>
    </w:p>
    <w:p>
      <w:pPr>
        <w:spacing w:after="0" w:line="108"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The Partnership and OpCo regularly enter into related party transactions with Westlake. See below for a description of transactions with related parties.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to Related Parties</w:t>
      </w:r>
    </w:p>
    <w:p>
      <w:pPr>
        <w:spacing w:after="0" w:line="104"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OpCo sells ethylene to Westlake under the Ethylene Sales Agreement. Additionally, the Partnership and OpCo from time to time provide other services or products for which it charges Westlake a fee.</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Sales to related parties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40" w:type="dxa"/>
            <w:vAlign w:val="bottom"/>
            <w:gridSpan w:val="4"/>
          </w:tcPr>
          <w:p>
            <w:pPr>
              <w:jc w:val="right"/>
              <w:ind w:right="559"/>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522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r>
      <w:tr>
        <w:trPr>
          <w:trHeight w:val="249"/>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sales—Westlake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240,956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227,431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460,759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442,259</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865"/>
        </w:trPr>
        <w:tc>
          <w:tcPr>
            <w:tcW w:w="5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839"/>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5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375" w:lineRule="exact"/>
        <w:rPr>
          <w:sz w:val="20"/>
          <w:szCs w:val="20"/>
          <w:color w:val="auto"/>
        </w:rPr>
      </w:pPr>
    </w:p>
    <w:p>
      <w:pPr>
        <w:ind w:firstLine="405"/>
        <w:spacing w:after="0" w:line="258" w:lineRule="auto"/>
        <w:rPr>
          <w:sz w:val="20"/>
          <w:szCs w:val="20"/>
          <w:color w:val="auto"/>
        </w:rPr>
      </w:pPr>
      <w:r>
        <w:rPr>
          <w:rFonts w:ascii="Arial" w:cs="Arial" w:eastAsia="Arial" w:hAnsi="Arial"/>
          <w:sz w:val="16"/>
          <w:szCs w:val="16"/>
          <w:color w:val="auto"/>
        </w:rPr>
        <w:t>During June 2021, OpCo's Petro 1 facility experienced an outage, which resulted in a force majeure event under the Ethylene Sales Agreement. In addition, OpCo declared a force majeure in February 2021 due to the severe winter storm. As a result of these force majeure events, the Partnership updated its estimate of OpCo's 2021 anticipated production as of June 30, 2021. The buyer deficiency fee is measured based upon the lower of the actual production deficiency at period end or the estimated annual production deficiency based upon OpCo's annual anticipated production. Based upon this change in estimate of OpCo's 2021 anticipated production, the Partnership has recognized buyer deficiency fees and shortfall fees of $8,742 and $18,420 during the three and six months ended June 30, 2021, respectively. The buyer deficiency fees and shortfall fees are classified as a component of net sales.</w:t>
      </w:r>
    </w:p>
    <w:p>
      <w:pPr>
        <w:spacing w:after="0" w:line="55" w:lineRule="exact"/>
        <w:rPr>
          <w:sz w:val="20"/>
          <w:szCs w:val="20"/>
          <w:color w:val="auto"/>
        </w:rPr>
      </w:pPr>
    </w:p>
    <w:p>
      <w:pPr>
        <w:ind w:right="100" w:firstLine="405"/>
        <w:spacing w:after="0" w:line="286" w:lineRule="auto"/>
        <w:rPr>
          <w:sz w:val="20"/>
          <w:szCs w:val="20"/>
          <w:color w:val="auto"/>
        </w:rPr>
      </w:pPr>
      <w:r>
        <w:rPr>
          <w:rFonts w:ascii="Arial" w:cs="Arial" w:eastAsia="Arial" w:hAnsi="Arial"/>
          <w:sz w:val="17"/>
          <w:szCs w:val="17"/>
          <w:color w:val="auto"/>
        </w:rPr>
        <w:t>During 2020, the Lake Charles Petro 1 and Petro 2 facilities were impacted by Hurricanes Laura and Delta, which resulted in force majeure events under the Ethylene Sales Agreement. As a result of the force majeure events, the Partnership recognized a buyer deficiency fee of $69,555 as a component of net sales in 2020. Payment for the buyer deficiency fee was received by the Partnership in January 2021.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from Related Parties</w:t>
      </w:r>
    </w:p>
    <w:p>
      <w:pPr>
        <w:spacing w:after="0" w:line="104" w:lineRule="exact"/>
        <w:rPr>
          <w:sz w:val="20"/>
          <w:szCs w:val="20"/>
          <w:color w:val="auto"/>
        </w:rPr>
      </w:pPr>
    </w:p>
    <w:p>
      <w:pPr>
        <w:ind w:right="420" w:firstLine="405"/>
        <w:spacing w:after="0" w:line="308" w:lineRule="auto"/>
        <w:rPr>
          <w:sz w:val="20"/>
          <w:szCs w:val="20"/>
          <w:color w:val="auto"/>
        </w:rPr>
      </w:pPr>
      <w:r>
        <w:rPr>
          <w:rFonts w:ascii="Arial" w:cs="Arial" w:eastAsia="Arial" w:hAnsi="Arial"/>
          <w:sz w:val="17"/>
          <w:szCs w:val="17"/>
          <w:color w:val="auto"/>
        </w:rPr>
        <w:t>Charges for goods and services purchased by the Partnership and OpCo from Westlake and included in cost of sales relate primarily to feedstock purchased under the Feedstock Supply Agreement and services provided under the Services and Secondment Agreement.</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in cost of sales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40" w:type="dxa"/>
            <w:vAlign w:val="bottom"/>
            <w:gridSpan w:val="4"/>
          </w:tcPr>
          <w:p>
            <w:pPr>
              <w:jc w:val="right"/>
              <w:ind w:right="555"/>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522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224"/>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Feedstock purchased from Westlake and included in cost of sales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128,962</w:t>
            </w:r>
          </w:p>
        </w:tc>
      </w:tr>
      <w:tr>
        <w:trPr>
          <w:trHeight w:val="230"/>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charges from Westlake and included in cost of sales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23,898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59,308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47,998</w:t>
            </w:r>
          </w:p>
        </w:tc>
      </w:tr>
      <w:tr>
        <w:trPr>
          <w:trHeight w:val="248"/>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242,403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176,960</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from Related Parties Included in Selling, General and Administrative Expenses</w:t>
      </w:r>
    </w:p>
    <w:p>
      <w:pPr>
        <w:spacing w:after="0" w:line="104" w:lineRule="exact"/>
        <w:rPr>
          <w:sz w:val="20"/>
          <w:szCs w:val="20"/>
          <w:color w:val="auto"/>
        </w:rPr>
      </w:pPr>
    </w:p>
    <w:p>
      <w:pPr>
        <w:ind w:right="120" w:firstLine="405"/>
        <w:spacing w:after="0" w:line="263" w:lineRule="auto"/>
        <w:rPr>
          <w:sz w:val="20"/>
          <w:szCs w:val="20"/>
          <w:color w:val="auto"/>
        </w:rPr>
      </w:pPr>
      <w:r>
        <w:rPr>
          <w:rFonts w:ascii="Arial" w:cs="Arial" w:eastAsia="Arial" w:hAnsi="Arial"/>
          <w:sz w:val="18"/>
          <w:szCs w:val="18"/>
          <w:color w:val="auto"/>
        </w:rPr>
        <w:t>Charges for services purchased by the Partnership from Westlake and included in selling, general and administrative expenses primarily relate to services Westlake performs on behalf of the Partnership under the Omnibus Agreement, including the Partnership's finance, legal, information technology, human resources, communication, ethics and compliance and other administrative functions.</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included within selling, general and administrative expenses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20" w:type="dxa"/>
            <w:vAlign w:val="bottom"/>
            <w:gridSpan w:val="4"/>
          </w:tcPr>
          <w:p>
            <w:pPr>
              <w:jc w:val="right"/>
              <w:ind w:right="559"/>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7"/>
        </w:trPr>
        <w:tc>
          <w:tcPr>
            <w:tcW w:w="524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57"/>
        </w:trPr>
        <w:tc>
          <w:tcPr>
            <w:tcW w:w="524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w w:val="94"/>
              </w:rPr>
              <w:t>Services received from Westlake and included in selling, general and</w:t>
            </w: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5,698</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2"/>
              <w:spacing w:after="0"/>
              <w:rPr>
                <w:sz w:val="20"/>
                <w:szCs w:val="20"/>
                <w:color w:val="auto"/>
              </w:rPr>
            </w:pPr>
            <w:r>
              <w:rPr>
                <w:rFonts w:ascii="Arial" w:cs="Arial" w:eastAsia="Arial" w:hAnsi="Arial"/>
                <w:sz w:val="18"/>
                <w:szCs w:val="18"/>
                <w:color w:val="auto"/>
              </w:rPr>
              <w:t>14,912</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10,813</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administrative expenses</w:t>
            </w: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Goods and Services from Related Parties Capitalized as Assets</w:t>
      </w:r>
    </w:p>
    <w:p>
      <w:pPr>
        <w:spacing w:after="0" w:line="90"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Charges for goods and services purchased by the Partnership and OpCo from Westlake which were capitalized as assets relate primarily to the services of Westlake employees under the Services and Secondment Agreement.</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for goods and services capitalized as assets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6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00" w:type="dxa"/>
            <w:vAlign w:val="bottom"/>
            <w:gridSpan w:val="4"/>
          </w:tcPr>
          <w:p>
            <w:pPr>
              <w:jc w:val="right"/>
              <w:ind w:right="539"/>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524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r>
      <w:tr>
        <w:trPr>
          <w:trHeight w:val="249"/>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Goods and services purchased from Westlake and capitalized as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936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878"/>
        </w:trPr>
        <w:tc>
          <w:tcPr>
            <w:tcW w:w="5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ind w:right="859"/>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 under the Investment Management Agreement</w:t>
      </w:r>
    </w:p>
    <w:p>
      <w:pPr>
        <w:spacing w:after="0" w:line="90"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On August 1, 2017, the Partnership, OpCo and Westlake executed an investment management agreement (the "Investment Management Agreement") that authorized Westlake to invest the Partnership's and OpCo's excess cash with Westlake for a term of up to a maximum of nine months. Per the terms of the Investment Management Agreement, the Partnership earns a market return plus five basis points and Westlake provides daily availability of the invested cash to meet any liquidity needs of the Partnership or OpCo. Accrued interest of $77 and $56 was included in the receivable under the Investment Management Agreement balance at June 30, 2021 and December 31, 2020, respectively. Total interest earned related to the Investment Management Agreement was $77 and $219 for the three months ended June 30, 2021 and 2020, respectively, and $145 and $807 for the six months ended June 30, 2021 and 2020, respectively.</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Partnership's receivable under the Investment Management Agreement was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14"/>
                <w:szCs w:val="14"/>
                <w:color w:val="auto"/>
              </w:rPr>
            </w:pPr>
          </w:p>
        </w:tc>
        <w:tc>
          <w:tcPr>
            <w:tcW w:w="1220" w:type="dxa"/>
            <w:vAlign w:val="bottom"/>
          </w:tcPr>
          <w:p>
            <w:pPr>
              <w:jc w:val="center"/>
              <w:ind w:right="142"/>
              <w:spacing w:after="0"/>
              <w:rPr>
                <w:sz w:val="20"/>
                <w:szCs w:val="20"/>
                <w:color w:val="auto"/>
              </w:rPr>
            </w:pPr>
            <w:r>
              <w:rPr>
                <w:rFonts w:ascii="Arial" w:cs="Arial" w:eastAsia="Arial" w:hAnsi="Arial"/>
                <w:sz w:val="14"/>
                <w:szCs w:val="14"/>
                <w:b w:val="1"/>
                <w:bCs w:val="1"/>
                <w:color w:val="auto"/>
                <w:w w:val="92"/>
              </w:rPr>
              <w:t>December 31,</w:t>
            </w:r>
          </w:p>
        </w:tc>
      </w:tr>
      <w:tr>
        <w:trPr>
          <w:trHeight w:val="188"/>
        </w:trPr>
        <w:tc>
          <w:tcPr>
            <w:tcW w:w="82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r>
      <w:tr>
        <w:trPr>
          <w:trHeight w:val="249"/>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Receivable under the Investment Management Agreement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222,249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123,228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from Related Parties</w:t>
      </w:r>
    </w:p>
    <w:p>
      <w:pPr>
        <w:spacing w:after="0" w:line="104"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The Partnership's accounts receivable from Westlake result primarily from ethylene sales to Westlake and the buyer deficiency fee and shortfall fee recognized under the Ethylene Sales Agreement, as discussed above under "Sales to Related Parties." The buyer deficiency fee and shortfall fee recognized in the six months ended June 30, 2021are scheduled to be received by the Partnership after the end of 2021.</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Partnership's accounts receivable from Westlake were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14"/>
                <w:szCs w:val="14"/>
                <w:color w:val="auto"/>
              </w:rPr>
            </w:pPr>
          </w:p>
        </w:tc>
        <w:tc>
          <w:tcPr>
            <w:tcW w:w="1220" w:type="dxa"/>
            <w:vAlign w:val="bottom"/>
          </w:tcPr>
          <w:p>
            <w:pPr>
              <w:jc w:val="center"/>
              <w:ind w:right="142"/>
              <w:spacing w:after="0"/>
              <w:rPr>
                <w:sz w:val="20"/>
                <w:szCs w:val="20"/>
                <w:color w:val="auto"/>
              </w:rPr>
            </w:pPr>
            <w:r>
              <w:rPr>
                <w:rFonts w:ascii="Arial" w:cs="Arial" w:eastAsia="Arial" w:hAnsi="Arial"/>
                <w:sz w:val="14"/>
                <w:szCs w:val="14"/>
                <w:b w:val="1"/>
                <w:bCs w:val="1"/>
                <w:color w:val="auto"/>
                <w:w w:val="92"/>
              </w:rPr>
              <w:t>December 31,</w:t>
            </w:r>
          </w:p>
        </w:tc>
      </w:tr>
      <w:tr>
        <w:trPr>
          <w:trHeight w:val="188"/>
        </w:trPr>
        <w:tc>
          <w:tcPr>
            <w:tcW w:w="82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r>
      <w:tr>
        <w:trPr>
          <w:trHeight w:val="249"/>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receivable—Westlake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66,948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108,028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Payable to Related Parties</w:t>
      </w:r>
    </w:p>
    <w:p>
      <w:pPr>
        <w:spacing w:after="0" w:line="104"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The Partnership's accounts payable to Westlake result primarily from feedstock purchases under the Feedstock Supply Agreement and services provided under the Services and Secondment Agreement and the Omnibus Agreement.</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related party accounts payable balances were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14"/>
                <w:szCs w:val="14"/>
                <w:color w:val="auto"/>
              </w:rPr>
            </w:pPr>
          </w:p>
        </w:tc>
        <w:tc>
          <w:tcPr>
            <w:tcW w:w="1220" w:type="dxa"/>
            <w:vAlign w:val="bottom"/>
          </w:tcPr>
          <w:p>
            <w:pPr>
              <w:jc w:val="center"/>
              <w:ind w:right="142"/>
              <w:spacing w:after="0"/>
              <w:rPr>
                <w:sz w:val="20"/>
                <w:szCs w:val="20"/>
                <w:color w:val="auto"/>
              </w:rPr>
            </w:pPr>
            <w:r>
              <w:rPr>
                <w:rFonts w:ascii="Arial" w:cs="Arial" w:eastAsia="Arial" w:hAnsi="Arial"/>
                <w:sz w:val="14"/>
                <w:szCs w:val="14"/>
                <w:b w:val="1"/>
                <w:bCs w:val="1"/>
                <w:color w:val="auto"/>
                <w:w w:val="92"/>
              </w:rPr>
              <w:t>December 31,</w:t>
            </w:r>
          </w:p>
        </w:tc>
      </w:tr>
      <w:tr>
        <w:trPr>
          <w:trHeight w:val="188"/>
        </w:trPr>
        <w:tc>
          <w:tcPr>
            <w:tcW w:w="82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r>
      <w:tr>
        <w:trPr>
          <w:trHeight w:val="249"/>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payable—Westlake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20,134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7,855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Leases</w:t>
      </w:r>
    </w:p>
    <w:p>
      <w:pPr>
        <w:spacing w:after="0" w:line="90" w:lineRule="exact"/>
        <w:rPr>
          <w:sz w:val="20"/>
          <w:szCs w:val="20"/>
          <w:color w:val="auto"/>
        </w:rPr>
      </w:pPr>
    </w:p>
    <w:p>
      <w:pPr>
        <w:ind w:right="160" w:firstLine="405"/>
        <w:spacing w:after="0" w:line="311" w:lineRule="auto"/>
        <w:rPr>
          <w:sz w:val="20"/>
          <w:szCs w:val="20"/>
          <w:color w:val="auto"/>
        </w:rPr>
      </w:pPr>
      <w:r>
        <w:rPr>
          <w:rFonts w:ascii="Arial" w:cs="Arial" w:eastAsia="Arial" w:hAnsi="Arial"/>
          <w:sz w:val="16"/>
          <w:szCs w:val="16"/>
          <w:color w:val="auto"/>
        </w:rPr>
        <w:t>OpCo is obligated to Westlake under various long-term and short-term noncancelable operating leases, primarily related to rail car leases and land. Operating lease rentals paid to Westlake for such leases were $608 and $726 for the three months ended June 30, 2021 and 2020, respectively, and $1,295 and $1,396 for the six months ended June 30, 2021 and 2020, respectively, and reflected in other charges from Westlake that are included in cost of sales.</w:t>
      </w:r>
    </w:p>
    <w:p>
      <w:pPr>
        <w:spacing w:after="0" w:line="27"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OpCo has two site lease agreements with Westlake, each of which has a term of 50 years. Pursuant to the site lease agreements, OpCo pays Westlake one dollar per site per year.</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Payable to Related Parties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9 for a description of related party debt payable balances.</w:t>
      </w:r>
    </w:p>
    <w:p>
      <w:pPr>
        <w:spacing w:after="0" w:line="104"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Interest on related party debt payable balances for the three months ended June 30, 2021 and 2020 was $2,224 and $3,431, respectively. Interest on related party debt payable is presented as interest expense—Westlake in the consolidated statements of operations. At June 30, 2021 and December 31, 2020, accrued interest on related party debt was $2,224 and $2,336, respectively, and is reflected as a component of accrued liabilities in the consolidated balance sheets.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Debt payable to related parties was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14"/>
                <w:szCs w:val="14"/>
                <w:color w:val="auto"/>
              </w:rPr>
            </w:pPr>
          </w:p>
        </w:tc>
        <w:tc>
          <w:tcPr>
            <w:tcW w:w="1220" w:type="dxa"/>
            <w:vAlign w:val="bottom"/>
          </w:tcPr>
          <w:p>
            <w:pPr>
              <w:jc w:val="center"/>
              <w:ind w:right="142"/>
              <w:spacing w:after="0"/>
              <w:rPr>
                <w:sz w:val="20"/>
                <w:szCs w:val="20"/>
                <w:color w:val="auto"/>
              </w:rPr>
            </w:pPr>
            <w:r>
              <w:rPr>
                <w:rFonts w:ascii="Arial" w:cs="Arial" w:eastAsia="Arial" w:hAnsi="Arial"/>
                <w:sz w:val="14"/>
                <w:szCs w:val="14"/>
                <w:b w:val="1"/>
                <w:bCs w:val="1"/>
                <w:color w:val="auto"/>
                <w:w w:val="92"/>
              </w:rPr>
              <w:t>December 31,</w:t>
            </w:r>
          </w:p>
        </w:tc>
      </w:tr>
      <w:tr>
        <w:trPr>
          <w:trHeight w:val="188"/>
        </w:trPr>
        <w:tc>
          <w:tcPr>
            <w:tcW w:w="82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r>
      <w:tr>
        <w:trPr>
          <w:trHeight w:val="249"/>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payable to Westlake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399,674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399,674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Major Customer and Concentration of Credit Risk</w:t>
      </w:r>
    </w:p>
    <w:p>
      <w:pPr>
        <w:spacing w:after="0" w:line="104" w:lineRule="exact"/>
        <w:rPr>
          <w:sz w:val="20"/>
          <w:szCs w:val="20"/>
          <w:color w:val="auto"/>
        </w:rPr>
      </w:pPr>
    </w:p>
    <w:p>
      <w:pPr>
        <w:ind w:right="80" w:firstLine="405"/>
        <w:spacing w:after="0" w:line="263" w:lineRule="auto"/>
        <w:rPr>
          <w:sz w:val="20"/>
          <w:szCs w:val="20"/>
          <w:color w:val="auto"/>
        </w:rPr>
      </w:pPr>
      <w:r>
        <w:rPr>
          <w:rFonts w:ascii="Arial" w:cs="Arial" w:eastAsia="Arial" w:hAnsi="Arial"/>
          <w:sz w:val="18"/>
          <w:szCs w:val="18"/>
          <w:color w:val="auto"/>
        </w:rPr>
        <w:t>During the three months ended June 30, 2021 and 2020, Westlake accounted for approximately 74.8% and 95.4%, respectively, of the Partnership's net sales. During the six months ended June 30, 2021 and 2020, Westlake accounted for approximately 78.0% and 90.4%, respectively, of the Partnership's net sales.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7 above for an additional related party transaction.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Debt Payable to Westlake</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Long-term debt payable to Westlake consists of the following:</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20" w:type="dxa"/>
            <w:vAlign w:val="bottom"/>
          </w:tcPr>
          <w:p>
            <w:pPr>
              <w:jc w:val="right"/>
              <w:ind w:right="217"/>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8"/>
        </w:trPr>
        <w:tc>
          <w:tcPr>
            <w:tcW w:w="82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57"/>
        </w:trPr>
        <w:tc>
          <w:tcPr>
            <w:tcW w:w="826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w w:val="99"/>
              </w:rPr>
              <w:t>OpCo Revolver (variable interest rate of London Interbank Offered Rate ("LIBOR") plus 2.0%, scheduled</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22,619</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22,619</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maturity of September 25, 2023)</w:t>
            </w:r>
          </w:p>
        </w:tc>
        <w:tc>
          <w:tcPr>
            <w:tcW w:w="30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MLP Revolver (variable interest rate of LIBOR plus 2.0%, scheduled maturity of March 19, 2023)</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377,055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377,055</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399,674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399,674</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weighted average interest rate on all long-term debt was 2.2% at June 30, 2021 and December 31, 2020.</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2021, the Partnership was in compliance with all of the covenants under the OpCo Revolver and the MLP Revolver.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108" w:lineRule="exact"/>
        <w:rPr>
          <w:sz w:val="20"/>
          <w:szCs w:val="20"/>
          <w:color w:val="auto"/>
        </w:rPr>
      </w:pPr>
    </w:p>
    <w:p>
      <w:pPr>
        <w:ind w:right="140" w:firstLine="445"/>
        <w:spacing w:after="0" w:line="263" w:lineRule="auto"/>
        <w:rPr>
          <w:sz w:val="20"/>
          <w:szCs w:val="20"/>
          <w:color w:val="auto"/>
        </w:rPr>
      </w:pPr>
      <w:r>
        <w:rPr>
          <w:rFonts w:ascii="Arial" w:cs="Arial" w:eastAsia="Arial" w:hAnsi="Arial"/>
          <w:sz w:val="18"/>
          <w:szCs w:val="18"/>
          <w:color w:val="auto"/>
        </w:rPr>
        <w:t>The Partnership reports certain assets and liabilities at fair value, which is defined as the price that would be received to sell an asset or paid to transfer a liability in an orderly transaction between market participants at the measurement date (exit price). Under the accounting guidance for fair value measurements, inputs used to measure fair value are classified in one of three levels: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2: Observable market-based inputs or unobservable inputs that are corroborated by market data.</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3: Unobservable inputs that are not corroborated by market data.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The Partnership has financial assets and liabilities subject to fair value measures. These financial assets and liabilities include cash and cash equivalents, accounts receivable, net, accounts payable and long-term debt payable to Westlake, all of which are recorded at carrying value. The amounts reported in the consolidated balance sheets for accounts receivable, net and accounts payable approximate their fair value due to the short maturities of these instruments. The carrying and fair values of the Partnership's long-term debt at June 30, 2021 and December 31, 2020 are summarized in the table below. The Partnership's long-term debt includes the OpCo Revolver and the MLP Revolver at June 30, 2021. The fair value of debt is determined based on the present value of expected future cash flows using a discounted cash flow methodology. Because the Partnership's valuation methodology used for long-term debt requires the use of significant unobservable inputs, the inputs used to measure the fair value of the Partnership's long-term debt are classified as Level 3 within the fair value hierarchy. Inputs used to estimate the fair values of the Partnership's long-term debt include the selection of an appropriate discount rate.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 2021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2020</w:t>
            </w:r>
          </w:p>
        </w:tc>
        <w:tc>
          <w:tcPr>
            <w:tcW w:w="900" w:type="dxa"/>
            <w:vAlign w:val="bottom"/>
            <w:tcBorders>
              <w:bottom w:val="single" w:sz="8" w:color="auto"/>
            </w:tcBorders>
          </w:tcPr>
          <w:p>
            <w:pPr>
              <w:spacing w:after="0"/>
              <w:rPr>
                <w:sz w:val="16"/>
                <w:szCs w:val="16"/>
                <w:color w:val="auto"/>
              </w:rPr>
            </w:pPr>
          </w:p>
        </w:tc>
      </w:tr>
      <w:tr>
        <w:trPr>
          <w:trHeight w:val="134"/>
        </w:trPr>
        <w:tc>
          <w:tcPr>
            <w:tcW w:w="5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rPr>
              <w:t>Carrying</w:t>
            </w:r>
          </w:p>
        </w:tc>
        <w:tc>
          <w:tcPr>
            <w:tcW w:w="460" w:type="dxa"/>
            <w:vAlign w:val="bottom"/>
          </w:tcPr>
          <w:p>
            <w:pPr>
              <w:spacing w:after="0"/>
              <w:rPr>
                <w:sz w:val="11"/>
                <w:szCs w:val="11"/>
                <w:color w:val="auto"/>
              </w:rPr>
            </w:pPr>
          </w:p>
        </w:tc>
        <w:tc>
          <w:tcPr>
            <w:tcW w:w="960" w:type="dxa"/>
            <w:vAlign w:val="bottom"/>
          </w:tcPr>
          <w:p>
            <w:pPr>
              <w:jc w:val="center"/>
              <w:ind w:right="379"/>
              <w:spacing w:after="0" w:line="135"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7"/>
              </w:rPr>
              <w:t>Carrying</w:t>
            </w:r>
          </w:p>
        </w:tc>
        <w:tc>
          <w:tcPr>
            <w:tcW w:w="540" w:type="dxa"/>
            <w:vAlign w:val="bottom"/>
          </w:tcPr>
          <w:p>
            <w:pPr>
              <w:spacing w:after="0"/>
              <w:rPr>
                <w:sz w:val="11"/>
                <w:szCs w:val="11"/>
                <w:color w:val="auto"/>
              </w:rPr>
            </w:pPr>
          </w:p>
        </w:tc>
        <w:tc>
          <w:tcPr>
            <w:tcW w:w="900" w:type="dxa"/>
            <w:vAlign w:val="bottom"/>
          </w:tcPr>
          <w:p>
            <w:pPr>
              <w:jc w:val="right"/>
              <w:ind w:right="499"/>
              <w:spacing w:after="0" w:line="135" w:lineRule="exact"/>
              <w:rPr>
                <w:sz w:val="20"/>
                <w:szCs w:val="20"/>
                <w:color w:val="auto"/>
              </w:rPr>
            </w:pPr>
            <w:r>
              <w:rPr>
                <w:rFonts w:ascii="Arial" w:cs="Arial" w:eastAsia="Arial" w:hAnsi="Arial"/>
                <w:sz w:val="14"/>
                <w:szCs w:val="14"/>
                <w:b w:val="1"/>
                <w:bCs w:val="1"/>
                <w:color w:val="auto"/>
              </w:rPr>
              <w:t>Fair</w:t>
            </w:r>
          </w:p>
        </w:tc>
      </w:tr>
      <w:tr>
        <w:trPr>
          <w:trHeight w:val="188"/>
        </w:trPr>
        <w:tc>
          <w:tcPr>
            <w:tcW w:w="5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460" w:type="dxa"/>
            <w:vAlign w:val="bottom"/>
          </w:tcPr>
          <w:p>
            <w:pPr>
              <w:spacing w:after="0"/>
              <w:rPr>
                <w:sz w:val="16"/>
                <w:szCs w:val="16"/>
                <w:color w:val="auto"/>
              </w:rPr>
            </w:pPr>
          </w:p>
        </w:tc>
        <w:tc>
          <w:tcPr>
            <w:tcW w:w="10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Value</w:t>
            </w:r>
          </w:p>
        </w:tc>
        <w:tc>
          <w:tcPr>
            <w:tcW w:w="28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540" w:type="dxa"/>
            <w:vAlign w:val="bottom"/>
          </w:tcPr>
          <w:p>
            <w:pPr>
              <w:spacing w:after="0"/>
              <w:rPr>
                <w:sz w:val="16"/>
                <w:szCs w:val="16"/>
                <w:color w:val="auto"/>
              </w:rPr>
            </w:pPr>
          </w:p>
        </w:tc>
        <w:tc>
          <w:tcPr>
            <w:tcW w:w="900" w:type="dxa"/>
            <w:vAlign w:val="bottom"/>
          </w:tcPr>
          <w:p>
            <w:pPr>
              <w:jc w:val="right"/>
              <w:ind w:right="459"/>
              <w:spacing w:after="0"/>
              <w:rPr>
                <w:sz w:val="20"/>
                <w:szCs w:val="20"/>
                <w:color w:val="auto"/>
              </w:rPr>
            </w:pPr>
            <w:r>
              <w:rPr>
                <w:rFonts w:ascii="Arial" w:cs="Arial" w:eastAsia="Arial" w:hAnsi="Arial"/>
                <w:sz w:val="14"/>
                <w:szCs w:val="14"/>
                <w:b w:val="1"/>
                <w:bCs w:val="1"/>
                <w:color w:val="auto"/>
                <w:w w:val="90"/>
              </w:rPr>
              <w:t>Value</w:t>
            </w:r>
          </w:p>
        </w:tc>
      </w:tr>
      <w:tr>
        <w:trPr>
          <w:trHeight w:val="224"/>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OpCo Revolver</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22,619</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22,924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22,619</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23,301</w:t>
            </w: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MLP Revolver</w:t>
            </w:r>
          </w:p>
        </w:tc>
        <w:tc>
          <w:tcPr>
            <w:tcW w:w="260" w:type="dxa"/>
            <w:vAlign w:val="bottom"/>
          </w:tcPr>
          <w:p>
            <w:pPr>
              <w:spacing w:after="0"/>
              <w:rPr>
                <w:sz w:val="20"/>
                <w:szCs w:val="20"/>
                <w:color w:val="auto"/>
              </w:rPr>
            </w:pPr>
          </w:p>
        </w:tc>
        <w:tc>
          <w:tcPr>
            <w:tcW w:w="1160" w:type="dxa"/>
            <w:vAlign w:val="bottom"/>
          </w:tcPr>
          <w:p>
            <w:pPr>
              <w:jc w:val="right"/>
              <w:ind w:right="1"/>
              <w:spacing w:after="0"/>
              <w:rPr>
                <w:sz w:val="20"/>
                <w:szCs w:val="20"/>
                <w:color w:val="auto"/>
              </w:rPr>
            </w:pPr>
            <w:r>
              <w:rPr>
                <w:rFonts w:ascii="Arial" w:cs="Arial" w:eastAsia="Arial" w:hAnsi="Arial"/>
                <w:sz w:val="18"/>
                <w:szCs w:val="18"/>
                <w:color w:val="auto"/>
              </w:rPr>
              <w:t>377,055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379,868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ind w:right="1"/>
              <w:spacing w:after="0"/>
              <w:rPr>
                <w:sz w:val="20"/>
                <w:szCs w:val="20"/>
                <w:color w:val="auto"/>
              </w:rPr>
            </w:pPr>
            <w:r>
              <w:rPr>
                <w:rFonts w:ascii="Arial" w:cs="Arial" w:eastAsia="Arial" w:hAnsi="Arial"/>
                <w:sz w:val="18"/>
                <w:szCs w:val="18"/>
                <w:color w:val="auto"/>
              </w:rPr>
              <w:t>377,055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383,284</w:t>
            </w:r>
          </w:p>
        </w:tc>
      </w:tr>
    </w:tbl>
    <w:p>
      <w:pPr>
        <w:spacing w:after="0" w:line="318" w:lineRule="exact"/>
        <w:rPr>
          <w:sz w:val="20"/>
          <w:szCs w:val="20"/>
          <w:color w:val="auto"/>
        </w:rPr>
      </w:pPr>
    </w:p>
    <w:p>
      <w:pPr>
        <w:ind w:right="8920" w:firstLine="8"/>
        <w:spacing w:after="0" w:line="398" w:lineRule="auto"/>
        <w:tabs>
          <w:tab w:leader="none" w:pos="26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Supplemental Information </w:t>
      </w:r>
      <w:r>
        <w:rPr>
          <w:rFonts w:ascii="Arial" w:cs="Arial" w:eastAsia="Arial" w:hAnsi="Arial"/>
          <w:sz w:val="16"/>
          <w:szCs w:val="16"/>
          <w:b w:val="1"/>
          <w:bCs w:val="1"/>
          <w:i w:val="1"/>
          <w:iCs w:val="1"/>
          <w:color w:val="auto"/>
        </w:rPr>
        <w:t>Accrued and Other Liabilities</w:t>
      </w:r>
    </w:p>
    <w:p>
      <w:pPr>
        <w:spacing w:after="0" w:line="1"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Accrued and other liabilities were $16,084 and $18,768 at June 30, 2021 and December 31, 2020, respectively. Accrued taxes, accrued maintenance expense and accrued capital expenditures, which are components of accrued liabilities, were $3,925, $3,025 and $2,823, respectively, at June 30, 2021 and $6,207, $3,905 and $2,286, respectively, at December 31, 2020. No other component of accrued and other liabilities was more than five percent of total current liabilities.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Investing Activity</w:t>
      </w:r>
    </w:p>
    <w:p>
      <w:pPr>
        <w:spacing w:after="0" w:line="104"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non-cash investing activities related to accruals for capital expenditures were $669 and $182 for the six months ended June 30, 2021 and 2020,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94" w:lineRule="exact"/>
        <w:rPr>
          <w:sz w:val="20"/>
          <w:szCs w:val="20"/>
          <w:color w:val="auto"/>
        </w:rPr>
      </w:pPr>
    </w:p>
    <w:p>
      <w:pPr>
        <w:ind w:right="120" w:firstLine="405"/>
        <w:spacing w:after="0" w:line="290" w:lineRule="auto"/>
        <w:rPr>
          <w:sz w:val="20"/>
          <w:szCs w:val="20"/>
          <w:color w:val="auto"/>
        </w:rPr>
      </w:pPr>
      <w:r>
        <w:rPr>
          <w:rFonts w:ascii="Arial" w:cs="Arial" w:eastAsia="Arial" w:hAnsi="Arial"/>
          <w:sz w:val="16"/>
          <w:szCs w:val="16"/>
          <w:color w:val="auto"/>
        </w:rPr>
        <w:t>The Partnership is subject to environmental laws and regulations that can impose civil and criminal sanctions and that may require the Partnership to mitigate the effects of contamination caused by the release or disposal of hazardous substances into the environment. These laws include the federal Clean Air Act, the federal Water Pollution Control Act, the Resource Conservation and Recovery Act ("RCRA"), the Comprehensive Environmental Response, Compensation, and Liability Act ("CERCLA"), the Toxic Substances Control Act and various other federal, state and local laws and regulations. Under CERCLA, an owner or operator of property may be held strictly liable for remediating contamination without regard to whether that person caused the contamination, and without regard to whether the practices that resulted in the contamination were legal at the time they occurred. Because the Partnership's production sites have a history of industrial use, it is impossible to predict precisely what effect these legal requirements will have on the Partnership. Westlake will indemnify the Partnership for liabilities that occurred or existed prior to August 4, 2014.</w:t>
      </w:r>
    </w:p>
    <w:p>
      <w:pPr>
        <w:spacing w:after="0" w:line="111"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Partnership is involved in various legal proceedings incidental to the conduct of its business. The Partnership does not believe that any of these legal proceedings will have a material adverse effect on its financial condition, results of operations or cash flows.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This Management's Discussion and Analysis of Financial Condition and Results of Operations section should be read in conjunction with the accompanying consolidated financial statements and the notes thereto and the consolidated financial statements and notes thereto included in Westlake Chemical Partners LP's annual report on Form 10-K for the fiscal year ended December 31, 2020 (the "2020 Form 10-K"), as filed with the SEC on March 2, 2021. Unless otherwise indicated, references in this report to "we," "our," "us" or like terms, refer to Westlake Chemical Partners LP (the "Partnership"), Westlake Chemical OpCo LP ("OpCo") and Westlake Chemical OpCo GP LLC ("OpCo GP"). References to "Westlake" refer to Westlake Chemical Corporation and its consolidated subsidiaries other than the Partnership, OpCo GP and OpCo. The following discussion contains forward-looking statements. Please read "Forward-Looking Statements" for a discussion of limitations inherent in such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Overview</w:t>
      </w:r>
    </w:p>
    <w:p>
      <w:pPr>
        <w:spacing w:after="0" w:line="108"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We are a Delaware limited partnership formed by Westlake to operate, acquire and develop ethylene production facilities and related assets. On August 4, 2014, we closed our initial public offering (the "IPO") of 12,937,500 common units. In connection with the IPO, we acquired a 10.6% interest in OpCo and a 100% interest in OpCo GP, which is the general partner of OpCo. On April 29, 2015, we purchased an additional 2.7% newly-issued limited partner interest in OpCo, resulting in an aggregate 13.3% limited partner interest in OpCo, effective April 1, 2015. The 12,686,115 subordinated units of the Partnership, all of which were previously owned by Westlake, were converted into common units of the Partnership on August 30, 2017. On September 29, 2017, we completed a secondary public offering of 5,175,000 common units and purchased an additional 5.0% newly-issued limited partner interest in OpCo, resulting in an aggregate 18.3% limited partner interest in OpCo, effective July 1, 2017. On March 29, 2019, we completed a private placement of 2,940,818 common units and used the net proceeds to purchase an additional 4.5% interest in OpCo, effective January 1, 2019, resulting in us owning an aggregate 22.8% limited partner interest in OpCo.</w:t>
      </w:r>
    </w:p>
    <w:p>
      <w:pPr>
        <w:spacing w:after="0" w:line="127"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Our sole revenue generating asset is our 22.8% limited partner interest in OpCo, a limited partnership formed by Westlake and us in anticipation of the IPO to own and operate an ethylene production business. We control OpCo through our ownership of its general partner. Westlake retains the remaining 77.2% limited partner interest in OpCo as well as a significant interest in us through its ownership of our general partner, 40.1% of our limited partner units (consisting of 14,122,230 common units) and our incentive distribution rights. OpCo's assets include (1) two ethylene production facilities ("Petro 1" and "Petro 2" and, collectively, "Lake Charles Olefins") at Westlake's Lake Charles, Louisiana site; (2) one ethylene production facility ("Calvert City Olefins") at Westlake's Calvert City, Kentucky site; and (3) a 200-mile common carrier ethylene pipeline (the "Longview Pipeline") that runs from Mont Belvieu, Texas to Westlake's Longview, Texas facility.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w:t>
      </w:r>
    </w:p>
    <w:p>
      <w:pPr>
        <w:spacing w:after="0" w:line="108"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color w:val="auto"/>
        </w:rPr>
        <w:t>We generate revenue primarily by selling ethylene and the resulting co-products we produce. OpCo and Westlake have entered into an ethylene sales agreement (the "Ethylene Sales Agreement") pursuant to which we generate a substantial majority of our revenue. The Ethylene Sales Agreement is a long-term, fee-based agreement with a minimum purchase commitment and includes variable pricing based on OpCo's actual feedstock and natural gas costs and estimated other costs of producing ethylene (including OpCo's estimated operating costs and a five-year average of OpCo's expected future maintenance capital expenditures and other turnaround expenditures based on OpCo's planned ethylene production capacity for the year), plus a fixed margin per pound of $0.10 less revenue from co-products sales. Pursuant to the Ethylene Sales Agreement, Westlake's obligation to pay for the annual minimum commitment (95% of OpCo's budgeted ethylene production), which is measured on an annual basis, is not reduced for the first 45 days of a force majeure event, but is reduced for the portion of a force majeure event extending beyond the 45th day. In the event of a force majeure event, we recognize buyer deficiency fees representing fixed margin and unavoided operating and maintenance capital expenditures and maintenance expenses associated with ethylene that OpCo would have produced and is not expected to be produced based on anticipated production. Payment for the buyer deficiency fee is scheduled to be received by the Partnership after the conclusion of the year.</w:t>
      </w:r>
    </w:p>
    <w:p>
      <w:pPr>
        <w:spacing w:after="0" w:line="118"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Westlake has an option to take 95% of volumes in excess of the minimum commitment on an annual basis under the Ethylene Sales Agreement if we produce more than our planned production. Under the Ethylene Sales Agreement, the price for the sale of such excess ethylene to Westlake is based on a formula similar to that used for the minimum purchase commitment, with the exception of certain fixed costs. In addition, under the Ethylene Sales Agreement, if production costs billed to Westlake on an annual basis are less than 95% of the actual production costs incurred by OpCo during the contract year, OpCo is entitled to recover the shortfall in such production costs (proportionate to the volume sold to Westlake) in the subsequent year ("Shortfall"). The Shortfall is generally recognized during the period in which the related operating, maintenance or turnaround activities occur.</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Maintenance Capital Expenditures and Turnaround Costs</w:t>
      </w:r>
    </w:p>
    <w:p>
      <w:pPr>
        <w:spacing w:after="0" w:line="94"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Our management seeks to maximize the profitability of our operations by effectively managing operating expenses, maintenance capital expenditures and turnaround costs. Our operating expenses are comprised primarily of feedstock costs and natural gas, labor expenses (including contractor services), utility costs (other than natural gas) and turnaround and maintenance expenses. With the exception of feedstock, including natural gas, and utilities-related expenses, operating expenses generally remain relatively stable across broad ranges of production volumes but can fluctuate from period to period depending on the circumstances, particularly maintenance and turnaround activities. Our maintenance capital expenditures and turnaround costs are comprised primarily of maintenance of our ethylene production facilities and the amortization of capitalized turnaround costs. These capital expenditures relate to the maintenance and integrity of our facilities. We capitalize the costs of major maintenance activities, or turnarounds, and amortize the costs over the period until the next planned turnaround of the affected facility.</w:t>
      </w:r>
    </w:p>
    <w:p>
      <w:pPr>
        <w:spacing w:after="0" w:line="124" w:lineRule="exact"/>
        <w:rPr>
          <w:sz w:val="20"/>
          <w:szCs w:val="20"/>
          <w:color w:val="auto"/>
        </w:rPr>
      </w:pPr>
    </w:p>
    <w:p>
      <w:pPr>
        <w:ind w:right="180" w:firstLine="405"/>
        <w:spacing w:after="0" w:line="289" w:lineRule="auto"/>
        <w:rPr>
          <w:sz w:val="20"/>
          <w:szCs w:val="20"/>
          <w:color w:val="auto"/>
        </w:rPr>
      </w:pPr>
      <w:r>
        <w:rPr>
          <w:rFonts w:ascii="Arial" w:cs="Arial" w:eastAsia="Arial" w:hAnsi="Arial"/>
          <w:sz w:val="16"/>
          <w:szCs w:val="16"/>
          <w:color w:val="auto"/>
        </w:rPr>
        <w:t>Operating expenses, maintenance capital expenditures and turnaround costs are built into the price per pound of ethylene charged to Westlake under the Ethylene Sales Agreement. Because the expenses other than feedstock costs and natural gas are based on forecasted amounts and remain a fixed component of the price per pound of ethylene sold under the Ethylene Sales Agreement for any given 12-month period, our ability to manage operating expenses, maintenance expenditures and turnaround cost may directly affect our profitability and cash flows. The impact on profitability is partially mitigated by the fact that we generally recognize any Shortfall as revenue in the period such costs and expenses are incurred. We seek to manage our operating and maintenance expenses on our ethylene production facilities by scheduling maintenance and turnarounds over time to avoid significant variability in our operating margins and minimize the impact on our cash flows, without compromising our commitment to safety and environmental stewardship. In addition, we reserve cash on an annual basis from what we would otherwise distribute to minimize the impact of turnaround costs in the year of incurrence. The purchase price under the Ethylene Sales Agreement is not designed to cover capital expenditures for expansions.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MLP Distributable Cash Flow and EBITDA</w:t>
      </w:r>
    </w:p>
    <w:p>
      <w:pPr>
        <w:spacing w:after="0" w:line="108" w:lineRule="exact"/>
        <w:rPr>
          <w:sz w:val="20"/>
          <w:szCs w:val="20"/>
          <w:color w:val="auto"/>
        </w:rPr>
      </w:pPr>
    </w:p>
    <w:p>
      <w:pPr>
        <w:ind w:right="80" w:firstLine="405"/>
        <w:spacing w:after="0" w:line="285" w:lineRule="auto"/>
        <w:rPr>
          <w:sz w:val="20"/>
          <w:szCs w:val="20"/>
          <w:color w:val="auto"/>
        </w:rPr>
      </w:pPr>
      <w:r>
        <w:rPr>
          <w:rFonts w:ascii="Arial" w:cs="Arial" w:eastAsia="Arial" w:hAnsi="Arial"/>
          <w:sz w:val="16"/>
          <w:szCs w:val="16"/>
          <w:color w:val="auto"/>
        </w:rPr>
        <w:t>The body of accounting principles generally accepted in the United States is commonly referred to as "GAAP." For this purpose, a non-GAAP financial measure is generally defined by the Securities and Exchange Commission ("SEC") as a numerical measure of a registrant's historical or future financial performance, financial position or cash flows that (1) excludes amounts, or is subject to adjustments that have the effect of excluding amounts, that are included in the most directly comparable measure calculated and presented in accordance with GAAP in the statement of income, balance sheet or statement of cash flows (or equivalent statements) of the registrant; or (2) includes amounts, or is subject to adjustments that have the effect of including amounts, that are excluded from the most directly comparable measure so calculated and presented. We use the non-GAAP measures of MLP distributable cash flow and EBITDA to analyze our performance. We define distributable cash flow as net income plus depreciation, amortization and disposition of property, plant and equipment, less contributions for turnaround reserves, maintenance capital expenditures and mark-to-market adjustment on derivative contracts. We define MLP distributable cash flow as distributable cash flow less distributable cash flow attributable to Westlake's noncontrolling interest in OpCo and distributions attributable to the incentive distribution rights holder. MLP distributable cash flow does not reflect changes in working capital balances. We define EBITDA as net income before interest expense, income taxes, depreciation and amortization. We use each of MLP distributable cash flow and EBITDA to analyze our performance. Fees for a buyer deficiency and Shortfall are included in net income in the periods in which they are recognized. MLP distributable cash flow and EBITDA are non-GAAP supplemental financial measures that management and external users of our consolidated financial statements, such as industry analysts, investors, lenders and rating agencies, may use to assess our operating performance as compared to other publicly-traded partnerships; our ability to incur and service debt and fund capital expenditures; and the viability of acquisitions and other capital expenditure projects and the returns on investment of various investment opportunities.</w:t>
      </w:r>
    </w:p>
    <w:p>
      <w:pPr>
        <w:spacing w:after="0" w:line="122"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MLP distributable cash flow is not a substitute for the GAAP measures of net income and net cash provided by operating activities. MLP distributable cash flow has important limitations as an analytical tool because it excludes some but not all items that affect net income and net cash provided by operating activities. EBITDA is not a substitute for the GAAP measures of net income, income from operations and net cash provided by operating activities. In addition, it should be noted that companies calculate EBITDA differently and, therefore, EBITDA as presented for us may not be comparable to EBITDA reported by other companies. EBITDA has material limitations as a performance measure because it excludes interest expense, depreciation and amortization, and income taxes. Reconciliations for each of MLP distributable cash flow and EBITDA are included in the "Results of Operations" section below.</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Developments Affecting Industry Conditions and Our Business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Industry Conditions and Our Business</w:t>
      </w:r>
    </w:p>
    <w:p>
      <w:pPr>
        <w:spacing w:after="0" w:line="104" w:lineRule="exact"/>
        <w:rPr>
          <w:sz w:val="20"/>
          <w:szCs w:val="20"/>
          <w:color w:val="auto"/>
        </w:rPr>
      </w:pPr>
    </w:p>
    <w:p>
      <w:pPr>
        <w:ind w:right="60" w:firstLine="405"/>
        <w:spacing w:after="0" w:line="301" w:lineRule="auto"/>
        <w:rPr>
          <w:sz w:val="20"/>
          <w:szCs w:val="20"/>
          <w:color w:val="auto"/>
        </w:rPr>
      </w:pPr>
      <w:r>
        <w:rPr>
          <w:rFonts w:ascii="Arial" w:cs="Arial" w:eastAsia="Arial" w:hAnsi="Arial"/>
          <w:sz w:val="16"/>
          <w:szCs w:val="16"/>
          <w:color w:val="auto"/>
        </w:rPr>
        <w:t xml:space="preserve">On March 11, 2020, the World Health Organization declared the ongoing coronavirus (COVID-19) outbreak a pandemic and recommended containment and mitigation measures worldwide. </w:t>
      </w:r>
      <w:r>
        <w:rPr>
          <w:rFonts w:ascii="Arial" w:cs="Arial" w:eastAsia="Arial" w:hAnsi="Arial"/>
          <w:sz w:val="16"/>
          <w:szCs w:val="16"/>
          <w:color w:val="212529"/>
        </w:rPr>
        <w:t>The pandemic</w:t>
      </w:r>
      <w:r>
        <w:rPr>
          <w:rFonts w:ascii="Arial" w:cs="Arial" w:eastAsia="Arial" w:hAnsi="Arial"/>
          <w:sz w:val="16"/>
          <w:szCs w:val="16"/>
          <w:color w:val="auto"/>
        </w:rPr>
        <w:t xml:space="preserve"> has resulted in widespread adverse impacts on the global economy and on our employees, customers and suppliers. We have not experienced significant disruptions to our business operations and do not expect to experience </w:t>
      </w:r>
      <w:r>
        <w:rPr>
          <w:rFonts w:ascii="Arial" w:cs="Arial" w:eastAsia="Arial" w:hAnsi="Arial"/>
          <w:sz w:val="16"/>
          <w:szCs w:val="16"/>
          <w:color w:val="212529"/>
        </w:rPr>
        <w:t>significant disruptions</w:t>
      </w:r>
      <w:r>
        <w:rPr>
          <w:rFonts w:ascii="Arial" w:cs="Arial" w:eastAsia="Arial" w:hAnsi="Arial"/>
          <w:sz w:val="16"/>
          <w:szCs w:val="16"/>
          <w:color w:val="auto"/>
        </w:rPr>
        <w:t xml:space="preserve"> </w:t>
      </w:r>
      <w:r>
        <w:rPr>
          <w:rFonts w:ascii="Arial" w:cs="Arial" w:eastAsia="Arial" w:hAnsi="Arial"/>
          <w:sz w:val="16"/>
          <w:szCs w:val="16"/>
          <w:color w:val="212529"/>
        </w:rPr>
        <w:t>to our business operations resulting from COVID-19, primarily due to the fact that 95% of our production is sold to Westlake on a take-or-pay contract.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Force Majeure Events</w:t>
      </w:r>
    </w:p>
    <w:p>
      <w:pPr>
        <w:spacing w:after="0" w:line="23" w:lineRule="exact"/>
        <w:rPr>
          <w:sz w:val="20"/>
          <w:szCs w:val="20"/>
          <w:color w:val="auto"/>
        </w:rPr>
      </w:pPr>
    </w:p>
    <w:p>
      <w:pPr>
        <w:ind w:firstLine="405"/>
        <w:spacing w:after="0" w:line="272" w:lineRule="auto"/>
        <w:rPr>
          <w:sz w:val="20"/>
          <w:szCs w:val="20"/>
          <w:color w:val="auto"/>
        </w:rPr>
      </w:pPr>
      <w:r>
        <w:rPr>
          <w:rFonts w:ascii="Arial" w:cs="Arial" w:eastAsia="Arial" w:hAnsi="Arial"/>
          <w:sz w:val="16"/>
          <w:szCs w:val="16"/>
          <w:color w:val="auto"/>
        </w:rPr>
        <w:t>During June 2021, OpCo's Petro 1 facility experienced an outage, which resulted in a force majeure event under the Ethylene Sales Agreement. In addition, OpCo declared a force majeure in February 2021 due to the severe winter storm. As a result of these force majeure events, the Partnership updated its estimate of OpCo's 2021 anticipated production as of June 30, 2021. The buyer deficiency fee is measured based upon the lower of the actual production deficiency at period end or the estimated annual production deficiency based upon OpCo's annual anticipated production. Based upon this change in estimate of OpCo's 2021 anticipated production, the Partnership has recognized buyer deficiency fees and Shortfall of $8.7 million and $18.4 million during the three and six months ended June 30, 2021, respectively. The buyer deficiency fees and Shortfall are classified as a component of net sales.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2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524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r>
      <w:tr>
        <w:trPr>
          <w:trHeight w:val="218"/>
        </w:trPr>
        <w:tc>
          <w:tcPr>
            <w:tcW w:w="5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00" w:type="dxa"/>
            <w:vAlign w:val="bottom"/>
            <w:gridSpan w:val="5"/>
          </w:tcPr>
          <w:p>
            <w:pPr>
              <w:ind w:left="460"/>
              <w:spacing w:after="0"/>
              <w:rPr>
                <w:sz w:val="20"/>
                <w:szCs w:val="20"/>
                <w:color w:val="auto"/>
              </w:rPr>
            </w:pPr>
            <w:r>
              <w:rPr>
                <w:rFonts w:ascii="Arial" w:cs="Arial" w:eastAsia="Arial" w:hAnsi="Arial"/>
                <w:sz w:val="14"/>
                <w:szCs w:val="14"/>
                <w:b w:val="1"/>
                <w:bCs w:val="1"/>
                <w:color w:val="auto"/>
              </w:rPr>
              <w:t>(dollars in thousands)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5240" w:type="dxa"/>
            <w:vAlign w:val="bottom"/>
          </w:tcPr>
          <w:p>
            <w:pPr>
              <w:ind w:left="220"/>
              <w:spacing w:after="0"/>
              <w:rPr>
                <w:sz w:val="20"/>
                <w:szCs w:val="20"/>
                <w:color w:val="auto"/>
              </w:rPr>
            </w:pPr>
            <w:r>
              <w:rPr>
                <w:rFonts w:ascii="Arial" w:cs="Arial" w:eastAsia="Arial" w:hAnsi="Arial"/>
                <w:sz w:val="18"/>
                <w:szCs w:val="18"/>
                <w:color w:val="auto"/>
              </w:rPr>
              <w:t>Net sales—Westlake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240,956</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227,431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460,759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442,259</w:t>
            </w:r>
          </w:p>
        </w:tc>
      </w:tr>
      <w:tr>
        <w:trPr>
          <w:trHeight w:val="229"/>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co-product, ethylene and other sales—third parties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81,273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129,677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46,790</w:t>
            </w: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Total net sales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322,229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238,500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590,436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489,049</w:t>
            </w: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191,200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148,470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371,708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295,471</w:t>
            </w: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131,029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90,030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218,728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193,578</w:t>
            </w: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12,335</w:t>
            </w: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122,760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83,891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201,786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181,243</w:t>
            </w: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240" w:type="dxa"/>
            <w:vAlign w:val="bottom"/>
          </w:tcPr>
          <w:p>
            <w:pPr>
              <w:ind w:left="220"/>
              <w:spacing w:after="0"/>
              <w:rPr>
                <w:sz w:val="20"/>
                <w:szCs w:val="20"/>
                <w:color w:val="auto"/>
              </w:rPr>
            </w:pPr>
            <w:r>
              <w:rPr>
                <w:rFonts w:ascii="Arial" w:cs="Arial" w:eastAsia="Arial" w:hAnsi="Arial"/>
                <w:sz w:val="18"/>
                <w:szCs w:val="18"/>
                <w:color w:val="auto"/>
              </w:rPr>
              <w:t>Interest expense—Westlake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(2,224)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(7,381)</w:t>
            </w:r>
          </w:p>
        </w:tc>
      </w:tr>
      <w:tr>
        <w:trPr>
          <w:trHeight w:val="230"/>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net</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120,557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80,583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197,354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174,570</w:t>
            </w:r>
          </w:p>
        </w:tc>
      </w:tr>
      <w:tr>
        <w:trPr>
          <w:trHeight w:val="230"/>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provision</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120,294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80,377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196,916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174,147</w:t>
            </w:r>
          </w:p>
        </w:tc>
      </w:tr>
      <w:tr>
        <w:trPr>
          <w:trHeight w:val="230"/>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Less: Net income attributable to noncontrolling interest in OpCo</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95,195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156,671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141,540</w:t>
            </w: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Net income attributable to Westlake Chemical Partners LP</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25,099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40,245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32,607</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4"/>
        </w:trPr>
        <w:tc>
          <w:tcPr>
            <w:tcW w:w="524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MLP distributable cash flow </w:t>
            </w:r>
            <w:r>
              <w:rPr>
                <w:rFonts w:ascii="Arial" w:cs="Arial" w:eastAsia="Arial" w:hAnsi="Arial"/>
                <w:sz w:val="23"/>
                <w:szCs w:val="23"/>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35,192</w:t>
            </w:r>
          </w:p>
        </w:tc>
      </w:tr>
      <w:tr>
        <w:trPr>
          <w:trHeight w:val="229"/>
        </w:trPr>
        <w:tc>
          <w:tcPr>
            <w:tcW w:w="5240" w:type="dxa"/>
            <w:vAlign w:val="bottom"/>
          </w:tcPr>
          <w:p>
            <w:pPr>
              <w:ind w:left="20"/>
              <w:spacing w:after="0" w:line="229"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3"/>
                <w:szCs w:val="23"/>
                <w:color w:val="auto"/>
                <w:vertAlign w:val="superscript"/>
              </w:rPr>
              <w:t>(2)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151,483</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109,827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258,058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233,795</w:t>
            </w: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____________</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spacing w:after="0" w:line="310" w:lineRule="exact"/>
        <w:rPr>
          <w:sz w:val="20"/>
          <w:szCs w:val="20"/>
          <w:color w:val="auto"/>
        </w:rPr>
      </w:pPr>
    </w:p>
    <w:p>
      <w:pPr>
        <w:ind w:left="280" w:hanging="254"/>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 "Reconciliation of MLP Distributable Cash Flow to Net Income and Net Cash Provided by Operating Activities" below.</w:t>
      </w:r>
    </w:p>
    <w:p>
      <w:pPr>
        <w:spacing w:after="0" w:line="76" w:lineRule="exact"/>
        <w:rPr>
          <w:rFonts w:ascii="Arial" w:cs="Arial" w:eastAsia="Arial" w:hAnsi="Arial"/>
          <w:sz w:val="18"/>
          <w:szCs w:val="18"/>
          <w:color w:val="auto"/>
        </w:rPr>
      </w:pPr>
    </w:p>
    <w:p>
      <w:pPr>
        <w:ind w:left="280" w:hanging="254"/>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 "Reconciliation of EBITDA to Net Income, Income from Operations and Net Cash Provided by Operating Activities" below.</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31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Three Months Ended June 30, 2021</w:t>
            </w:r>
          </w:p>
        </w:tc>
        <w:tc>
          <w:tcPr>
            <w:tcW w:w="100" w:type="dxa"/>
            <w:vAlign w:val="bottom"/>
          </w:tcPr>
          <w:p>
            <w:pPr>
              <w:spacing w:after="0"/>
              <w:rPr>
                <w:sz w:val="16"/>
                <w:szCs w:val="16"/>
                <w:color w:val="auto"/>
              </w:rPr>
            </w:pPr>
          </w:p>
        </w:tc>
        <w:tc>
          <w:tcPr>
            <w:tcW w:w="3140" w:type="dxa"/>
            <w:vAlign w:val="bottom"/>
            <w:tcBorders>
              <w:bottom w:val="single" w:sz="8" w:color="auto"/>
            </w:tcBorders>
            <w:gridSpan w:val="3"/>
          </w:tcPr>
          <w:p>
            <w:pPr>
              <w:jc w:val="right"/>
              <w:ind w:right="476"/>
              <w:spacing w:after="0"/>
              <w:rPr>
                <w:sz w:val="20"/>
                <w:szCs w:val="20"/>
                <w:color w:val="auto"/>
              </w:rPr>
            </w:pPr>
            <w:r>
              <w:rPr>
                <w:rFonts w:ascii="Arial" w:cs="Arial" w:eastAsia="Arial" w:hAnsi="Arial"/>
                <w:sz w:val="14"/>
                <w:szCs w:val="14"/>
                <w:b w:val="1"/>
                <w:bCs w:val="1"/>
                <w:color w:val="auto"/>
              </w:rPr>
              <w:t>Six Months Ended June 30, 2021</w:t>
            </w:r>
          </w:p>
        </w:tc>
        <w:tc>
          <w:tcPr>
            <w:tcW w:w="0" w:type="dxa"/>
            <w:vAlign w:val="bottom"/>
          </w:tcPr>
          <w:p>
            <w:pPr>
              <w:spacing w:after="0"/>
              <w:rPr>
                <w:sz w:val="1"/>
                <w:szCs w:val="1"/>
                <w:color w:val="auto"/>
              </w:rPr>
            </w:pPr>
          </w:p>
        </w:tc>
      </w:tr>
      <w:tr>
        <w:trPr>
          <w:trHeight w:val="134"/>
        </w:trPr>
        <w:tc>
          <w:tcPr>
            <w:tcW w:w="4860" w:type="dxa"/>
            <w:vAlign w:val="bottom"/>
          </w:tcPr>
          <w:p>
            <w:pPr>
              <w:spacing w:after="0"/>
              <w:rPr>
                <w:sz w:val="11"/>
                <w:szCs w:val="11"/>
                <w:color w:val="auto"/>
              </w:rPr>
            </w:pPr>
          </w:p>
        </w:tc>
        <w:tc>
          <w:tcPr>
            <w:tcW w:w="16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Average</w:t>
            </w:r>
          </w:p>
        </w:tc>
        <w:tc>
          <w:tcPr>
            <w:tcW w:w="160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Volume</w:t>
            </w:r>
          </w:p>
        </w:tc>
        <w:tc>
          <w:tcPr>
            <w:tcW w:w="16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Average</w:t>
            </w:r>
          </w:p>
        </w:tc>
        <w:tc>
          <w:tcPr>
            <w:tcW w:w="150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Volume</w:t>
            </w:r>
          </w:p>
        </w:tc>
        <w:tc>
          <w:tcPr>
            <w:tcW w:w="0" w:type="dxa"/>
            <w:vAlign w:val="bottom"/>
          </w:tcPr>
          <w:p>
            <w:pPr>
              <w:spacing w:after="0"/>
              <w:rPr>
                <w:sz w:val="1"/>
                <w:szCs w:val="1"/>
                <w:color w:val="auto"/>
              </w:rPr>
            </w:pPr>
          </w:p>
        </w:tc>
      </w:tr>
      <w:tr>
        <w:trPr>
          <w:trHeight w:val="188"/>
        </w:trPr>
        <w:tc>
          <w:tcPr>
            <w:tcW w:w="4860" w:type="dxa"/>
            <w:vAlign w:val="bottom"/>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Sales Price</w:t>
            </w:r>
          </w:p>
        </w:tc>
        <w:tc>
          <w:tcPr>
            <w:tcW w:w="1600" w:type="dxa"/>
            <w:vAlign w:val="bottom"/>
            <w:gridSpan w:val="2"/>
            <w:vMerge w:val="continue"/>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Sales Price</w:t>
            </w: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4860" w:type="dxa"/>
            <w:vAlign w:val="bottom"/>
            <w:tcBorders>
              <w:top w:val="single" w:sz="8" w:color="CCEEFF"/>
            </w:tcBorders>
            <w:shd w:val="clear" w:color="auto" w:fill="CCEEFF"/>
          </w:tcPr>
          <w:p>
            <w:pPr>
              <w:ind w:left="20"/>
              <w:spacing w:after="0" w:line="157" w:lineRule="exact"/>
              <w:rPr>
                <w:sz w:val="20"/>
                <w:szCs w:val="20"/>
                <w:color w:val="auto"/>
              </w:rPr>
            </w:pPr>
            <w:r>
              <w:rPr>
                <w:rFonts w:ascii="Arial" w:cs="Arial" w:eastAsia="Arial" w:hAnsi="Arial"/>
                <w:sz w:val="18"/>
                <w:szCs w:val="18"/>
                <w:color w:val="auto"/>
                <w:w w:val="95"/>
              </w:rPr>
              <w:t>Product sales prices and volume percentage change from prior-</w:t>
            </w:r>
          </w:p>
        </w:tc>
        <w:tc>
          <w:tcPr>
            <w:tcW w:w="15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+30.5 %</w:t>
            </w:r>
          </w:p>
        </w:tc>
        <w:tc>
          <w:tcPr>
            <w:tcW w:w="100" w:type="dxa"/>
            <w:vAlign w:val="bottom"/>
            <w:tcBorders>
              <w:top w:val="single" w:sz="8" w:color="CCEEFF"/>
            </w:tcBorders>
            <w:shd w:val="clear" w:color="auto" w:fill="CCEEFF"/>
          </w:tcPr>
          <w:p>
            <w:pPr>
              <w:spacing w:after="0"/>
              <w:rPr>
                <w:sz w:val="13"/>
                <w:szCs w:val="13"/>
                <w:color w:val="auto"/>
              </w:rPr>
            </w:pPr>
          </w:p>
        </w:tc>
        <w:tc>
          <w:tcPr>
            <w:tcW w:w="15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Borders>
              <w:top w:val="single" w:sz="8" w:color="CCEEFF"/>
            </w:tcBorders>
            <w:shd w:val="clear" w:color="auto" w:fill="CCEEFF"/>
          </w:tcPr>
          <w:p>
            <w:pPr>
              <w:spacing w:after="0"/>
              <w:rPr>
                <w:sz w:val="13"/>
                <w:szCs w:val="13"/>
                <w:color w:val="auto"/>
              </w:rPr>
            </w:pPr>
          </w:p>
        </w:tc>
        <w:tc>
          <w:tcPr>
            <w:tcW w:w="15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+25.4 %</w:t>
            </w:r>
          </w:p>
        </w:tc>
        <w:tc>
          <w:tcPr>
            <w:tcW w:w="100" w:type="dxa"/>
            <w:vAlign w:val="bottom"/>
            <w:tcBorders>
              <w:top w:val="single" w:sz="8" w:color="CCEEFF"/>
            </w:tcBorders>
            <w:shd w:val="clear" w:color="auto" w:fill="CCEEFF"/>
          </w:tcPr>
          <w:p>
            <w:pPr>
              <w:spacing w:after="0"/>
              <w:rPr>
                <w:sz w:val="13"/>
                <w:szCs w:val="13"/>
                <w:color w:val="auto"/>
              </w:rPr>
            </w:pPr>
          </w:p>
        </w:tc>
        <w:tc>
          <w:tcPr>
            <w:tcW w:w="15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year period</w:t>
            </w:r>
          </w:p>
        </w:tc>
        <w:tc>
          <w:tcPr>
            <w:tcW w:w="15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40"/>
        </w:trPr>
        <w:tc>
          <w:tcPr>
            <w:tcW w:w="4860" w:type="dxa"/>
            <w:vAlign w:val="bottom"/>
          </w:tcPr>
          <w:p>
            <w:pPr>
              <w:spacing w:after="0"/>
              <w:rPr>
                <w:sz w:val="24"/>
                <w:szCs w:val="24"/>
                <w:color w:val="auto"/>
              </w:rPr>
            </w:pPr>
          </w:p>
        </w:tc>
        <w:tc>
          <w:tcPr>
            <w:tcW w:w="32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Three Months Ended June 30,</w:t>
            </w:r>
          </w:p>
        </w:tc>
        <w:tc>
          <w:tcPr>
            <w:tcW w:w="3140" w:type="dxa"/>
            <w:vAlign w:val="bottom"/>
            <w:gridSpan w:val="3"/>
          </w:tcPr>
          <w:p>
            <w:pPr>
              <w:jc w:val="right"/>
              <w:ind w:right="636"/>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7"/>
        </w:trPr>
        <w:tc>
          <w:tcPr>
            <w:tcW w:w="4860" w:type="dxa"/>
            <w:vAlign w:val="bottom"/>
            <w:tcBorders>
              <w:bottom w:val="single" w:sz="8" w:color="CCEEFF"/>
            </w:tcBorders>
          </w:tcPr>
          <w:p>
            <w:pPr>
              <w:spacing w:after="0"/>
              <w:rPr>
                <w:sz w:val="16"/>
                <w:szCs w:val="16"/>
                <w:color w:val="auto"/>
              </w:rPr>
            </w:pPr>
          </w:p>
        </w:tc>
        <w:tc>
          <w:tcPr>
            <w:tcW w:w="15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top w:val="single" w:sz="8" w:color="auto"/>
              <w:bottom w:val="single" w:sz="8" w:color="CCEEFF"/>
            </w:tcBorders>
          </w:tcPr>
          <w:p>
            <w:pPr>
              <w:spacing w:after="0"/>
              <w:rPr>
                <w:sz w:val="16"/>
                <w:szCs w:val="16"/>
                <w:color w:val="auto"/>
              </w:rPr>
            </w:pPr>
          </w:p>
        </w:tc>
        <w:tc>
          <w:tcPr>
            <w:tcW w:w="150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5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top w:val="single" w:sz="8" w:color="auto"/>
              <w:bottom w:val="single" w:sz="8" w:color="CCEEFF"/>
            </w:tcBorders>
          </w:tcPr>
          <w:p>
            <w:pPr>
              <w:spacing w:after="0"/>
              <w:rPr>
                <w:sz w:val="16"/>
                <w:szCs w:val="16"/>
                <w:color w:val="auto"/>
              </w:rPr>
            </w:pPr>
          </w:p>
        </w:tc>
        <w:tc>
          <w:tcPr>
            <w:tcW w:w="150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4860" w:type="dxa"/>
            <w:vAlign w:val="bottom"/>
            <w:shd w:val="clear" w:color="auto" w:fill="CCEEFF"/>
          </w:tcPr>
          <w:p>
            <w:pPr>
              <w:ind w:left="20"/>
              <w:spacing w:after="0" w:line="211" w:lineRule="exact"/>
              <w:rPr>
                <w:sz w:val="20"/>
                <w:szCs w:val="20"/>
                <w:color w:val="auto"/>
              </w:rPr>
            </w:pPr>
            <w:r>
              <w:rPr>
                <w:rFonts w:ascii="Arial" w:cs="Arial" w:eastAsia="Arial" w:hAnsi="Arial"/>
                <w:sz w:val="18"/>
                <w:szCs w:val="18"/>
                <w:b w:val="1"/>
                <w:bCs w:val="1"/>
                <w:color w:val="auto"/>
              </w:rPr>
              <w:t xml:space="preserve">Average industry prices </w:t>
            </w:r>
            <w:r>
              <w:rPr>
                <w:rFonts w:ascii="Arial" w:cs="Arial" w:eastAsia="Arial" w:hAnsi="Arial"/>
                <w:sz w:val="23"/>
                <w:szCs w:val="23"/>
                <w:b w:val="1"/>
                <w:bCs w:val="1"/>
                <w:color w:val="auto"/>
                <w:vertAlign w:val="superscript"/>
              </w:rPr>
              <w:t>(1)</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Ethane (cents/lb)</w:t>
            </w:r>
          </w:p>
        </w:tc>
        <w:tc>
          <w:tcPr>
            <w:tcW w:w="1540" w:type="dxa"/>
            <w:vAlign w:val="bottom"/>
          </w:tcPr>
          <w:p>
            <w:pPr>
              <w:jc w:val="right"/>
              <w:ind w:right="14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1500" w:type="dxa"/>
            <w:vAlign w:val="bottom"/>
          </w:tcPr>
          <w:p>
            <w:pPr>
              <w:jc w:val="right"/>
              <w:ind w:right="136"/>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1540" w:type="dxa"/>
            <w:vAlign w:val="bottom"/>
          </w:tcPr>
          <w:p>
            <w:pPr>
              <w:jc w:val="right"/>
              <w:ind w:right="14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1500" w:type="dxa"/>
            <w:vAlign w:val="bottom"/>
          </w:tcPr>
          <w:p>
            <w:pPr>
              <w:jc w:val="right"/>
              <w:ind w:right="136"/>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Propane (cents/lb)</w:t>
            </w:r>
          </w:p>
        </w:tc>
        <w:tc>
          <w:tcPr>
            <w:tcW w:w="1540" w:type="dxa"/>
            <w:vAlign w:val="bottom"/>
            <w:shd w:val="clear" w:color="auto" w:fill="CCEEFF"/>
          </w:tcPr>
          <w:p>
            <w:pPr>
              <w:jc w:val="right"/>
              <w:ind w:right="140"/>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40"/>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312"/>
        </w:trPr>
        <w:tc>
          <w:tcPr>
            <w:tcW w:w="4860" w:type="dxa"/>
            <w:vAlign w:val="bottom"/>
          </w:tcPr>
          <w:p>
            <w:pPr>
              <w:ind w:left="20"/>
              <w:spacing w:after="0"/>
              <w:rPr>
                <w:sz w:val="20"/>
                <w:szCs w:val="20"/>
                <w:color w:val="auto"/>
              </w:rPr>
            </w:pPr>
            <w:r>
              <w:rPr>
                <w:rFonts w:ascii="Arial" w:cs="Arial" w:eastAsia="Arial" w:hAnsi="Arial"/>
                <w:sz w:val="18"/>
                <w:szCs w:val="18"/>
                <w:color w:val="auto"/>
              </w:rPr>
              <w:t xml:space="preserve">Ethylene (cents/lb) </w:t>
            </w:r>
            <w:r>
              <w:rPr>
                <w:rFonts w:ascii="Arial" w:cs="Arial" w:eastAsia="Arial" w:hAnsi="Arial"/>
                <w:sz w:val="23"/>
                <w:szCs w:val="23"/>
                <w:color w:val="auto"/>
                <w:vertAlign w:val="superscript"/>
              </w:rPr>
              <w:t>(2)</w:t>
            </w:r>
          </w:p>
        </w:tc>
        <w:tc>
          <w:tcPr>
            <w:tcW w:w="1540" w:type="dxa"/>
            <w:vAlign w:val="bottom"/>
          </w:tcPr>
          <w:p>
            <w:pPr>
              <w:jc w:val="right"/>
              <w:ind w:right="140"/>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4"/>
                <w:szCs w:val="24"/>
                <w:color w:val="auto"/>
              </w:rPr>
            </w:pPr>
          </w:p>
        </w:tc>
        <w:tc>
          <w:tcPr>
            <w:tcW w:w="1500" w:type="dxa"/>
            <w:vAlign w:val="bottom"/>
          </w:tcPr>
          <w:p>
            <w:pPr>
              <w:jc w:val="right"/>
              <w:ind w:right="136"/>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4"/>
                <w:szCs w:val="24"/>
                <w:color w:val="auto"/>
              </w:rPr>
            </w:pPr>
          </w:p>
        </w:tc>
        <w:tc>
          <w:tcPr>
            <w:tcW w:w="1540" w:type="dxa"/>
            <w:vAlign w:val="bottom"/>
          </w:tcPr>
          <w:p>
            <w:pPr>
              <w:jc w:val="right"/>
              <w:ind w:right="140"/>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4"/>
                <w:szCs w:val="24"/>
                <w:color w:val="auto"/>
              </w:rPr>
            </w:pPr>
          </w:p>
        </w:tc>
        <w:tc>
          <w:tcPr>
            <w:tcW w:w="1500" w:type="dxa"/>
            <w:vAlign w:val="bottom"/>
          </w:tcPr>
          <w:p>
            <w:pPr>
              <w:jc w:val="right"/>
              <w:ind w:right="136"/>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w:t>
      </w:r>
    </w:p>
    <w:p>
      <w:pPr>
        <w:spacing w:after="0" w:line="61" w:lineRule="exact"/>
        <w:rPr>
          <w:sz w:val="20"/>
          <w:szCs w:val="20"/>
          <w:color w:val="auto"/>
        </w:rPr>
      </w:pPr>
    </w:p>
    <w:p>
      <w:pPr>
        <w:ind w:left="480" w:hanging="472"/>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Industry pricing data was obtained through IHS Markit ("IHS"). We have not independently verified the data.</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average North American spot prices of ethylene over the period as reported by IHS.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MLP Distributable Cash Flow to Net Income and Net Cash Provided by Operating Activities</w:t>
      </w:r>
    </w:p>
    <w:p>
      <w:pPr>
        <w:spacing w:after="0" w:line="94"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The following table presents reconciliations of MLP distributable cash flow to net income and net cash provided by operating activities, the most directly comparable GAAP financial measures, for each of the periods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2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7"/>
        </w:trPr>
        <w:tc>
          <w:tcPr>
            <w:tcW w:w="524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8"/>
        </w:trPr>
        <w:tc>
          <w:tcPr>
            <w:tcW w:w="5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00" w:type="dxa"/>
            <w:vAlign w:val="bottom"/>
            <w:gridSpan w:val="5"/>
          </w:tcPr>
          <w:p>
            <w:pPr>
              <w:ind w:left="460"/>
              <w:spacing w:after="0"/>
              <w:rPr>
                <w:sz w:val="20"/>
                <w:szCs w:val="20"/>
                <w:color w:val="auto"/>
              </w:rPr>
            </w:pPr>
            <w:r>
              <w:rPr>
                <w:rFonts w:ascii="Arial" w:cs="Arial" w:eastAsia="Arial" w:hAnsi="Arial"/>
                <w:sz w:val="14"/>
                <w:szCs w:val="14"/>
                <w:b w:val="1"/>
                <w:bCs w:val="1"/>
                <w:color w:val="auto"/>
              </w:rPr>
              <w:t>(dollars in thousands)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131,710</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112,758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287,118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223,719</w:t>
            </w:r>
          </w:p>
        </w:tc>
        <w:tc>
          <w:tcPr>
            <w:tcW w:w="0" w:type="dxa"/>
            <w:vAlign w:val="bottom"/>
          </w:tcPr>
          <w:p>
            <w:pPr>
              <w:spacing w:after="0"/>
              <w:rPr>
                <w:sz w:val="1"/>
                <w:szCs w:val="1"/>
                <w:color w:val="auto"/>
              </w:rPr>
            </w:pPr>
          </w:p>
        </w:tc>
      </w:tr>
      <w:tr>
        <w:trPr>
          <w:trHeight w:val="229"/>
        </w:trPr>
        <w:tc>
          <w:tcPr>
            <w:tcW w:w="5240" w:type="dxa"/>
            <w:vAlign w:val="bottom"/>
          </w:tcPr>
          <w:p>
            <w:pPr>
              <w:ind w:left="360"/>
              <w:spacing w:after="0"/>
              <w:rPr>
                <w:sz w:val="20"/>
                <w:szCs w:val="20"/>
                <w:color w:val="auto"/>
              </w:rPr>
            </w:pPr>
            <w:r>
              <w:rPr>
                <w:rFonts w:ascii="Arial" w:cs="Arial" w:eastAsia="Arial" w:hAnsi="Arial"/>
                <w:sz w:val="18"/>
                <w:szCs w:val="18"/>
                <w:color w:val="auto"/>
              </w:rPr>
              <w:t>Loss from disposition of fixed assets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 and other</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(49,126)</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120,294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80,377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174,147</w:t>
            </w: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240" w:type="dxa"/>
            <w:vAlign w:val="bottom"/>
          </w:tcPr>
          <w:p>
            <w:pPr>
              <w:ind w:left="360"/>
              <w:spacing w:after="0" w:line="176" w:lineRule="exact"/>
              <w:rPr>
                <w:sz w:val="20"/>
                <w:szCs w:val="20"/>
                <w:color w:val="auto"/>
              </w:rPr>
            </w:pPr>
            <w:r>
              <w:rPr>
                <w:rFonts w:ascii="Arial" w:cs="Arial" w:eastAsia="Arial" w:hAnsi="Arial"/>
                <w:sz w:val="18"/>
                <w:szCs w:val="18"/>
                <w:color w:val="auto"/>
                <w:w w:val="95"/>
              </w:rPr>
              <w:t>Depreciation, amortization and disposition of property, plant and</w:t>
            </w:r>
          </w:p>
        </w:tc>
        <w:tc>
          <w:tcPr>
            <w:tcW w:w="3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28,734</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26,164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57,632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52,291</w:t>
            </w:r>
          </w:p>
        </w:tc>
        <w:tc>
          <w:tcPr>
            <w:tcW w:w="0" w:type="dxa"/>
            <w:vAlign w:val="bottom"/>
          </w:tcPr>
          <w:p>
            <w:pPr>
              <w:spacing w:after="0"/>
              <w:rPr>
                <w:sz w:val="1"/>
                <w:szCs w:val="1"/>
                <w:color w:val="auto"/>
              </w:rPr>
            </w:pPr>
          </w:p>
        </w:tc>
      </w:tr>
      <w:tr>
        <w:trPr>
          <w:trHeight w:val="230"/>
        </w:trPr>
        <w:tc>
          <w:tcPr>
            <w:tcW w:w="5240" w:type="dxa"/>
            <w:vAlign w:val="bottom"/>
          </w:tcPr>
          <w:p>
            <w:pPr>
              <w:ind w:left="520"/>
              <w:spacing w:after="0"/>
              <w:rPr>
                <w:sz w:val="20"/>
                <w:szCs w:val="20"/>
                <w:color w:val="auto"/>
              </w:rPr>
            </w:pPr>
            <w:r>
              <w:rPr>
                <w:rFonts w:ascii="Arial" w:cs="Arial" w:eastAsia="Arial" w:hAnsi="Arial"/>
                <w:sz w:val="18"/>
                <w:szCs w:val="18"/>
                <w:color w:val="auto"/>
              </w:rPr>
              <w:t>equipment</w:t>
            </w:r>
          </w:p>
        </w:tc>
        <w:tc>
          <w:tcPr>
            <w:tcW w:w="3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Mark-to-market adjustment loss (gain) on derivative contracts</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Less: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Contribution to turnaround reserves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(19,807)</w:t>
            </w:r>
          </w:p>
        </w:tc>
        <w:tc>
          <w:tcPr>
            <w:tcW w:w="0" w:type="dxa"/>
            <w:vAlign w:val="bottom"/>
          </w:tcPr>
          <w:p>
            <w:pPr>
              <w:spacing w:after="0"/>
              <w:rPr>
                <w:sz w:val="1"/>
                <w:szCs w:val="1"/>
                <w:color w:val="auto"/>
              </w:rPr>
            </w:pPr>
          </w:p>
        </w:tc>
      </w:tr>
      <w:tr>
        <w:trPr>
          <w:trHeight w:val="229"/>
        </w:trPr>
        <w:tc>
          <w:tcPr>
            <w:tcW w:w="5240" w:type="dxa"/>
            <w:vAlign w:val="bottom"/>
          </w:tcPr>
          <w:p>
            <w:pPr>
              <w:ind w:left="360"/>
              <w:spacing w:after="0"/>
              <w:rPr>
                <w:sz w:val="20"/>
                <w:szCs w:val="20"/>
                <w:color w:val="auto"/>
              </w:rPr>
            </w:pPr>
            <w:r>
              <w:rPr>
                <w:rFonts w:ascii="Arial" w:cs="Arial" w:eastAsia="Arial" w:hAnsi="Arial"/>
                <w:sz w:val="18"/>
                <w:szCs w:val="18"/>
                <w:color w:val="auto"/>
              </w:rPr>
              <w:t>Maintenance capital expenditures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(14,344)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(26,087)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(19,349)</w:t>
            </w:r>
          </w:p>
        </w:tc>
        <w:tc>
          <w:tcPr>
            <w:tcW w:w="0" w:type="dxa"/>
            <w:vAlign w:val="bottom"/>
          </w:tcPr>
          <w:p>
            <w:pPr>
              <w:spacing w:after="0"/>
              <w:rPr>
                <w:sz w:val="1"/>
                <w:szCs w:val="1"/>
                <w:color w:val="auto"/>
              </w:rPr>
            </w:pPr>
          </w:p>
        </w:tc>
      </w:tr>
      <w:tr>
        <w:trPr>
          <w:trHeight w:val="176"/>
        </w:trPr>
        <w:tc>
          <w:tcPr>
            <w:tcW w:w="52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8"/>
              </w:rPr>
              <w:t>Distributable cash flow attributable to noncontrolling interest in</w:t>
            </w:r>
          </w:p>
        </w:tc>
        <w:tc>
          <w:tcPr>
            <w:tcW w:w="3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(96,683)</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(72,278)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(161,883)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(150,303)</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OpCo</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MLP distributable cash flow</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25,538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16,855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41,783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35,192</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EBITDA to Net Income, Income from Operations and Net Cash Provided by Operating Activities</w:t>
      </w:r>
    </w:p>
    <w:p>
      <w:pPr>
        <w:spacing w:after="0" w:line="108"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The following table presents reconciliations of EBITDA to net income, income from operations and net cash provided by operating activities, the most directly comparable GAAP financial measures, for each of the periods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2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524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r>
      <w:tr>
        <w:trPr>
          <w:trHeight w:val="218"/>
        </w:trPr>
        <w:tc>
          <w:tcPr>
            <w:tcW w:w="5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00" w:type="dxa"/>
            <w:vAlign w:val="bottom"/>
            <w:gridSpan w:val="5"/>
          </w:tcPr>
          <w:p>
            <w:pPr>
              <w:ind w:left="460"/>
              <w:spacing w:after="0"/>
              <w:rPr>
                <w:sz w:val="20"/>
                <w:szCs w:val="20"/>
                <w:color w:val="auto"/>
              </w:rPr>
            </w:pPr>
            <w:r>
              <w:rPr>
                <w:rFonts w:ascii="Arial" w:cs="Arial" w:eastAsia="Arial" w:hAnsi="Arial"/>
                <w:sz w:val="14"/>
                <w:szCs w:val="14"/>
                <w:b w:val="1"/>
                <w:bCs w:val="1"/>
                <w:color w:val="auto"/>
              </w:rPr>
              <w:t>(dollars in thousands)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5"/>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131,710</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112,758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287,118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223,719</w:t>
            </w:r>
          </w:p>
        </w:tc>
      </w:tr>
      <w:tr>
        <w:trPr>
          <w:trHeight w:val="230"/>
        </w:trPr>
        <w:tc>
          <w:tcPr>
            <w:tcW w:w="5240" w:type="dxa"/>
            <w:vAlign w:val="bottom"/>
          </w:tcPr>
          <w:p>
            <w:pPr>
              <w:ind w:left="360"/>
              <w:spacing w:after="0"/>
              <w:rPr>
                <w:sz w:val="20"/>
                <w:szCs w:val="20"/>
                <w:color w:val="auto"/>
              </w:rPr>
            </w:pPr>
            <w:r>
              <w:rPr>
                <w:rFonts w:ascii="Arial" w:cs="Arial" w:eastAsia="Arial" w:hAnsi="Arial"/>
                <w:sz w:val="18"/>
                <w:szCs w:val="18"/>
                <w:color w:val="auto"/>
              </w:rPr>
              <w:t>Loss from disposition of fixed assets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(446)</w:t>
            </w:r>
          </w:p>
        </w:tc>
      </w:tr>
      <w:tr>
        <w:trPr>
          <w:trHeight w:val="230"/>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 and other</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(49,126)</w:t>
            </w:r>
          </w:p>
        </w:tc>
      </w:tr>
      <w:tr>
        <w:trPr>
          <w:trHeight w:val="223"/>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120,294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80,377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174,147</w:t>
            </w:r>
          </w:p>
        </w:tc>
      </w:tr>
      <w:tr>
        <w:trPr>
          <w:trHeight w:val="20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5240" w:type="dxa"/>
            <w:vAlign w:val="bottom"/>
          </w:tcPr>
          <w:p>
            <w:pPr>
              <w:ind w:left="360"/>
              <w:spacing w:after="0"/>
              <w:rPr>
                <w:sz w:val="20"/>
                <w:szCs w:val="20"/>
                <w:color w:val="auto"/>
              </w:rPr>
            </w:pPr>
            <w:r>
              <w:rPr>
                <w:rFonts w:ascii="Arial" w:cs="Arial" w:eastAsia="Arial" w:hAnsi="Arial"/>
                <w:sz w:val="18"/>
                <w:szCs w:val="18"/>
                <w:color w:val="auto"/>
              </w:rPr>
              <w:t>Other income, net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708</w:t>
            </w:r>
          </w:p>
        </w:tc>
      </w:tr>
      <w:tr>
        <w:trPr>
          <w:trHeight w:val="230"/>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(7,381)</w:t>
            </w:r>
          </w:p>
        </w:tc>
      </w:tr>
      <w:tr>
        <w:trPr>
          <w:trHeight w:val="230"/>
        </w:trPr>
        <w:tc>
          <w:tcPr>
            <w:tcW w:w="5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122,760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83,891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181,243</w:t>
            </w:r>
          </w:p>
        </w:tc>
      </w:tr>
      <w:tr>
        <w:trPr>
          <w:trHeight w:val="210"/>
        </w:trPr>
        <w:tc>
          <w:tcPr>
            <w:tcW w:w="5240" w:type="dxa"/>
            <w:vAlign w:val="bottom"/>
          </w:tcPr>
          <w:p>
            <w:pPr>
              <w:ind w:left="20"/>
              <w:spacing w:after="0"/>
              <w:rPr>
                <w:sz w:val="20"/>
                <w:szCs w:val="20"/>
                <w:color w:val="auto"/>
              </w:rPr>
            </w:pPr>
            <w:r>
              <w:rPr>
                <w:rFonts w:ascii="Arial" w:cs="Arial" w:eastAsia="Arial" w:hAnsi="Arial"/>
                <w:sz w:val="18"/>
                <w:szCs w:val="18"/>
                <w:color w:val="auto"/>
              </w:rPr>
              <w:t>Add:</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51,844</w:t>
            </w:r>
          </w:p>
        </w:tc>
      </w:tr>
      <w:tr>
        <w:trPr>
          <w:trHeight w:val="230"/>
        </w:trPr>
        <w:tc>
          <w:tcPr>
            <w:tcW w:w="5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income, net</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w:t>
            </w: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151,483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258,058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233,795</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825"/>
        </w:trPr>
        <w:tc>
          <w:tcPr>
            <w:tcW w:w="5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ind w:right="833"/>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104"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color w:val="auto"/>
        </w:rPr>
        <w:t>For the quarter ended June 30, 2021, net income was $120.3 million on net sales of $322.2 million. This represents an increase in net income of $39.9 million as compared to net income of $80.4 million on net sales of $238.5 million for the quarter ended June 30, 2020. Net income attributable to the Partnership for the second quarter of 2021 was $25.1 million as compared to $14.9 million for the second quarter of 2020, an increase of $10.2 million. Net income and net income attributable to the Partnership for the second quarter of 2021 as compared to the second quarter of 2020 were higher primarily due to increased sales prices and volumes to third parties and the buyer deficiency fee and Shortfall totaling $8.7 million per the terms of the Ethylene Sales Agreement with Westlake in the second quarter of 2021 due to the force majeure event in June 2021, partially offset by increased ethane feedstock and natural gas costs. Net sales for the second quarter of 2021 increased by $83.7 million as compared to net sales for the second quarter of 2020, mainly due to higher sales prices and volumes to third parties and higher sales price to Westlake per the terms of the Ethylene Sales Agreement, as well as the buyer deficiency fee and Shortfall during the second quarter of 2021. Income from operations was $122.8 million for the second quarter of 2021 as compared to $83.9 million for the second quarter of 2020. Income from operations for the second quarter of 2021 increased mainly as a result of increased sales prices and volumes to third parties and the buyer deficiency fee and Shortfall recognized during the period, partially offset by increased ethane feedstock costs, natural gas costs and selling general and administrative expenses, as compared to the second quarter of 2020.</w:t>
      </w:r>
    </w:p>
    <w:p>
      <w:pPr>
        <w:spacing w:after="0" w:line="33"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For the six months ended June 30, 2021, net income was $196.9 million on net sales of $590.4 million. This represents an increase in net income of $22.8 million as compared to net income of $174.1 million on net sales of $489.0 million for the six months ended June 30, 2020. Net income attributable to the Partnership for the six months ended June 30, 2021 was $40.2 million as compared to $32.6 million for the six months ended June 30, 2020, an increase of $7.6 million. Net income and net income attributable to the Partnership for the six months ended June 30, 2021 as compared to the six months ended June 30, 2020 were higher primarily due to higher sales prices to Westlake per the terms of the Ethylene Sales Agreement, higher prices and volumes to third parties and the buyer deficiency fee and Shortfall totaling $18.4 million recognized during the period, partially offset by increased ethane feedstock and natural gas costs as well lower sales volumes to Westlake. Net sales for the six months ended June 30, 2021 increased by $101.4 million as compared to net sales for the six months ended June 30, 2020, mainly due to higher sales prices and volumes to third parties and higher sales price to Westlake per the terms of the Ethylene Sales Agreement, as well as the buyer deficiency fee and Shortfall recognized during the six months ended June 30, 2021, partially offset by lower sales volumes to Westlake during the six months ended June 30, 2021. Income from operations was $201.8 million for the six months ended June 30, 2021 as compared to $181.2 million for the six months ended June 30, 2020. Income from operations for the six months ended June 30, 2021 increased mainly as a result of increased sales prices and volumes for ethylene to third parties and the buyer deficiency fee and Shortfall recognized during the period, partially offset by increased ethane feedstock costs, natural gas costs and selling general and administrative expenses as well lower sales volumes to Westlake as compared to the six months ended June 30,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Quarter 2021 Compared with Second Quarter 2020</w:t>
      </w:r>
    </w:p>
    <w:p>
      <w:pPr>
        <w:spacing w:after="0" w:line="90"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Total net sales increased by $83.7 million, or 35.1%, to $322.2 million in the second quarter of 2021 from $238.5 million in the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2020. The increase in net sales in the second quarter of 2021 was primarily due to higher sales prices and volumes to third parties and higher sales price to Westlake per the terms of the Ethylene Sales Agreement and the buyer deficiency fee and Shortfall recognized during the period. The average sales price in the second quarter of 2021 contributed to a 30.5% increase in net sales, primarily due to higher ethylene sales prices to third parties and Westlake per the terms of the Ethylene Sales Agreement.</w:t>
      </w:r>
    </w:p>
    <w:p>
      <w:pPr>
        <w:spacing w:after="0" w:line="134" w:lineRule="exact"/>
        <w:rPr>
          <w:sz w:val="20"/>
          <w:szCs w:val="20"/>
          <w:color w:val="auto"/>
        </w:rPr>
      </w:pPr>
    </w:p>
    <w:p>
      <w:pPr>
        <w:ind w:right="100" w:firstLine="405"/>
        <w:spacing w:after="0" w:line="279" w:lineRule="auto"/>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Gross profit increased to $131.0 million for the second quarter of 2021 from $90.0 million for the second quarter of 2020. The gross</w:t>
      </w:r>
      <w:r>
        <w:rPr>
          <w:rFonts w:ascii="Arial" w:cs="Arial" w:eastAsia="Arial" w:hAnsi="Arial"/>
          <w:sz w:val="17"/>
          <w:szCs w:val="17"/>
          <w:i w:val="1"/>
          <w:iCs w:val="1"/>
          <w:color w:val="auto"/>
        </w:rPr>
        <w:t xml:space="preserve"> </w:t>
      </w:r>
      <w:r>
        <w:rPr>
          <w:rFonts w:ascii="Arial" w:cs="Arial" w:eastAsia="Arial" w:hAnsi="Arial"/>
          <w:sz w:val="17"/>
          <w:szCs w:val="17"/>
          <w:color w:val="auto"/>
        </w:rPr>
        <w:t>profit margin in the second quarter of 2021 was 40.7%, as compared to 37.7% for the second quarter of 2020. The second quarter 2021 gross profit margin was higher mainly due to higher prices and volumes for ethylene sold to third parties and the buyer deficiency fee and Shortfall recognized during the period, partially offset by higher ethane feedstock and natural gas costs in the second quarter of 2021.</w:t>
      </w:r>
    </w:p>
    <w:p>
      <w:pPr>
        <w:spacing w:after="0" w:line="117"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increased by $2.2 million, or 36.1%, to $8.3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second quarter of 2021 as compared to $6.1 million in the second quarter of 2020. The increase in the second quarter of 2021 was mainly attributable to increased service costs and allowance for doubtful accounts as compared to the second quarter of 2020.</w:t>
      </w:r>
    </w:p>
    <w:p>
      <w:pPr>
        <w:spacing w:after="0" w:line="130"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decreased by $1.2 million to $2.2 million in the second quarter of 2021 from $3.4 million in the second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2020, largely due to a lower average interest rate on debt.</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280" w:firstLine="405"/>
        <w:spacing w:after="0" w:line="263" w:lineRule="auto"/>
        <w:rPr>
          <w:sz w:val="20"/>
          <w:szCs w:val="20"/>
          <w:color w:val="auto"/>
        </w:rPr>
      </w:pPr>
      <w:r>
        <w:rPr>
          <w:rFonts w:ascii="Arial" w:cs="Arial" w:eastAsia="Arial" w:hAnsi="Arial"/>
          <w:sz w:val="18"/>
          <w:szCs w:val="18"/>
          <w:i w:val="1"/>
          <w:iCs w:val="1"/>
          <w:color w:val="auto"/>
        </w:rPr>
        <w:t xml:space="preserve">MLP Distributable Cash Flow. </w:t>
      </w:r>
      <w:r>
        <w:rPr>
          <w:rFonts w:ascii="Arial" w:cs="Arial" w:eastAsia="Arial" w:hAnsi="Arial"/>
          <w:sz w:val="18"/>
          <w:szCs w:val="18"/>
          <w:color w:val="auto"/>
        </w:rPr>
        <w:t>MLP distributable cash flow increased by $8.6 million to $25.5 million in the second quarter of 2021 from $16.9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second quarter of 2020. The increase in the second quarter of 2021, as compared to the prior-year period, was primarily attributable to the higher earnings at OpCo, partially offset by increased turnaround reserves and higher maintenance expense.</w:t>
      </w:r>
    </w:p>
    <w:p>
      <w:pPr>
        <w:spacing w:after="0" w:line="130" w:lineRule="exact"/>
        <w:rPr>
          <w:sz w:val="20"/>
          <w:szCs w:val="20"/>
          <w:color w:val="auto"/>
        </w:rPr>
      </w:pPr>
    </w:p>
    <w:p>
      <w:pPr>
        <w:ind w:right="20" w:firstLine="405"/>
        <w:spacing w:after="0" w:line="263" w:lineRule="auto"/>
        <w:rPr>
          <w:sz w:val="20"/>
          <w:szCs w:val="20"/>
          <w:color w:val="auto"/>
        </w:rPr>
      </w:pPr>
      <w:r>
        <w:rPr>
          <w:rFonts w:ascii="Arial" w:cs="Arial" w:eastAsia="Arial" w:hAnsi="Arial"/>
          <w:sz w:val="18"/>
          <w:szCs w:val="18"/>
          <w:i w:val="1"/>
          <w:iCs w:val="1"/>
          <w:color w:val="auto"/>
        </w:rPr>
        <w:t xml:space="preserve">EBITDA. </w:t>
      </w:r>
      <w:r>
        <w:rPr>
          <w:rFonts w:ascii="Arial" w:cs="Arial" w:eastAsia="Arial" w:hAnsi="Arial"/>
          <w:sz w:val="18"/>
          <w:szCs w:val="18"/>
          <w:color w:val="auto"/>
        </w:rPr>
        <w:t>EBITDA increased by $41.7 million to $151.5 million in the second quarter of 2021 from $109.8 million in the second quarter of 2020.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as compared to the prior-year period, was primarily due to higher sales prices and volumes to third parties, and the buyer deficiency fee and Shortfall recognized during the period, partially offset by higher ethane feedstock and natural gas costs.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2021 Compared with Six Months Ended June 30, 2020</w:t>
      </w:r>
    </w:p>
    <w:p>
      <w:pPr>
        <w:spacing w:after="0" w:line="90"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i w:val="1"/>
          <w:iCs w:val="1"/>
          <w:color w:val="auto"/>
        </w:rPr>
        <w:t xml:space="preserve">Net Sales. </w:t>
      </w:r>
      <w:r>
        <w:rPr>
          <w:rFonts w:ascii="Arial" w:cs="Arial" w:eastAsia="Arial" w:hAnsi="Arial"/>
          <w:sz w:val="17"/>
          <w:szCs w:val="17"/>
          <w:color w:val="auto"/>
        </w:rPr>
        <w:t>Total net sales increased by $101.4 million, or 20.7%, to $590.4 million in the six months ended June 30, 2021 from $489.0 million in the</w:t>
      </w:r>
      <w:r>
        <w:rPr>
          <w:rFonts w:ascii="Arial" w:cs="Arial" w:eastAsia="Arial" w:hAnsi="Arial"/>
          <w:sz w:val="17"/>
          <w:szCs w:val="17"/>
          <w:i w:val="1"/>
          <w:iCs w:val="1"/>
          <w:color w:val="auto"/>
        </w:rPr>
        <w:t xml:space="preserve"> </w:t>
      </w:r>
      <w:r>
        <w:rPr>
          <w:rFonts w:ascii="Arial" w:cs="Arial" w:eastAsia="Arial" w:hAnsi="Arial"/>
          <w:sz w:val="17"/>
          <w:szCs w:val="17"/>
          <w:color w:val="auto"/>
        </w:rPr>
        <w:t>six months ended June 30, 2020. The increase in net sales in the six months ended June 30, 2021 was primarily due to higher sales prices and volumes to third parties and higher sales price to Westlake per the terms of the Ethylene Sales Agreement, and the buyer deficiency fee and Shortfall recognized during the period, partially offset by lower sales volumes to Westlake during the six months ended June 30, 2021. The average sales price in the six months ended June 30, 2021 contributed to a 25.4% increase in net sales, primarily due to higher ethylene sales prices to third parties and to Westlake per the terms of the Ethylene Sales Agreement. The lower sales volume contributed to a 8.4% decrease in net sales in the six months ended June 30, 2021 compared to the six months ended June 30, 2020. The decrease in sales volumes for the six months ended June 30, 2021 was primarily due to the force majeure events during the period that impacted OpCo's production facilities.</w:t>
      </w:r>
    </w:p>
    <w:p>
      <w:pPr>
        <w:spacing w:after="0" w:line="124" w:lineRule="exact"/>
        <w:rPr>
          <w:sz w:val="20"/>
          <w:szCs w:val="20"/>
          <w:color w:val="auto"/>
        </w:rPr>
      </w:pPr>
    </w:p>
    <w:p>
      <w:pPr>
        <w:ind w:right="20" w:firstLine="405"/>
        <w:spacing w:after="0" w:line="301" w:lineRule="auto"/>
        <w:rPr>
          <w:sz w:val="20"/>
          <w:szCs w:val="20"/>
          <w:color w:val="auto"/>
        </w:rPr>
      </w:pPr>
      <w:r>
        <w:rPr>
          <w:rFonts w:ascii="Arial" w:cs="Arial" w:eastAsia="Arial" w:hAnsi="Arial"/>
          <w:sz w:val="16"/>
          <w:szCs w:val="16"/>
          <w:i w:val="1"/>
          <w:iCs w:val="1"/>
          <w:color w:val="auto"/>
        </w:rPr>
        <w:t xml:space="preserve">Gross Profit. </w:t>
      </w:r>
      <w:r>
        <w:rPr>
          <w:rFonts w:ascii="Arial" w:cs="Arial" w:eastAsia="Arial" w:hAnsi="Arial"/>
          <w:sz w:val="16"/>
          <w:szCs w:val="16"/>
          <w:color w:val="auto"/>
        </w:rPr>
        <w:t>Gross profit increased to $218.7 million for the six months ended June 30, 2021 from $193.6 million for the six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2020. The gross profit margin in the six months ended June 30, 2021 was 37.0%, as compared to 39.6% for the six months ended June 30, 2020. The six months ended June 30, 2021, gross profit margin was lower mainly due to increased ethane feedstock and natural gas costs, partially offset by higher prices for ethylene sold to third parties and the buyer deficiency fee and Shortfall recognized during the period compared to the six months ended June 30, 2020.</w:t>
      </w:r>
    </w:p>
    <w:p>
      <w:pPr>
        <w:spacing w:after="0" w:line="103" w:lineRule="exact"/>
        <w:rPr>
          <w:sz w:val="20"/>
          <w:szCs w:val="20"/>
          <w:color w:val="auto"/>
        </w:rPr>
      </w:pPr>
    </w:p>
    <w:p>
      <w:pPr>
        <w:ind w:right="140" w:firstLine="405"/>
        <w:spacing w:after="0" w:line="263"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increased by $4.6 million, or 37.4%, to $16.9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six months ended June 30, 2021 as compared to $12.3 million in the six months ended June 30, 2020. The increase in the six months ended June 30, 2021 was mainly attributable to higher service costs as compared to the six months ended June 30, 2020.</w:t>
      </w:r>
    </w:p>
    <w:p>
      <w:pPr>
        <w:spacing w:after="0" w:line="130"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decreased by $2.9 million to $4.5 million in the six months ended June 30, 2021 from $7.4 million in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2020, largely due to a lower average interest rate on debt.</w:t>
      </w:r>
    </w:p>
    <w:p>
      <w:pPr>
        <w:spacing w:after="0" w:line="116" w:lineRule="exact"/>
        <w:rPr>
          <w:sz w:val="20"/>
          <w:szCs w:val="20"/>
          <w:color w:val="auto"/>
        </w:rPr>
      </w:pPr>
    </w:p>
    <w:p>
      <w:pPr>
        <w:ind w:right="220" w:firstLine="405"/>
        <w:spacing w:after="0" w:line="311" w:lineRule="auto"/>
        <w:rPr>
          <w:sz w:val="20"/>
          <w:szCs w:val="20"/>
          <w:color w:val="auto"/>
        </w:rPr>
      </w:pPr>
      <w:r>
        <w:rPr>
          <w:rFonts w:ascii="Arial" w:cs="Arial" w:eastAsia="Arial" w:hAnsi="Arial"/>
          <w:sz w:val="16"/>
          <w:szCs w:val="16"/>
          <w:i w:val="1"/>
          <w:iCs w:val="1"/>
          <w:color w:val="auto"/>
        </w:rPr>
        <w:t xml:space="preserve">MLP Distributable Cash Flow. </w:t>
      </w:r>
      <w:r>
        <w:rPr>
          <w:rFonts w:ascii="Arial" w:cs="Arial" w:eastAsia="Arial" w:hAnsi="Arial"/>
          <w:sz w:val="16"/>
          <w:szCs w:val="16"/>
          <w:color w:val="auto"/>
        </w:rPr>
        <w:t>MLP distributable cash flow increased by $6.6 million to $41.8 million in the six months ended June 30, 2021 from</w:t>
      </w:r>
      <w:r>
        <w:rPr>
          <w:rFonts w:ascii="Arial" w:cs="Arial" w:eastAsia="Arial" w:hAnsi="Arial"/>
          <w:sz w:val="16"/>
          <w:szCs w:val="16"/>
          <w:i w:val="1"/>
          <w:iCs w:val="1"/>
          <w:color w:val="auto"/>
        </w:rPr>
        <w:t xml:space="preserve"> </w:t>
      </w:r>
      <w:r>
        <w:rPr>
          <w:rFonts w:ascii="Arial" w:cs="Arial" w:eastAsia="Arial" w:hAnsi="Arial"/>
          <w:sz w:val="16"/>
          <w:szCs w:val="16"/>
          <w:color w:val="auto"/>
        </w:rPr>
        <w:t>$35.2 million in the six months ended June 30, 2020. The increase in the six months ended June 30, 2021, as compared to the prior-year period, was primarily attributable to the higher earnings at OpCo, partially offset by increased turnaround reserves and higher maintenance expense.</w:t>
      </w:r>
    </w:p>
    <w:p>
      <w:pPr>
        <w:spacing w:after="0" w:line="95"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i w:val="1"/>
          <w:iCs w:val="1"/>
          <w:color w:val="auto"/>
        </w:rPr>
        <w:t xml:space="preserve">EBITDA. </w:t>
      </w:r>
      <w:r>
        <w:rPr>
          <w:rFonts w:ascii="Arial" w:cs="Arial" w:eastAsia="Arial" w:hAnsi="Arial"/>
          <w:sz w:val="18"/>
          <w:szCs w:val="18"/>
          <w:color w:val="auto"/>
        </w:rPr>
        <w:t>EBITDA increased by $24.3 million to $258.1 million in the six months ended June 30, 2021 from $233.8 million in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2020. The increase, as compared to the prior-year period, was primarily due to higher sales prices and volumes for ethylene sold to third parties and the buyer deficiency fee and Shortfall recognized during the period, partially offset by lower sales volumes to Westlake as a result of force majeure events and higher ethane feedstock and natural gas costs in the six months ended June 30, 2021.</w:t>
      </w:r>
    </w:p>
    <w:p>
      <w:pPr>
        <w:spacing w:after="0" w:line="223" w:lineRule="exact"/>
        <w:rPr>
          <w:sz w:val="20"/>
          <w:szCs w:val="20"/>
          <w:color w:val="auto"/>
        </w:rPr>
      </w:pPr>
    </w:p>
    <w:p>
      <w:pPr>
        <w:ind w:right="4220"/>
        <w:spacing w:after="0" w:line="354" w:lineRule="auto"/>
        <w:rPr>
          <w:sz w:val="20"/>
          <w:szCs w:val="20"/>
          <w:color w:val="auto"/>
        </w:rPr>
      </w:pPr>
      <w:r>
        <w:rPr>
          <w:rFonts w:ascii="Arial" w:cs="Arial" w:eastAsia="Arial" w:hAnsi="Arial"/>
          <w:sz w:val="18"/>
          <w:szCs w:val="18"/>
          <w:b w:val="1"/>
          <w:bCs w:val="1"/>
          <w:color w:val="auto"/>
        </w:rPr>
        <w:t xml:space="preserve">CASH FLOW DISCUSSION FOR THE SIX MONTHS ENDED JUNE 30, 2021 AND 2020 </w:t>
      </w:r>
      <w:r>
        <w:rPr>
          <w:rFonts w:ascii="Arial" w:cs="Arial" w:eastAsia="Arial" w:hAnsi="Arial"/>
          <w:sz w:val="18"/>
          <w:szCs w:val="18"/>
          <w:b w:val="1"/>
          <w:bCs w:val="1"/>
          <w:i w:val="1"/>
          <w:iCs w:val="1"/>
          <w:color w:val="auto"/>
        </w:rPr>
        <w:t>Operating Activities</w:t>
      </w:r>
    </w:p>
    <w:p>
      <w:pPr>
        <w:spacing w:after="0" w:line="1" w:lineRule="exact"/>
        <w:rPr>
          <w:sz w:val="20"/>
          <w:szCs w:val="20"/>
          <w:color w:val="auto"/>
        </w:rPr>
      </w:pPr>
    </w:p>
    <w:p>
      <w:pPr>
        <w:ind w:right="40" w:firstLine="405"/>
        <w:spacing w:after="0" w:line="289" w:lineRule="auto"/>
        <w:rPr>
          <w:sz w:val="20"/>
          <w:szCs w:val="20"/>
          <w:color w:val="auto"/>
        </w:rPr>
      </w:pPr>
      <w:r>
        <w:rPr>
          <w:rFonts w:ascii="Arial" w:cs="Arial" w:eastAsia="Arial" w:hAnsi="Arial"/>
          <w:sz w:val="16"/>
          <w:szCs w:val="16"/>
          <w:color w:val="auto"/>
        </w:rPr>
        <w:t>Operating activities provided cash of $287.1 million in the first six months of 2021 compared to cash provided by operating activities of $223.7 million in the first six months of 2020. The $63.4 million increase in cash flows from operating activities was mainly due to an increase in cash provided for working capital and income from operations during the six months ended June 30, 2021 as compared to the prior-year period. Changes in components of working capital, which we define for the purposes of this cash flow discussion as accounts receivable, net—Westlake, accounts receivable, net—third parties, inventories, prepaid expenses and other current assets less accounts payable—Westlake, accounts payable—third parties and accrued liabilities, provided cash of $35.0 million in the first six months of 2021 as compared to $2.1 million of cash used in the first six months of 2020, resulting in an overall favorable change of $37.1 million. The favorable change in working capital was mainly attributable to a favorable change in Westlake, net accounts receivable due to the receipt of the buyer deficiency fee recognized in 2020 related to the force majeure events partially offset by unfavorable changes in accounts receivable, net—third parties due to higher sales prices in the six months ended June 30, 2021.</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Net cash used for investing activities during the first six months of 2021 was $126.2 million as compared to net cash used for investing activities of $29.6 million in the first six months of 2020, mainly due to increased net cash used under the Investment Management Agreement in the first six months of 2021, as compared to the prior-year period. Capital expenditures during the first six months of 2021 and 2020 were primarily related to projects to improve production capacity or reduce costs, maintenance and safety and environmental projects at our facilities.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04"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Net cash used for financing activities during the first six months of 2021 was $160.4 million as compared to net cash used by financing activities of $190.4 million in the first six months of 2020. The outflows during the first six months of 2021 were related to the distribution of $127.3 million to Westlake and of $33.2 million to other unitholders by the Partnership. The cash outflows during the first six months of 2020 were related to the distribution of $157.2 million to Westlake and of $33.2 million to other unitholders by the Partnership.</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Financing Arrangements</w:t>
      </w:r>
    </w:p>
    <w:p>
      <w:pPr>
        <w:spacing w:after="0" w:line="171"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Pursuant to the terms of the ATM Agreement, entered in October 2018 and amended in February 2020, among the Partnership and various investment banks, the Partnership may offer and sell the Partnership's common units from time to time to or through the Managers, as the Partnership's sales agents or as principals, having an aggregate offering amount of up to $50.0 million (the "ATM Program"). The Partnership intends to use the net proceeds of sales of the common units, if any, for general partnership purposes, including the funding of potential drop-downs and other acquisitions. No common units had been issued under the ATM Program as of June 30, 2021.</w:t>
      </w:r>
    </w:p>
    <w:p>
      <w:pPr>
        <w:spacing w:after="0" w:line="134" w:lineRule="exact"/>
        <w:rPr>
          <w:sz w:val="20"/>
          <w:szCs w:val="20"/>
          <w:color w:val="auto"/>
        </w:rPr>
      </w:pPr>
    </w:p>
    <w:p>
      <w:pPr>
        <w:ind w:right="400" w:firstLine="405"/>
        <w:spacing w:after="0" w:line="263" w:lineRule="auto"/>
        <w:rPr>
          <w:sz w:val="20"/>
          <w:szCs w:val="20"/>
          <w:color w:val="auto"/>
        </w:rPr>
      </w:pPr>
      <w:r>
        <w:rPr>
          <w:rFonts w:ascii="Arial" w:cs="Arial" w:eastAsia="Arial" w:hAnsi="Arial"/>
          <w:sz w:val="18"/>
          <w:szCs w:val="18"/>
          <w:color w:val="auto"/>
        </w:rPr>
        <w:t>Based on the terms of our cash distribution policy, we expect that we will distribute to our partners most of the excess cash generated by our operations. To the extent we do not generate sufficient cash flow to fund capital expenditures, we expect to fund them primarily from external sources, including borrowing directly from Westlake, as well as future issuances of equity and debt interests.</w:t>
      </w:r>
    </w:p>
    <w:p>
      <w:pPr>
        <w:spacing w:after="0" w:line="130" w:lineRule="exact"/>
        <w:rPr>
          <w:sz w:val="20"/>
          <w:szCs w:val="20"/>
          <w:color w:val="auto"/>
        </w:rPr>
      </w:pPr>
    </w:p>
    <w:p>
      <w:pPr>
        <w:ind w:right="80" w:firstLine="405"/>
        <w:spacing w:after="0" w:line="275" w:lineRule="auto"/>
        <w:rPr>
          <w:sz w:val="20"/>
          <w:szCs w:val="20"/>
          <w:color w:val="auto"/>
        </w:rPr>
      </w:pPr>
      <w:r>
        <w:rPr>
          <w:rFonts w:ascii="Arial" w:cs="Arial" w:eastAsia="Arial" w:hAnsi="Arial"/>
          <w:sz w:val="17"/>
          <w:szCs w:val="17"/>
          <w:color w:val="auto"/>
        </w:rPr>
        <w:t>The Partnership maintains separate bank accounts, but Westlake continues to provide treasury services on our behalf under the Services and Secondment Agreement. Our sources of liquidity include cash generated from operations, the OpCo Revolver, the MLP Revolver and, if necessary and possible under then current market conditions, the issuance of additional equity interests or debt. We believe that cash generated from these sources will be sufficient to meet our short-term working capital requirements and long-term capital expenditure requirements and to make quarterly cash distributions. Westlake may also provide other direct and indirect financing to us from time to time, although it is not required to do so.</w:t>
      </w:r>
    </w:p>
    <w:p>
      <w:pPr>
        <w:spacing w:after="0" w:line="122"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 order to fund non-annual turnaround expenditures, we cause OpCo to reserve an amount for turnaround costs during each twelve-month period designed to cover future turnaround activities. Each of OpCo's ethylene production facilities requires turnaround maintenance approximately every five years. By reserving additional cash annually, we intend to reduce the variability in OpCo's cash flow. Westlake's purchase price for ethylene purchased under the Ethylene Sales Agreement includes a component (adjusted annually) designed to cover, over the long term, substantially all of OpCo's turnaround expenditures.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Westlake's credit facility and various indentures do not prevent OpCo from making distributions to us.</w:t>
      </w:r>
    </w:p>
    <w:p>
      <w:pPr>
        <w:spacing w:after="0" w:line="171" w:lineRule="exact"/>
        <w:rPr>
          <w:sz w:val="20"/>
          <w:szCs w:val="20"/>
          <w:color w:val="auto"/>
        </w:rPr>
      </w:pPr>
    </w:p>
    <w:p>
      <w:pPr>
        <w:ind w:right="100" w:firstLine="405"/>
        <w:spacing w:after="0" w:line="301" w:lineRule="auto"/>
        <w:rPr>
          <w:sz w:val="20"/>
          <w:szCs w:val="20"/>
          <w:color w:val="auto"/>
        </w:rPr>
      </w:pPr>
      <w:r>
        <w:rPr>
          <w:rFonts w:ascii="Arial" w:cs="Arial" w:eastAsia="Arial" w:hAnsi="Arial"/>
          <w:sz w:val="16"/>
          <w:szCs w:val="16"/>
          <w:color w:val="auto"/>
        </w:rPr>
        <w:t>On August 2, 2021, the board of directors of Westlake Chemical Partners GP LLC, our general partner, approved a quarterly distribution of $0.4714 per unit payable on August 26, 2021 to unitholders of record as of August 12, 2021, which equates to a total amount of approximately $16.6 million per quarter, or approximately $66.4 million per year in aggregate, based on the number of common units outstanding on June 30, 2021. We do not have a legal or contractual obligation to pay distributions on a quarterly basis or any other basis at our minimum quarterly distribution rate or any other rate.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90"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Westlake has historically funded expansion capital expenditures related to Lake Charles Olefins and Calvert City Olefins. Total capital expenditures for the six months ended June 30, 2021 and 2020 were $27.3 million and $20.6 million, respectively. No funding was required by OpCo to fund capital expenditures during the six months ended June 30, 2021 and 2020. We expect that Westlake will loan additional cash to OpCo to fund its expansion capital expenditures in the future, but Westlake is under no obligation to do so.</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280" w:firstLine="405"/>
        <w:spacing w:after="0" w:line="263" w:lineRule="auto"/>
        <w:rPr>
          <w:sz w:val="20"/>
          <w:szCs w:val="20"/>
          <w:color w:val="auto"/>
        </w:rPr>
      </w:pPr>
      <w:r>
        <w:rPr>
          <w:rFonts w:ascii="Arial" w:cs="Arial" w:eastAsia="Arial" w:hAnsi="Arial"/>
          <w:sz w:val="18"/>
          <w:szCs w:val="18"/>
          <w:color w:val="auto"/>
        </w:rPr>
        <w:t>As of June 30, 2021, our cash and cash equivalents totaled $17.7 million. In addition, we have cash invested under the Investment Management Agreement (as described below) and a revolving credit facility with Westlake available to supplement cash if needed, as described under "Indebtedness" below.</w:t>
      </w:r>
    </w:p>
    <w:p>
      <w:pPr>
        <w:spacing w:after="0" w:line="130" w:lineRule="exact"/>
        <w:rPr>
          <w:sz w:val="20"/>
          <w:szCs w:val="20"/>
          <w:color w:val="auto"/>
        </w:rPr>
      </w:pPr>
    </w:p>
    <w:p>
      <w:pPr>
        <w:ind w:right="200" w:firstLine="405"/>
        <w:spacing w:after="0" w:line="301" w:lineRule="auto"/>
        <w:rPr>
          <w:sz w:val="20"/>
          <w:szCs w:val="20"/>
          <w:color w:val="auto"/>
        </w:rPr>
      </w:pPr>
      <w:r>
        <w:rPr>
          <w:rFonts w:ascii="Arial" w:cs="Arial" w:eastAsia="Arial" w:hAnsi="Arial"/>
          <w:sz w:val="16"/>
          <w:szCs w:val="16"/>
          <w:color w:val="auto"/>
        </w:rPr>
        <w:t>In August 2017, the Partnership, OpCo and Westlake executed the Investment Management Agreement that authorized Westlake to invest the Partnership's and OpCo's excess cash with Westlake for a term of up to a maximum of nine months. Per the terms of the Investment Management Agreement, the Partnership earns a market return plus five basis points and Westlake provides daily availability of the invested cash to meet any liquidity needs of the Partnership or OpCo. The Partnership had $222.2 million of cash invested under the Investment Management Agreement at June 30, 2021.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OpCo Revolver</w:t>
      </w:r>
    </w:p>
    <w:p>
      <w:pPr>
        <w:spacing w:after="0" w:line="90" w:lineRule="exact"/>
        <w:rPr>
          <w:sz w:val="20"/>
          <w:szCs w:val="20"/>
          <w:color w:val="auto"/>
        </w:rPr>
      </w:pPr>
    </w:p>
    <w:p>
      <w:pPr>
        <w:jc w:val="both"/>
        <w:ind w:right="200" w:firstLine="405"/>
        <w:spacing w:after="0" w:line="259" w:lineRule="auto"/>
        <w:rPr>
          <w:sz w:val="20"/>
          <w:szCs w:val="20"/>
          <w:color w:val="auto"/>
        </w:rPr>
      </w:pPr>
      <w:r>
        <w:rPr>
          <w:rFonts w:ascii="Arial" w:cs="Arial" w:eastAsia="Arial" w:hAnsi="Arial"/>
          <w:sz w:val="18"/>
          <w:szCs w:val="18"/>
          <w:color w:val="auto"/>
        </w:rPr>
        <w:t>In connection with the IPO, OpCo entered into a $600.0 million revolving credit facility with Westlake, as amended in August and December 2017 and March 2020 (the "OpCo Revolver") that may be used to fund growth projects and working capital needs. The OpCo Revolver is scheduled to mature on September 25, 2023. As of June 30, 2021, outstanding borrowings under the OpCo Revolver totaled $22.6 million and bore interest at the LIBOR rate plus 2.0%, which is accrued in arrears quarterly.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MLP Revolver</w:t>
      </w:r>
    </w:p>
    <w:p>
      <w:pPr>
        <w:spacing w:after="0" w:line="171"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In 2015, we entered into a senior, unsecured revolving credit agreement with an affiliate of Westlake (the "MLP Revolver"). The MLP Revolver has a borrowing capacity of $600.0 million and is scheduled to mature in 2023. On March 29, 2019, the Partnership borrowed $123.5 million under the MLP Revolver to partially fund the purchase of an additional 4.5% interest in OpCo. On March 19, 2020, the Partnership entered into an amendment to the MLP Revolver, to extend the maturity date to March 19, 2023 and add a phase-out provision for LIBOR, which is to be replaced by an alternate benchmark rate. Borrowings under the MLP Revolver bear interest at a variable rate of either (a) LIBOR plus 2.0% or, if LIBOR is no longer available, (b) Alternate Base Rate plus 1.0%. The MLP Revolver provides that we may pay all or a portion of the interest on any borrowings in kind, in which case any such amounts would be added to the principal amount of the loan. The MLP Revolver requires that we maintain a consolidated leverage ratio of either (1) during any one-year period following certain types of acquisitions (including acquisitions of additional interests in OpCo), 5.50:1.0 or less, or (2) during any other period, 4.50:1.00 or less. The MLP Revolver also contains certain other customary covenants. The repayment of borrowings under the MLP Revolver is subject to acceleration upon the occurrence of an event of default. As of June 30, 2021, outstanding borrowings under the MLP Revolver totaled $377.1 million and bore interest at the LIBOR rate plus 2.0%, which is accrued in arrears quarterly. We intend to use the MLP Revolver to purchase additional limited partnership interests in OpCo in the future, in the event OpCo desires to sell such additional interests to us, for other acquisitions and for general corporate purposes.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6"/>
          <w:szCs w:val="16"/>
          <w:color w:val="auto"/>
        </w:rPr>
        <w:t>Certain of the statements contained in this report are forward-looking statements. All statements, other than statements of historical facts, included in this report that address activities, events or developments that we expect, project, believe or anticipate will or may occur in the future are forward-looking statements. Forward-looking statements can be identified by the use of words such as "believes," "intends," "may," "should," "could," "anticipates,"</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"expects," "will" or comparable terminology, or by discussions of strategies or trends. Although we believe that the expectations reflected in such forward-looking statements are reasonable, we cannot give any assurances that these expectations will prove to be correct. Forward-looking statements relate to matters such as:</w:t>
      </w:r>
    </w:p>
    <w:p>
      <w:pPr>
        <w:spacing w:after="0" w:line="6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amount of ethane that we are able to process, which could be adversely affected by, among other things, operating difficulties;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volume of ethylene that we are able to sell;</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price at which we are able to sell ethylene;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industry market outlook, including prices and margins in third-party ethylene and co-products sales;</w:t>
      </w:r>
    </w:p>
    <w:p>
      <w:pPr>
        <w:spacing w:after="0" w:line="103"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widespread outbreak of an illness or any other communicable disease, or any other public health crisis, including the COVID-19 pandemic and efforts to contain its transmission;</w:t>
      </w:r>
    </w:p>
    <w:p>
      <w:pPr>
        <w:spacing w:after="0" w:line="35" w:lineRule="exact"/>
        <w:rPr>
          <w:rFonts w:ascii="Arial" w:cs="Arial" w:eastAsia="Arial" w:hAnsi="Arial"/>
          <w:sz w:val="18"/>
          <w:szCs w:val="18"/>
          <w:color w:val="auto"/>
        </w:rPr>
      </w:pPr>
    </w:p>
    <w:p>
      <w:pPr>
        <w:ind w:left="660" w:right="54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plans and Westlake's plans to respond to the challenges presented by the COVID-19 epidemic, as well as the timing and deferral of the planned turnaround at OpCo's Petro 2 ethylene unit;</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parties to whom we will sell ethylene and on what basis;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volumes of ethylene that Westlake may purchase, in addition to the minimum commitment under the Ethylene Sales Agreement;</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timing, funding and results of capital expenditures;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intended quarterly distributions and the manner of making such distributions;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meet our liquidity needs;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timing of and amount of capital expenditures;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Partnership's At-the-Market program and the use of any net proceeds from any sales under that program;</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loans from Westlake to OpCo to fund OpCo's expansion capital expenditures in the future;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expected mitigation of exposure to commodity price fluctuations;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turnaround activities and the variability of OpCo's cash flow;</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receipt of any buyer deficiency fee and Shortfall under the Ethylene Sales Agreement;</w:t>
      </w:r>
    </w:p>
    <w:p>
      <w:pPr>
        <w:spacing w:after="0" w:line="103" w:lineRule="exact"/>
        <w:rPr>
          <w:rFonts w:ascii="Arial" w:cs="Arial" w:eastAsia="Arial" w:hAnsi="Arial"/>
          <w:sz w:val="18"/>
          <w:szCs w:val="18"/>
          <w:color w:val="auto"/>
        </w:rPr>
      </w:pPr>
    </w:p>
    <w:p>
      <w:pPr>
        <w:ind w:left="660" w:right="8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compliance with present and future environmental regulations and costs associated with environmentally related penalties, capital expenditures, remedial actions and proceedings, including any new laws, regulations or treaties that may come into force to limit or control carbon dioxide and other greenhouse gas emissions or to address other issues of climate change;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receive indemnification from Westlake for environmental and other losses;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effects of pending legal proceedings.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We have based these statements on assumptions and analysis in light of our experience and perception of historical trends, current conditions, expected future developments and other factors we believe were appropriate in the circumstances when the statements were made. Forward-looking statements by their nature involve substantial risks and uncertainties that could significantly impact expected results, and actual future results could differ materially from those described in such statements. These statements are subject to a number of assumptions, risks and uncertainties, including those described under "Risk Factors" in the 2020 Form 10-K and the following:</w:t>
      </w:r>
    </w:p>
    <w:p>
      <w:pPr>
        <w:spacing w:after="0" w:line="6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economic and business conditions;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cyclical nature of the chemical industry;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availability, cost and volatility of raw materials and energy;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low crude oil prices reducing the cost advantage of ethane-based ethylene producers;</w:t>
      </w:r>
    </w:p>
    <w:p>
      <w:pPr>
        <w:spacing w:after="0" w:line="90"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uncertainties associated with the United States and worldwide economies, including those due to political tensions and unrest in the Middle East and elsewhere;</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uncertainties associated with pandemic infectious diseases, particularly COVID-19;</w:t>
      </w:r>
    </w:p>
    <w:p>
      <w:pPr>
        <w:spacing w:after="0" w:line="103"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current and potential governmental regulatory actions in the United States and regulatory actions and political unrest in other countries, including environmental regulations;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industry production capacity and operating rates;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supply/demand balance for our products;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competitive products and pricing pressures;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instability in the credit and financial markets;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access to capital markets;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terrorist acts;</w:t>
      </w:r>
    </w:p>
    <w:p>
      <w:pPr>
        <w:spacing w:after="0" w:line="90"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interruptions (including leaks, explosions, fires, weather-related incidents, mechanical failure, unscheduled downtime, labor difficulties, transportation interruptions, spills and releases and other environmental risks);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laws or regulations;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technological developments;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integrate acquired businesses;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foreign currency exchange risks;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implement our business strategies;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creditworthiness of our customers.</w:t>
      </w:r>
    </w:p>
    <w:p>
      <w:pPr>
        <w:spacing w:after="0" w:line="17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Many of these factors are beyond our ability to control or predict. Any of the factors, or a combination of these factors, could materially affect our future results of operations and the ultimate accuracy of the forward-looking statements. These forward-looking statements are not guarantees of our future performance, and our actual results and future developments may differ materially from those projected in the forward-looking statements. Management cautions against putting undue reliance on forward-looking statements or projecting any future results based on such statements or present or prior earnings levels. Every forward-looking statement speaks only as of the date of the particular statement, and we undertake no obligation to publicly update or revise any forward-looking statements.</w:t>
      </w: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04"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A substantial portion of the Partnership's products and raw materials are commodities whose prices fluctuate as market supply and demand fundamentals change. However, our direct exposure to commodity price risk is limited to approximately 5.0% of our total ethylene production, which is the portion sold to third parties. We believe we have substantially mitigated our indirect exposure to commodity price fluctuation during the term of the Ethylene Sales Agreement through the minimum commitment and the cost-plus based pricing. Additionally, we may use derivative instruments to reduce price volatility risk on feedstocks and ethylene associated with the production and sales to third parties. We did not have any open derivative position at June 30, 2021.</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We are exposed to interest rate risk with respect to our outstanding debt, all of which is variable rate debt. At June 30, 2021, we had total variable rate debt of $399.7 million outstanding, all of which was owed to wholly-owned subsidiaries of Westlake, and currently accrues interest at a variable rate of LIBOR plus 200 basis points. On March 19, 2020, the Partnership entered into an amendment to the MLP Revolver to extend the maturity date to March 19, 2023 and add a phase-out provision for LIBOR, which is to be replaced by an alternate benchmark rate. The amended credit agreement bears interest at a variable rate of either (a) LIBOR plus 2.0% or, if LIBOR is no longer available, (b) Alternate Base Rate plus 1.0%. The weighted average variable interest rate of our debt as of June 30, 2021 was 2.2%. We will continue to be subject to interest rate risk with respect to our variable rate debt as well as the risk of higher interest cost if and when this debt is refinanced. A hypothetical increase in our average interest rate on variable rate debt by 100 basis points would increase our annual interest expense by approximately $4.0 million, based on the June 30, 2021 debt balance.</w:t>
      </w:r>
    </w:p>
    <w:p>
      <w:pPr>
        <w:spacing w:after="0" w:line="44"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LIBOR is used as a reference rate for all of our outstanding variable rate debt as of June 30, 2021. The phase-out of LIBOR is set to commence at the end of 2021 and conclude by June 30, 2023. We are currently reviewing how LIBOR phase-out will affect us, but we do not expect the impact to be material.</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4"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color w:val="auto"/>
        </w:rPr>
        <w:t>We carried out an evaluation, under the supervision and with the participation of our management, including our President and Chief Executive Officer and our Executive Vice President and Chief Financial Officer, of the effectiveness of our disclosure controls and procedures pursuant to Rules 13a-15 or 15d-15 under the Securities Exchange Act of 1934, as amended (the "Exchange Act"), as of the end of the period covered by this report. Based upon that evaluation, our President and Chief Executive Officer and our Executive Vice President and Chief Financial Officer concluded that our disclosure controls and procedures are effective with respect to (i) the accumulation and communication to our management, including our Chief Executive Officer and our Chief Financial Officer, of information required to be disclosed by us in the reports that we submit under the Exchange Act, and (ii) the recording, processing, summarizing and reporting of such information within the time periods specified in the SEC's rules and forms.</w:t>
      </w:r>
    </w:p>
    <w:p>
      <w:pPr>
        <w:spacing w:after="0" w:line="112"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three months ended June 30, 2021 that have materially affected, or are reasonably likely to materially affect, our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ind w:right="320" w:firstLine="405"/>
        <w:spacing w:after="0" w:line="263" w:lineRule="auto"/>
        <w:rPr>
          <w:sz w:val="20"/>
          <w:szCs w:val="20"/>
          <w:color w:val="auto"/>
        </w:rPr>
      </w:pPr>
      <w:r>
        <w:rPr>
          <w:rFonts w:ascii="Arial" w:cs="Arial" w:eastAsia="Arial" w:hAnsi="Arial"/>
          <w:sz w:val="18"/>
          <w:szCs w:val="18"/>
          <w:color w:val="auto"/>
        </w:rPr>
        <w:t>The 2020 Form 10-K, filed on March 2, 2021, contained a description of various legal proceedings in which we are involved, including environmental proceedings. See below and Note 12 to the unaudited consolidated financial statements within this Quarterly Report on Form 10-Q for a discussion on legal proceedings, which information is incorporated by reference herein.</w:t>
      </w:r>
    </w:p>
    <w:p>
      <w:pPr>
        <w:spacing w:after="0" w:line="130"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Under the Omnibus Agreement, Westlake Chemical Corporation ("Westlake") has agreed to indemnify the Partnership for certain environmental and other liabilities relating to OpCo's processing facilities and related assets.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i w:val="1"/>
          <w:iCs w:val="1"/>
          <w:color w:val="auto"/>
        </w:rPr>
        <w:t>Potential Flare Modifications</w:t>
      </w:r>
      <w:r>
        <w:rPr>
          <w:rFonts w:ascii="Arial" w:cs="Arial" w:eastAsia="Arial" w:hAnsi="Arial"/>
          <w:sz w:val="18"/>
          <w:szCs w:val="18"/>
          <w:color w:val="auto"/>
        </w:rPr>
        <w:t>. For several years, the Environmental Protection Agency ("EPA") has been conducting an enforcement initiative against</w:t>
      </w:r>
      <w:r>
        <w:rPr>
          <w:rFonts w:ascii="Arial" w:cs="Arial" w:eastAsia="Arial" w:hAnsi="Arial"/>
          <w:sz w:val="18"/>
          <w:szCs w:val="18"/>
          <w:i w:val="1"/>
          <w:iCs w:val="1"/>
          <w:color w:val="auto"/>
        </w:rPr>
        <w:t xml:space="preserve"> </w:t>
      </w:r>
      <w:r>
        <w:rPr>
          <w:rFonts w:ascii="Arial" w:cs="Arial" w:eastAsia="Arial" w:hAnsi="Arial"/>
          <w:sz w:val="18"/>
          <w:szCs w:val="18"/>
          <w:color w:val="auto"/>
        </w:rPr>
        <w:t>petroleum refineries and petrochemical plants with respect to emissions from flares. On April 21, 2014, Westlake received a Clean Air Act Section 114 Information Request from the EPA, which sought information regarding flares at the Calvert City and Lake Charles facilities. The EPA has informed Westlake that the information provided leads the EPA to believe that some of the flares are out of compliance with applicable standards. The EPA has indicated that it is seeking a consent decree that would obligate Westlake to take corrective actions relating to the alleged noncompliance. The Partnership believes the resolution of these matters may require the payment of a monetary sanction in excess of $300,000. As discussed above, Westlake is expected to fully indemnify us for such costs.</w:t>
      </w:r>
    </w:p>
    <w:p>
      <w:pPr>
        <w:spacing w:after="0" w:line="141" w:lineRule="exact"/>
        <w:rPr>
          <w:sz w:val="20"/>
          <w:szCs w:val="20"/>
          <w:color w:val="auto"/>
        </w:rPr>
      </w:pPr>
    </w:p>
    <w:p>
      <w:pPr>
        <w:ind w:right="200" w:firstLine="405"/>
        <w:spacing w:after="0" w:line="263" w:lineRule="auto"/>
        <w:rPr>
          <w:sz w:val="20"/>
          <w:szCs w:val="20"/>
          <w:color w:val="auto"/>
        </w:rPr>
      </w:pPr>
      <w:r>
        <w:rPr>
          <w:rFonts w:ascii="Arial" w:cs="Arial" w:eastAsia="Arial" w:hAnsi="Arial"/>
          <w:sz w:val="18"/>
          <w:szCs w:val="18"/>
          <w:color w:val="auto"/>
        </w:rPr>
        <w:t>In addition to the matters described above, the Partnership is involved in various legal proceedings incidental to the conduct of its business. The Partnership does not believe that any of these legal proceedings will have a material adverse effect on its financial condition, results of operations or cash flows.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7" w:lineRule="exact"/>
        <w:rPr>
          <w:sz w:val="20"/>
          <w:szCs w:val="20"/>
          <w:color w:val="auto"/>
        </w:rPr>
      </w:pPr>
    </w:p>
    <w:p>
      <w:pPr>
        <w:ind w:right="340" w:firstLine="405"/>
        <w:spacing w:after="0" w:line="245" w:lineRule="auto"/>
        <w:rPr>
          <w:sz w:val="20"/>
          <w:szCs w:val="20"/>
          <w:color w:val="auto"/>
        </w:rPr>
      </w:pPr>
      <w:r>
        <w:rPr>
          <w:rFonts w:ascii="Arial" w:cs="Arial" w:eastAsia="Arial" w:hAnsi="Arial"/>
          <w:sz w:val="18"/>
          <w:szCs w:val="18"/>
          <w:color w:val="auto"/>
        </w:rPr>
        <w:t>For a discussion of risk factors, please read Item 1A, "Risk Factors" in the 2020 Form 10-K. There have been no material changes from those risk factors.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9460" w:type="dxa"/>
            <w:vAlign w:val="bottom"/>
            <w:gridSpan w:val="6"/>
          </w:tcPr>
          <w:p>
            <w:pPr>
              <w:ind w:left="4700"/>
              <w:spacing w:after="0"/>
              <w:rPr>
                <w:sz w:val="20"/>
                <w:szCs w:val="20"/>
                <w:color w:val="auto"/>
              </w:rPr>
            </w:pPr>
            <w:r>
              <w:rPr>
                <w:rFonts w:ascii="Arial" w:cs="Arial" w:eastAsia="Arial" w:hAnsi="Arial"/>
                <w:sz w:val="14"/>
                <w:szCs w:val="14"/>
                <w:b w:val="1"/>
                <w:bCs w:val="1"/>
                <w:color w:val="auto"/>
              </w:rPr>
              <w:t>Exhibit</w:t>
            </w:r>
          </w:p>
        </w:tc>
      </w:tr>
      <w:tr>
        <w:trPr>
          <w:trHeight w:val="20"/>
        </w:trPr>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263"/>
        </w:trPr>
        <w:tc>
          <w:tcPr>
            <w:tcW w:w="700" w:type="dxa"/>
            <w:vAlign w:val="bottom"/>
          </w:tcPr>
          <w:p>
            <w:pPr>
              <w:spacing w:after="0"/>
              <w:rPr>
                <w:sz w:val="20"/>
                <w:szCs w:val="20"/>
                <w:color w:val="auto"/>
              </w:rPr>
            </w:pPr>
            <w:r>
              <w:rPr>
                <w:rFonts w:ascii="Arial" w:cs="Arial" w:eastAsia="Arial" w:hAnsi="Arial"/>
                <w:sz w:val="18"/>
                <w:szCs w:val="18"/>
                <w:color w:val="auto"/>
              </w:rPr>
              <w:t>31.1†</w:t>
            </w:r>
          </w:p>
        </w:tc>
        <w:tc>
          <w:tcPr>
            <w:tcW w:w="620" w:type="dxa"/>
            <w:vAlign w:val="bottom"/>
          </w:tcPr>
          <w:p>
            <w:pPr>
              <w:spacing w:after="0"/>
              <w:rPr>
                <w:sz w:val="22"/>
                <w:szCs w:val="22"/>
                <w:color w:val="auto"/>
              </w:rPr>
            </w:pPr>
          </w:p>
        </w:tc>
        <w:tc>
          <w:tcPr>
            <w:tcW w:w="9460" w:type="dxa"/>
            <w:vAlign w:val="bottom"/>
            <w:gridSpan w:val="6"/>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Rule 13a – 14(a) / 15d – 14(a) Certification (Principal Executive Officer)</w:t>
              </w:r>
            </w:hyperlink>
          </w:p>
        </w:tc>
      </w:tr>
      <w:tr>
        <w:trPr>
          <w:trHeight w:val="264"/>
        </w:trPr>
        <w:tc>
          <w:tcPr>
            <w:tcW w:w="1320" w:type="dxa"/>
            <w:vAlign w:val="bottom"/>
            <w:gridSpan w:val="2"/>
          </w:tcPr>
          <w:p>
            <w:pPr>
              <w:spacing w:after="0"/>
              <w:rPr>
                <w:sz w:val="20"/>
                <w:szCs w:val="20"/>
                <w:color w:val="auto"/>
              </w:rPr>
            </w:pPr>
            <w:r>
              <w:rPr>
                <w:rFonts w:ascii="Arial" w:cs="Arial" w:eastAsia="Arial" w:hAnsi="Arial"/>
                <w:sz w:val="18"/>
                <w:szCs w:val="18"/>
                <w:color w:val="auto"/>
              </w:rPr>
              <w:t>31.2†</w:t>
            </w:r>
          </w:p>
        </w:tc>
        <w:tc>
          <w:tcPr>
            <w:tcW w:w="522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2"/>
              </w:rPr>
            </w:pPr>
            <w:hyperlink w:anchor="page33">
              <w:r>
                <w:rPr>
                  <w:rFonts w:ascii="Arial" w:cs="Arial" w:eastAsia="Arial" w:hAnsi="Arial"/>
                  <w:sz w:val="18"/>
                  <w:szCs w:val="18"/>
                  <w:color w:val="0000FF"/>
                  <w:w w:val="92"/>
                </w:rPr>
                <w:t>Rule 13a – 14(a) / 15d – 14(a) Certification (Principal Financial Officer)</w:t>
              </w:r>
            </w:hyperlink>
          </w:p>
        </w:tc>
        <w:tc>
          <w:tcPr>
            <w:tcW w:w="40" w:type="dxa"/>
            <w:vAlign w:val="bottom"/>
            <w:tcBorders>
              <w:top w:val="single" w:sz="8" w:color="0000FF"/>
            </w:tcBorders>
          </w:tcPr>
          <w:p>
            <w:pPr>
              <w:spacing w:after="0"/>
              <w:rPr>
                <w:sz w:val="22"/>
                <w:szCs w:val="22"/>
                <w:color w:val="auto"/>
              </w:rPr>
            </w:pPr>
          </w:p>
        </w:tc>
        <w:tc>
          <w:tcPr>
            <w:tcW w:w="4200" w:type="dxa"/>
            <w:vAlign w:val="bottom"/>
            <w:gridSpan w:val="2"/>
          </w:tcPr>
          <w:p>
            <w:pPr>
              <w:spacing w:after="0"/>
              <w:rPr>
                <w:sz w:val="22"/>
                <w:szCs w:val="22"/>
                <w:color w:val="auto"/>
              </w:rPr>
            </w:pPr>
          </w:p>
        </w:tc>
      </w:tr>
      <w:tr>
        <w:trPr>
          <w:trHeight w:val="263"/>
        </w:trPr>
        <w:tc>
          <w:tcPr>
            <w:tcW w:w="700" w:type="dxa"/>
            <w:vAlign w:val="bottom"/>
          </w:tcPr>
          <w:p>
            <w:pPr>
              <w:spacing w:after="0"/>
              <w:rPr>
                <w:sz w:val="20"/>
                <w:szCs w:val="20"/>
                <w:color w:val="auto"/>
              </w:rPr>
            </w:pPr>
            <w:r>
              <w:rPr>
                <w:rFonts w:ascii="Arial" w:cs="Arial" w:eastAsia="Arial" w:hAnsi="Arial"/>
                <w:sz w:val="18"/>
                <w:szCs w:val="18"/>
                <w:color w:val="auto"/>
              </w:rPr>
              <w:t>32.1#</w:t>
            </w:r>
          </w:p>
        </w:tc>
        <w:tc>
          <w:tcPr>
            <w:tcW w:w="620" w:type="dxa"/>
            <w:vAlign w:val="bottom"/>
          </w:tcPr>
          <w:p>
            <w:pPr>
              <w:spacing w:after="0"/>
              <w:rPr>
                <w:sz w:val="22"/>
                <w:szCs w:val="22"/>
                <w:color w:val="auto"/>
              </w:rPr>
            </w:pPr>
          </w:p>
        </w:tc>
        <w:tc>
          <w:tcPr>
            <w:tcW w:w="9460" w:type="dxa"/>
            <w:vAlign w:val="bottom"/>
            <w:gridSpan w:val="6"/>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Section 1350 Certification (Principal Executive Officer and Principal Financial Officer)</w:t>
              </w:r>
            </w:hyperlink>
          </w:p>
        </w:tc>
      </w:tr>
      <w:tr>
        <w:trPr>
          <w:trHeight w:val="20"/>
        </w:trPr>
        <w:tc>
          <w:tcPr>
            <w:tcW w:w="1320" w:type="dxa"/>
            <w:vAlign w:val="bottom"/>
            <w:gridSpan w:val="2"/>
          </w:tcPr>
          <w:p>
            <w:pPr>
              <w:spacing w:after="0" w:line="20" w:lineRule="exact"/>
              <w:rPr>
                <w:sz w:val="1"/>
                <w:szCs w:val="1"/>
                <w:color w:val="auto"/>
              </w:rPr>
            </w:pPr>
          </w:p>
        </w:tc>
        <w:tc>
          <w:tcPr>
            <w:tcW w:w="6300" w:type="dxa"/>
            <w:vAlign w:val="bottom"/>
            <w:gridSpan w:val="5"/>
            <w:shd w:val="clear" w:color="auto" w:fill="0000FF"/>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250"/>
        </w:trPr>
        <w:tc>
          <w:tcPr>
            <w:tcW w:w="13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460" w:type="dxa"/>
            <w:vAlign w:val="bottom"/>
            <w:gridSpan w:val="6"/>
          </w:tcPr>
          <w:p>
            <w:pPr>
              <w:spacing w:after="0"/>
              <w:rPr>
                <w:sz w:val="20"/>
                <w:szCs w:val="20"/>
                <w:color w:val="auto"/>
              </w:rPr>
            </w:pPr>
            <w:r>
              <w:rPr>
                <w:rFonts w:ascii="Arial" w:cs="Arial" w:eastAsia="Arial" w:hAnsi="Arial"/>
                <w:sz w:val="18"/>
                <w:szCs w:val="18"/>
                <w:color w:val="auto"/>
                <w:w w:val="89"/>
              </w:rPr>
              <w:t>XBRL Instance Document–The instance document does not appear in the interactive data file because its XBRL tags are embedded</w:t>
            </w:r>
          </w:p>
        </w:tc>
      </w:tr>
      <w:tr>
        <w:trPr>
          <w:trHeight w:val="230"/>
        </w:trPr>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60" w:type="dxa"/>
            <w:vAlign w:val="bottom"/>
            <w:gridSpan w:val="6"/>
          </w:tcPr>
          <w:p>
            <w:pPr>
              <w:spacing w:after="0"/>
              <w:rPr>
                <w:sz w:val="20"/>
                <w:szCs w:val="20"/>
                <w:color w:val="auto"/>
              </w:rPr>
            </w:pPr>
            <w:r>
              <w:rPr>
                <w:rFonts w:ascii="Arial" w:cs="Arial" w:eastAsia="Arial" w:hAnsi="Arial"/>
                <w:sz w:val="18"/>
                <w:szCs w:val="18"/>
                <w:color w:val="auto"/>
              </w:rPr>
              <w:t>within the Inline XBRL document.</w:t>
            </w:r>
          </w:p>
        </w:tc>
      </w:tr>
      <w:tr>
        <w:trPr>
          <w:trHeight w:val="283"/>
        </w:trPr>
        <w:tc>
          <w:tcPr>
            <w:tcW w:w="13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46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r>
      <w:tr>
        <w:trPr>
          <w:trHeight w:val="283"/>
        </w:trPr>
        <w:tc>
          <w:tcPr>
            <w:tcW w:w="13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46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83"/>
        </w:trPr>
        <w:tc>
          <w:tcPr>
            <w:tcW w:w="13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46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84"/>
        </w:trPr>
        <w:tc>
          <w:tcPr>
            <w:tcW w:w="13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46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83"/>
        </w:trPr>
        <w:tc>
          <w:tcPr>
            <w:tcW w:w="13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46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53" w:lineRule="exact"/>
        <w:rPr>
          <w:sz w:val="20"/>
          <w:szCs w:val="20"/>
          <w:color w:val="auto"/>
        </w:rPr>
      </w:pPr>
    </w:p>
    <w:p>
      <w:pPr>
        <w:ind w:left="1340" w:right="360" w:hanging="1314"/>
        <w:spacing w:after="0" w:line="235" w:lineRule="auto"/>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6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6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WESTLAKE CHEMICAL PARTNERS LP</w:t>
      </w:r>
    </w:p>
    <w:p>
      <w:pPr>
        <w:spacing w:after="0" w:line="243" w:lineRule="exact"/>
        <w:rPr>
          <w:sz w:val="20"/>
          <w:szCs w:val="20"/>
          <w:color w:val="auto"/>
        </w:rPr>
      </w:pPr>
    </w:p>
    <w:p>
      <w:pPr>
        <w:ind w:left="20"/>
        <w:spacing w:after="0"/>
        <w:tabs>
          <w:tab w:leader="none" w:pos="600" w:val="left"/>
          <w:tab w:leader="none" w:pos="6160" w:val="left"/>
          <w:tab w:leader="none" w:pos="8240" w:val="left"/>
          <w:tab w:leader="none" w:pos="8580" w:val="left"/>
        </w:tabs>
        <w:rPr>
          <w:sz w:val="20"/>
          <w:szCs w:val="20"/>
          <w:color w:val="auto"/>
        </w:rPr>
      </w:pPr>
      <w:r>
        <w:rPr>
          <w:rFonts w:ascii="Arial" w:cs="Arial" w:eastAsia="Arial" w:hAnsi="Arial"/>
          <w:sz w:val="18"/>
          <w:szCs w:val="18"/>
          <w:color w:val="auto"/>
        </w:rPr>
        <w:t>Date:</w:t>
        <w:tab/>
        <w:t>August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LBERT</w:t>
      </w:r>
      <w:r>
        <w:rPr>
          <w:rFonts w:ascii="Arial" w:cs="Arial" w:eastAsia="Arial" w:hAnsi="Arial"/>
          <w:sz w:val="18"/>
          <w:szCs w:val="18"/>
          <w:color w:val="auto"/>
        </w:rPr>
        <w:t xml:space="preserve"> C</w:t>
      </w:r>
      <w:r>
        <w:rPr>
          <w:rFonts w:ascii="Arial" w:cs="Arial" w:eastAsia="Arial" w:hAnsi="Arial"/>
          <w:sz w:val="14"/>
          <w:szCs w:val="14"/>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14605</wp:posOffset>
            </wp:positionV>
            <wp:extent cx="28117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8" w:lineRule="exact"/>
        <w:rPr>
          <w:sz w:val="20"/>
          <w:szCs w:val="20"/>
          <w:color w:val="auto"/>
        </w:rPr>
      </w:pPr>
    </w:p>
    <w:p>
      <w:pPr>
        <w:ind w:left="8720"/>
        <w:spacing w:after="0"/>
        <w:rPr>
          <w:sz w:val="20"/>
          <w:szCs w:val="20"/>
          <w:color w:val="auto"/>
        </w:rPr>
      </w:pPr>
      <w:r>
        <w:rPr>
          <w:rFonts w:ascii="Arial" w:cs="Arial" w:eastAsia="Arial" w:hAnsi="Arial"/>
          <w:sz w:val="14"/>
          <w:szCs w:val="14"/>
          <w:b w:val="1"/>
          <w:bCs w:val="1"/>
          <w:color w:val="auto"/>
        </w:rPr>
        <w:t>Albert Chao</w:t>
      </w:r>
    </w:p>
    <w:p>
      <w:pPr>
        <w:spacing w:after="0" w:line="28" w:lineRule="exact"/>
        <w:rPr>
          <w:sz w:val="20"/>
          <w:szCs w:val="20"/>
          <w:color w:val="auto"/>
        </w:rPr>
      </w:pPr>
    </w:p>
    <w:p>
      <w:pPr>
        <w:ind w:left="7560"/>
        <w:spacing w:after="0"/>
        <w:rPr>
          <w:sz w:val="20"/>
          <w:szCs w:val="20"/>
          <w:color w:val="auto"/>
        </w:rPr>
      </w:pPr>
      <w:r>
        <w:rPr>
          <w:rFonts w:ascii="Arial" w:cs="Arial" w:eastAsia="Arial" w:hAnsi="Arial"/>
          <w:sz w:val="13"/>
          <w:szCs w:val="13"/>
          <w:b w:val="1"/>
          <w:bCs w:val="1"/>
          <w:color w:val="auto"/>
        </w:rPr>
        <w:t>President, Chief Executive Officer and Director of</w:t>
      </w:r>
    </w:p>
    <w:p>
      <w:pPr>
        <w:jc w:val="center"/>
        <w:ind w:left="6940"/>
        <w:spacing w:after="0" w:line="203" w:lineRule="auto"/>
        <w:rPr>
          <w:sz w:val="20"/>
          <w:szCs w:val="20"/>
          <w:color w:val="auto"/>
        </w:rPr>
      </w:pPr>
      <w:r>
        <w:rPr>
          <w:rFonts w:ascii="Arial" w:cs="Arial" w:eastAsia="Arial" w:hAnsi="Arial"/>
          <w:sz w:val="14"/>
          <w:szCs w:val="14"/>
          <w:b w:val="1"/>
          <w:bCs w:val="1"/>
          <w:color w:val="auto"/>
        </w:rPr>
        <w:t>Westlake Chemical Partners GP LLC</w:t>
      </w:r>
    </w:p>
    <w:p>
      <w:pPr>
        <w:jc w:val="center"/>
        <w:ind w:left="6940"/>
        <w:spacing w:after="0"/>
        <w:rPr>
          <w:sz w:val="20"/>
          <w:szCs w:val="20"/>
          <w:color w:val="auto"/>
        </w:rPr>
      </w:pPr>
      <w:r>
        <w:rPr>
          <w:rFonts w:ascii="Arial" w:cs="Arial" w:eastAsia="Arial" w:hAnsi="Arial"/>
          <w:sz w:val="14"/>
          <w:szCs w:val="14"/>
          <w:b w:val="1"/>
          <w:bCs w:val="1"/>
          <w:color w:val="auto"/>
        </w:rPr>
        <w:t>(Principal Executive Officer)</w:t>
      </w:r>
    </w:p>
    <w:p>
      <w:pPr>
        <w:spacing w:after="0" w:line="290" w:lineRule="exact"/>
        <w:rPr>
          <w:sz w:val="20"/>
          <w:szCs w:val="20"/>
          <w:color w:val="auto"/>
        </w:rPr>
      </w:pPr>
    </w:p>
    <w:p>
      <w:pPr>
        <w:ind w:left="20"/>
        <w:spacing w:after="0"/>
        <w:tabs>
          <w:tab w:leader="none" w:pos="600" w:val="left"/>
          <w:tab w:leader="none" w:pos="6160" w:val="left"/>
          <w:tab w:leader="none" w:pos="8020" w:val="left"/>
          <w:tab w:leader="none" w:pos="8380" w:val="left"/>
        </w:tabs>
        <w:rPr>
          <w:sz w:val="20"/>
          <w:szCs w:val="20"/>
          <w:color w:val="auto"/>
        </w:rPr>
      </w:pPr>
      <w:r>
        <w:rPr>
          <w:rFonts w:ascii="Arial" w:cs="Arial" w:eastAsia="Arial" w:hAnsi="Arial"/>
          <w:sz w:val="18"/>
          <w:szCs w:val="18"/>
          <w:color w:val="auto"/>
        </w:rPr>
        <w:t>Date:</w:t>
        <w:tab/>
        <w:t>August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14605</wp:posOffset>
            </wp:positionV>
            <wp:extent cx="28117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8"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M. Steven Bender</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Vice President, Chief Financial Officer and</w:t>
      </w:r>
    </w:p>
    <w:p>
      <w:pPr>
        <w:jc w:val="center"/>
        <w:ind w:left="6940"/>
        <w:spacing w:after="0" w:line="201" w:lineRule="auto"/>
        <w:rPr>
          <w:sz w:val="20"/>
          <w:szCs w:val="20"/>
          <w:color w:val="auto"/>
        </w:rPr>
      </w:pPr>
      <w:r>
        <w:rPr>
          <w:rFonts w:ascii="Arial" w:cs="Arial" w:eastAsia="Arial" w:hAnsi="Arial"/>
          <w:sz w:val="14"/>
          <w:szCs w:val="14"/>
          <w:b w:val="1"/>
          <w:bCs w:val="1"/>
          <w:color w:val="auto"/>
        </w:rPr>
        <w:t>Director of Westlake Chemical Partners GP LLC</w:t>
      </w:r>
    </w:p>
    <w:p>
      <w:pPr>
        <w:jc w:val="center"/>
        <w:ind w:left="6940"/>
        <w:spacing w:after="0"/>
        <w:rPr>
          <w:sz w:val="20"/>
          <w:szCs w:val="20"/>
          <w:color w:val="auto"/>
        </w:rPr>
      </w:pPr>
      <w:r>
        <w:rPr>
          <w:rFonts w:ascii="Arial" w:cs="Arial" w:eastAsia="Arial" w:hAnsi="Arial"/>
          <w:sz w:val="14"/>
          <w:szCs w:val="14"/>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720"/>
          </w:cols>
          <w:pgMar w:left="320" w:top="121" w:right="85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i w:val="1"/>
          <w:iCs w:val="1"/>
          <w:color w:val="auto"/>
        </w:rPr>
        <w:t>Exhibit 31.1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Albert Chao, certify that:</w:t>
      </w:r>
    </w:p>
    <w:p>
      <w:pPr>
        <w:spacing w:after="0" w:line="144" w:lineRule="exact"/>
        <w:rPr>
          <w:sz w:val="20"/>
          <w:szCs w:val="20"/>
          <w:color w:val="auto"/>
        </w:rPr>
      </w:pPr>
    </w:p>
    <w:p>
      <w:pPr>
        <w:ind w:left="680" w:hanging="654"/>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Westlake Chemical Partners LP;</w:t>
      </w:r>
    </w:p>
    <w:p>
      <w:pPr>
        <w:spacing w:after="0" w:line="130" w:lineRule="exact"/>
        <w:rPr>
          <w:rFonts w:ascii="Arial" w:cs="Arial" w:eastAsia="Arial" w:hAnsi="Arial"/>
          <w:sz w:val="18"/>
          <w:szCs w:val="18"/>
          <w:color w:val="auto"/>
        </w:rPr>
      </w:pPr>
    </w:p>
    <w:p>
      <w:pPr>
        <w:jc w:val="both"/>
        <w:ind w:left="680" w:right="100" w:hanging="654"/>
        <w:spacing w:after="0" w:line="224"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6" w:lineRule="exact"/>
        <w:rPr>
          <w:rFonts w:ascii="Arial" w:cs="Arial" w:eastAsia="Arial" w:hAnsi="Arial"/>
          <w:sz w:val="18"/>
          <w:szCs w:val="18"/>
          <w:color w:val="auto"/>
        </w:rPr>
      </w:pPr>
    </w:p>
    <w:p>
      <w:pPr>
        <w:ind w:left="680" w:right="60" w:hanging="654"/>
        <w:spacing w:after="0" w:line="258" w:lineRule="auto"/>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80" w:right="100" w:hanging="654"/>
        <w:spacing w:after="0" w:line="224"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6" w:lineRule="exact"/>
        <w:rPr>
          <w:rFonts w:ascii="Arial" w:cs="Arial" w:eastAsia="Arial" w:hAnsi="Arial"/>
          <w:sz w:val="18"/>
          <w:szCs w:val="18"/>
          <w:color w:val="auto"/>
        </w:rPr>
      </w:pPr>
    </w:p>
    <w:p>
      <w:pPr>
        <w:ind w:left="1340" w:right="100" w:hanging="666"/>
        <w:spacing w:after="0" w:line="224" w:lineRule="auto"/>
        <w:tabs>
          <w:tab w:leader="none" w:pos="13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8"/>
          <w:szCs w:val="18"/>
          <w:color w:val="auto"/>
        </w:rPr>
      </w:pPr>
    </w:p>
    <w:p>
      <w:pPr>
        <w:ind w:left="1340" w:right="140" w:hanging="666"/>
        <w:spacing w:after="0" w:line="224" w:lineRule="auto"/>
        <w:tabs>
          <w:tab w:leader="none" w:pos="13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6" w:lineRule="exact"/>
        <w:rPr>
          <w:rFonts w:ascii="Arial" w:cs="Arial" w:eastAsia="Arial" w:hAnsi="Arial"/>
          <w:sz w:val="18"/>
          <w:szCs w:val="18"/>
          <w:color w:val="auto"/>
        </w:rPr>
      </w:pPr>
    </w:p>
    <w:p>
      <w:pPr>
        <w:ind w:left="1340" w:right="180" w:hanging="666"/>
        <w:spacing w:after="0" w:line="289" w:lineRule="auto"/>
        <w:tabs>
          <w:tab w:leader="none" w:pos="134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40" w:right="260" w:hanging="666"/>
        <w:spacing w:after="0" w:line="224" w:lineRule="auto"/>
        <w:tabs>
          <w:tab w:leader="none" w:pos="13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6" w:lineRule="exact"/>
        <w:rPr>
          <w:rFonts w:ascii="Arial" w:cs="Arial" w:eastAsia="Arial" w:hAnsi="Arial"/>
          <w:sz w:val="18"/>
          <w:szCs w:val="18"/>
          <w:color w:val="auto"/>
        </w:rPr>
      </w:pPr>
    </w:p>
    <w:p>
      <w:pPr>
        <w:ind w:left="680" w:right="260" w:hanging="654"/>
        <w:spacing w:after="0" w:line="289" w:lineRule="auto"/>
        <w:tabs>
          <w:tab w:leader="none" w:pos="6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40" w:right="480" w:hanging="666"/>
        <w:spacing w:after="0" w:line="289" w:lineRule="auto"/>
        <w:tabs>
          <w:tab w:leader="none" w:pos="134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Arial" w:cs="Arial" w:eastAsia="Arial" w:hAnsi="Arial"/>
          <w:sz w:val="16"/>
          <w:szCs w:val="16"/>
          <w:color w:val="auto"/>
        </w:rPr>
      </w:pPr>
    </w:p>
    <w:p>
      <w:pPr>
        <w:ind w:left="1340" w:right="180" w:hanging="666"/>
        <w:spacing w:after="0" w:line="235" w:lineRule="auto"/>
        <w:tabs>
          <w:tab w:leader="none" w:pos="13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6" w:lineRule="exact"/>
        <w:rPr>
          <w:sz w:val="20"/>
          <w:szCs w:val="20"/>
          <w:color w:val="auto"/>
        </w:rPr>
      </w:pPr>
    </w:p>
    <w:p>
      <w:pPr>
        <w:ind w:left="20"/>
        <w:spacing w:after="0"/>
        <w:tabs>
          <w:tab w:leader="none" w:pos="600" w:val="left"/>
          <w:tab w:leader="none" w:pos="8220" w:val="left"/>
          <w:tab w:leader="none" w:pos="8580" w:val="left"/>
        </w:tabs>
        <w:rPr>
          <w:sz w:val="20"/>
          <w:szCs w:val="20"/>
          <w:color w:val="auto"/>
        </w:rPr>
      </w:pPr>
      <w:r>
        <w:rPr>
          <w:rFonts w:ascii="Arial" w:cs="Arial" w:eastAsia="Arial" w:hAnsi="Arial"/>
          <w:sz w:val="18"/>
          <w:szCs w:val="18"/>
          <w:color w:val="auto"/>
        </w:rPr>
        <w:t>Date:</w:t>
        <w:tab/>
        <w:t>August 4, 2021</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w:t>
      </w:r>
      <w:r>
        <w:rPr>
          <w:rFonts w:ascii="Arial" w:cs="Arial" w:eastAsia="Arial" w:hAnsi="Arial"/>
          <w:sz w:val="13"/>
          <w:szCs w:val="13"/>
          <w:color w:val="auto"/>
        </w:rPr>
        <w:t>LBERT</w:t>
      </w:r>
      <w:r>
        <w:rPr>
          <w:rFonts w:ascii="Arial" w:cs="Arial" w:eastAsia="Arial" w:hAnsi="Arial"/>
          <w:sz w:val="17"/>
          <w:szCs w:val="17"/>
          <w:color w:val="auto"/>
        </w:rPr>
        <w:t xml:space="preserve"> C</w:t>
      </w:r>
      <w:r>
        <w:rPr>
          <w:rFonts w:ascii="Arial" w:cs="Arial" w:eastAsia="Arial" w:hAnsi="Arial"/>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14605</wp:posOffset>
            </wp:positionV>
            <wp:extent cx="28200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8"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Albert Chao</w:t>
      </w:r>
    </w:p>
    <w:p>
      <w:pPr>
        <w:spacing w:after="0" w:line="18" w:lineRule="exact"/>
        <w:rPr>
          <w:sz w:val="20"/>
          <w:szCs w:val="20"/>
          <w:color w:val="auto"/>
        </w:rPr>
      </w:pPr>
    </w:p>
    <w:p>
      <w:pPr>
        <w:ind w:left="7540"/>
        <w:spacing w:after="0"/>
        <w:rPr>
          <w:sz w:val="20"/>
          <w:szCs w:val="20"/>
          <w:color w:val="auto"/>
        </w:rPr>
      </w:pPr>
      <w:r>
        <w:rPr>
          <w:rFonts w:ascii="Arial" w:cs="Arial" w:eastAsia="Arial" w:hAnsi="Arial"/>
          <w:sz w:val="14"/>
          <w:szCs w:val="14"/>
          <w:b w:val="1"/>
          <w:bCs w:val="1"/>
          <w:color w:val="auto"/>
        </w:rPr>
        <w:t>President, Chief Executive Officer and Director of</w:t>
      </w:r>
    </w:p>
    <w:p>
      <w:pPr>
        <w:jc w:val="center"/>
        <w:ind w:left="6920"/>
        <w:spacing w:after="0" w:line="201" w:lineRule="auto"/>
        <w:rPr>
          <w:sz w:val="20"/>
          <w:szCs w:val="20"/>
          <w:color w:val="auto"/>
        </w:rPr>
      </w:pPr>
      <w:r>
        <w:rPr>
          <w:rFonts w:ascii="Arial" w:cs="Arial" w:eastAsia="Arial" w:hAnsi="Arial"/>
          <w:sz w:val="14"/>
          <w:szCs w:val="14"/>
          <w:b w:val="1"/>
          <w:bCs w:val="1"/>
          <w:color w:val="auto"/>
        </w:rPr>
        <w:t>Westlake Chemical Partners GP LLC</w:t>
      </w:r>
    </w:p>
    <w:p>
      <w:pPr>
        <w:jc w:val="center"/>
        <w:ind w:left="692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240"/>
          </w:cols>
          <w:pgMar w:left="320" w:top="895"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i w:val="1"/>
          <w:iCs w:val="1"/>
          <w:color w:val="auto"/>
        </w:rPr>
        <w:t>Exhibit 31.2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 Steven Bender, certify that:</w:t>
      </w:r>
    </w:p>
    <w:p>
      <w:pPr>
        <w:spacing w:after="0" w:line="144" w:lineRule="exact"/>
        <w:rPr>
          <w:sz w:val="20"/>
          <w:szCs w:val="20"/>
          <w:color w:val="auto"/>
        </w:rPr>
      </w:pPr>
    </w:p>
    <w:p>
      <w:pPr>
        <w:ind w:left="680" w:hanging="654"/>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Westlake Chemical Partners LP;</w:t>
      </w:r>
    </w:p>
    <w:p>
      <w:pPr>
        <w:spacing w:after="0" w:line="130" w:lineRule="exact"/>
        <w:rPr>
          <w:rFonts w:ascii="Arial" w:cs="Arial" w:eastAsia="Arial" w:hAnsi="Arial"/>
          <w:sz w:val="18"/>
          <w:szCs w:val="18"/>
          <w:color w:val="auto"/>
        </w:rPr>
      </w:pPr>
    </w:p>
    <w:p>
      <w:pPr>
        <w:jc w:val="both"/>
        <w:ind w:left="680" w:right="100" w:hanging="654"/>
        <w:spacing w:after="0" w:line="224"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6" w:lineRule="exact"/>
        <w:rPr>
          <w:rFonts w:ascii="Arial" w:cs="Arial" w:eastAsia="Arial" w:hAnsi="Arial"/>
          <w:sz w:val="18"/>
          <w:szCs w:val="18"/>
          <w:color w:val="auto"/>
        </w:rPr>
      </w:pPr>
    </w:p>
    <w:p>
      <w:pPr>
        <w:ind w:left="680" w:right="60" w:hanging="654"/>
        <w:spacing w:after="0" w:line="258" w:lineRule="auto"/>
        <w:tabs>
          <w:tab w:leader="none" w:pos="6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80" w:right="100" w:hanging="654"/>
        <w:spacing w:after="0" w:line="224"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6" w:lineRule="exact"/>
        <w:rPr>
          <w:rFonts w:ascii="Arial" w:cs="Arial" w:eastAsia="Arial" w:hAnsi="Arial"/>
          <w:sz w:val="18"/>
          <w:szCs w:val="18"/>
          <w:color w:val="auto"/>
        </w:rPr>
      </w:pPr>
    </w:p>
    <w:p>
      <w:pPr>
        <w:ind w:left="1340" w:right="100" w:hanging="666"/>
        <w:spacing w:after="0" w:line="224" w:lineRule="auto"/>
        <w:tabs>
          <w:tab w:leader="none" w:pos="13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8"/>
          <w:szCs w:val="18"/>
          <w:color w:val="auto"/>
        </w:rPr>
      </w:pPr>
    </w:p>
    <w:p>
      <w:pPr>
        <w:ind w:left="1340" w:right="140" w:hanging="666"/>
        <w:spacing w:after="0" w:line="224" w:lineRule="auto"/>
        <w:tabs>
          <w:tab w:leader="none" w:pos="13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6" w:lineRule="exact"/>
        <w:rPr>
          <w:rFonts w:ascii="Arial" w:cs="Arial" w:eastAsia="Arial" w:hAnsi="Arial"/>
          <w:sz w:val="18"/>
          <w:szCs w:val="18"/>
          <w:color w:val="auto"/>
        </w:rPr>
      </w:pPr>
    </w:p>
    <w:p>
      <w:pPr>
        <w:ind w:left="1340" w:right="180" w:hanging="666"/>
        <w:spacing w:after="0" w:line="289" w:lineRule="auto"/>
        <w:tabs>
          <w:tab w:leader="none" w:pos="13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40" w:right="260" w:hanging="666"/>
        <w:spacing w:after="0" w:line="224" w:lineRule="auto"/>
        <w:tabs>
          <w:tab w:leader="none" w:pos="13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6" w:lineRule="exact"/>
        <w:rPr>
          <w:rFonts w:ascii="Arial" w:cs="Arial" w:eastAsia="Arial" w:hAnsi="Arial"/>
          <w:sz w:val="18"/>
          <w:szCs w:val="18"/>
          <w:color w:val="auto"/>
        </w:rPr>
      </w:pPr>
    </w:p>
    <w:p>
      <w:pPr>
        <w:ind w:left="680" w:right="260" w:hanging="654"/>
        <w:spacing w:after="0" w:line="289" w:lineRule="auto"/>
        <w:tabs>
          <w:tab w:leader="none" w:pos="6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40" w:right="480" w:hanging="666"/>
        <w:spacing w:after="0" w:line="289" w:lineRule="auto"/>
        <w:tabs>
          <w:tab w:leader="none" w:pos="13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Arial" w:cs="Arial" w:eastAsia="Arial" w:hAnsi="Arial"/>
          <w:sz w:val="16"/>
          <w:szCs w:val="16"/>
          <w:color w:val="auto"/>
        </w:rPr>
      </w:pPr>
    </w:p>
    <w:p>
      <w:pPr>
        <w:ind w:left="1340" w:right="180" w:hanging="666"/>
        <w:spacing w:after="0" w:line="235" w:lineRule="auto"/>
        <w:tabs>
          <w:tab w:leader="none" w:pos="13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6" w:lineRule="exact"/>
        <w:rPr>
          <w:sz w:val="20"/>
          <w:szCs w:val="20"/>
          <w:color w:val="auto"/>
        </w:rPr>
      </w:pPr>
    </w:p>
    <w:p>
      <w:pPr>
        <w:ind w:left="20"/>
        <w:spacing w:after="0"/>
        <w:tabs>
          <w:tab w:leader="none" w:pos="600" w:val="left"/>
          <w:tab w:leader="none" w:pos="8220" w:val="left"/>
        </w:tabs>
        <w:rPr>
          <w:sz w:val="20"/>
          <w:szCs w:val="20"/>
          <w:color w:val="auto"/>
        </w:rPr>
      </w:pPr>
      <w:r>
        <w:rPr>
          <w:rFonts w:ascii="Arial" w:cs="Arial" w:eastAsia="Arial" w:hAnsi="Arial"/>
          <w:sz w:val="18"/>
          <w:szCs w:val="18"/>
          <w:color w:val="auto"/>
        </w:rPr>
        <w:t>Date:</w:t>
        <w:tab/>
        <w:t>August 4, 2021</w:t>
      </w:r>
      <w:r>
        <w:rPr>
          <w:sz w:val="20"/>
          <w:szCs w:val="20"/>
          <w:color w:val="auto"/>
        </w:rPr>
        <w:tab/>
      </w: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 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14605</wp:posOffset>
            </wp:positionV>
            <wp:extent cx="28200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8" w:lineRule="exact"/>
        <w:rPr>
          <w:sz w:val="20"/>
          <w:szCs w:val="20"/>
          <w:color w:val="auto"/>
        </w:rPr>
      </w:pPr>
    </w:p>
    <w:p>
      <w:pPr>
        <w:ind w:left="8540"/>
        <w:spacing w:after="0"/>
        <w:rPr>
          <w:sz w:val="20"/>
          <w:szCs w:val="20"/>
          <w:color w:val="auto"/>
        </w:rPr>
      </w:pPr>
      <w:r>
        <w:rPr>
          <w:rFonts w:ascii="Arial" w:cs="Arial" w:eastAsia="Arial" w:hAnsi="Arial"/>
          <w:sz w:val="14"/>
          <w:szCs w:val="14"/>
          <w:b w:val="1"/>
          <w:bCs w:val="1"/>
          <w:color w:val="auto"/>
        </w:rPr>
        <w:t>M. Steven Bender</w:t>
      </w:r>
    </w:p>
    <w:p>
      <w:pPr>
        <w:spacing w:after="0" w:line="28" w:lineRule="exact"/>
        <w:rPr>
          <w:sz w:val="20"/>
          <w:szCs w:val="20"/>
          <w:color w:val="auto"/>
        </w:rPr>
      </w:pPr>
    </w:p>
    <w:p>
      <w:pPr>
        <w:ind w:left="7100"/>
        <w:spacing w:after="0"/>
        <w:rPr>
          <w:sz w:val="20"/>
          <w:szCs w:val="20"/>
          <w:color w:val="auto"/>
        </w:rPr>
      </w:pPr>
      <w:r>
        <w:rPr>
          <w:rFonts w:ascii="Arial" w:cs="Arial" w:eastAsia="Arial" w:hAnsi="Arial"/>
          <w:sz w:val="13"/>
          <w:szCs w:val="13"/>
          <w:b w:val="1"/>
          <w:bCs w:val="1"/>
          <w:color w:val="auto"/>
        </w:rPr>
        <w:t>Executive Vice President, Chief Financial Officer and Director of</w:t>
      </w:r>
    </w:p>
    <w:p>
      <w:pPr>
        <w:jc w:val="center"/>
        <w:ind w:left="6920"/>
        <w:spacing w:after="0" w:line="203" w:lineRule="auto"/>
        <w:rPr>
          <w:sz w:val="20"/>
          <w:szCs w:val="20"/>
          <w:color w:val="auto"/>
        </w:rPr>
      </w:pPr>
      <w:r>
        <w:rPr>
          <w:rFonts w:ascii="Arial" w:cs="Arial" w:eastAsia="Arial" w:hAnsi="Arial"/>
          <w:sz w:val="14"/>
          <w:szCs w:val="14"/>
          <w:b w:val="1"/>
          <w:bCs w:val="1"/>
          <w:color w:val="auto"/>
        </w:rPr>
        <w:t>Westlake Chemical Partners GP LLC</w:t>
      </w:r>
    </w:p>
    <w:p>
      <w:pPr>
        <w:jc w:val="center"/>
        <w:ind w:left="69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240"/>
          </w:cols>
          <w:pgMar w:left="320" w:top="895"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i w:val="1"/>
          <w:iCs w:val="1"/>
          <w:color w:val="auto"/>
        </w:rPr>
        <w:t>Exhibit 32.1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00" w:firstLine="445"/>
        <w:spacing w:after="0" w:line="279" w:lineRule="auto"/>
        <w:rPr>
          <w:sz w:val="20"/>
          <w:szCs w:val="20"/>
          <w:color w:val="auto"/>
        </w:rPr>
      </w:pPr>
      <w:r>
        <w:rPr>
          <w:rFonts w:ascii="Arial" w:cs="Arial" w:eastAsia="Arial" w:hAnsi="Arial"/>
          <w:sz w:val="17"/>
          <w:szCs w:val="17"/>
          <w:color w:val="auto"/>
        </w:rPr>
        <w:t>In connection with the Quarterly Report of Westlake Chemical Partners LP (the "Partnership") on Form 10-Q for the fiscal quarter ended June 30, 2021 as filed with the Securities and Exchange Commission on the date hereof (the "Report"), I, Albert Chao, President, Chief Executive Officer and Director of the Partnership, and I, M. Steven Bender, Senior Vice President, Chief Financial Officer and Director of the Partnership, certify, to the best of our knowledge, pursuant to 18 U.S.C. §1350, as adopted pursuant to §906 of the Sarbanes-Oxley Act of 2002, that:</w:t>
      </w:r>
    </w:p>
    <w:p>
      <w:pPr>
        <w:spacing w:after="0" w:line="63" w:lineRule="exact"/>
        <w:rPr>
          <w:sz w:val="20"/>
          <w:szCs w:val="20"/>
          <w:color w:val="auto"/>
        </w:rPr>
      </w:pPr>
    </w:p>
    <w:p>
      <w:pPr>
        <w:ind w:left="560" w:hanging="309"/>
        <w:spacing w:after="0"/>
        <w:tabs>
          <w:tab w:leader="none" w:pos="5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60" w:hanging="309"/>
        <w:spacing w:after="0"/>
        <w:tabs>
          <w:tab w:leader="none" w:pos="5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aspects, the financial condition and results of operations of the Partnership.</w:t>
      </w:r>
    </w:p>
    <w:p>
      <w:pPr>
        <w:spacing w:after="0" w:line="200" w:lineRule="exact"/>
        <w:rPr>
          <w:sz w:val="20"/>
          <w:szCs w:val="20"/>
          <w:color w:val="auto"/>
        </w:rPr>
      </w:pPr>
    </w:p>
    <w:p>
      <w:pPr>
        <w:spacing w:after="0" w:line="291" w:lineRule="exact"/>
        <w:rPr>
          <w:sz w:val="20"/>
          <w:szCs w:val="20"/>
          <w:color w:val="auto"/>
        </w:rPr>
      </w:pPr>
    </w:p>
    <w:p>
      <w:pPr>
        <w:ind w:left="20"/>
        <w:spacing w:after="0"/>
        <w:tabs>
          <w:tab w:leader="none" w:pos="600" w:val="left"/>
          <w:tab w:leader="none" w:pos="8220" w:val="left"/>
          <w:tab w:leader="none" w:pos="8580" w:val="left"/>
        </w:tabs>
        <w:rPr>
          <w:sz w:val="20"/>
          <w:szCs w:val="20"/>
          <w:color w:val="auto"/>
        </w:rPr>
      </w:pPr>
      <w:r>
        <w:rPr>
          <w:rFonts w:ascii="Arial" w:cs="Arial" w:eastAsia="Arial" w:hAnsi="Arial"/>
          <w:sz w:val="18"/>
          <w:szCs w:val="18"/>
          <w:color w:val="auto"/>
        </w:rPr>
        <w:t>Date:</w:t>
        <w:tab/>
        <w:t>August 4, 2021</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w:t>
      </w:r>
      <w:r>
        <w:rPr>
          <w:rFonts w:ascii="Arial" w:cs="Arial" w:eastAsia="Arial" w:hAnsi="Arial"/>
          <w:sz w:val="13"/>
          <w:szCs w:val="13"/>
          <w:color w:val="auto"/>
        </w:rPr>
        <w:t>LBERT</w:t>
      </w:r>
      <w:r>
        <w:rPr>
          <w:rFonts w:ascii="Arial" w:cs="Arial" w:eastAsia="Arial" w:hAnsi="Arial"/>
          <w:sz w:val="17"/>
          <w:szCs w:val="17"/>
          <w:color w:val="auto"/>
        </w:rPr>
        <w:t xml:space="preserve"> C</w:t>
      </w:r>
      <w:r>
        <w:rPr>
          <w:rFonts w:ascii="Arial" w:cs="Arial" w:eastAsia="Arial" w:hAnsi="Arial"/>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14605</wp:posOffset>
            </wp:positionV>
            <wp:extent cx="28200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8"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Albert Chao</w:t>
      </w:r>
    </w:p>
    <w:p>
      <w:pPr>
        <w:spacing w:after="0" w:line="18" w:lineRule="exact"/>
        <w:rPr>
          <w:sz w:val="20"/>
          <w:szCs w:val="20"/>
          <w:color w:val="auto"/>
        </w:rPr>
      </w:pPr>
    </w:p>
    <w:p>
      <w:pPr>
        <w:ind w:left="7540"/>
        <w:spacing w:after="0"/>
        <w:rPr>
          <w:sz w:val="20"/>
          <w:szCs w:val="20"/>
          <w:color w:val="auto"/>
        </w:rPr>
      </w:pPr>
      <w:r>
        <w:rPr>
          <w:rFonts w:ascii="Arial" w:cs="Arial" w:eastAsia="Arial" w:hAnsi="Arial"/>
          <w:sz w:val="14"/>
          <w:szCs w:val="14"/>
          <w:b w:val="1"/>
          <w:bCs w:val="1"/>
          <w:color w:val="auto"/>
        </w:rPr>
        <w:t>President, Chief Executive Officer and Director of</w:t>
      </w:r>
    </w:p>
    <w:p>
      <w:pPr>
        <w:jc w:val="center"/>
        <w:ind w:left="6920"/>
        <w:spacing w:after="0" w:line="201" w:lineRule="auto"/>
        <w:rPr>
          <w:sz w:val="20"/>
          <w:szCs w:val="20"/>
          <w:color w:val="auto"/>
        </w:rPr>
      </w:pPr>
      <w:r>
        <w:rPr>
          <w:rFonts w:ascii="Arial" w:cs="Arial" w:eastAsia="Arial" w:hAnsi="Arial"/>
          <w:sz w:val="14"/>
          <w:szCs w:val="14"/>
          <w:b w:val="1"/>
          <w:bCs w:val="1"/>
          <w:color w:val="auto"/>
        </w:rPr>
        <w:t>Westlake Chemical Partners GP LLC</w:t>
      </w:r>
    </w:p>
    <w:p>
      <w:pPr>
        <w:jc w:val="center"/>
        <w:ind w:left="6920"/>
        <w:spacing w:after="0"/>
        <w:rPr>
          <w:sz w:val="20"/>
          <w:szCs w:val="20"/>
          <w:color w:val="auto"/>
        </w:rPr>
      </w:pPr>
      <w:r>
        <w:rPr>
          <w:rFonts w:ascii="Arial" w:cs="Arial" w:eastAsia="Arial" w:hAnsi="Arial"/>
          <w:sz w:val="14"/>
          <w:szCs w:val="14"/>
          <w:b w:val="1"/>
          <w:bCs w:val="1"/>
          <w:color w:val="auto"/>
        </w:rPr>
        <w:t>(Principal Executive Officer)</w:t>
      </w:r>
    </w:p>
    <w:p>
      <w:pPr>
        <w:spacing w:after="0" w:line="331" w:lineRule="exact"/>
        <w:rPr>
          <w:sz w:val="20"/>
          <w:szCs w:val="20"/>
          <w:color w:val="auto"/>
        </w:rPr>
      </w:pPr>
    </w:p>
    <w:p>
      <w:pPr>
        <w:ind w:left="20"/>
        <w:spacing w:after="0"/>
        <w:tabs>
          <w:tab w:leader="none" w:pos="600" w:val="left"/>
          <w:tab w:leader="none" w:pos="8020" w:val="left"/>
          <w:tab w:leader="none" w:pos="8360" w:val="left"/>
        </w:tabs>
        <w:rPr>
          <w:sz w:val="20"/>
          <w:szCs w:val="20"/>
          <w:color w:val="auto"/>
        </w:rPr>
      </w:pPr>
      <w:r>
        <w:rPr>
          <w:rFonts w:ascii="Arial" w:cs="Arial" w:eastAsia="Arial" w:hAnsi="Arial"/>
          <w:sz w:val="18"/>
          <w:szCs w:val="18"/>
          <w:color w:val="auto"/>
        </w:rPr>
        <w:t>Date:</w:t>
        <w:tab/>
        <w:t>August 4, 2021</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14605</wp:posOffset>
            </wp:positionV>
            <wp:extent cx="28200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8" w:lineRule="exact"/>
        <w:rPr>
          <w:sz w:val="20"/>
          <w:szCs w:val="20"/>
          <w:color w:val="auto"/>
        </w:rPr>
      </w:pPr>
    </w:p>
    <w:p>
      <w:pPr>
        <w:ind w:left="8540"/>
        <w:spacing w:after="0"/>
        <w:rPr>
          <w:sz w:val="20"/>
          <w:szCs w:val="20"/>
          <w:color w:val="auto"/>
        </w:rPr>
      </w:pPr>
      <w:r>
        <w:rPr>
          <w:rFonts w:ascii="Arial" w:cs="Arial" w:eastAsia="Arial" w:hAnsi="Arial"/>
          <w:sz w:val="14"/>
          <w:szCs w:val="14"/>
          <w:b w:val="1"/>
          <w:bCs w:val="1"/>
          <w:color w:val="auto"/>
        </w:rPr>
        <w:t>M. Steven Bender</w:t>
      </w:r>
    </w:p>
    <w:p>
      <w:pPr>
        <w:spacing w:after="0" w:line="18"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Executive Vice President, Chief Financial Officer and</w:t>
      </w:r>
    </w:p>
    <w:p>
      <w:pPr>
        <w:jc w:val="center"/>
        <w:ind w:left="6920"/>
        <w:spacing w:after="0" w:line="201" w:lineRule="auto"/>
        <w:rPr>
          <w:sz w:val="20"/>
          <w:szCs w:val="20"/>
          <w:color w:val="auto"/>
        </w:rPr>
      </w:pPr>
      <w:r>
        <w:rPr>
          <w:rFonts w:ascii="Arial" w:cs="Arial" w:eastAsia="Arial" w:hAnsi="Arial"/>
          <w:sz w:val="14"/>
          <w:szCs w:val="14"/>
          <w:b w:val="1"/>
          <w:bCs w:val="1"/>
          <w:color w:val="auto"/>
        </w:rPr>
        <w:t>Director of Westlake Chemical Partners GP LLC</w:t>
      </w:r>
    </w:p>
    <w:p>
      <w:pPr>
        <w:jc w:val="center"/>
        <w:ind w:left="6920"/>
        <w:spacing w:after="0"/>
        <w:rPr>
          <w:sz w:val="20"/>
          <w:szCs w:val="20"/>
          <w:color w:val="auto"/>
        </w:rPr>
      </w:pPr>
      <w:r>
        <w:rPr>
          <w:rFonts w:ascii="Arial" w:cs="Arial" w:eastAsia="Arial" w:hAnsi="Arial"/>
          <w:sz w:val="14"/>
          <w:szCs w:val="14"/>
          <w:b w:val="1"/>
          <w:bCs w:val="1"/>
          <w:color w:val="auto"/>
        </w:rPr>
        <w:t>(Principal Financial Officer)</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1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04"/>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2021-08-04T12:10:00Z</dcterms:created>
  <dcterms:modified xsi:type="dcterms:W3CDTF">2021-08-04T12:10:00Z</dcterms:modified>
</cp:coreProperties>
</file>