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158750</wp:posOffset>
            </wp:positionV>
            <wp:extent cx="3370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127000</wp:posOffset>
            </wp:positionV>
            <wp:extent cx="3370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720" w:right="1900" w:hanging="685"/>
        <w:spacing w:after="0" w:line="313" w:lineRule="auto"/>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jc w:val="center"/>
        <w:ind w:right="-19"/>
        <w:spacing w:after="0"/>
        <w:rPr>
          <w:sz w:val="20"/>
          <w:szCs w:val="20"/>
          <w:color w:val="auto"/>
        </w:rPr>
      </w:pPr>
      <w:r>
        <w:rPr>
          <w:rFonts w:ascii="Arial" w:cs="Arial" w:eastAsia="Arial" w:hAnsi="Arial"/>
          <w:sz w:val="18"/>
          <w:szCs w:val="18"/>
          <w:b w:val="1"/>
          <w:bCs w:val="1"/>
          <w:color w:val="auto"/>
        </w:rPr>
        <w:t>or</w:t>
      </w:r>
    </w:p>
    <w:p>
      <w:pPr>
        <w:ind w:left="720" w:hanging="685"/>
        <w:spacing w:after="0" w:line="213"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8" w:lineRule="exact"/>
        <w:rPr>
          <w:sz w:val="24"/>
          <w:szCs w:val="24"/>
          <w:color w:val="auto"/>
        </w:rPr>
      </w:pPr>
    </w:p>
    <w:p>
      <w:pPr>
        <w:ind w:left="720"/>
        <w:spacing w:after="0"/>
        <w:tabs>
          <w:tab w:leader="none" w:pos="3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001-36567</w:t>
      </w: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Westlake Chemical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-302895</wp:posOffset>
            </wp:positionV>
            <wp:extent cx="3370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90805</wp:posOffset>
            </wp:positionV>
            <wp:extent cx="3370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420" w:type="dxa"/>
        <w:tblCellMar>
          <w:top w:w="0" w:type="dxa"/>
          <w:left w:w="0" w:type="dxa"/>
          <w:bottom w:w="0" w:type="dxa"/>
          <w:right w:w="0" w:type="dxa"/>
        </w:tblCellMar>
      </w:tblPr>
      <w:tr>
        <w:trPr>
          <w:trHeight w:val="234"/>
        </w:trPr>
        <w:tc>
          <w:tcPr>
            <w:tcW w:w="6960" w:type="dxa"/>
            <w:vAlign w:val="bottom"/>
            <w:gridSpan w:val="2"/>
          </w:tcPr>
          <w:p>
            <w:pPr>
              <w:jc w:val="center"/>
              <w:ind w:right="2096"/>
              <w:spacing w:after="0"/>
              <w:rPr>
                <w:sz w:val="20"/>
                <w:szCs w:val="20"/>
                <w:color w:val="auto"/>
              </w:rPr>
            </w:pPr>
            <w:r>
              <w:rPr>
                <w:rFonts w:ascii="Arial" w:cs="Arial" w:eastAsia="Arial" w:hAnsi="Arial"/>
                <w:sz w:val="18"/>
                <w:szCs w:val="18"/>
                <w:b w:val="1"/>
                <w:bCs w:val="1"/>
                <w:color w:val="auto"/>
                <w:w w:val="93"/>
              </w:rPr>
              <w:t>Delaware</w:t>
            </w:r>
          </w:p>
        </w:tc>
        <w:tc>
          <w:tcPr>
            <w:tcW w:w="2340" w:type="dxa"/>
            <w:vAlign w:val="bottom"/>
            <w:gridSpan w:val="3"/>
          </w:tcPr>
          <w:p>
            <w:pPr>
              <w:jc w:val="center"/>
              <w:ind w:left="301"/>
              <w:spacing w:after="0"/>
              <w:rPr>
                <w:sz w:val="20"/>
                <w:szCs w:val="20"/>
                <w:color w:val="auto"/>
              </w:rPr>
            </w:pPr>
            <w:r>
              <w:rPr>
                <w:rFonts w:ascii="Arial" w:cs="Arial" w:eastAsia="Arial" w:hAnsi="Arial"/>
                <w:sz w:val="18"/>
                <w:szCs w:val="18"/>
                <w:b w:val="1"/>
                <w:bCs w:val="1"/>
                <w:color w:val="auto"/>
                <w:w w:val="91"/>
              </w:rPr>
              <w:t>32-0436529</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960" w:type="dxa"/>
            <w:vAlign w:val="bottom"/>
            <w:gridSpan w:val="2"/>
          </w:tcPr>
          <w:p>
            <w:pPr>
              <w:jc w:val="center"/>
              <w:ind w:right="2096"/>
              <w:spacing w:after="0"/>
              <w:rPr>
                <w:sz w:val="20"/>
                <w:szCs w:val="20"/>
                <w:color w:val="auto"/>
              </w:rPr>
            </w:pPr>
            <w:r>
              <w:rPr>
                <w:rFonts w:ascii="Arial" w:cs="Arial" w:eastAsia="Arial" w:hAnsi="Arial"/>
                <w:sz w:val="14"/>
                <w:szCs w:val="14"/>
                <w:b w:val="1"/>
                <w:bCs w:val="1"/>
                <w:color w:val="auto"/>
                <w:w w:val="92"/>
              </w:rPr>
              <w:t>(State or other jurisdiction of</w:t>
            </w:r>
          </w:p>
        </w:tc>
        <w:tc>
          <w:tcPr>
            <w:tcW w:w="234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96"/>
              </w:rPr>
              <w:t>(I.R.S. Employer</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960" w:type="dxa"/>
            <w:vAlign w:val="bottom"/>
            <w:gridSpan w:val="2"/>
          </w:tcPr>
          <w:p>
            <w:pPr>
              <w:jc w:val="center"/>
              <w:ind w:right="2096"/>
              <w:spacing w:after="0"/>
              <w:rPr>
                <w:sz w:val="20"/>
                <w:szCs w:val="20"/>
                <w:color w:val="auto"/>
              </w:rPr>
            </w:pPr>
            <w:r>
              <w:rPr>
                <w:rFonts w:ascii="Arial" w:cs="Arial" w:eastAsia="Arial" w:hAnsi="Arial"/>
                <w:sz w:val="14"/>
                <w:szCs w:val="14"/>
                <w:b w:val="1"/>
                <w:bCs w:val="1"/>
                <w:color w:val="auto"/>
                <w:w w:val="93"/>
              </w:rPr>
              <w:t>incorporation or organization)</w:t>
            </w:r>
          </w:p>
        </w:tc>
        <w:tc>
          <w:tcPr>
            <w:tcW w:w="234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94"/>
              </w:rPr>
              <w:t>Identification No.)</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2640" w:type="dxa"/>
            <w:vAlign w:val="bottom"/>
          </w:tcPr>
          <w:p>
            <w:pPr>
              <w:spacing w:after="0"/>
              <w:rPr>
                <w:sz w:val="24"/>
                <w:szCs w:val="24"/>
                <w:color w:val="auto"/>
              </w:rPr>
            </w:pPr>
          </w:p>
        </w:tc>
        <w:tc>
          <w:tcPr>
            <w:tcW w:w="4320" w:type="dxa"/>
            <w:vAlign w:val="bottom"/>
          </w:tcPr>
          <w:p>
            <w:pPr>
              <w:jc w:val="center"/>
              <w:ind w:left="896"/>
              <w:spacing w:after="0"/>
              <w:rPr>
                <w:sz w:val="20"/>
                <w:szCs w:val="20"/>
                <w:color w:val="auto"/>
              </w:rPr>
            </w:pPr>
            <w:r>
              <w:rPr>
                <w:rFonts w:ascii="Arial" w:cs="Arial" w:eastAsia="Arial" w:hAnsi="Arial"/>
                <w:sz w:val="18"/>
                <w:szCs w:val="18"/>
                <w:b w:val="1"/>
                <w:bCs w:val="1"/>
                <w:color w:val="auto"/>
                <w:w w:val="89"/>
              </w:rPr>
              <w:t>2801 Post Oak Boulevard, Suite 600</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4320" w:type="dxa"/>
            <w:vAlign w:val="bottom"/>
          </w:tcPr>
          <w:p>
            <w:pPr>
              <w:jc w:val="center"/>
              <w:ind w:left="896"/>
              <w:spacing w:after="0"/>
              <w:rPr>
                <w:sz w:val="20"/>
                <w:szCs w:val="20"/>
                <w:color w:val="auto"/>
              </w:rPr>
            </w:pPr>
            <w:r>
              <w:rPr>
                <w:rFonts w:ascii="Arial" w:cs="Arial" w:eastAsia="Arial" w:hAnsi="Arial"/>
                <w:sz w:val="18"/>
                <w:szCs w:val="18"/>
                <w:b w:val="1"/>
                <w:bCs w:val="1"/>
                <w:color w:val="auto"/>
                <w:w w:val="87"/>
              </w:rPr>
              <w:t>Houston, Texas 77056</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59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60" w:type="dxa"/>
            <w:vAlign w:val="bottom"/>
            <w:gridSpan w:val="2"/>
          </w:tcPr>
          <w:p>
            <w:pPr>
              <w:jc w:val="center"/>
              <w:ind w:left="3557"/>
              <w:spacing w:after="0"/>
              <w:rPr>
                <w:sz w:val="20"/>
                <w:szCs w:val="20"/>
                <w:color w:val="auto"/>
              </w:rPr>
            </w:pPr>
            <w:r>
              <w:rPr>
                <w:rFonts w:ascii="Arial" w:cs="Arial" w:eastAsia="Arial" w:hAnsi="Arial"/>
                <w:sz w:val="18"/>
                <w:szCs w:val="18"/>
                <w:b w:val="1"/>
                <w:bCs w:val="1"/>
                <w:color w:val="auto"/>
                <w:w w:val="90"/>
              </w:rPr>
              <w:t>(713) 585-2900</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4320" w:type="dxa"/>
            <w:vAlign w:val="bottom"/>
          </w:tcPr>
          <w:p>
            <w:pPr>
              <w:jc w:val="center"/>
              <w:ind w:left="91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640" w:type="dxa"/>
            <w:vAlign w:val="bottom"/>
          </w:tcPr>
          <w:p>
            <w:pPr>
              <w:spacing w:after="0"/>
              <w:rPr>
                <w:sz w:val="11"/>
                <w:szCs w:val="11"/>
                <w:color w:val="auto"/>
              </w:rPr>
            </w:pPr>
          </w:p>
        </w:tc>
        <w:tc>
          <w:tcPr>
            <w:tcW w:w="5300" w:type="dxa"/>
            <w:vAlign w:val="bottom"/>
            <w:tcBorders>
              <w:bottom w:val="single" w:sz="8" w:color="auto"/>
            </w:tcBorders>
            <w:gridSpan w:val="2"/>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2640" w:type="dxa"/>
            <w:vAlign w:val="bottom"/>
          </w:tcPr>
          <w:p>
            <w:pPr>
              <w:spacing w:after="0"/>
              <w:rPr>
                <w:sz w:val="24"/>
                <w:szCs w:val="24"/>
                <w:color w:val="auto"/>
              </w:rPr>
            </w:pPr>
          </w:p>
        </w:tc>
        <w:tc>
          <w:tcPr>
            <w:tcW w:w="5980" w:type="dxa"/>
            <w:vAlign w:val="bottom"/>
            <w:gridSpan w:val="3"/>
          </w:tcPr>
          <w:p>
            <w:pPr>
              <w:ind w:left="48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960" w:type="dxa"/>
            <w:vAlign w:val="bottom"/>
            <w:gridSpan w:val="2"/>
          </w:tcPr>
          <w:p>
            <w:pPr>
              <w:jc w:val="center"/>
              <w:ind w:right="2076"/>
              <w:spacing w:after="0"/>
              <w:rPr>
                <w:sz w:val="20"/>
                <w:szCs w:val="20"/>
                <w:color w:val="auto"/>
              </w:rPr>
            </w:pPr>
            <w:r>
              <w:rPr>
                <w:rFonts w:ascii="Arial" w:cs="Arial" w:eastAsia="Arial" w:hAnsi="Arial"/>
                <w:sz w:val="14"/>
                <w:szCs w:val="14"/>
                <w:b w:val="1"/>
                <w:bCs w:val="1"/>
                <w:color w:val="auto"/>
                <w:w w:val="89"/>
              </w:rPr>
              <w:t>Title of each class</w:t>
            </w:r>
          </w:p>
        </w:tc>
        <w:tc>
          <w:tcPr>
            <w:tcW w:w="298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55"/>
        </w:trPr>
        <w:tc>
          <w:tcPr>
            <w:tcW w:w="6960" w:type="dxa"/>
            <w:vAlign w:val="bottom"/>
            <w:gridSpan w:val="2"/>
          </w:tcPr>
          <w:p>
            <w:pPr>
              <w:jc w:val="center"/>
              <w:ind w:right="2096"/>
              <w:spacing w:after="0"/>
              <w:rPr>
                <w:sz w:val="20"/>
                <w:szCs w:val="20"/>
                <w:color w:val="auto"/>
              </w:rPr>
            </w:pPr>
            <w:r>
              <w:rPr>
                <w:rFonts w:ascii="Arial" w:cs="Arial" w:eastAsia="Arial" w:hAnsi="Arial"/>
                <w:sz w:val="18"/>
                <w:szCs w:val="18"/>
                <w:b w:val="1"/>
                <w:bCs w:val="1"/>
                <w:color w:val="auto"/>
                <w:w w:val="90"/>
              </w:rPr>
              <w:t>Common units representing limited partner interests</w:t>
            </w:r>
          </w:p>
        </w:tc>
        <w:tc>
          <w:tcPr>
            <w:tcW w:w="298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0"/>
              </w:rPr>
              <w:t>New York Stock Exchange, Inc.</w:t>
            </w: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4"/>
                <w:szCs w:val="24"/>
                <w:color w:val="auto"/>
              </w:rPr>
            </w:pPr>
          </w:p>
        </w:tc>
        <w:tc>
          <w:tcPr>
            <w:tcW w:w="598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9"/>
              </w:rPr>
              <w:t>Securities registered pursuant to Section 12(g) of the Act: NONE</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5300" w:type="dxa"/>
            <w:vAlign w:val="bottom"/>
            <w:tcBorders>
              <w:bottom w:val="single" w:sz="8" w:color="auto"/>
            </w:tcBorders>
            <w:gridSpan w:val="2"/>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5"/>
        </w:trPr>
        <w:tc>
          <w:tcPr>
            <w:tcW w:w="86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4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28" w:lineRule="exact"/>
        <w:rPr>
          <w:sz w:val="24"/>
          <w:szCs w:val="24"/>
          <w:color w:val="auto"/>
        </w:rPr>
      </w:pPr>
    </w:p>
    <w:p>
      <w:pPr>
        <w:ind w:right="60"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40"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20" w:firstLine="40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29" w:right="239" w:bottom="86" w:gutter="0" w:footer="0" w:header="0"/>
        </w:sectPr>
      </w:pPr>
    </w:p>
    <w:p>
      <w:pPr>
        <w:spacing w:after="0" w:line="15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8" w:lineRule="exact"/>
        <w:rPr>
          <w:sz w:val="24"/>
          <w:szCs w:val="24"/>
          <w:color w:val="auto"/>
        </w:rPr>
      </w:pPr>
    </w:p>
    <w:p>
      <w:pPr>
        <w:sectPr>
          <w:pgSz w:w="11900" w:h="16838" w:orient="portrait"/>
          <w:cols w:equalWidth="0" w:num="5">
            <w:col w:w="2080" w:space="100"/>
            <w:col w:w="620" w:space="720"/>
            <w:col w:w="2000" w:space="720"/>
            <w:col w:w="1940" w:space="720"/>
            <w:col w:w="2520"/>
          </w:cols>
          <w:pgMar w:left="240" w:top="229" w:right="239" w:bottom="86" w:gutter="0" w:footer="0" w:header="0"/>
          <w:type w:val="continuous"/>
        </w:sectPr>
      </w:pPr>
    </w:p>
    <w:p>
      <w:pPr>
        <w:jc w:val="center"/>
        <w:ind w:left="2780"/>
        <w:spacing w:after="0"/>
        <w:rPr>
          <w:sz w:val="20"/>
          <w:szCs w:val="20"/>
          <w:color w:val="auto"/>
        </w:rPr>
      </w:pPr>
      <w:r>
        <w:rPr>
          <w:rFonts w:ascii="Arial" w:cs="Arial" w:eastAsia="Arial" w:hAnsi="Arial"/>
          <w:sz w:val="16"/>
          <w:szCs w:val="16"/>
          <w:color w:val="auto"/>
        </w:rPr>
        <w:t>(Do not check if a smaller</w:t>
      </w:r>
    </w:p>
    <w:p>
      <w:pPr>
        <w:spacing w:after="0" w:line="46" w:lineRule="exact"/>
        <w:rPr>
          <w:sz w:val="24"/>
          <w:szCs w:val="24"/>
          <w:color w:val="auto"/>
        </w:rPr>
      </w:pPr>
    </w:p>
    <w:p>
      <w:pPr>
        <w:jc w:val="center"/>
        <w:ind w:left="2780"/>
        <w:spacing w:after="0"/>
        <w:rPr>
          <w:sz w:val="20"/>
          <w:szCs w:val="20"/>
          <w:color w:val="auto"/>
        </w:rPr>
      </w:pPr>
      <w:r>
        <w:rPr>
          <w:rFonts w:ascii="Arial" w:cs="Arial" w:eastAsia="Arial" w:hAnsi="Arial"/>
          <w:sz w:val="18"/>
          <w:szCs w:val="18"/>
          <w:color w:val="auto"/>
        </w:rPr>
        <w:t>reporting company)</w:t>
      </w:r>
    </w:p>
    <w:p>
      <w:pPr>
        <w:sectPr>
          <w:pgSz w:w="11900" w:h="16838" w:orient="portrait"/>
          <w:cols w:equalWidth="0" w:num="1">
            <w:col w:w="11420"/>
          </w:cols>
          <w:pgMar w:left="240" w:top="229" w:right="239" w:bottom="86" w:gutter="0" w:footer="0" w:header="0"/>
          <w:type w:val="continuous"/>
        </w:sectPr>
      </w:pPr>
    </w:p>
    <w:p>
      <w:pPr>
        <w:spacing w:after="0" w:line="130"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5">
            <w:col w:w="7840" w:space="160"/>
            <w:col w:w="280" w:space="80"/>
            <w:col w:w="160" w:space="180"/>
            <w:col w:w="220" w:space="100"/>
            <w:col w:w="2400"/>
          </w:cols>
          <w:pgMar w:left="240" w:top="229" w:right="239" w:bottom="86" w:gutter="0" w:footer="0" w:header="0"/>
          <w:type w:val="continuous"/>
        </w:sectPr>
      </w:pPr>
    </w:p>
    <w:p>
      <w:pPr>
        <w:ind w:firstLine="405"/>
        <w:spacing w:after="0" w:line="279" w:lineRule="auto"/>
        <w:rPr>
          <w:sz w:val="20"/>
          <w:szCs w:val="20"/>
          <w:color w:val="auto"/>
        </w:rPr>
      </w:pPr>
      <w:r>
        <w:rPr>
          <w:rFonts w:ascii="Arial" w:cs="Arial" w:eastAsia="Arial" w:hAnsi="Arial"/>
          <w:sz w:val="17"/>
          <w:szCs w:val="17"/>
          <w:color w:val="auto"/>
        </w:rPr>
        <w:t>The aggregate market value of registrant's common units held by non-affiliates of the registrant on June 30, 2015, the end of the registrant's most recently completed second fiscal quarter, based on the closing price on June 30, 2015 of $21.75 on the New York Stock Exchange, was approximately $275.8 million. Common units held by executive officers and directors of the registrant and its affiliates are not included in the computation. The registrant, solely for the purpose of this required presentation, has deemed its directors and executive officers and those of its affiliates to be affiliates.</w:t>
      </w:r>
    </w:p>
    <w:p>
      <w:pPr>
        <w:spacing w:after="0" w:line="117" w:lineRule="exact"/>
        <w:rPr>
          <w:sz w:val="24"/>
          <w:szCs w:val="24"/>
          <w:color w:val="auto"/>
        </w:rPr>
      </w:pPr>
    </w:p>
    <w:p>
      <w:pPr>
        <w:ind w:left="420"/>
        <w:spacing w:after="0"/>
        <w:rPr>
          <w:sz w:val="20"/>
          <w:szCs w:val="20"/>
          <w:color w:val="auto"/>
        </w:rPr>
      </w:pPr>
      <w:r>
        <w:rPr>
          <w:rFonts w:ascii="Arial" w:cs="Arial" w:eastAsia="Arial" w:hAnsi="Arial"/>
          <w:sz w:val="18"/>
          <w:szCs w:val="18"/>
          <w:color w:val="auto"/>
        </w:rPr>
        <w:t>As of March 2, 2016, the registrant had 14,373,615 common units and 12,686,115 subordinated units outstanding.</w:t>
      </w:r>
    </w:p>
    <w:p>
      <w:pPr>
        <w:sectPr>
          <w:pgSz w:w="11900" w:h="16838" w:orient="portrait"/>
          <w:cols w:equalWidth="0" w:num="1">
            <w:col w:w="11420"/>
          </w:cols>
          <w:pgMar w:left="240" w:top="229" w:right="239" w:bottom="86"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880" w:type="dxa"/>
            <w:vAlign w:val="bottom"/>
          </w:tcPr>
          <w:p>
            <w:pPr>
              <w:ind w:left="412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8"/>
        </w:trPr>
        <w:tc>
          <w:tcPr>
            <w:tcW w:w="44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0"/>
        </w:trPr>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Item</w:t>
            </w:r>
          </w:p>
        </w:tc>
        <w:tc>
          <w:tcPr>
            <w:tcW w:w="9880" w:type="dxa"/>
            <w:vAlign w:val="bottom"/>
            <w:vMerge w:val="restart"/>
          </w:tcPr>
          <w:p>
            <w:pPr>
              <w:jc w:val="center"/>
              <w:spacing w:after="0"/>
              <w:rPr>
                <w:rFonts w:ascii="Arial" w:cs="Arial" w:eastAsia="Arial" w:hAnsi="Arial"/>
                <w:sz w:val="18"/>
                <w:szCs w:val="18"/>
                <w:b w:val="1"/>
                <w:bCs w:val="1"/>
                <w:color w:val="auto"/>
                <w:w w:val="98"/>
              </w:rPr>
            </w:pPr>
            <w:hyperlink w:anchor="page4">
              <w:r>
                <w:rPr>
                  <w:rFonts w:ascii="Arial" w:cs="Arial" w:eastAsia="Arial" w:hAnsi="Arial"/>
                  <w:sz w:val="18"/>
                  <w:szCs w:val="18"/>
                  <w:b w:val="1"/>
                  <w:bCs w:val="1"/>
                  <w:color w:val="auto"/>
                  <w:w w:val="98"/>
                </w:rPr>
                <w:t>PART I</w:t>
              </w:r>
            </w:hyperlink>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40" w:type="dxa"/>
            <w:vAlign w:val="bottom"/>
            <w:vMerge w:val="continue"/>
          </w:tcPr>
          <w:p>
            <w:pPr>
              <w:spacing w:after="0"/>
              <w:rPr>
                <w:sz w:val="19"/>
                <w:szCs w:val="19"/>
                <w:color w:val="auto"/>
              </w:rPr>
            </w:pPr>
          </w:p>
        </w:tc>
        <w:tc>
          <w:tcPr>
            <w:tcW w:w="98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440" w:type="dxa"/>
            <w:vAlign w:val="bottom"/>
            <w:vMerge w:val="continue"/>
          </w:tcPr>
          <w:p>
            <w:pPr>
              <w:spacing w:after="0"/>
              <w:rPr>
                <w:sz w:val="24"/>
                <w:szCs w:val="24"/>
                <w:color w:val="auto"/>
              </w:rPr>
            </w:pPr>
          </w:p>
        </w:tc>
        <w:tc>
          <w:tcPr>
            <w:tcW w:w="9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tc>
        <w:tc>
          <w:tcPr>
            <w:tcW w:w="9880" w:type="dxa"/>
            <w:vAlign w:val="bottom"/>
          </w:tcPr>
          <w:p>
            <w:pPr>
              <w:ind w:left="10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9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1A)</w:t>
              </w:r>
            </w:hyperlink>
          </w:p>
        </w:tc>
        <w:tc>
          <w:tcPr>
            <w:tcW w:w="9880" w:type="dxa"/>
            <w:vAlign w:val="bottom"/>
          </w:tcPr>
          <w:p>
            <w:pPr>
              <w:ind w:left="100"/>
              <w:spacing w:after="0"/>
              <w:rPr>
                <w:rFonts w:ascii="Arial" w:cs="Arial" w:eastAsia="Arial" w:hAnsi="Arial"/>
                <w:sz w:val="18"/>
                <w:szCs w:val="18"/>
                <w:color w:val="auto"/>
              </w:rPr>
            </w:pPr>
            <w:hyperlink w:anchor="page13">
              <w:r>
                <w:rPr>
                  <w:rFonts w:ascii="Arial" w:cs="Arial" w:eastAsia="Arial" w:hAnsi="Arial"/>
                  <w:sz w:val="18"/>
                  <w:szCs w:val="18"/>
                  <w:color w:val="auto"/>
                </w:rPr>
                <w:t>Risk Factors</w:t>
              </w:r>
            </w:hyperlink>
          </w:p>
        </w:tc>
        <w:tc>
          <w:tcPr>
            <w:tcW w:w="900" w:type="dxa"/>
            <w:vAlign w:val="bottom"/>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1B)</w:t>
              </w:r>
            </w:hyperlink>
          </w:p>
        </w:tc>
        <w:tc>
          <w:tcPr>
            <w:tcW w:w="9880" w:type="dxa"/>
            <w:vAlign w:val="bottom"/>
          </w:tcPr>
          <w:p>
            <w:pPr>
              <w:ind w:left="100"/>
              <w:spacing w:after="0"/>
              <w:rPr>
                <w:rFonts w:ascii="Arial" w:cs="Arial" w:eastAsia="Arial" w:hAnsi="Arial"/>
                <w:sz w:val="18"/>
                <w:szCs w:val="18"/>
                <w:color w:val="auto"/>
              </w:rPr>
            </w:pPr>
            <w:hyperlink w:anchor="page29">
              <w:r>
                <w:rPr>
                  <w:rFonts w:ascii="Arial" w:cs="Arial" w:eastAsia="Arial" w:hAnsi="Arial"/>
                  <w:sz w:val="18"/>
                  <w:szCs w:val="18"/>
                  <w:color w:val="auto"/>
                </w:rPr>
                <w:t>Unresolved Staff Comments</w:t>
              </w:r>
            </w:hyperlink>
          </w:p>
        </w:tc>
        <w:tc>
          <w:tcPr>
            <w:tcW w:w="900" w:type="dxa"/>
            <w:vAlign w:val="bottom"/>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w:t>
              </w:r>
            </w:hyperlink>
          </w:p>
        </w:tc>
        <w:tc>
          <w:tcPr>
            <w:tcW w:w="9880" w:type="dxa"/>
            <w:vAlign w:val="bottom"/>
          </w:tcPr>
          <w:p>
            <w:pPr>
              <w:ind w:left="100"/>
              <w:spacing w:after="0"/>
              <w:rPr>
                <w:rFonts w:ascii="Arial" w:cs="Arial" w:eastAsia="Arial" w:hAnsi="Arial"/>
                <w:sz w:val="18"/>
                <w:szCs w:val="18"/>
                <w:color w:val="auto"/>
              </w:rPr>
            </w:pPr>
            <w:hyperlink w:anchor="page29">
              <w:r>
                <w:rPr>
                  <w:rFonts w:ascii="Arial" w:cs="Arial" w:eastAsia="Arial" w:hAnsi="Arial"/>
                  <w:sz w:val="18"/>
                  <w:szCs w:val="18"/>
                  <w:color w:val="auto"/>
                </w:rPr>
                <w:t>Properties</w:t>
              </w:r>
            </w:hyperlink>
          </w:p>
        </w:tc>
        <w:tc>
          <w:tcPr>
            <w:tcW w:w="900" w:type="dxa"/>
            <w:vAlign w:val="bottom"/>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3)</w:t>
              </w:r>
            </w:hyperlink>
          </w:p>
        </w:tc>
        <w:tc>
          <w:tcPr>
            <w:tcW w:w="9880" w:type="dxa"/>
            <w:vAlign w:val="bottom"/>
          </w:tcPr>
          <w:p>
            <w:pPr>
              <w:ind w:left="100"/>
              <w:spacing w:after="0"/>
              <w:rPr>
                <w:rFonts w:ascii="Arial" w:cs="Arial" w:eastAsia="Arial" w:hAnsi="Arial"/>
                <w:sz w:val="18"/>
                <w:szCs w:val="18"/>
                <w:color w:val="auto"/>
              </w:rPr>
            </w:pPr>
            <w:hyperlink w:anchor="page29">
              <w:r>
                <w:rPr>
                  <w:rFonts w:ascii="Arial" w:cs="Arial" w:eastAsia="Arial" w:hAnsi="Arial"/>
                  <w:sz w:val="18"/>
                  <w:szCs w:val="18"/>
                  <w:color w:val="auto"/>
                </w:rPr>
                <w:t>Legal Proceedings</w:t>
              </w:r>
            </w:hyperlink>
          </w:p>
        </w:tc>
        <w:tc>
          <w:tcPr>
            <w:tcW w:w="900" w:type="dxa"/>
            <w:vAlign w:val="bottom"/>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4)</w:t>
              </w:r>
            </w:hyperlink>
          </w:p>
        </w:tc>
        <w:tc>
          <w:tcPr>
            <w:tcW w:w="9880" w:type="dxa"/>
            <w:vAlign w:val="bottom"/>
          </w:tcPr>
          <w:p>
            <w:pPr>
              <w:ind w:left="100"/>
              <w:spacing w:after="0"/>
              <w:rPr>
                <w:rFonts w:ascii="Arial" w:cs="Arial" w:eastAsia="Arial" w:hAnsi="Arial"/>
                <w:sz w:val="18"/>
                <w:szCs w:val="18"/>
                <w:color w:val="auto"/>
              </w:rPr>
            </w:pPr>
            <w:hyperlink w:anchor="page29">
              <w:r>
                <w:rPr>
                  <w:rFonts w:ascii="Arial" w:cs="Arial" w:eastAsia="Arial" w:hAnsi="Arial"/>
                  <w:sz w:val="18"/>
                  <w:szCs w:val="18"/>
                  <w:color w:val="auto"/>
                </w:rPr>
                <w:t>Mine Safety Disclosure</w:t>
              </w:r>
            </w:hyperlink>
          </w:p>
        </w:tc>
        <w:tc>
          <w:tcPr>
            <w:tcW w:w="900" w:type="dxa"/>
            <w:vAlign w:val="bottom"/>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880" w:type="dxa"/>
            <w:vAlign w:val="bottom"/>
          </w:tcPr>
          <w:p>
            <w:pPr>
              <w:jc w:val="center"/>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PART 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4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5)</w:t>
              </w:r>
            </w:hyperlink>
          </w:p>
        </w:tc>
        <w:tc>
          <w:tcPr>
            <w:tcW w:w="9880" w:type="dxa"/>
            <w:vAlign w:val="bottom"/>
          </w:tcPr>
          <w:p>
            <w:pPr>
              <w:ind w:left="100"/>
              <w:spacing w:after="0"/>
              <w:rPr>
                <w:rFonts w:ascii="Arial" w:cs="Arial" w:eastAsia="Arial" w:hAnsi="Arial"/>
                <w:sz w:val="18"/>
                <w:szCs w:val="18"/>
                <w:color w:val="auto"/>
              </w:rPr>
            </w:pPr>
            <w:hyperlink w:anchor="page30">
              <w:r>
                <w:rPr>
                  <w:rFonts w:ascii="Arial" w:cs="Arial" w:eastAsia="Arial" w:hAnsi="Arial"/>
                  <w:sz w:val="18"/>
                  <w:szCs w:val="18"/>
                  <w:color w:val="auto"/>
                </w:rPr>
                <w:t>Market for Registrant's Common Equity, Related Stockholder Matters and Issuer Purchases</w:t>
              </w:r>
            </w:hyperlink>
          </w:p>
        </w:tc>
        <w:tc>
          <w:tcPr>
            <w:tcW w:w="90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9880" w:type="dxa"/>
            <w:vAlign w:val="bottom"/>
          </w:tcPr>
          <w:p>
            <w:pPr>
              <w:ind w:left="240"/>
              <w:spacing w:after="0"/>
              <w:rPr>
                <w:rFonts w:ascii="Arial" w:cs="Arial" w:eastAsia="Arial" w:hAnsi="Arial"/>
                <w:sz w:val="18"/>
                <w:szCs w:val="18"/>
                <w:color w:val="auto"/>
              </w:rPr>
            </w:pPr>
            <w:hyperlink w:anchor="page30">
              <w:r>
                <w:rPr>
                  <w:rFonts w:ascii="Arial" w:cs="Arial" w:eastAsia="Arial" w:hAnsi="Arial"/>
                  <w:sz w:val="18"/>
                  <w:szCs w:val="18"/>
                  <w:color w:val="auto"/>
                </w:rPr>
                <w:t>of Equity Securities</w:t>
              </w:r>
            </w:hyperlink>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6)</w:t>
              </w:r>
            </w:hyperlink>
          </w:p>
        </w:tc>
        <w:tc>
          <w:tcPr>
            <w:tcW w:w="9880" w:type="dxa"/>
            <w:vAlign w:val="bottom"/>
          </w:tcPr>
          <w:p>
            <w:pPr>
              <w:ind w:left="100"/>
              <w:spacing w:after="0"/>
              <w:rPr>
                <w:rFonts w:ascii="Arial" w:cs="Arial" w:eastAsia="Arial" w:hAnsi="Arial"/>
                <w:sz w:val="18"/>
                <w:szCs w:val="18"/>
                <w:color w:val="auto"/>
              </w:rPr>
            </w:pPr>
            <w:hyperlink w:anchor="page32">
              <w:r>
                <w:rPr>
                  <w:rFonts w:ascii="Arial" w:cs="Arial" w:eastAsia="Arial" w:hAnsi="Arial"/>
                  <w:sz w:val="18"/>
                  <w:szCs w:val="18"/>
                  <w:color w:val="auto"/>
                </w:rPr>
                <w:t xml:space="preserve">Selected Financial </w:t>
              </w:r>
            </w:hyperlink>
            <w:r>
              <w:rPr>
                <w:rFonts w:ascii="Arial" w:cs="Arial" w:eastAsia="Arial" w:hAnsi="Arial"/>
                <w:sz w:val="18"/>
                <w:szCs w:val="18"/>
                <w:color w:val="auto"/>
              </w:rPr>
              <w:t>Data</w:t>
            </w:r>
          </w:p>
        </w:tc>
        <w:tc>
          <w:tcPr>
            <w:tcW w:w="900" w:type="dxa"/>
            <w:vAlign w:val="bottom"/>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7)</w:t>
              </w:r>
            </w:hyperlink>
          </w:p>
        </w:tc>
        <w:tc>
          <w:tcPr>
            <w:tcW w:w="9880" w:type="dxa"/>
            <w:vAlign w:val="bottom"/>
          </w:tcPr>
          <w:p>
            <w:pPr>
              <w:ind w:left="100"/>
              <w:spacing w:after="0"/>
              <w:rPr>
                <w:rFonts w:ascii="Arial" w:cs="Arial" w:eastAsia="Arial" w:hAnsi="Arial"/>
                <w:sz w:val="18"/>
                <w:szCs w:val="18"/>
                <w:color w:val="auto"/>
              </w:rPr>
            </w:pPr>
            <w:hyperlink w:anchor="page35">
              <w:r>
                <w:rPr>
                  <w:rFonts w:ascii="Arial" w:cs="Arial" w:eastAsia="Arial" w:hAnsi="Arial"/>
                  <w:sz w:val="18"/>
                  <w:szCs w:val="18"/>
                  <w:color w:val="auto"/>
                </w:rPr>
                <w:t>Management's Discussion and Analysis of Financial Condition and Results of Operations</w:t>
              </w:r>
            </w:hyperlink>
          </w:p>
        </w:tc>
        <w:tc>
          <w:tcPr>
            <w:tcW w:w="900" w:type="dxa"/>
            <w:vAlign w:val="bottom"/>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7A)</w:t>
              </w:r>
            </w:hyperlink>
          </w:p>
        </w:tc>
        <w:tc>
          <w:tcPr>
            <w:tcW w:w="9880" w:type="dxa"/>
            <w:vAlign w:val="bottom"/>
          </w:tcPr>
          <w:p>
            <w:pPr>
              <w:ind w:left="100"/>
              <w:spacing w:after="0"/>
              <w:rPr>
                <w:rFonts w:ascii="Arial" w:cs="Arial" w:eastAsia="Arial" w:hAnsi="Arial"/>
                <w:sz w:val="18"/>
                <w:szCs w:val="18"/>
                <w:color w:val="auto"/>
              </w:rPr>
            </w:pPr>
            <w:hyperlink w:anchor="page47">
              <w:r>
                <w:rPr>
                  <w:rFonts w:ascii="Arial" w:cs="Arial" w:eastAsia="Arial" w:hAnsi="Arial"/>
                  <w:sz w:val="18"/>
                  <w:szCs w:val="18"/>
                  <w:color w:val="auto"/>
                </w:rPr>
                <w:t>Quantitative and Qualitative Disclosures about Market Risk</w:t>
              </w:r>
            </w:hyperlink>
          </w:p>
        </w:tc>
        <w:tc>
          <w:tcPr>
            <w:tcW w:w="90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8)</w:t>
              </w:r>
            </w:hyperlink>
          </w:p>
        </w:tc>
        <w:tc>
          <w:tcPr>
            <w:tcW w:w="9880" w:type="dxa"/>
            <w:vAlign w:val="bottom"/>
          </w:tcPr>
          <w:p>
            <w:pPr>
              <w:ind w:left="100"/>
              <w:spacing w:after="0"/>
              <w:rPr>
                <w:rFonts w:ascii="Arial" w:cs="Arial" w:eastAsia="Arial" w:hAnsi="Arial"/>
                <w:sz w:val="18"/>
                <w:szCs w:val="18"/>
                <w:color w:val="auto"/>
              </w:rPr>
            </w:pPr>
            <w:hyperlink w:anchor="page47">
              <w:r>
                <w:rPr>
                  <w:rFonts w:ascii="Arial" w:cs="Arial" w:eastAsia="Arial" w:hAnsi="Arial"/>
                  <w:sz w:val="18"/>
                  <w:szCs w:val="18"/>
                  <w:color w:val="auto"/>
                </w:rPr>
                <w:t>Financial Statements and Supplementary Data</w:t>
              </w:r>
            </w:hyperlink>
          </w:p>
        </w:tc>
        <w:tc>
          <w:tcPr>
            <w:tcW w:w="90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9)</w:t>
              </w:r>
            </w:hyperlink>
          </w:p>
        </w:tc>
        <w:tc>
          <w:tcPr>
            <w:tcW w:w="9880" w:type="dxa"/>
            <w:vAlign w:val="bottom"/>
          </w:tcPr>
          <w:p>
            <w:pPr>
              <w:ind w:left="100"/>
              <w:spacing w:after="0"/>
              <w:rPr>
                <w:rFonts w:ascii="Arial" w:cs="Arial" w:eastAsia="Arial" w:hAnsi="Arial"/>
                <w:sz w:val="18"/>
                <w:szCs w:val="18"/>
                <w:color w:val="auto"/>
              </w:rPr>
            </w:pPr>
            <w:hyperlink w:anchor="page78">
              <w:r>
                <w:rPr>
                  <w:rFonts w:ascii="Arial" w:cs="Arial" w:eastAsia="Arial" w:hAnsi="Arial"/>
                  <w:sz w:val="18"/>
                  <w:szCs w:val="18"/>
                  <w:color w:val="auto"/>
                </w:rPr>
                <w:t>Changes in and Disagreements with Accountants on Accounting and Financial Disclosure</w:t>
              </w:r>
            </w:hyperlink>
          </w:p>
        </w:tc>
        <w:tc>
          <w:tcPr>
            <w:tcW w:w="900" w:type="dxa"/>
            <w:vAlign w:val="bottom"/>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9A)</w:t>
              </w:r>
            </w:hyperlink>
          </w:p>
        </w:tc>
        <w:tc>
          <w:tcPr>
            <w:tcW w:w="9880" w:type="dxa"/>
            <w:vAlign w:val="bottom"/>
          </w:tcPr>
          <w:p>
            <w:pPr>
              <w:ind w:left="100"/>
              <w:spacing w:after="0"/>
              <w:rPr>
                <w:rFonts w:ascii="Arial" w:cs="Arial" w:eastAsia="Arial" w:hAnsi="Arial"/>
                <w:sz w:val="18"/>
                <w:szCs w:val="18"/>
                <w:color w:val="auto"/>
              </w:rPr>
            </w:pPr>
            <w:hyperlink w:anchor="page78">
              <w:r>
                <w:rPr>
                  <w:rFonts w:ascii="Arial" w:cs="Arial" w:eastAsia="Arial" w:hAnsi="Arial"/>
                  <w:sz w:val="18"/>
                  <w:szCs w:val="18"/>
                  <w:color w:val="auto"/>
                </w:rPr>
                <w:t>Controls and Procedures</w:t>
              </w:r>
            </w:hyperlink>
          </w:p>
        </w:tc>
        <w:tc>
          <w:tcPr>
            <w:tcW w:w="900" w:type="dxa"/>
            <w:vAlign w:val="bottom"/>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9B)</w:t>
              </w:r>
            </w:hyperlink>
          </w:p>
        </w:tc>
        <w:tc>
          <w:tcPr>
            <w:tcW w:w="9880" w:type="dxa"/>
            <w:vAlign w:val="bottom"/>
          </w:tcPr>
          <w:p>
            <w:pPr>
              <w:ind w:left="100"/>
              <w:spacing w:after="0"/>
              <w:rPr>
                <w:rFonts w:ascii="Arial" w:cs="Arial" w:eastAsia="Arial" w:hAnsi="Arial"/>
                <w:sz w:val="18"/>
                <w:szCs w:val="18"/>
                <w:color w:val="auto"/>
              </w:rPr>
            </w:pPr>
            <w:hyperlink w:anchor="page78">
              <w:r>
                <w:rPr>
                  <w:rFonts w:ascii="Arial" w:cs="Arial" w:eastAsia="Arial" w:hAnsi="Arial"/>
                  <w:sz w:val="18"/>
                  <w:szCs w:val="18"/>
                  <w:color w:val="auto"/>
                </w:rPr>
                <w:t>Other Information</w:t>
              </w:r>
            </w:hyperlink>
          </w:p>
        </w:tc>
        <w:tc>
          <w:tcPr>
            <w:tcW w:w="900" w:type="dxa"/>
            <w:vAlign w:val="bottom"/>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880" w:type="dxa"/>
            <w:vAlign w:val="bottom"/>
          </w:tcPr>
          <w:p>
            <w:pPr>
              <w:jc w:val="center"/>
              <w:spacing w:after="0"/>
              <w:rPr>
                <w:rFonts w:ascii="Arial" w:cs="Arial" w:eastAsia="Arial" w:hAnsi="Arial"/>
                <w:sz w:val="18"/>
                <w:szCs w:val="18"/>
                <w:b w:val="1"/>
                <w:bCs w:val="1"/>
                <w:color w:val="auto"/>
              </w:rPr>
            </w:pPr>
            <w:hyperlink w:anchor="page78">
              <w:r>
                <w:rPr>
                  <w:rFonts w:ascii="Arial" w:cs="Arial" w:eastAsia="Arial" w:hAnsi="Arial"/>
                  <w:sz w:val="18"/>
                  <w:szCs w:val="18"/>
                  <w:b w:val="1"/>
                  <w:bCs w:val="1"/>
                  <w:color w:val="auto"/>
                </w:rPr>
                <w:t>PART III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4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10)</w:t>
              </w:r>
            </w:hyperlink>
          </w:p>
        </w:tc>
        <w:tc>
          <w:tcPr>
            <w:tcW w:w="9880" w:type="dxa"/>
            <w:vAlign w:val="bottom"/>
          </w:tcPr>
          <w:p>
            <w:pPr>
              <w:ind w:left="100"/>
              <w:spacing w:after="0"/>
              <w:rPr>
                <w:rFonts w:ascii="Arial" w:cs="Arial" w:eastAsia="Arial" w:hAnsi="Arial"/>
                <w:sz w:val="18"/>
                <w:szCs w:val="18"/>
                <w:color w:val="auto"/>
              </w:rPr>
            </w:pPr>
            <w:hyperlink w:anchor="page79">
              <w:r>
                <w:rPr>
                  <w:rFonts w:ascii="Arial" w:cs="Arial" w:eastAsia="Arial" w:hAnsi="Arial"/>
                  <w:sz w:val="18"/>
                  <w:szCs w:val="18"/>
                  <w:color w:val="auto"/>
                </w:rPr>
                <w:t>Directors, Executive Officers and Corporate Governance</w:t>
              </w:r>
            </w:hyperlink>
          </w:p>
        </w:tc>
        <w:tc>
          <w:tcPr>
            <w:tcW w:w="900" w:type="dxa"/>
            <w:vAlign w:val="bottom"/>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11)</w:t>
              </w:r>
            </w:hyperlink>
          </w:p>
        </w:tc>
        <w:tc>
          <w:tcPr>
            <w:tcW w:w="9880" w:type="dxa"/>
            <w:vAlign w:val="bottom"/>
          </w:tcPr>
          <w:p>
            <w:pPr>
              <w:ind w:left="100"/>
              <w:spacing w:after="0"/>
              <w:rPr>
                <w:rFonts w:ascii="Arial" w:cs="Arial" w:eastAsia="Arial" w:hAnsi="Arial"/>
                <w:sz w:val="18"/>
                <w:szCs w:val="18"/>
                <w:color w:val="auto"/>
              </w:rPr>
            </w:pPr>
            <w:hyperlink w:anchor="page83">
              <w:r>
                <w:rPr>
                  <w:rFonts w:ascii="Arial" w:cs="Arial" w:eastAsia="Arial" w:hAnsi="Arial"/>
                  <w:sz w:val="18"/>
                  <w:szCs w:val="18"/>
                  <w:color w:val="auto"/>
                </w:rPr>
                <w:t>Executive Compensation</w:t>
              </w:r>
            </w:hyperlink>
          </w:p>
        </w:tc>
        <w:tc>
          <w:tcPr>
            <w:tcW w:w="900" w:type="dxa"/>
            <w:vAlign w:val="bottom"/>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78</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12)</w:t>
              </w:r>
            </w:hyperlink>
          </w:p>
        </w:tc>
        <w:tc>
          <w:tcPr>
            <w:tcW w:w="9880" w:type="dxa"/>
            <w:vAlign w:val="bottom"/>
          </w:tcPr>
          <w:p>
            <w:pPr>
              <w:ind w:left="100"/>
              <w:spacing w:after="0"/>
              <w:rPr>
                <w:rFonts w:ascii="Arial" w:cs="Arial" w:eastAsia="Arial" w:hAnsi="Arial"/>
                <w:sz w:val="18"/>
                <w:szCs w:val="18"/>
                <w:color w:val="auto"/>
              </w:rPr>
            </w:pPr>
            <w:hyperlink w:anchor="page87">
              <w:r>
                <w:rPr>
                  <w:rFonts w:ascii="Arial" w:cs="Arial" w:eastAsia="Arial" w:hAnsi="Arial"/>
                  <w:sz w:val="18"/>
                  <w:szCs w:val="18"/>
                  <w:color w:val="auto"/>
                </w:rPr>
                <w:t>Security Ownership of Certain Beneficial Owners and Management and Related Stockholder Matters</w:t>
              </w:r>
            </w:hyperlink>
          </w:p>
        </w:tc>
        <w:tc>
          <w:tcPr>
            <w:tcW w:w="900" w:type="dxa"/>
            <w:vAlign w:val="bottom"/>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13)</w:t>
              </w:r>
            </w:hyperlink>
          </w:p>
        </w:tc>
        <w:tc>
          <w:tcPr>
            <w:tcW w:w="9880" w:type="dxa"/>
            <w:vAlign w:val="bottom"/>
          </w:tcPr>
          <w:p>
            <w:pPr>
              <w:ind w:left="100"/>
              <w:spacing w:after="0"/>
              <w:rPr>
                <w:rFonts w:ascii="Arial" w:cs="Arial" w:eastAsia="Arial" w:hAnsi="Arial"/>
                <w:sz w:val="18"/>
                <w:szCs w:val="18"/>
                <w:color w:val="auto"/>
              </w:rPr>
            </w:pPr>
            <w:hyperlink w:anchor="page89">
              <w:r>
                <w:rPr>
                  <w:rFonts w:ascii="Arial" w:cs="Arial" w:eastAsia="Arial" w:hAnsi="Arial"/>
                  <w:sz w:val="18"/>
                  <w:szCs w:val="18"/>
                  <w:color w:val="auto"/>
                </w:rPr>
                <w:t>Certain Relationships and Related Transactions, and Director Independence</w:t>
              </w:r>
            </w:hyperlink>
          </w:p>
        </w:tc>
        <w:tc>
          <w:tcPr>
            <w:tcW w:w="900" w:type="dxa"/>
            <w:vAlign w:val="bottom"/>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84</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14)</w:t>
              </w:r>
            </w:hyperlink>
          </w:p>
        </w:tc>
        <w:tc>
          <w:tcPr>
            <w:tcW w:w="9880" w:type="dxa"/>
            <w:vAlign w:val="bottom"/>
          </w:tcPr>
          <w:p>
            <w:pPr>
              <w:ind w:left="100"/>
              <w:spacing w:after="0"/>
              <w:rPr>
                <w:rFonts w:ascii="Arial" w:cs="Arial" w:eastAsia="Arial" w:hAnsi="Arial"/>
                <w:sz w:val="18"/>
                <w:szCs w:val="18"/>
                <w:color w:val="auto"/>
              </w:rPr>
            </w:pPr>
            <w:hyperlink w:anchor="page92">
              <w:r>
                <w:rPr>
                  <w:rFonts w:ascii="Arial" w:cs="Arial" w:eastAsia="Arial" w:hAnsi="Arial"/>
                  <w:sz w:val="18"/>
                  <w:szCs w:val="18"/>
                  <w:color w:val="auto"/>
                </w:rPr>
                <w:t>Principal Accountant Fees and Services</w:t>
              </w:r>
            </w:hyperlink>
          </w:p>
        </w:tc>
        <w:tc>
          <w:tcPr>
            <w:tcW w:w="900" w:type="dxa"/>
            <w:vAlign w:val="bottom"/>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87</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880" w:type="dxa"/>
            <w:vAlign w:val="bottom"/>
          </w:tcPr>
          <w:p>
            <w:pPr>
              <w:jc w:val="center"/>
              <w:spacing w:after="0"/>
              <w:rPr>
                <w:rFonts w:ascii="Arial" w:cs="Arial" w:eastAsia="Arial" w:hAnsi="Arial"/>
                <w:sz w:val="18"/>
                <w:szCs w:val="18"/>
                <w:b w:val="1"/>
                <w:bCs w:val="1"/>
                <w:color w:val="auto"/>
              </w:rPr>
            </w:pPr>
            <w:hyperlink w:anchor="page92">
              <w:r>
                <w:rPr>
                  <w:rFonts w:ascii="Arial" w:cs="Arial" w:eastAsia="Arial" w:hAnsi="Arial"/>
                  <w:sz w:val="18"/>
                  <w:szCs w:val="18"/>
                  <w:b w:val="1"/>
                  <w:bCs w:val="1"/>
                  <w:color w:val="auto"/>
                </w:rPr>
                <w:t>PART IV</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4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15)</w:t>
              </w:r>
            </w:hyperlink>
          </w:p>
        </w:tc>
        <w:tc>
          <w:tcPr>
            <w:tcW w:w="9880" w:type="dxa"/>
            <w:vAlign w:val="bottom"/>
          </w:tcPr>
          <w:p>
            <w:pPr>
              <w:ind w:left="100"/>
              <w:spacing w:after="0"/>
              <w:rPr>
                <w:rFonts w:ascii="Arial" w:cs="Arial" w:eastAsia="Arial" w:hAnsi="Arial"/>
                <w:sz w:val="18"/>
                <w:szCs w:val="18"/>
                <w:color w:val="auto"/>
              </w:rPr>
            </w:pPr>
            <w:hyperlink w:anchor="page93">
              <w:r>
                <w:rPr>
                  <w:rFonts w:ascii="Arial" w:cs="Arial" w:eastAsia="Arial" w:hAnsi="Arial"/>
                  <w:sz w:val="18"/>
                  <w:szCs w:val="18"/>
                  <w:color w:val="auto"/>
                </w:rPr>
                <w:t>Exhibits and Financial Statement Schedules</w:t>
              </w:r>
            </w:hyperlink>
          </w:p>
        </w:tc>
        <w:tc>
          <w:tcPr>
            <w:tcW w:w="900" w:type="dxa"/>
            <w:vAlign w:val="bottom"/>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88</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70"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On August 4, 2014, Westlake Chemical Partners LP completed an initial public offering (the "IPO") of 12,937,500 common units, including the 1,687,500 common units issued pursuant to the full exercise of the underwriters' option to purchase additional common units, to the public at a price of $24.00 per unit. Unless otherwise indicated, references in this Annual Report on Form 10-K (this "report") to "we," "our," "us" or like terms used in the present tense or prospectively, or in reference to the period subsequent to the IPO, refer to Westlake Chemical Partners LP ("Westlake Chemical Partners LP" or the "Partnership"), Westlake Chemical OpCo LP ("OpCo") and Westlake Chemical OpCo GP LLC ("OpCo GP"). Unless the context otherwise requires, references in this report to the "Predecessor" refer to Westlake Chemical Partners LP Predecessor, our predecessor for accounting purposes, and refer to the time periods prior to the IPO. References to "Westlake" refer to Westlake Chemical Corporation and its consolidated subsidiaries other than the Partnership, OpCo GP and OpCo. References to our "board of directors" or our "directors" refer to the board of directors of our general partner and such board's directors, respectively. See Note 2 to our consolidated and combined financial statements for information regarding the closing of the IPO.</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23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funding and results of capital projects, such as OpCo’s plan to upgrade and expand the capacity of Petro 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intended minimum quarterly distributions and the manner of making such distributions;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171"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5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"Part 1. Item 1A. Risk Factors" of this report and the following:</w:t>
      </w:r>
    </w:p>
    <w:p>
      <w:pPr>
        <w:spacing w:after="0" w:line="229"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90" w:lineRule="exact"/>
        <w:rPr>
          <w:rFonts w:ascii="Arial" w:cs="Arial" w:eastAsia="Arial" w:hAnsi="Arial"/>
          <w:sz w:val="18"/>
          <w:szCs w:val="18"/>
          <w:color w:val="auto"/>
        </w:rPr>
      </w:pPr>
    </w:p>
    <w:p>
      <w:pPr>
        <w:ind w:left="880" w:right="100" w:hanging="359"/>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the Commonwealth of Independent States (including Ukraine) and elsewhere;</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current and potential governmental regulatory actions in the United States and regulatory actions and political unrest in other countries;</w:t>
      </w:r>
    </w:p>
    <w:p>
      <w:pPr>
        <w:spacing w:after="0" w:line="101" w:lineRule="exact"/>
        <w:rPr>
          <w:rFonts w:ascii="Arial" w:cs="Arial" w:eastAsia="Arial" w:hAnsi="Arial"/>
          <w:sz w:val="17"/>
          <w:szCs w:val="17"/>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supply/demand balance for our product;</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90" w:lineRule="exact"/>
        <w:rPr>
          <w:rFonts w:ascii="Arial" w:cs="Arial" w:eastAsia="Arial" w:hAnsi="Arial"/>
          <w:sz w:val="18"/>
          <w:szCs w:val="18"/>
          <w:color w:val="auto"/>
        </w:rPr>
      </w:pPr>
    </w:p>
    <w:p>
      <w:pPr>
        <w:ind w:left="880" w:right="20" w:hanging="359"/>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7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Industry and market data used throughout this report were obtained through internal research, surveys and studies conducted by unrelated third parties and publicly available industry and general publications, including information from IHS Chemical and Chemical Data, Inc. We have not independently verified market and industry data from external sources. While we believe internal partnership estimates are reliable and market definitions are appropriate, neither such estimates nor these definitions have been verified by any independent sources.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PRODUCTION CAPACITY</w:t>
      </w:r>
    </w:p>
    <w:p>
      <w:pPr>
        <w:spacing w:after="0" w:line="175"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Unless we state otherwise, annual production capacity estimates used throughout this report represent rated capacity of the facilities at December 31, 2015. We calculated rated capacity by estimating the number of days in a typical year that a production unit of a plant is expected to operate, after allowing for downtime for regular maintenance, and multiplying that number by an amount equal to the unit's optimal daily output based on the design feedstock mix. Because the rated capacity of a production unit is an estimated amount, actual production volumes may be more or less than the rated capacity.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are a Delaware limited partnership formed by Westlake in March 2014 to operate, acquire and develop facilities for the processing of natural gas liquids and related assets. On August 4, 2014, we completed our IPO of 12,937,500 common units representing limited partner interests.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Our business and operations are conducted through OpCo. Because we own OpCo's general partner, we have control over all of OpCo's assets and operations. Westlake holds a 86.7% limited partner interest in OpCo and holds a 52.2% limited partner interest in us (consisting of 1,436,115 common units and all of the subordinated units), our general partner interest and our incentive distribution rights.</w:t>
      </w:r>
    </w:p>
    <w:p>
      <w:pPr>
        <w:spacing w:after="0" w:line="124"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OpCo's assets are comprised of three natural gas liquids processing facilities, which primarily convert ethane into ethylene and have an aggregate annual capacity of approximately 3.4 billion pounds, and a 200-mile ethylene pipeline. OpCo derives substantially all of its revenue from these processing facilities. Ethylene is the world's most widely used petrochemical in terms of volume and is a key building block used to produce a number of key derivatives, such as polyethylene ("PE") and polyvinyl chloride ("PVC"), which are used in a wide variety of end markets including packaging, construction and transportation. Westlake's downstream PE and PVC production facilities consume a substantial majority of the ethylene produced by OpCo. OpCo generates revenue primarily by selling ethylene to Westlake and others, as well as through the sale of co-products of ethylene production, including propylene, crude butadiene, pyrolysis gasoline and hydrogen. Our sole revenue generating asset is our 13.3% limited partner interest in OpCo.</w:t>
      </w:r>
    </w:p>
    <w:p>
      <w:pPr>
        <w:spacing w:after="0" w:line="113"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Our assets and operations are organized into a single reportable segment and are all located and conducted in the United States. See "Item 8. Financial Statements and Supplementary Data" for financial information on our operations and assets; such information is incorporated herein by reference.</w:t>
      </w:r>
    </w:p>
    <w:p>
      <w:pPr>
        <w:spacing w:after="0" w:line="70"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Among other agreements entered into in connection with the closing of the IPO, OpCo entered into a 12-year ethylene sales agreement with Westlake, under which Westlake agreed to purchase 95% of OpCo's planned ethylene production each year, on a cost-plus basis that is expected to generate a fixed margin per pound of $0.10 (the "Ethylene Sales Agreement"). Any ethylene not sold to Westlake and all co-products that are produced by OpCo will be sold to third parties on either a spot or contract basis. OpCo also entered into a feedstock supply agreement with Westlake that supplies OpCo with all of the ethane (and any other feedstocks) required for OpCo to produce ethylene under the Ethylene Sales Agreement (the "Feedstock Supply Agreement").</w:t>
      </w:r>
    </w:p>
    <w:p>
      <w:pPr>
        <w:spacing w:after="0" w:line="10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OpCo primarily uses ethane (a component of natural gas liquids, or NGLs) to produce ethylene. OpCo currently plans to upgrade and expand by approximately 250 million pounds the capacity of one of its processing facilities at Lake Charles, beginning during the second quarter of 2016. In January 2016, we announced plans to expand by approximately 70 million pounds the capacity at our processing facility in Calvert City that is targeted for completion during the first half of 2017. Combined with other incremental capacity increases, the total ethylene capacity at Calvert City Olefins is expected to increase to 730 million pounds annually at the completion of this project.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IRS Regulations</w:t>
      </w:r>
    </w:p>
    <w:p>
      <w:pPr>
        <w:spacing w:after="0" w:line="94" w:lineRule="exact"/>
        <w:rPr>
          <w:sz w:val="20"/>
          <w:szCs w:val="20"/>
          <w:color w:val="auto"/>
        </w:rPr>
      </w:pPr>
    </w:p>
    <w:p>
      <w:pPr>
        <w:ind w:right="180" w:firstLine="392"/>
        <w:spacing w:after="0" w:line="255" w:lineRule="auto"/>
        <w:rPr>
          <w:sz w:val="20"/>
          <w:szCs w:val="20"/>
          <w:color w:val="auto"/>
        </w:rPr>
      </w:pPr>
      <w:r>
        <w:rPr>
          <w:rFonts w:ascii="Arial" w:cs="Arial" w:eastAsia="Arial" w:hAnsi="Arial"/>
          <w:sz w:val="18"/>
          <w:szCs w:val="18"/>
          <w:color w:val="auto"/>
        </w:rPr>
        <w:t>Despite the fact that we are organized as a limited partnership under Delaware law, we would be treated as a corporation for U.S. federal income tax purposes unless we satisfy a "qualifying income" requirement (the "Qualifying Income Exception") under Section 7704 of the Internal Revenue Code of 1986, as amended (the "Code"). Failing to meet the Qualifying Income Exception would cause us to be treated as a corporation for U.S. federal income tax purposes. Prior to our initial public offering we requested and obtained a favorable private letter ruling from the IRS to the effect that income from the production, transportation, storage and marketing of ethylene and its co-products constitutes "qualifying income" within the meaning of Section 7704 of the Code.</w:t>
      </w:r>
    </w:p>
    <w:p>
      <w:pPr>
        <w:spacing w:after="0" w:line="139" w:lineRule="exact"/>
        <w:rPr>
          <w:sz w:val="20"/>
          <w:szCs w:val="20"/>
          <w:color w:val="auto"/>
        </w:rPr>
      </w:pPr>
    </w:p>
    <w:p>
      <w:pPr>
        <w:ind w:right="280" w:firstLine="392"/>
        <w:spacing w:after="0" w:line="279" w:lineRule="auto"/>
        <w:rPr>
          <w:sz w:val="20"/>
          <w:szCs w:val="20"/>
          <w:color w:val="auto"/>
        </w:rPr>
      </w:pPr>
      <w:r>
        <w:rPr>
          <w:rFonts w:ascii="Arial" w:cs="Arial" w:eastAsia="Arial" w:hAnsi="Arial"/>
          <w:sz w:val="17"/>
          <w:szCs w:val="17"/>
          <w:color w:val="auto"/>
        </w:rPr>
        <w:t>On May 5, 2015, the U.S. Treasury Department and the IRS issued proposed regulations (the "Proposed Regulations") regarding qualifying income under Section 7704(d)(1)(E) of the Code. The Proposed Regulations provide industry-specific rules regarding the Qualifying Income Exception, including whether an activity constitutes the processing or refining of a natural resource, which limit the extent to which income generated from the processing and refining of products derived from crude oil and natural gas constitutes qualifying income.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Our tax treatment depends on our status as a partnership for federal income tax purposes. If the Internal Revenue Service, or IRS, were to treat us as a corporation for federal income tax purposes, our cash available for distribution to you would be substantially reduced, which would likely cause a substantial reduction in the value of our common units. Proposed regulations issued in May 2015 may make it difficult or impossible for us to maintain our status as a partnership after a ten-year transition period.</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121" w:right="3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Westlake Chemical Partners LP</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simplified diagram depicts our organizational structure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5848985" cy="4716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4716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Public Common Units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340" w:type="dxa"/>
            <w:vAlign w:val="bottom"/>
            <w:shd w:val="clear" w:color="auto" w:fill="CCEEFF"/>
          </w:tcPr>
          <w:p>
            <w:pPr>
              <w:spacing w:after="0"/>
              <w:rPr>
                <w:sz w:val="23"/>
                <w:szCs w:val="23"/>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Interests of Westlake:</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
        </w:trPr>
        <w:tc>
          <w:tcPr>
            <w:tcW w:w="9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Units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9520" w:type="dxa"/>
            <w:vAlign w:val="bottom"/>
          </w:tcPr>
          <w:p>
            <w:pPr>
              <w:ind w:left="380"/>
              <w:spacing w:after="0"/>
              <w:rPr>
                <w:sz w:val="20"/>
                <w:szCs w:val="20"/>
                <w:color w:val="auto"/>
              </w:rPr>
            </w:pPr>
            <w:r>
              <w:rPr>
                <w:rFonts w:ascii="Arial" w:cs="Arial" w:eastAsia="Arial" w:hAnsi="Arial"/>
                <w:sz w:val="18"/>
                <w:szCs w:val="18"/>
                <w:color w:val="auto"/>
              </w:rPr>
              <w:t>Subordinated Units</w:t>
            </w:r>
          </w:p>
        </w:tc>
        <w:tc>
          <w:tcPr>
            <w:tcW w:w="1560" w:type="dxa"/>
            <w:vAlign w:val="bottom"/>
          </w:tcPr>
          <w:p>
            <w:pPr>
              <w:jc w:val="right"/>
              <w:spacing w:after="0"/>
              <w:rPr>
                <w:sz w:val="20"/>
                <w:szCs w:val="20"/>
                <w:color w:val="auto"/>
              </w:rPr>
            </w:pPr>
            <w:r>
              <w:rPr>
                <w:rFonts w:ascii="Arial" w:cs="Arial" w:eastAsia="Arial" w:hAnsi="Arial"/>
                <w:sz w:val="18"/>
                <w:szCs w:val="18"/>
                <w:color w:val="auto"/>
              </w:rPr>
              <w:t>46.9%</w:t>
            </w:r>
          </w:p>
        </w:tc>
        <w:tc>
          <w:tcPr>
            <w:tcW w:w="340" w:type="dxa"/>
            <w:vAlign w:val="bottom"/>
          </w:tcPr>
          <w:p>
            <w:pPr>
              <w:spacing w:after="0"/>
              <w:rPr>
                <w:sz w:val="21"/>
                <w:szCs w:val="21"/>
                <w:color w:val="auto"/>
              </w:rPr>
            </w:pPr>
          </w:p>
        </w:tc>
      </w:tr>
      <w:tr>
        <w:trPr>
          <w:trHeight w:val="27"/>
        </w:trPr>
        <w:tc>
          <w:tcPr>
            <w:tcW w:w="9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Non-Economic General Partner Interest</w:t>
            </w:r>
          </w:p>
        </w:tc>
        <w:tc>
          <w:tcPr>
            <w:tcW w:w="19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r>
      <w:tr>
        <w:trPr>
          <w:trHeight w:val="270"/>
        </w:trPr>
        <w:tc>
          <w:tcPr>
            <w:tcW w:w="9520" w:type="dxa"/>
            <w:vAlign w:val="bottom"/>
          </w:tcPr>
          <w:p>
            <w:pPr>
              <w:ind w:left="380"/>
              <w:spacing w:after="0"/>
              <w:rPr>
                <w:sz w:val="20"/>
                <w:szCs w:val="20"/>
                <w:color w:val="auto"/>
              </w:rPr>
            </w:pPr>
            <w:r>
              <w:rPr>
                <w:rFonts w:ascii="Arial" w:cs="Arial" w:eastAsia="Arial" w:hAnsi="Arial"/>
                <w:sz w:val="18"/>
                <w:szCs w:val="18"/>
                <w:color w:val="auto"/>
              </w:rPr>
              <w:t>Incentive Distribution Rights</w:t>
            </w:r>
          </w:p>
        </w:tc>
        <w:tc>
          <w:tcPr>
            <w:tcW w:w="1900" w:type="dxa"/>
            <w:vAlign w:val="bottom"/>
            <w:gridSpan w:val="2"/>
          </w:tcPr>
          <w:p>
            <w:pPr>
              <w:ind w:left="12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r>
      <w:tr>
        <w:trPr>
          <w:trHeight w:val="269"/>
        </w:trPr>
        <w:tc>
          <w:tcPr>
            <w:tcW w:w="952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200" w:hanging="412"/>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Incentive distribution rights represent a variable interest in distributions and thus are not expressed as a fixed percentage. Distributions with respect to the incentive distribution rights are classified as distributions with respect to equity interests.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Assets and Operations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sole revenue generating asset is our 13.3% limited partner interest in OpCo. We also own the general partner interest of OpCo. OpCo owns:</w:t>
      </w:r>
    </w:p>
    <w:p>
      <w:pPr>
        <w:spacing w:after="0" w:line="102" w:lineRule="exact"/>
        <w:rPr>
          <w:sz w:val="20"/>
          <w:szCs w:val="20"/>
          <w:color w:val="auto"/>
        </w:rPr>
      </w:pPr>
    </w:p>
    <w:p>
      <w:pPr>
        <w:ind w:left="660" w:right="4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natural gas liquids processing facilities at Westlake's Lake Charles, Louisiana site ("Petro 1" and "Petro 2," collectively referred to as "Lake Charles Olefins"), with an annual combined capacity of approximately 2.7 billion pounds;</w:t>
      </w:r>
    </w:p>
    <w:p>
      <w:pPr>
        <w:spacing w:after="0" w:line="35" w:lineRule="exact"/>
        <w:rPr>
          <w:rFonts w:ascii="Arial" w:cs="Arial" w:eastAsia="Arial" w:hAnsi="Arial"/>
          <w:sz w:val="18"/>
          <w:szCs w:val="18"/>
          <w:color w:val="auto"/>
        </w:rPr>
      </w:pPr>
    </w:p>
    <w:p>
      <w:pPr>
        <w:ind w:left="660" w:right="10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natural gas liquids processing facility at Westlake's Calvert City, Kentucky site ("Calvert City Olefins"), with an annual capacity of approximately 630 million pounds; and</w:t>
      </w:r>
    </w:p>
    <w:p>
      <w:pPr>
        <w:spacing w:after="0" w:line="3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200-mile common carrier ethylene pipeline that runs from Mont Belvieu, Texas to the Longview, Texas chemical site, which includes Westlake's Longview PE production facility (the "Longview Pipeline").</w:t>
      </w:r>
    </w:p>
    <w:p>
      <w:pPr>
        <w:spacing w:after="0" w:line="11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As the owner of the general partner interest of OpCo, we control all aspects of the management of OpCo, including its cash distribution policy. See "— OpCo's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OpCo's Assets</w:t>
      </w:r>
    </w:p>
    <w:p>
      <w:pPr>
        <w:spacing w:after="0" w:line="9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Natural Gas Liquids Processing Facilities</w:t>
      </w:r>
      <w:r>
        <w:rPr>
          <w:rFonts w:ascii="Arial" w:cs="Arial" w:eastAsia="Arial" w:hAnsi="Arial"/>
          <w:sz w:val="17"/>
          <w:szCs w:val="17"/>
          <w:color w:val="auto"/>
        </w:rPr>
        <w:t>. OpCo operates three natural gas liquids processing facilities that are situated on real property leased to OpCo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Westlake pursuant to two 50-year site lease agreements. See "Our Agreements with Westlake—Site Lease Agreements" for a description of the site leases. Ethylene can be produced from either NGL feedstocks, such as ethane, propane and butane, or from petroleum-derived feedstocks, such as naphtha. Lake Charles Olefins and Calvert City Olefins use primarily ethane as their feedstock. Calvert City Olefins can also use propane as a feedstock and Petro 2 can also use an ethane/propane mix, propane, butane or naphtha as a feedstock.</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regarding OpCo's natural gas liquids processing facilities as of December 31,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Annual</w:t>
            </w:r>
          </w:p>
        </w:tc>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Production</w:t>
            </w: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310"/>
              <w:spacing w:after="0" w:line="149" w:lineRule="exact"/>
              <w:rPr>
                <w:sz w:val="20"/>
                <w:szCs w:val="20"/>
                <w:color w:val="auto"/>
              </w:rPr>
            </w:pPr>
            <w:r>
              <w:rPr>
                <w:rFonts w:ascii="Arial" w:cs="Arial" w:eastAsia="Arial" w:hAnsi="Arial"/>
                <w:sz w:val="14"/>
                <w:szCs w:val="14"/>
                <w:b w:val="1"/>
                <w:bCs w:val="1"/>
                <w:color w:val="auto"/>
              </w:rPr>
              <w:t>Capacity</w:t>
            </w: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Primary Uses of</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Plant Location (Description)</w:t>
            </w:r>
          </w:p>
        </w:tc>
        <w:tc>
          <w:tcPr>
            <w:tcW w:w="120" w:type="dxa"/>
            <w:vAlign w:val="bottom"/>
            <w:vMerge w:val="restart"/>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(millions of</w:t>
            </w:r>
          </w:p>
        </w:tc>
        <w:tc>
          <w:tcPr>
            <w:tcW w:w="100" w:type="dxa"/>
            <w:vAlign w:val="bottom"/>
          </w:tcPr>
          <w:p>
            <w:pPr>
              <w:spacing w:after="0"/>
              <w:rPr>
                <w:sz w:val="12"/>
                <w:szCs w:val="12"/>
                <w:color w:val="auto"/>
              </w:rPr>
            </w:pPr>
          </w:p>
        </w:tc>
        <w:tc>
          <w:tcPr>
            <w:tcW w:w="38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Feedstock</w:t>
            </w:r>
          </w:p>
        </w:tc>
        <w:tc>
          <w:tcPr>
            <w:tcW w:w="100" w:type="dxa"/>
            <w:vAlign w:val="bottom"/>
            <w:vMerge w:val="restart"/>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pounds)</w:t>
            </w:r>
          </w:p>
        </w:tc>
        <w:tc>
          <w:tcPr>
            <w:tcW w:w="100" w:type="dxa"/>
            <w:vAlign w:val="bottom"/>
            <w:tcBorders>
              <w:bottom w:val="single" w:sz="8" w:color="CCEEFF"/>
            </w:tcBorders>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Ethylene</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Lake Charles, Louisiana (Petro 1)</w:t>
            </w:r>
          </w:p>
        </w:tc>
        <w:tc>
          <w:tcPr>
            <w:tcW w:w="13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Ethane</w:t>
            </w: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 and PVC</w:t>
            </w:r>
          </w:p>
        </w:tc>
        <w:tc>
          <w:tcPr>
            <w:tcW w:w="0" w:type="dxa"/>
            <w:vAlign w:val="bottom"/>
          </w:tcPr>
          <w:p>
            <w:pPr>
              <w:spacing w:after="0"/>
              <w:rPr>
                <w:sz w:val="1"/>
                <w:szCs w:val="1"/>
                <w:color w:val="auto"/>
              </w:rPr>
            </w:pPr>
          </w:p>
        </w:tc>
      </w:tr>
      <w:tr>
        <w:trPr>
          <w:trHeight w:val="229"/>
        </w:trPr>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Ethane, ethane/propane mix, propane,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Lake Charles, Louisiana (Petro 2)</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butane or naphtha</w:t>
            </w:r>
          </w:p>
        </w:tc>
        <w:tc>
          <w:tcPr>
            <w:tcW w:w="1480" w:type="dxa"/>
            <w:vAlign w:val="bottom"/>
          </w:tcPr>
          <w:p>
            <w:pPr>
              <w:ind w:left="40"/>
              <w:spacing w:after="0"/>
              <w:rPr>
                <w:sz w:val="20"/>
                <w:szCs w:val="20"/>
                <w:color w:val="auto"/>
              </w:rPr>
            </w:pPr>
            <w:r>
              <w:rPr>
                <w:rFonts w:ascii="Arial" w:cs="Arial" w:eastAsia="Arial" w:hAnsi="Arial"/>
                <w:sz w:val="18"/>
                <w:szCs w:val="18"/>
                <w:color w:val="auto"/>
              </w:rPr>
              <w:t>PE and PVC</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Calvert City, Kentucky (Calvert City Olefins)</w:t>
            </w:r>
          </w:p>
        </w:tc>
        <w:tc>
          <w:tcPr>
            <w:tcW w:w="6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Ethane or propane</w:t>
            </w: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PVC</w:t>
            </w:r>
          </w:p>
        </w:tc>
        <w:tc>
          <w:tcPr>
            <w:tcW w:w="0" w:type="dxa"/>
            <w:vAlign w:val="bottom"/>
          </w:tcPr>
          <w:p>
            <w:pPr>
              <w:spacing w:after="0"/>
              <w:rPr>
                <w:sz w:val="1"/>
                <w:szCs w:val="1"/>
                <w:color w:val="auto"/>
              </w:rPr>
            </w:pPr>
          </w:p>
        </w:tc>
      </w:tr>
      <w:tr>
        <w:trPr>
          <w:trHeight w:val="25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Lake Charles Olefins</w:t>
      </w:r>
    </w:p>
    <w:p>
      <w:pPr>
        <w:spacing w:after="0" w:line="9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Two of OpCo's natural gas liquids processing facilities, which we refer to as Petro 1 and Petro 2 and, collectively, as Lake Charles Olefins, are located at Westlake's Lake Charles site. The combined capacity of OpCo's two natural gas liquids processing facilities is approximately 2.7 billion pounds per year. In the first quarter of 2013, we completed the expansion of Petro 2 to increase the ethane-based ethylene capacity at the Lake Charles facility and its conversion to 100% ethane feedstock capability. The Petro 2 expansion increased ethane-based ethylene capacity by approximately 240 million pounds annually.</w:t>
      </w:r>
    </w:p>
    <w:p>
      <w:pPr>
        <w:spacing w:after="0" w:line="100"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OpCo currently plans to begin the upgrade and capacity expansion of Petro 1 by approximately 250 million pounds during the second quarter of 2016. Along with increasing capacity, this expansion is projected to, among other things, improve ethylene recovery efficiency, improve mechanical reliability and reduce energy consumption in the processing. This expansion is being funded through borrowings from Westlake.</w:t>
      </w:r>
    </w:p>
    <w:p>
      <w:pPr>
        <w:spacing w:after="0" w:line="11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Within Westlake's Lake Charles site, Petro 1 and Petro 2 are connected by pipeline systems to Westlake's polyethylene plants. Westlake may use the ethylene it purchases from OpCo at its Lake Charles facility or transfer it to its Geismar facility or its Longview facility, either through physical transportation or via exchange transactions. Westlake may also use the ethylene it purchases from OpCo with chlorine to produce ethylene dichloride and transport it via barge to Westlake's Calvert City site.</w:t>
      </w:r>
    </w:p>
    <w:p>
      <w:pPr>
        <w:spacing w:after="0" w:line="13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addition, OpCo produces ethylene co-products including chemical grade propylene, crude butadiene, pyrolysis gasoline and hydrogen. OpCo sells its output of these co-products to external customers.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Calvert City Olefins</w:t>
      </w:r>
    </w:p>
    <w:p>
      <w:pPr>
        <w:spacing w:after="0" w:line="9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One of OpCo's natural gas liquids processing facilities is located at Westlake's Calvert City site, which we refer to as Calvert City Olefins. The capacity of Calvert City Olefins is 630 million pounds per year. We completed a project in early 2014 at Calvert City Olefins to convert its feedstock from propane to ethane and increase its ethylene capacity by approximately 180 million pounds annually. This conversion enabled OpCo to access low-cost ethane produced from the Marcellus Shale versus higher cost propane historically utilized by Calvert City Olefins as a feedstock. In January 2016, we announced an expansion project to increase the ethylene capacity at Calvert City Olefins. The expansion is expected to increase ethylene capacity by approximately 70 million pounds annually and is targeted for completion during the first half of 2017. Combined with other incremental capacity increases, the total ethylene capacity at Calvert City Olefins is expected to increase to 730 million pounds annually at the completion of this project. This expansion is expected to be funded through borrowings from Westlake.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OpCo owns a 200-mile 10-inch diameter ethylene pipeline system that connects the Equistar Pipeline, the Flint Hills Pipeline and the Lone Star Storage Facility in Mont Belvieu to the Longview, Texas chemical site, which includes Westlake's Longview PE production facility. The system has a capacity of 3.5 million pounds per day of ethylene and is operated as a common carrier pipeline by Buckeye Development &amp; Logistics I LLC. As a common carrier intrastate pipeline in Texas, the system is subject to rate regulation under the Texas Utilities Code, as implemented by the Texas Railroad Commission, or the TRRC, and has a tariff on file with the TRRC.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OpCo has perpetual and paid-up licenses for steam cracking and process recovery technology used at its ethylene plants.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Agreements with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agreements described below became effective on August 4, 2014, concurrent with the closing of the IPO.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OpCo and Westlake entered into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Variable costs not incurred by OpCo due to a deficiency in takes are rebated to Westlake.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OpCo and Westlake entered into the Feedstock Supply Agreement, which has an initial term through December 31, 2026 and automatic 12-month renewal periods until terminated at the end of the initial term or any renewal term on 12-months' notice. Under the Feedstock Supply Agreement, Westlake agrees to sell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0"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OpCo and Westlake entered into the Services and Secondment Agreement, pursuant to which OpCo will provide Westlake with various utilities and utility services and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0"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OpCo and Westlake entered into two 50-year site lease agreements (the "Site Leases"). Under the Site Leases, OpCo leases the real property underlying Calvert City Olefins and Lake Charles Olefins and is granted certain use and access right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entered into the Omnibus Agreement with Westlake and OpCo, pursuant to which we granted Westlake, among other things, a right of first refusal on any proposed transfer of (1) our equity interests in OpCo, (2) the natural gas liquids processing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0"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We, OpCo GP and Westlake entered into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Regulations</w:t>
      </w:r>
    </w:p>
    <w:p>
      <w:pPr>
        <w:spacing w:after="0" w:line="94"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As is common in our industry, processing natural gas liquids involves the use, storage, transportation and disposal of large quantities of toxic and hazardous materials, and our processing operations require the generation and disposal of large quantities of hazardous wastes. We are subject to extensive, evolving and increasingly stringent federal, state and local environmental laws and regulations, which address, among other things, the following:</w:t>
      </w:r>
    </w:p>
    <w:p>
      <w:pPr>
        <w:spacing w:after="0" w:line="1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emissions to the air;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discharges to land or to surface and subsurface waters;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releases into the environment;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remediation of contaminated sites;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generation, handling, storage, transportation, treatment and disposal of waste materials;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maintenance of safe conditions in the workplace.</w:t>
      </w:r>
    </w:p>
    <w:p>
      <w:pPr>
        <w:spacing w:after="0" w:line="171"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color w:val="auto"/>
        </w:rPr>
        <w:t>We are subject to environmental laws and regulations that can impose civil and criminal sanctions and that may require us to mitigate the effects of contamination caused by the release or disposal of hazardous substances into the environment. These laws include the federal Clean Air Act ("CAA"), the federal Water Pollution Control Act (the "Clean Water Act"), the Resource Conservation and Recovery Act ("RCRA"), the Comprehensive Environmental Response, Compensation, and Liability Act ("CERCLA"), the Toxic Substances Control Act and various other federal, state and local laws and regulations. Examples of environmental regulations and risks associated with our business are outlined below.</w:t>
      </w:r>
    </w:p>
    <w:p>
      <w:pPr>
        <w:spacing w:after="0" w:line="11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auto"/>
        </w:rPr>
        <w:t>The Federal Clean Air Act</w:t>
      </w:r>
      <w:r>
        <w:rPr>
          <w:rFonts w:ascii="Arial" w:cs="Arial" w:eastAsia="Arial" w:hAnsi="Arial"/>
          <w:sz w:val="18"/>
          <w:szCs w:val="18"/>
          <w:color w:val="auto"/>
        </w:rPr>
        <w:t>. The CAA and its implementing regulations, as well as the corresponding state laws and regulations, impose permitting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and emission control requirements relating to specific air pollutants, as well as the requirement for certain facilities to maintain a risk management program to help prevent accidental releases of certain substances. Air quality standards promulgated pursuant to the CAA may require the installation of new or additional emission control equipment or changes in facility operations. If new controls or changes to operations are needed, the costs could be significant. In addition, failure to comply with the requirements of the CAA, its implementing regulations, and permits issued under the CAA, could result in fines, penalties or other sanctions.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i w:val="1"/>
          <w:iCs w:val="1"/>
          <w:color w:val="auto"/>
        </w:rPr>
        <w:t>Release Reporting</w:t>
      </w:r>
      <w:r>
        <w:rPr>
          <w:rFonts w:ascii="Arial" w:cs="Arial" w:eastAsia="Arial" w:hAnsi="Arial"/>
          <w:sz w:val="18"/>
          <w:szCs w:val="18"/>
          <w:color w:val="auto"/>
        </w:rPr>
        <w:t>. The release of hazardous substances or extremely hazardous substances into the environment is subject to release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under federal and state environmental laws, including the Emergency Planning and Community Right-to-Know Act. If we fail to properly report a release, or if the release violates the law or our permits, it could cause us to become the subject of a governmental enforcement action or third-party claims, which could result in significant liability.</w:t>
      </w:r>
    </w:p>
    <w:p>
      <w:pPr>
        <w:spacing w:after="0" w:line="13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i w:val="1"/>
          <w:iCs w:val="1"/>
          <w:color w:val="auto"/>
        </w:rPr>
        <w:t>Clean Water Act</w:t>
      </w:r>
      <w:r>
        <w:rPr>
          <w:rFonts w:ascii="Arial" w:cs="Arial" w:eastAsia="Arial" w:hAnsi="Arial"/>
          <w:sz w:val="18"/>
          <w:szCs w:val="18"/>
          <w:color w:val="auto"/>
        </w:rPr>
        <w:t>. The Clean Water Act ("CWA") and analogous state laws impose restrictions and strict controls with respect to the discharge of</w:t>
      </w:r>
      <w:r>
        <w:rPr>
          <w:rFonts w:ascii="Arial" w:cs="Arial" w:eastAsia="Arial" w:hAnsi="Arial"/>
          <w:sz w:val="18"/>
          <w:szCs w:val="18"/>
          <w:i w:val="1"/>
          <w:iCs w:val="1"/>
          <w:color w:val="auto"/>
        </w:rPr>
        <w:t xml:space="preserve"> </w:t>
      </w:r>
      <w:r>
        <w:rPr>
          <w:rFonts w:ascii="Arial" w:cs="Arial" w:eastAsia="Arial" w:hAnsi="Arial"/>
          <w:sz w:val="18"/>
          <w:szCs w:val="18"/>
          <w:color w:val="auto"/>
        </w:rPr>
        <w:t>pollutants, including spills and leaks of oil and other substances, into waters of the U.S. Federal and state regulatory agencies can impose administrative, civil and criminal penalties for non-compliance with discharge permits or noncompliance with other requirements of the CWA and analogous state laws and regulations.</w:t>
      </w:r>
    </w:p>
    <w:p>
      <w:pPr>
        <w:spacing w:after="0" w:line="133"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i w:val="1"/>
          <w:iCs w:val="1"/>
          <w:color w:val="auto"/>
        </w:rPr>
        <w:t>Waste Management</w:t>
      </w:r>
      <w:r>
        <w:rPr>
          <w:rFonts w:ascii="Arial" w:cs="Arial" w:eastAsia="Arial" w:hAnsi="Arial"/>
          <w:sz w:val="17"/>
          <w:szCs w:val="17"/>
          <w:color w:val="auto"/>
        </w:rPr>
        <w:t>. RCRA and analogous state laws establish stringent requirements for the generation, handling, storage, transportation, and disposal</w:t>
      </w:r>
      <w:r>
        <w:rPr>
          <w:rFonts w:ascii="Arial" w:cs="Arial" w:eastAsia="Arial" w:hAnsi="Arial"/>
          <w:sz w:val="17"/>
          <w:szCs w:val="17"/>
          <w:i w:val="1"/>
          <w:iCs w:val="1"/>
          <w:color w:val="auto"/>
        </w:rPr>
        <w:t xml:space="preserve"> </w:t>
      </w:r>
      <w:r>
        <w:rPr>
          <w:rFonts w:ascii="Arial" w:cs="Arial" w:eastAsia="Arial" w:hAnsi="Arial"/>
          <w:sz w:val="17"/>
          <w:szCs w:val="17"/>
          <w:color w:val="auto"/>
        </w:rPr>
        <w:t>of hazardous wastes. At facilities where hazardous wastes have been spilled, released into the environment, or disposed, these laws may require costly investigations, studies, and response actions, possibly including removal and re-disposal of any such wastes. RCRA also establishes extensive recordkeeping, reporting and permitting requirements. We generate large quantities of hazardous wastes in connection with our operations, and could incur significant liabilities under RCRA and similar laws for any mismanagement or other improper or unauthorized handling of such wastes.</w:t>
      </w:r>
    </w:p>
    <w:p>
      <w:pPr>
        <w:spacing w:after="0" w:line="119"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i w:val="1"/>
          <w:iCs w:val="1"/>
          <w:color w:val="auto"/>
        </w:rPr>
        <w:t>Contract Disputes with Goodrich and PolyOne</w:t>
      </w:r>
      <w:r>
        <w:rPr>
          <w:rFonts w:ascii="Arial" w:cs="Arial" w:eastAsia="Arial" w:hAnsi="Arial"/>
          <w:sz w:val="16"/>
          <w:szCs w:val="16"/>
          <w:color w:val="auto"/>
        </w:rPr>
        <w:t>. In connection with the 1990 and 1997 acquisitions of the Goodrich Corporation ("Goodrich") 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facility in Calvert City, Kentucky, which is a portion of the B.F. Goodrich superfund site, Goodrich agreed to indemnify Westlake for any liabilities related to preexisting contamination at the site. Westlake agreed to indemnify Goodrich for post-closing contamination caused by Westlake's operations. The soil and groundwater at the site had been extensively contaminated under Goodrich's operations. In 1993, Goodrich spun off the predecessor of PolyOne Corporation ("PolyOne"), and that predecessor assumed Goodrich's indemnification obligations relating to preexisting contamination.</w:t>
      </w:r>
    </w:p>
    <w:p>
      <w:pPr>
        <w:spacing w:after="0" w:line="104"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In 2003, litigation arose among Westlake, Goodrich and PolyOne with respect to the allocation of the cost of remediating contamination at the site. The parties settled this litigation in December 2007, and the case was dismissed. In the settlement the parties agreed that, among other things: (1) PolyOne would pay 100% of the costs (with specified exceptions), net of recoveries or credits from third parties, incurred with respect to environmental issues at the Calvert City site from August 1, 2007 forward; (2) either Westlake or PolyOne might, from time to time in the future (but not more than once every five years), institute an arbitration proceeding to adjust that percentage; and (3) Westlake and PolyOne would negotiate a new environmental remediation utilities and services agreement to cover Westlake's provision to or on behalf of PolyOne of certain environmental remediation services at the site. The current environmental remediation activities at the Calvert City site do not have a specified termination date but are expected to last for the foreseeable future. The cost incurred by Westlake that has been invoiced to PolyOne to provide the environmental remediation services was $2.2 million and $2.8 million in 2015 and 2014, respectively. By letter dated March 16, 2010, PolyOne notified Westlake that it was initiating an arbitration proceeding under the settlement agreement. In this proceeding, PolyOne sought to readjust the percentage allocation of costs and to recover approximately $1.4 million from Westlake in reimbursement of previously paid remediation costs. In December 2015, the arbitration panel dismissed the proceeding with prejudice. In a separate proceeding in Ohio state court, Westlake is seeking certain insurance documents from PolyOne.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Westlake will indemnify us for liabilities that occurred or existed prior to August 4, 2014.</w:t>
      </w:r>
    </w:p>
    <w:p>
      <w:pPr>
        <w:spacing w:after="0" w:line="171"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i w:val="1"/>
          <w:iCs w:val="1"/>
          <w:color w:val="auto"/>
        </w:rPr>
        <w:t>State Administrative Proceedings</w:t>
      </w:r>
      <w:r>
        <w:rPr>
          <w:rFonts w:ascii="Arial" w:cs="Arial" w:eastAsia="Arial" w:hAnsi="Arial"/>
          <w:sz w:val="18"/>
          <w:szCs w:val="18"/>
          <w:color w:val="auto"/>
        </w:rPr>
        <w:t>. There are several administrative proceedings in Kentucky involving Westlake, Goodrich and PolyOne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manufacturing site in Calvert City, which includes OpCo's processing facility in Calvert City. In 2003, the Kentucky Environmental and Public Protection Cabinet (the "Cabinet") re-issued Goodrich's RCRA permit which requires Goodrich to remediate contamination at the Calvert City manufacturing site. Both Goodrich and PolyOne challenged various terms of the permit in an attempt to shift Goodrich's clean-up obligations under the permit to Westlake. Westlake intervened in the proceedings. The Cabinet has suspended all corrective action under the RCRA permit in deference to a remedial investigation and feasibility study ("RIFS") being conducted, under the auspices of the U.S. Environmental Protection Agency ("EPA") pursuant to an Administrative Settlement Agreement ("AOC"), which became effective on December 9, 2009. Westlake will indemnify us for liabilities that occurred or existed prior to August 4, 2014. See "Federal Administrative Proceedings" below. Periodic status conferences will be held to evaluate whether additional proceedings will be required.</w:t>
      </w:r>
    </w:p>
    <w:p>
      <w:pPr>
        <w:spacing w:after="0" w:line="143"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i w:val="1"/>
          <w:iCs w:val="1"/>
          <w:color w:val="auto"/>
        </w:rPr>
        <w:t>Federal Administrative Proceedings</w:t>
      </w:r>
      <w:r>
        <w:rPr>
          <w:rFonts w:ascii="Arial" w:cs="Arial" w:eastAsia="Arial" w:hAnsi="Arial"/>
          <w:sz w:val="18"/>
          <w:szCs w:val="18"/>
          <w:color w:val="auto"/>
        </w:rPr>
        <w:t>. In May 2009, the Cabinet sent a letter to the EPA requesting the EPA's assistance in addressing contamination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the Calvert City site under CERCLA. In its response to the Cabinet, the EPA stated that it concurred with the Cabinet's request and would incorporate work previously conducted under the Cabinet's RCRA authority into the EPA's cleanup efforts under CERCLA. Since 1983, the EPA has been addressing contamination at an abandoned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landfill adjacent to our plant which had been operated by Goodrich and which was being remediated pursuant to CERCLA. The EPA has directed Goodrich and PolyOne to conduct additional investigation activities at the landfill and at the Calvert City site. In June 2009, the EPA notified Westlake that Westlake may have potential liability under section 107(a) of CERCLA at its plant site. Liability under section 107(a) of CERCLA is strict and joint and several. The EPA also identified Goodrich and PolyOne, among others, as potentially responsible parties at the plant site. Westlake negotiated, in conjunction with the other potentially responsible parties, an AOC and an order to conduct an RIFS. Due to our ownership and current operation of the property, we may be subject to additional requirements and liabilities under CERCLA and we cannot assure you that any additional requirements and liabilities under CERCLA will not be material.</w:t>
      </w:r>
    </w:p>
    <w:p>
      <w:pPr>
        <w:spacing w:after="0" w:line="135" w:lineRule="exact"/>
        <w:rPr>
          <w:sz w:val="20"/>
          <w:szCs w:val="20"/>
          <w:color w:val="auto"/>
        </w:rPr>
      </w:pPr>
    </w:p>
    <w:p>
      <w:pPr>
        <w:jc w:val="both"/>
        <w:ind w:right="160" w:firstLine="405"/>
        <w:spacing w:after="0" w:line="297"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It is our policy to comply with all environmental, health and safety requirements and to provide safe and environmentally sound workplaces</w:t>
      </w:r>
      <w:r>
        <w:rPr>
          <w:rFonts w:ascii="Arial" w:cs="Arial" w:eastAsia="Arial" w:hAnsi="Arial"/>
          <w:sz w:val="16"/>
          <w:szCs w:val="16"/>
          <w:i w:val="1"/>
          <w:iCs w:val="1"/>
          <w:color w:val="auto"/>
        </w:rPr>
        <w:t xml:space="preserve"> </w:t>
      </w:r>
      <w:r>
        <w:rPr>
          <w:rFonts w:ascii="Arial" w:cs="Arial" w:eastAsia="Arial" w:hAnsi="Arial"/>
          <w:sz w:val="16"/>
          <w:szCs w:val="16"/>
          <w:color w:val="auto"/>
        </w:rPr>
        <w:t>for our employees. In some cases, compliance can be achieved only by incurring capital expenditures. In 2015, OpCo incurred capital expenditures of $5.4 million related to environmental compliance. We estimate that OpCo will make capital expenditures of approximately $9.9 million in 2016 and $9.4 million in 2017, respectively, related to environmental compliance. We anticipate that stringent environmental regulations will continue to be imposed on us and the industry in general. Although we cannot predict with certainty future expenditures, management believes that our current spending trends will continue.</w:t>
      </w:r>
    </w:p>
    <w:p>
      <w:pPr>
        <w:spacing w:after="0" w:line="104"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i w:val="1"/>
          <w:iCs w:val="1"/>
          <w:color w:val="auto"/>
        </w:rPr>
        <w:t>Potential Flare Modifications</w:t>
      </w:r>
      <w:r>
        <w:rPr>
          <w:rFonts w:ascii="Arial" w:cs="Arial" w:eastAsia="Arial" w:hAnsi="Arial"/>
          <w:sz w:val="16"/>
          <w:szCs w:val="16"/>
          <w:color w:val="auto"/>
        </w:rPr>
        <w:t>. For several years, the EPA has been conducting an enforcement initiative against petroleum refineries and petrochemical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plants with respect to emissions from flares. A number of companies have entered into consent agreements with the EPA requiring both modifications to reduce flare emissions and the installation of additional equipment to better track flare operations and emissions. On April 21, 2014, Westlake received a Clean Air Act Section 114 Information Request from the EPA which sought information regarding flares at the Calvert City and Lake Charles facilities. Westlake submitted information pursuant to such request, including information regarding three flares that we own. The EPA has informed Westlake that the information provided leads the EPA to believe that some of the flares are out of compliance with applicable standards. The EPA has demanded that Westlake conduct additional flare sampling and provide supplemental information. Westlake is currently in negotiations with the EPA regarding these demands, some of which are applicable to our flares. The EPA has indicated that it is seeking a consent decree with that would obligate Westlake to take corrective actions relating to the alleged noncompliance. Westlake has not agreed that any flares are out of compliance or that any corrective actions are warranted. Depending on the outcome of Westlake's negotiations with the EPA, additional controls on emissions from our flares may be required and these could result in increased capital and operating costs. Westlake will indemnify us for liabilities that occurred or existed prior to August 4, 2014.</w:t>
      </w:r>
    </w:p>
    <w:p>
      <w:pPr>
        <w:spacing w:after="0" w:line="11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i w:val="1"/>
          <w:iCs w:val="1"/>
          <w:color w:val="auto"/>
        </w:rPr>
        <w:t>Louisiana Notice of Violations</w:t>
      </w:r>
      <w:r>
        <w:rPr>
          <w:rFonts w:ascii="Arial" w:cs="Arial" w:eastAsia="Arial" w:hAnsi="Arial"/>
          <w:sz w:val="18"/>
          <w:szCs w:val="18"/>
          <w:color w:val="auto"/>
        </w:rPr>
        <w:t>. The Louisiana Department of Environmental Quality ("LDEQ") has issued notices of violations ("NOVs") regarding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those of Westlake, for various air compliance issues. We and Westlake are working with LDEQ to settle these claims, and a global settlement of all claims is being discussed. Westlake has reached a verbal agreement with the LDEQ to settle certain of the NOVs in two separate settlements for a combined $0.2 million in civil penalties.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Westlake will indemnify us for liabilities that occurred or existed prior to August 4, 2014.</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Greenhouse Gases</w:t>
      </w:r>
      <w:r>
        <w:rPr>
          <w:rFonts w:ascii="Arial" w:cs="Arial" w:eastAsia="Arial" w:hAnsi="Arial"/>
          <w:sz w:val="17"/>
          <w:szCs w:val="17"/>
          <w:color w:val="auto"/>
        </w:rPr>
        <w:t>. Various jurisdictions have considered or adopted laws and regulations on greenhouse gas ("GHG") emissions, with the general aim</w:t>
      </w:r>
      <w:r>
        <w:rPr>
          <w:rFonts w:ascii="Arial" w:cs="Arial" w:eastAsia="Arial" w:hAnsi="Arial"/>
          <w:sz w:val="17"/>
          <w:szCs w:val="17"/>
          <w:i w:val="1"/>
          <w:iCs w:val="1"/>
          <w:color w:val="auto"/>
        </w:rPr>
        <w:t xml:space="preserve"> </w:t>
      </w:r>
      <w:r>
        <w:rPr>
          <w:rFonts w:ascii="Arial" w:cs="Arial" w:eastAsia="Arial" w:hAnsi="Arial"/>
          <w:sz w:val="17"/>
          <w:szCs w:val="17"/>
          <w:color w:val="auto"/>
        </w:rPr>
        <w:t>of reducing such emissions. The EPA currently requires certain industrial facilities to report their GHG emissions, and to obtain permits with stringent control requirements before constructing or modifying new facilities with significant criteria pollutant and GHG emissions. As our chemical manufacturing processes result in GHG emissions, these and other GHG laws and regulations could affect our cost of doing business.</w:t>
      </w:r>
    </w:p>
    <w:p>
      <w:pPr>
        <w:spacing w:after="0" w:line="11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i w:val="1"/>
          <w:iCs w:val="1"/>
          <w:color w:val="auto"/>
        </w:rPr>
        <w:t>Chemical Safety</w:t>
      </w:r>
      <w:r>
        <w:rPr>
          <w:rFonts w:ascii="Arial" w:cs="Arial" w:eastAsia="Arial" w:hAnsi="Arial"/>
          <w:sz w:val="16"/>
          <w:szCs w:val="16"/>
          <w:color w:val="auto"/>
        </w:rPr>
        <w:t>. Assessments under government programs on chemical safety could adversely affect our business by increasing our cost of production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reducing demand for our products, through new requirements on the production, handling, labeling or use of those chemicals. In the United States, for example, the National Toxicology Program seeks to identify and select for study chemicals and other substances to evaluate potential human health hazards.</w:t>
      </w:r>
    </w:p>
    <w:p>
      <w:pPr>
        <w:spacing w:after="0" w:line="9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It is difficult to estimate the future costs of environmental protection and remediation because of many uncertainties, including uncertainties about the status of laws, regulations and information related to individual locations and sites and our ability to rely on third parties to carry out such remediation. Subject to the foregoing, but taking into consideration our experience regarding environmental matters of a similar nature and facts currently known, and except for the outcome of pending litigation and regulatory proceedings, which we cannot predict, but which could have a material adverse effect on us, we believe that capital expenditures and remedial actions to comply with existing laws governing environmental protection will not have a material adverse effect on our business and financial results.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Neither we nor OpCo has any employees. Under the Services and Secondment Agreement with Westlake, Westlake seconds employees to OpCo to allow OpCo to operate its facilities. Such seconded employees are under OpCo's control while they work on OpCo's facilities. As of December 31, 2015, 142 employees were seconded to OpCo. Of these, 21 are covered by collective bargaining agreements that expire on November 1, 2019. There have been no strikes or lockouts, and neither OpCo nor Westlake has experienced any work stoppages throughout its history. We believe that Westlake's relationship with the local union officials and bargaining committees is open and positive.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the ordinary conduct of our business, we and Westlake and our and Westlake's subsidiaries, including OpCo, are subject to periodic lawsuits, investigations and claims, including environmental claims and employee related matters.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Due to the Ethylene Sales Agreement and integration with Westlake, OpCo does not directly compete with other natural gas liquids processors for 95% of the planned volumes it produces. It is only on the 5% of planned ethylene volumes not sold to Westlake where OpCo competes with other regional merchant natural gas liquids processors, LyondellBasell Industries, N.V., Royal Dutch Shell, Williams Companies, BASF Corporation and Flint Hills Resources.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 xml:space="preserve">We file annual, quarterly and current reports and other documents with the SEC under the Securities Exchange Act of 1934 (the "Exchange Act"). You may read and copy any materials we file with the SEC at the SEC's Public Reference Room at 100 F Street, NE, Washington, DC 20549. You may obtain information on the operations of the Public Reference Room by calling the SEC at (800) SEC-0330. In addition, the SEC maintains a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reports and other information regarding issuers that file electronically with the SEC.</w:t>
      </w:r>
    </w:p>
    <w:p>
      <w:pPr>
        <w:spacing w:after="0" w:line="117"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 xml:space="preserve">We also make available free of charge our Annual Reports on Form 10-K, Quarterly Reports on Form 10-Q, Current Reports on Form 8-K and any amendments to those reports filed or furnished pursuant to Section 13(a) or 15(d) of the Exchange Act, simultaneously with or as soon as reasonably practicable after filing such materials with, or furnishing such materials to, the SEC, and on or through our website, </w:t>
      </w:r>
      <w:r>
        <w:rPr>
          <w:rFonts w:ascii="Arial" w:cs="Arial" w:eastAsia="Arial" w:hAnsi="Arial"/>
          <w:sz w:val="17"/>
          <w:szCs w:val="17"/>
          <w:i w:val="1"/>
          <w:iCs w:val="1"/>
          <w:color w:val="auto"/>
        </w:rPr>
        <w:t>www.wlkpartners.com</w:t>
      </w:r>
      <w:r>
        <w:rPr>
          <w:rFonts w:ascii="Arial" w:cs="Arial" w:eastAsia="Arial" w:hAnsi="Arial"/>
          <w:sz w:val="17"/>
          <w:szCs w:val="17"/>
          <w:color w:val="auto"/>
        </w:rPr>
        <w:t>. The information on our website, or information about us on any other website, is not incorporated by reference into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Limited partner interests are inherently different from the capital stock of a corporation, although many of the business risks to which we are subject are similar to those that would be faced by a corporation engaged in a similar business. Security holders and potential investors should carefully consider the following risk factors together with all of the other information included in this report. If any of the following risks were actually to occur, our business, financial condition, results of operations or cash flows could be materially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are substantially dependent on Westlake for our cash flows. If Westlake does not pay us under the terms of the Ethylene Sales Agreement or if our assets fail to perform as intended, we may not have sufficient cash from operations following the establishment of cash reserves and payment of costs and expenses, including cost reimbursements to our general partner and its affiliates, to enable us to pay the minimum quarterly distribution to our unitholders.</w:t>
      </w:r>
    </w:p>
    <w:p>
      <w:pPr>
        <w:spacing w:after="0" w:line="13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Currently, all of our cash flow is generated from cash distributions from OpCo, and a substantial majority of OpCo's cash flow is generated from payments by Westlake under the Ethylene Sales Agreement. Westlake's obligations to purchase ethylene under the Ethylene Sales Agreement may be temporarily suspended to the extent OpCo is unable to perform its obligations caused by any of certain events outside the reasonable control of OpCo. Such events include, for example, acts of God or calamities which affect the operation of OpCo's facilities; certain labor difficulties (whether or not the demands of the employees are within the power of OpCo to concede); and governmental orders or laws. In addition, Westlake is not obligated to purchase ethylene with respect to any period during which OpCo's facilities are not operating due to scheduled or unscheduled maintenance or turnarounds (which occur approximately every five years) other than under certain circumstances</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2" w:right="27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relating to the occurrence of force majeure. We expect that each of OpCo's facilities will have a turnaround once every five years and will not operate for typically between 25 and 45 days during each turnaround by itself. However, the duration of a turnaround by itself may be longer than expected or may cost more than originally estimated. Furthermore, expansions may also coincide with turnarounds, which may complicate and delay the completion of such turnarounds. For example, the expansion of Petro 1, as described in "Item 1. Business—OpCo's Assets—Lake Charles Olefins," is being completed in conjunction with a planned turnaround, which is expected to result in a downtime of between 75 and 80 days. A suspension of Westlake's obligations under the Ethylene Sales Agreement, including during periods where OpCo's facilities are not operating due to scheduled or unscheduled maintenance or turnarounds, would reduce OpCo's revenues and cash flows, and could materially adversely affect our ability to make distributions to our unitholders.</w:t>
      </w:r>
    </w:p>
    <w:p>
      <w:pPr>
        <w:spacing w:after="0" w:line="113"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Westlake may be unable to generate enough cash flow from operations to meet its minimum obligations under the Ethylene Sales Agreement if its business is adversely impacted by competition, operational problems, general adverse economic conditions or the inability to obtain feedstock. For example, sustained lower prices of crude oil, such as the prices experienced since the third quarter of 2014 and continuing through 2015 (as of December 31, 2015, over 65% lower than their 2014 peak levels) lead to lower margins for Westlake in the United States. If Westlake were unable to meet its minimum payment obligations to OpCo as a result of any one or more of these factors, our ability to make distributions to our unitholders would be reduced or eliminated. The level of payments made by Westlake will depend upon its ability to pay its minimum obligations under the Ethylene Sales Agreement and its ability and election to increase volumes above the minimums specified in the Ethylene Sales Agreement, which in turn are dependent upon, among other things, the level of production at Westlake's other facilities. If Westlake is unable to generate sufficient cash flow from its operations to meet its obligations, or otherwise defaults on its obligations, under the Ethylene Sales Agreement, OpCo will not have sufficient available cash to distribute to us to enable us to pay the minimum quarterly distribution, which will fluctuate from quarter to quarter based on the following factors, some of which are beyond our control:</w:t>
      </w:r>
    </w:p>
    <w:p>
      <w:pPr>
        <w:spacing w:after="0" w:line="34" w:lineRule="exact"/>
        <w:rPr>
          <w:sz w:val="20"/>
          <w:szCs w:val="20"/>
          <w:color w:val="auto"/>
        </w:rPr>
      </w:pPr>
    </w:p>
    <w:p>
      <w:pPr>
        <w:ind w:left="660" w:right="2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severe financial hardship or bankruptcy of Westlake or one of our other customers, or the occurrence of other events affecting our ability to collect payments from Westlake or our other customers, including any of our customers' default;</w:t>
      </w:r>
    </w:p>
    <w:p>
      <w:pPr>
        <w:spacing w:after="0" w:line="3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and cyclical downturns in the chemicals industry and other industries which materially and adversely impact Westlake and our other customers;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Westlake's inability to perform, or any other default on its obligations, under the Ethylene Sales Agreement;</w:t>
      </w:r>
    </w:p>
    <w:p>
      <w:pPr>
        <w:spacing w:after="0" w:line="9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age of, and changes in the reliability, efficiency and capacity of the various equipment and operating facilities used in OpCo's operations, and in the operations of Westlake and our other customers, business partners and/or suppliers;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environmental remediation at OpCo's facilities not covered by Westlake or third parties;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expected operating levels of OpCo's assets;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OpCo's ability to meet minimum volume requirements, yield standards and ethylene quality requirements in the Ethylene Sales Agreement;</w:t>
      </w:r>
    </w:p>
    <w:p>
      <w:pPr>
        <w:spacing w:after="0" w:line="101"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OpCo's ability to renew the Ethylene Sales Agreement or to enter into new, long-term agreements for the sale of ethylene under terms similar or more favorable;</w:t>
      </w:r>
    </w:p>
    <w:p>
      <w:pPr>
        <w:spacing w:after="0" w:line="35" w:lineRule="exact"/>
        <w:rPr>
          <w:rFonts w:ascii="Arial" w:cs="Arial" w:eastAsia="Arial" w:hAnsi="Arial"/>
          <w:sz w:val="18"/>
          <w:szCs w:val="18"/>
          <w:color w:val="auto"/>
        </w:rPr>
      </w:pPr>
    </w:p>
    <w:p>
      <w:pPr>
        <w:ind w:left="660" w:right="200" w:hanging="328"/>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the marketplace that may affect supply and demand for ethane or ethylene, including decreased availability of ethane (which may result from greater restrictions on hydraulic fracturing, any reduction in hydraulic fracturing due to low crude oil prices or exports of natural gas liquids from the United States, for example), increased production of ethylene or export of ethane or ethylene from the United States;</w:t>
      </w:r>
    </w:p>
    <w:p>
      <w:pPr>
        <w:spacing w:after="0" w:line="11"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overall levels of production, production capacity, pricing and/or margins for ethylene;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OpCo's ability to secure adequate supplies of ethane, other feedstocks and natural gas from Westlake or third parties;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need to use higher priced or less attractive feedstock due to the unavailability of ethane;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pipeline, railroad, barge, truck and other transportation performance and costs, including any transportation disruptions;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and cost of labor;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employees and workplace safety;</w:t>
      </w:r>
    </w:p>
    <w:p>
      <w:pPr>
        <w:spacing w:after="0" w:line="9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adverse events relating to the operation of OpCo's facilities and to the transportation and storage of hazardous materials (including equipment malfunction, explosions, fires, spills and the effects of severe weather conditions);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product specifications for the ethylene that we produce;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insurance markets and the level, types and costs of coverage available, and the financial ability of our insurers to meet their obligations;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or new, statutes, regulations or governmental policies by federal, state and local authorities with respect to protection of the environment;</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accounting rules and/or tax laws or their interpretations;</w:t>
      </w:r>
    </w:p>
    <w:p>
      <w:pPr>
        <w:spacing w:after="0" w:line="9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nonperformance or force majeure by, or disputes with or changes in contract terms with, Westlake, our other major customers, suppliers, dealers, distributors or other business partners;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or new, statutes, regulations, governmental policies and taxes, or their interpretations.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actual amount of cash we will have available for distribution will depend on other factors, including:</w:t>
      </w:r>
    </w:p>
    <w:p>
      <w:pPr>
        <w:spacing w:after="0" w:line="90" w:lineRule="exact"/>
        <w:rPr>
          <w:sz w:val="20"/>
          <w:szCs w:val="20"/>
          <w:color w:val="auto"/>
        </w:rPr>
      </w:pPr>
    </w:p>
    <w:p>
      <w:pPr>
        <w:ind w:left="660" w:right="6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amount of cash we or OpCo are able to generate from sales of ethylene, and associated co-products, to third parties, which will be impacted by changes in prices for ethane (or other feedstocks), natural gas, ethylene and co-products and sustained lower prices of crude oil, such as those experienced since the third quarter of 2014 and continuing through 2015, and could be less than the margin we earn from ethylene sales to Westlake;</w:t>
      </w:r>
    </w:p>
    <w:p>
      <w:pPr>
        <w:spacing w:after="0" w:line="1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capital expenditures we or OpCo make;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acquisitions;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construction costs;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or OpCo's working capital needs;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or OpCo's ability to borrow funds (including under our or OpCo's revolving credit facilities) and access capital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or OpCo's debt service requirements and other liabilities;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contained in our or OpCo's existing or future debt agreements;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cash reserves established by our general partner.</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will require a significant amount of cash to service our debt and OpCo’s debt, including borrowings under our and OpCo’s credit facilities with Westlake. Our ability to make payments on and refinance this debt will depend on our ability to generate cash in the future, which is subject to the same factors described above in connection with our ability to pay quarterly distributions to unitholders. Cash that is used to service debt will be unavailable for distributions to our unitholders.</w:t>
      </w: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OpCo is subject to the credit risk of Westlake on a substantial majority of its revenues, and Westlake's leverage and creditworthiness could adversely affect our ability to make distributions to our unitholders.</w:t>
      </w:r>
    </w:p>
    <w:p>
      <w:pPr>
        <w:spacing w:after="0" w:line="35"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Our ability to make distributions to unitholders is substantially dependent on Westlake's ability to meet its minimum contractual obligations under the Ethylene Sales Agreement. If Westlake defaults on its obligations, our ability to make distributions to our unitholders would be reduced or eliminated. Westlake has not pledged any assets to us as security for the performance of its obligations.</w:t>
      </w:r>
    </w:p>
    <w:p>
      <w:pPr>
        <w:spacing w:after="0" w:line="12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Westlake has not agreed with us to limit its ability to incur indebtedness, pledge or sell assets or make investments, and we have no control over the amount of indebtedness Westlake incurs, the assets it pledges or sells or the investments it makes.</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OpCo is a restricted subsidiary and guarantor under Westlake's credit facility and the indentures governing its senior notes. Restrictions in the indentures could limit OpCo's ability to make distributions to us.</w:t>
      </w:r>
    </w:p>
    <w:p>
      <w:pPr>
        <w:spacing w:after="0" w:line="3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All of our cash is currently generated from cash distributions from OpCo. Westlake's credit facility and the indentures governing its senior notes impose significant operating and financial restrictions on OpCo. These restrictions limit OpCo's ability to:</w:t>
      </w:r>
    </w:p>
    <w:p>
      <w:pPr>
        <w:spacing w:after="0" w:line="3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investments and other restricted payments;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indebtedness or issue preferred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all or substantially all of its assets or consolidate or merge with or into other companies;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addition, the indentures governing Westlake's senior notes prevent OpCo from making distributions to us if any default or event of default (as defined in the indentures) exists.</w:t>
      </w:r>
    </w:p>
    <w:p>
      <w:pPr>
        <w:spacing w:after="0" w:line="116"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These limitations are subject to a number of important qualifications and exceptions. However, the effectiveness of many of these restrictions in the indentures governing Westlake's senior notes is currently suspended under the indentures because the senior notes are currently rated investment grade by at least two nationally recognized credit rating agencies.</w:t>
      </w:r>
    </w:p>
    <w:p>
      <w:pPr>
        <w:spacing w:after="0" w:line="12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These covenants may adversely affect OpCo's ability to finance future business opportunities. A breach of any of these covenants could result in a default in respect of the related debt. If a default occurred, the relevant lenders could elect to declare the debt, together with accrued interest and other fees, to be immediately due and payable and proceed against any collateral securing that debt, including OpCo and its assets. In addition, any acceleration of debt under Westlake's credit facility will constitute a default under some of Westlake's other debt, including the indentures governing its senior notes, each of which OpCo has guaranteed.</w:t>
      </w:r>
    </w:p>
    <w:p>
      <w:pPr>
        <w:spacing w:after="0" w:line="215" w:lineRule="exact"/>
        <w:rPr>
          <w:sz w:val="20"/>
          <w:szCs w:val="20"/>
          <w:color w:val="auto"/>
        </w:rPr>
      </w:pPr>
    </w:p>
    <w:p>
      <w:pPr>
        <w:ind w:right="340"/>
        <w:spacing w:after="0" w:line="334" w:lineRule="auto"/>
        <w:rPr>
          <w:sz w:val="20"/>
          <w:szCs w:val="20"/>
          <w:color w:val="auto"/>
        </w:rPr>
      </w:pPr>
      <w:r>
        <w:rPr>
          <w:rFonts w:ascii="Arial" w:cs="Arial" w:eastAsia="Arial" w:hAnsi="Arial"/>
          <w:sz w:val="16"/>
          <w:szCs w:val="16"/>
          <w:b w:val="1"/>
          <w:bCs w:val="1"/>
          <w:i w:val="1"/>
          <w:iCs w:val="1"/>
          <w:color w:val="auto"/>
        </w:rPr>
        <w:t>Substantially all of OpCo's sales are generated at three facilities located at two sites. Any adverse developments at any of these facilities or sites could have a material adverse effect on our results of operations and therefore our ability to distribute cash to unitholders.</w:t>
      </w:r>
    </w:p>
    <w:p>
      <w:pPr>
        <w:spacing w:after="0" w:line="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OpCo's operations are subject to significant hazards and risks inherent in natural gas liquids processing operations. These hazards and risks include, but are not limited to, equipment malfunction, explosions, fires and the effects of severe weather conditions, any of which could result in production and transportation difficulties and disruptions, pollution, personal injury or wrongful death claims and other damage to our properties and the property of others. There is also risk of mechanical failure of OpCo's facilities both in the normal course of operations and following unforeseen events. Any adverse developments at any of OpCo's facilities could have a material adverse effect on our results of operations and therefore our ability to distribute cash to unitholders.</w:t>
      </w:r>
    </w:p>
    <w:p>
      <w:pPr>
        <w:spacing w:after="0" w:line="139"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Because substantially all of OpCo's sales are generated at three facilities located at two sites, any such events at any facility or site could significantly disrupt OpCo's ethylene production and its ability to supply ethylene to its customers. Any sustained disruption in its ability to meet its supply obligations under the Ethylene Sales Agreement could have a material adverse effect on our results of operations and therefore our ability to distribute cash to unitholders.</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ethylene sales price charged under the Ethylene Sales Agreement is designed to permit OpCo to cover the substantial majority of its operating costs, but not our public partnership and other OpCo costs, which will reduce our net operating profit.</w:t>
      </w:r>
    </w:p>
    <w:p>
      <w:pPr>
        <w:spacing w:after="0" w:line="3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purchase price under the Ethylene Sales Agreement is based on OpCo's actual ethane, other feedstock and natural gas costs and an annual estimate of other operating costs and maintenance capital expenditures and other turnaround expenditures. The price is designed to permit OpCo to recover the portion of its costs of feedstocks and other costs to operate the natural gas liquids processing facilities associated with the percentage of its processing capacity purchased by Westlake and generate a fixed margin per pound of ethylene purchased by Westlake. The price is not designed to allow OpCo to recover any capital expenditures related to expansion (such as our plans to upgrade and expand the capacity of Petro 1 and our facility in Calvert City), or operational efficiency. The ethylene sales price also does not increase to cover our public partnership costs. Both of these costs reduce our net operating profit.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fee structure of the Ethylene Sales Agreement may limit OpCo's ability to take advantage of favorable market developments in the future.</w:t>
      </w:r>
    </w:p>
    <w:p>
      <w:pPr>
        <w:spacing w:after="0" w:line="113"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Ethylene Sales Agreement sets a $0.10 per pound margin for a substantial majority of OpCo's ethylene production, limiting OpCo's ability to take advantage of potential decreased ethane and other feedstock prices, potential increased ethylene prices or other favorable market developments. Under these circumstances, OpCo may not be in a position to enable its partners, including us, to benefit from favorable market developments (including any potential ethylene price increase in the future) through increased distributions. In addition, under these circumstances, OpCo may be disadvantaged relative to those of its competitors that are in a better position to take advantage of favorable market developments.</w:t>
      </w:r>
    </w:p>
    <w:p>
      <w:pPr>
        <w:spacing w:after="0" w:line="20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If OpCo is unable to renew or extend the Ethylene Sales Agreement beyond the initial 12-year term or the other agreements with Westlake upon expiration of these agreements, our ability to make distributions in the future could be materially adversely affected and the value of our units could decline.</w:t>
      </w:r>
    </w:p>
    <w:p>
      <w:pPr>
        <w:spacing w:after="0" w:line="46"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Westlake's obligations under the Ethylene Sales Agreement, the Feedstock Supply Agreement and the related services and secondment agreement will become terminable by either party commencing December 31, 2026. If OpCo were unable to reach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2" w:right="27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agreement with Westlake on an extension or replacement of these agreements, then our ability to make distributions on our common units could be materially adversely affected and the value of our common units could decline.</w:t>
      </w:r>
    </w:p>
    <w:p>
      <w:pPr>
        <w:spacing w:after="0" w:line="19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OpCo has the right to use the real property underlying Lake Charles Olefins and Calvert City Olefins pursuant to two, 50-year site lease agreements with Westlake. If OpCo is not able to renew the site lease agreements or if the site lease agreements are terminated by Westlake, OpCo may have to relocate Lake Charles Olefins and Calvert City Olefins, abandon the assets or sell the assets to Westlake.</w:t>
      </w:r>
    </w:p>
    <w:p>
      <w:pPr>
        <w:spacing w:after="0" w:line="3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Westlake has (1) leased to OpCo the real property underlying Lake Charles Olefins and Calvert City Olefins and (2) granted OpCo rights to access and use certain other portions of Westlake's facilities that are necessary to operate OpCo's units at such facilities. The site lease agreements each have a term of 50 years and may be renewed if agreed to by the parties. If an event of default with respect to bankruptcy of OpCo occurs, if Westlake terminates the Ethylene Sales Agreement in accordance with its provisions either for cause or due to a force majeure event, or if OpCo ceases to operate Lake Charles Olefins or Calvert City Olefins for six consecutive months (other than due to force majeure or construction following a casualty loss), Westlake may terminate the applicable site lease following notice and expiration of a cure period to remedy the default. In addition, if OpCo fails to act in good faith to expeditiously restore Lake Charles Olefins or Calvert City Olefins following a casualty loss, Westlake has the ability to terminate the applicable site lease agreement, to restore Lake Charles Olefins or Calvert City Olefins, as the case may be, and to purchase such natural gas liquids processing facilities at fair market value. If OpCo is unable to renew the site lease agreements or if Westlake terminates one or both of the site lease agreements, OpCo may have to relocate Lake Charles Olefins and Calvert City Olefins, abandon the assets or sell the assets to Westlake, the result of which may have a material adverse effect on our business, results of operations and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depends upon Westlake for numerous services and for its labor force.</w:t>
      </w:r>
    </w:p>
    <w:p>
      <w:pPr>
        <w:spacing w:after="0" w:line="90"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Pursuant to a services and secondment agreement, Westlake is obligated to provide OpCo operating services, utility access services and other key site services. Westlake provides the services of certain of its employees, who act as OpCo's agents in operating and maintaining OpCo's natural gas liquids processing facilities. If this agreement is terminated or if Westlake or its affiliates fail to satisfactorily provide these services or employees, OpCo would be required to hire labor, provide these services internally or find a third-party provider of these services. Any services or labor OpCo chooses to provide internally may not be as cost effective as those that Westlake or its affiliates provide, particularly in light of OpCo's lack of experience as an independent organization. If OpCo is required to obtain these services or labor from a third party, it may be unable to do so in a timely, efficient and cost-effective manner, the services or labor it receives may be inferior to or more costly than those that Westlake is currently providing, or such services and labor may be unavailable. Moreover, given the integration of OpCo's natural gas liquids processing facilities and Westlake's Lake Charles and Calvert City facilities, it may not be practical for us or for a third party to provide site services or labor for OpCo's natural gas liquids processing facilities separately.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OpCo's ability to receive greater cash flows from increased production may be limited by the Ethylene Sales Agreement.</w:t>
      </w:r>
    </w:p>
    <w:p>
      <w:pPr>
        <w:spacing w:after="0" w:line="9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OpCo's ability to increase throughput volumes through its assets is constrained by the capacity limitations of those assets, which are currently operating at close to full capacity. OpCo's ability to increase its cash flow by selling ethylene to third parties may be limited by the Ethylene Sales Agreement. OpCo's ability to sell ethylene to third parties is limited to available excess capacity, since Westlake has the right to purchase the substantial majority of production from OpCo's facilities through its minimum purchase commitment and option to purchase additional ethylene under the Ethylene Sales Agreement. The Ethylene Sales Agreement provisions may prohibit OpCo from competing effectively for third party business for this excess production given the limited volumes available for sale. For example, so long as Westlake is not in default under the Ethylene Sales Agreement, Westlake has the right to purchase 95% of OpCo's production in excess of planned capacity.</w:t>
      </w:r>
    </w:p>
    <w:p>
      <w:pPr>
        <w:spacing w:after="0" w:line="2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amount of cash we have available for distribution to holders of our units depends primarily on our cash flow and not solely on profitability, which may prevent us from making cash distributions during periods when we record net income.</w:t>
      </w:r>
    </w:p>
    <w:p>
      <w:pPr>
        <w:spacing w:after="0" w:line="35" w:lineRule="exact"/>
        <w:rPr>
          <w:sz w:val="20"/>
          <w:szCs w:val="20"/>
          <w:color w:val="auto"/>
        </w:rPr>
      </w:pPr>
    </w:p>
    <w:p>
      <w:pPr>
        <w:jc w:val="both"/>
        <w:ind w:right="60" w:firstLine="405"/>
        <w:spacing w:after="0" w:line="302" w:lineRule="auto"/>
        <w:rPr>
          <w:sz w:val="20"/>
          <w:szCs w:val="20"/>
          <w:color w:val="auto"/>
        </w:rPr>
      </w:pPr>
      <w:r>
        <w:rPr>
          <w:rFonts w:ascii="Arial" w:cs="Arial" w:eastAsia="Arial" w:hAnsi="Arial"/>
          <w:sz w:val="16"/>
          <w:szCs w:val="16"/>
          <w:color w:val="auto"/>
        </w:rPr>
        <w:t>The amount of cash we have available for distribution depends primarily upon our cash flow, including cash flow from reserves and working capital or borrowings (including any under our credit facilities,) and not solely on profitability, which will be affected by non-cash items. As a result, we may pay cash distributions during periods when we record net losses for financial accounting purposes and may be unable to pay cash distributions during periods when we record net income. We may be unable to access our revolving credit facilities when we do not have sufficient cash flows to pay cash distributions.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If we are unable to make acquisitions from Westlake or third parties on economically acceptable terms, our future growth would be limited, and any acquisitions we make may reduce, rather than increase, our cash generated from operations on a per unit basis.</w:t>
      </w:r>
    </w:p>
    <w:p>
      <w:pPr>
        <w:spacing w:after="0" w:line="1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strategy to grow our business and increase distributions to unitholders is dependent on our ability to make acquisitions that result in an increase in our cash distributions per unit. If we are unable to make acquisitions of additional interests in OpCo from Westlake on acceptable terms or we are unable to obtain financing for these acquisitions, our future growth and ability to increase distributions will be limited. In addition, we may be unable to make acquisitions from third parties as an alternative avenue to growth. Furthermore, even if we do consummate acquisitions that we believe will be accretive, they may in fact result in a decrease in our cash distributions per unit. Any acquisition involves potential risks, some of which are beyond our control, including, among other things:</w:t>
      </w:r>
    </w:p>
    <w:p>
      <w:pPr>
        <w:spacing w:after="0" w:line="5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mistaken assumptions about revenues and costs, including synergies;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successfully integrate the businesses we acquire;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hire, train or retain qualified personnel to manage and operate our business and newly acquired assets;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assumption of unknown liabilities;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rights to indemnity from the seller;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mistaken assumptions about the overall costs of equity or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difficulties in connection with operating in new product areas or new geographic areas;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or key employee losses at the acquired businesses.</w:t>
      </w:r>
    </w:p>
    <w:p>
      <w:pPr>
        <w:spacing w:after="0" w:line="171"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If we consummate any future acquisitions, our capitalization and results of operations may change significantly, and unitholders will not have the opportunity to evaluate the economic, financial and other relevant information that we will consider in determining the application of our funds and other resources.</w:t>
      </w:r>
    </w:p>
    <w:p>
      <w:pPr>
        <w:spacing w:after="0" w:line="20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Many of our assets have been in service for many years and require significant expenditures to maintain them. As a result, our maintenance or repair costs may increase in the future. In addition, while we intend to establish cash reserves in order to cover turnaround expenditures, the amounts we reserve may not be sufficient to fully cover such expenditures.</w:t>
      </w:r>
    </w:p>
    <w:p>
      <w:pPr>
        <w:spacing w:after="0" w:line="46"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Many of the assets we use to produce ethylene are generally long-lived assets. As a result, some of those assets have been in service for many decades. The age and condition of these assets could result in increased maintenance or repair expenditures. In addition, while we intend to establish cash reserves in order to cover our turnaround expenditures, the amounts we reserve may be insufficient to fully cover such expenditures. Any significant and unexpected increase in these expenditures could adversely affect our results of operations, financial position or cash flows, as well as our ability to pay cash distributions.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Regulations concerning the transportation of hazardous chemicals and the security of chemical manufacturing facilities could result in higher operating costs.</w:t>
      </w:r>
    </w:p>
    <w:p>
      <w:pPr>
        <w:spacing w:after="0" w:line="3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Chemical manufacturing facilities may be at greater risk of terrorist attacks than other potential targets in the U.S. As a result, the chemicals industry responded to the issues surrounding the terrorist attacks of September 11, 2001 by starting initiatives relating to the security of chemicals industry facilities and the transportation of hazardous chemicals in the U.S. Simultaneously, local, state and federal governments began a regulatory process that led to new regulations impacting the security of chemical plant locations and the transportation of hazardous chemicals. Our business or our customers' businesses could be adversely affected because of the cost of complying with these regulations.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production facilities process volatile and hazardous materials that subject us to operating risks that could adversely affect our operating results.</w:t>
      </w:r>
    </w:p>
    <w:p>
      <w:pPr>
        <w:spacing w:after="0" w:line="113" w:lineRule="exact"/>
        <w:rPr>
          <w:sz w:val="20"/>
          <w:szCs w:val="20"/>
          <w:color w:val="auto"/>
        </w:rPr>
      </w:pPr>
    </w:p>
    <w:p>
      <w:pPr>
        <w:ind w:right="840" w:firstLine="405"/>
        <w:spacing w:after="0" w:line="277" w:lineRule="auto"/>
        <w:rPr>
          <w:sz w:val="20"/>
          <w:szCs w:val="20"/>
          <w:color w:val="auto"/>
        </w:rPr>
      </w:pPr>
      <w:r>
        <w:rPr>
          <w:rFonts w:ascii="Arial" w:cs="Arial" w:eastAsia="Arial" w:hAnsi="Arial"/>
          <w:sz w:val="18"/>
          <w:szCs w:val="18"/>
          <w:color w:val="auto"/>
        </w:rPr>
        <w:t>Our operations are subject to the usual hazards associated with commodity chemical and plastics manufacturing and the related use, storage, transportation and disposal of feedstocks, products and wastes, including:</w:t>
      </w:r>
    </w:p>
    <w:p>
      <w:pPr>
        <w:spacing w:after="0" w:line="3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pipeline leaks and ruptures;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explosions;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severe weather and natural disasters;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mechanical failure;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2" w:right="29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unscheduled downtime;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 difficulties;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transportation interruptions;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chemical spills;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discharges or releases of toxic or hazardous substances or gases;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storage tank leaks;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environmental risks;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terrorist attacks.</w:t>
      </w:r>
    </w:p>
    <w:p>
      <w:pPr>
        <w:spacing w:after="0" w:line="17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All these hazards can cause personal injury and loss of life, catastrophic damage to or destruction of property and equipment and environmental damage, and may result in a suspension of operations and the imposition of civil or criminal penalties. We could become subject to environmental claims brought by governmental entities or third parties. A loss or shutdown of operations over an extended period at any one of our three major operating facilities would have a material adverse effect on us. We maintain property, business interruption and casualty insurance that we believe is in accordance with customary industry practices, but we cannot be fully insured against all potential hazards incident to our business, including losses resulting from war risks or terrorist acts. As a result of market conditions, premiums and deductibles for certain insurance policies can increase substantially and, in some instances, certain insurance may become unavailable or available only for reduced amounts of coverage. If we were to incur a significant liability for which we were not fully insured, it could have a material adverse effect on our financial position.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and assets are subject to extensive environmental, health and safety laws and regulations.</w:t>
      </w:r>
    </w:p>
    <w:p>
      <w:pPr>
        <w:spacing w:after="0" w:line="90" w:lineRule="exact"/>
        <w:rPr>
          <w:sz w:val="20"/>
          <w:szCs w:val="20"/>
          <w:color w:val="auto"/>
        </w:rPr>
      </w:pPr>
    </w:p>
    <w:p>
      <w:pPr>
        <w:ind w:right="240" w:firstLine="405"/>
        <w:spacing w:after="0" w:line="290" w:lineRule="auto"/>
        <w:rPr>
          <w:sz w:val="20"/>
          <w:szCs w:val="20"/>
          <w:color w:val="auto"/>
        </w:rPr>
      </w:pPr>
      <w:r>
        <w:rPr>
          <w:rFonts w:ascii="Arial" w:cs="Arial" w:eastAsia="Arial" w:hAnsi="Arial"/>
          <w:sz w:val="16"/>
          <w:szCs w:val="16"/>
          <w:color w:val="auto"/>
        </w:rPr>
        <w:t>We use hazardous substances and generate hazardous wastes and emissions in our manufacturing operations. Our industry is highly regulated and monitored by various environmental regulatory authorities. As such, we are subject to extensive federal, state and local laws and regulations pertaining to pollution and protection of the environment, health and safety, which govern, among other things, emissions to the air, discharges onto land or waters, the maintenance of safe conditions in the workplace, the remediation of contaminated sites, and the generation, handling, storage, transportation, treatment and disposal of waste materials. Some of these laws and regulations are subject to varying and conflicting interpretations. Many of these laws and regulations provide for substantial fines and potential criminal sanctions for violations and require the installation of costly pollution control equipment or operational changes to limit pollution emissions or reduce the likelihood or impact of hazardous substance releases, whether permitted or not. For example, our petrochemical facilities may require improvements to comply with certain changes in process safety management requirements.</w:t>
      </w:r>
    </w:p>
    <w:p>
      <w:pPr>
        <w:spacing w:after="0" w:line="11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Our operations produce greenhouse gas ("GHG") emissions, which have been the subject of increased scrutiny and regulation. The EPA has adopted rules requiring the reporting of GHG emissions from specified large GHG emission sources on an annual basis including our facilities in Lake Charles and Calvert City. Various jurisdictions have considered or adopted laws and regulations on GHG emissions, with the general aim of reducing such emissions. The EPA currently requires certain industrial facilities to report their GHG emissions, and to obtain permits with stringent control requirements before constructing or modifying new facilities with significant criteria pollutant and GHG emissions. As our chemical processing results in GHG emissions, these and other GHG laws and regulations could affect our costs of doing business.</w:t>
      </w:r>
    </w:p>
    <w:p>
      <w:pPr>
        <w:spacing w:after="0" w:line="13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also may face liability for alleged personal injury or property damage due to exposure to chemicals or other hazardous substances at our facilities or to chemicals that we otherwise manufacture, handle or own. Although these types of claims have not historically had a material impact on our operations, a significant increase in the success of these types of claims could have a material adverse effect on our business, financial condition, operating results or cash flow.</w:t>
      </w:r>
    </w:p>
    <w:p>
      <w:pPr>
        <w:spacing w:after="0" w:line="133"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Environmental laws may have a significant effect on the nature and scope of, and responsibility for, cleanup of contamination at our current and former operating facilities, the costs of transportation and storage of raw materials and finished products, the costs of reducing emissions and the costs of the storage and disposal of wastewater. CERCLA and similar state laws impose joint and several liability for the costs of remedial investigations and actions on the entities that are deemed responsible for a release of hazardous substances into the environment, including entities that have generated hazardous substances or arranged for their transportation or disposal, as well as the past and present owners and operators of disposal sites. All such potentially responsible parties (or any one of them, including us) may be required to bear all of such costs regardless of fault, legality of the original disposal or ownership of the disposal site. In addition, CERCLA and similar state laws could impose liability for damages to natural resources caused by contamination.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Although we seek to take preventive action, our operations are inherently subject to accidental spills, discharges or other releases of hazardous substances that may make us liable to governmental entities or private parties. This may involve contamination associated with our current and former facilities, facilities to which we sent wastes or by-products for treatment or disposal and other contamination. Accidental discharges may occur in the future, future action may be taken in connection with past discharges, governmental agencies may assess damages or penalties against us in connection with any past or future contamination, or third parties may assert claims against us for damages allegedly arising out of any past or future contamination. In addition, we may be liable for existing contamination related to certain of our facilities for which, in some cases, we believe third parties are liable in the event such third parties fail to perform their obligations.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critical data and technology systems could materially affect our operations.</w:t>
      </w:r>
    </w:p>
    <w:p>
      <w:pPr>
        <w:spacing w:after="0" w:line="90"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Information technology system failures, network disruptions and breaches of data security could disrupt our operations by causing delays or cancellation of customer orders, impede the manufacture or shipment of products or cause standard business processes to become ineffective, resulting in the unintentional disclosure of information or damage to our reputation. While Westlake, which manages our security protocol under the omnibus agreement, has taken steps to address these concerns by implementing network security and internal control measures, there can be no assurance that a system failure, network disruption or data security breach will not have a material adverse effect on our business, financial condition, operating results or cash flow.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90"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Terrorist activities, anti-terrorist efforts and other armed conflicts involving the U.S. or other jurisdictions could adversely affect the U.S. and global economies and could prevent us from meeting financial and other obligations. We could experience loss of business, delays or defaults in payments from customers or disruptions of fuel supplies and markets if North American and global utilities are direct targets or indirect casualties of an act of terror or war. Terrorist activities and the threat of potential terrorist activities and any resulting economic downturn could adversely affect our results of operations, impair our ability to raise capital or otherwise adversely impact our ability to realize certain business strategies.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Partnership Structure</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Westlake owns and controls our general partner, which has sole responsibility for conducting our business and managing our operations. Our general partner and its affiliates, including Westlake, may have conflicts of interest with us and have limited duties, and they may favor their own interests to our detriment and that of our unitholders.</w:t>
      </w:r>
    </w:p>
    <w:p>
      <w:pPr>
        <w:spacing w:after="0" w:line="46"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Westlake owns and controls our general partner and appoints all of the directors of our general partner. Although our general partner has a duty to manage us in a manner that it believes is not adverse to our interests, the executive officers and directors of our general partner have a fiduciary duty to manage our general partner in a manner beneficial to Westlake. Therefore, conflicts of interest may arise between Westlake or any of its affiliates, including our general partner, on the one hand, and us or any of our unitholders, on the other hand. In resolving these conflicts of interest, our general partner may favor its own interests and the interests of its affiliates over the interests of our common unitholders. These conflicts include the following situations, among others:</w:t>
      </w:r>
    </w:p>
    <w:p>
      <w:pPr>
        <w:spacing w:after="0" w:line="23" w:lineRule="exact"/>
        <w:rPr>
          <w:sz w:val="20"/>
          <w:szCs w:val="20"/>
          <w:color w:val="auto"/>
        </w:rPr>
      </w:pPr>
    </w:p>
    <w:p>
      <w:pPr>
        <w:ind w:left="660" w:right="5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general partner is allowed to take into account the interests of parties other than us, such as Westlake, in exercising certain rights under our partnership agreement;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Westlake to pursue a business strategy that favors us;</w:t>
      </w:r>
    </w:p>
    <w:p>
      <w:pPr>
        <w:spacing w:after="0" w:line="90"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partnership agreement replaces the fiduciary duties that would otherwise be owed by our general partner with contractual standards governing its duties, limits our general partner's liabilities and restricts the remedies available to our unitholders for actions that, without such limitations, might constitute breaches of fiduciary duty;</w:t>
      </w:r>
    </w:p>
    <w:p>
      <w:pPr>
        <w:spacing w:after="0" w:line="4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in limited circumstances, our general partner has the power and authority to conduct our business without unitholder approval;</w:t>
      </w:r>
    </w:p>
    <w:p>
      <w:pPr>
        <w:spacing w:after="0" w:line="9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asset purchases and sales, borrowings, issuances of additional partnership securities and the level of reserves, each of which can affect the amount of cash that is distributed to our unitholders;</w:t>
      </w:r>
    </w:p>
    <w:p>
      <w:pPr>
        <w:spacing w:after="0" w:line="35"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any cash expenditure and whether an expenditure is classified as a maintenance capital expenditure, which reduces operating surplus, or an expansion capital expenditure, which does not reduce operating surplus. This determination can affect the amount of cash from operating surplus that is distributed to our unitholders which, in turn, may affect the ability of the subordinated units to convert;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ind w:left="660" w:right="80" w:hanging="328"/>
        <w:spacing w:after="0" w:line="31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general partner may cause us to borrow funds in order to permit the payment of cash distributions, even if the purpose or effect of the borrowing is to make a distribution on the subordinated units, to make incentive distributions or to accelerate the expiration of the subordination period, or may cause us not to borrow funds to pay cash distributions when we do not otherwise have the funds pay such cash distributions;</w:t>
      </w:r>
    </w:p>
    <w:p>
      <w:pPr>
        <w:spacing w:after="0" w:line="11" w:lineRule="exact"/>
        <w:rPr>
          <w:rFonts w:ascii="Arial" w:cs="Arial" w:eastAsia="Arial" w:hAnsi="Arial"/>
          <w:sz w:val="16"/>
          <w:szCs w:val="16"/>
          <w:color w:val="auto"/>
        </w:rPr>
      </w:pPr>
    </w:p>
    <w:p>
      <w:pPr>
        <w:ind w:left="660" w:right="12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partnership agreement permits us to distribute up to $28.0 million as operating surplus, even if it is generated from asset sales, non-working capital borrowings or other sources that would otherwise constitute capital surplus. This cash may be used to fund distributions on our subordinated units or the incentive distribution rights;</w:t>
      </w:r>
    </w:p>
    <w:p>
      <w:pPr>
        <w:spacing w:after="0" w:line="4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general partner determines which costs incurred by it and its affiliates are reimbursable by us;</w:t>
      </w:r>
    </w:p>
    <w:p>
      <w:pPr>
        <w:spacing w:after="0" w:line="9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partnership agreement does not restrict our general partner from causing us to pay it or its affiliates for any services rendered to us or entering into additional contractual arrangements with its affiliates on our behalf;</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general partner intends to limit its liability regarding our contractual and other obligations;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general partner may exercise its right to call and purchase common units if it and its affiliates own more than 80% of the common units;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general partner controls the enforcement of obligations that it and its affiliates owe to us;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general partner decides whether to retain separate counsel, accountants or others to perform services for us; and</w:t>
      </w:r>
    </w:p>
    <w:p>
      <w:pPr>
        <w:spacing w:after="0" w:line="9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general partner may elect to cause us to issue common units to it in connection with a resetting of the target distribution levels related to Westlake's incentive distribution rights without the approval of the conflicts committee of the board of directors or the unitholders. This election may result in lower distributions to the common unitholders in certain situations.</w:t>
      </w:r>
    </w:p>
    <w:p>
      <w:pPr>
        <w:spacing w:after="0" w:line="12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addition, we may compete directly with Westlake and entities in which it has an interest for acquisition opportunities and potentially will compete with these entities for new business or extensions of the existing services provided by us. Please read "Westlake and other affiliates of our general partner may compete with us."</w:t>
      </w:r>
    </w:p>
    <w:p>
      <w:pPr>
        <w:spacing w:after="0" w:line="2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board of directors may modify or revoke our cash distribution policy at any time at its discretion. Our partnership agreement does not require us to pay any distributions at all.</w:t>
      </w:r>
    </w:p>
    <w:p>
      <w:pPr>
        <w:spacing w:after="0" w:line="35"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The board of directors adopted a cash distribution policy pursuant to which we intend to distribute quarterly at least $0.2750 per unit on all of our units to the extent we have sufficient cash after the establishment of cash reserves and the payment of our expenses, including payments to our general partner and its affiliates. However, the board may change such policy at any time at its discretion and could elect not to pay distributions for one or more quarters.</w:t>
      </w:r>
    </w:p>
    <w:p>
      <w:pPr>
        <w:spacing w:after="0" w:line="93" w:lineRule="exact"/>
        <w:rPr>
          <w:sz w:val="20"/>
          <w:szCs w:val="20"/>
          <w:color w:val="auto"/>
        </w:rPr>
      </w:pPr>
    </w:p>
    <w:p>
      <w:pPr>
        <w:ind w:right="360" w:firstLine="405"/>
        <w:spacing w:after="0" w:line="297" w:lineRule="auto"/>
        <w:rPr>
          <w:sz w:val="20"/>
          <w:szCs w:val="20"/>
          <w:color w:val="auto"/>
        </w:rPr>
      </w:pPr>
      <w:r>
        <w:rPr>
          <w:rFonts w:ascii="Arial" w:cs="Arial" w:eastAsia="Arial" w:hAnsi="Arial"/>
          <w:sz w:val="16"/>
          <w:szCs w:val="16"/>
          <w:color w:val="auto"/>
        </w:rPr>
        <w:t>In addition, our partnership agreement does not require us to pay any distributions at all. Accordingly, investors are cautioned not to place undue reliance on the permanence of such a policy in making an investment decision. Any modification or revocation of our cash distribution policy could substantially reduce or eliminate the amount we distribute to our unitholders. The amount of distributions we make, if any, and the decision to make any distribution at all will be determined by the board of directors, whose interests may differ from those of our common unitholders. Our general partner has limited duties to our unitholders, which may permit it to favor its own interests or the interests of Westlake to the detriment of our common unitholders.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intends to limit its liability regarding our obligations.</w:t>
      </w:r>
    </w:p>
    <w:p>
      <w:pPr>
        <w:spacing w:after="0" w:line="90"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Our general partner intends to limit its liability under contractual arrangements between us and third parties so that the counterparties to such arrangements have recourse only against our assets, and not against our general partner or its assets. Our general partner may therefore cause us to incur indebtedness or other obligations that are nonrecourse to our general partner. Our partnership agreement provides that any action taken by our general partner to limit its liability is not a breach of our general partner's duties, even if we could have obtained more favorable terms without the limitation on liability.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distribute a significant portion of our available cash to our partners, which could limit our ability to grow and make acquisitions.</w:t>
      </w:r>
    </w:p>
    <w:p>
      <w:pPr>
        <w:spacing w:after="0" w:line="11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plan to distribute most of our available cash, which may cause our growth to proceed at a slower pace than that of businesses that reinvest their cash to expand ongoing operations. To the extent we issue additional units in connection with any acquisitions or expansion capital expenditures, the payment of distributions on those additional units may increase the risk that we will be unable to maintain or increase our per unit distribution level. There are no limitations in our partnership agreement on our ability to issue additional units, including units ranking senior to the common units. The incurrence of additional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commercial borrowings or other debt to finance our growth strategy would result in increased interest expense, which, in turn, may impact the cash that we have available to distribute to our unitholders.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replaces our general partner's fiduciary duties to holders of our units.</w:t>
      </w:r>
    </w:p>
    <w:p>
      <w:pPr>
        <w:spacing w:after="0" w:line="90"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Our partnership agreement contains provisions that eliminate and replace the fiduciary standards to which our general partner would otherwise be held by state fiduciary duty law. For example, our partnership agreement permits our general partner to make a number of decisions in its individual capacity, as opposed to in its capacity as our general partner, or otherwise free of fiduciary duties to us and our unitholders. This entitles our general partner to consider only the interests and factors that it desires and relieves it of any duty or obligation to give any consideration to any interest of, or factors affecting, us, our affiliates or our limited partners. Examples of decisions that our general partner may make in its individual capacity include:</w:t>
      </w:r>
    </w:p>
    <w:p>
      <w:pPr>
        <w:spacing w:after="0" w:line="2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how to allocate business opportunities among us and its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to exercise its call right;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how to exercise its voting rights with respect to the units it owns;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to exercise its registration rights;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to elect to reset target distribution levels;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or not to consent to any merger or consolidation of the partnership or amendment to the partnership agreement.</w:t>
      </w:r>
    </w:p>
    <w:p>
      <w:pPr>
        <w:spacing w:after="0" w:line="17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By purchasing a common unit, a unitholder is treated as having consented to the provisions in the partnership agreement, including the provisions discussed above.</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partnership agreement restricts the remedies available to holders of our units for actions taken by our general partner that might otherwise constitute breaches of fiduciary duty.</w:t>
      </w:r>
    </w:p>
    <w:p>
      <w:pPr>
        <w:spacing w:after="0" w:line="35"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Our partnership agreement contains provisions that restrict the remedies available to unitholders for actions taken by our general partner that might otherwise constitute breaches of fiduciary duty under state fiduciary duty law. For example, our partnership agreement provides that:</w:t>
      </w:r>
    </w:p>
    <w:p>
      <w:pPr>
        <w:spacing w:after="0" w:line="11" w:lineRule="exact"/>
        <w:rPr>
          <w:sz w:val="20"/>
          <w:szCs w:val="20"/>
          <w:color w:val="auto"/>
        </w:rPr>
      </w:pPr>
    </w:p>
    <w:p>
      <w:pPr>
        <w:ind w:left="660" w:right="140" w:hanging="328"/>
        <w:spacing w:after="0" w:line="28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whenever our general partner makes a determination or takes, or declines to take, any other action in its capacity as our general partner, our general partner is generally required to make such determination, or take or decline to take such other action, in good faith, and will not be subject to any higher standard imposed by our partnership agreement, Delaware law, or any other law, rule or regulation, or at equity;</w:t>
      </w:r>
    </w:p>
    <w:p>
      <w:pPr>
        <w:spacing w:after="0" w:line="30" w:lineRule="exact"/>
        <w:rPr>
          <w:rFonts w:ascii="Arial" w:cs="Arial" w:eastAsia="Arial" w:hAnsi="Arial"/>
          <w:sz w:val="17"/>
          <w:szCs w:val="17"/>
          <w:color w:val="auto"/>
        </w:rPr>
      </w:pPr>
    </w:p>
    <w:p>
      <w:pPr>
        <w:ind w:left="660" w:hanging="328"/>
        <w:spacing w:after="0" w:line="25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general partner and its officers and directors will not be liable for monetary damages or otherwise to us or our limited partners resulting from any act or omission unless there has been a final and non-appealable judgment entered by a court of competent jurisdiction determining that such losses or liabilities were the result of conduct in which our general partner or its officers or directors engaged in bad faith, meaning that they believed that the decision was adverse to the interest of the partnership or, with respect to any criminal conduct, with knowledge that such conduct was unlawful; and</w:t>
      </w:r>
    </w:p>
    <w:p>
      <w:pPr>
        <w:spacing w:after="0" w:line="5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general partner will not be in breach of its obligations under the partnership agreement or its duties to us or our limited partners if a transaction with an affiliate or the resolution of a conflict of interest is:</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approved by the conflicts committee of the board of directors, although our general partner is not obligated to seek such approval; or</w:t>
      </w:r>
    </w:p>
    <w:p>
      <w:pPr>
        <w:spacing w:after="0" w:line="101" w:lineRule="exact"/>
        <w:rPr>
          <w:rFonts w:ascii="Arial" w:cs="Arial" w:eastAsia="Arial" w:hAnsi="Arial"/>
          <w:sz w:val="17"/>
          <w:szCs w:val="17"/>
          <w:color w:val="auto"/>
        </w:rPr>
      </w:pPr>
    </w:p>
    <w:p>
      <w:pPr>
        <w:ind w:left="980" w:right="66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approved by the vote of a majority of the outstanding common units, excluding any common units owned by our general partner and its affiliates.</w:t>
      </w:r>
    </w:p>
    <w:p>
      <w:pPr>
        <w:spacing w:after="0" w:line="116"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In connection with a situation involving a transaction with an affiliate or a conflict of interest, other than one where our general partner is permitted to act in its sole discretion, any determination by our general partner must be made in good faith. If an affiliate transaction or the resolution of a conflict of interest is not approved by our common unitholders or the conflicts committee, then it will be presumed that, in making its decision, taking any action or failing to act, the board of directors acted in good faith, and in any proceeding brought by or on behalf of any limited partner or the partnership, the person bringing or prosecuting such proceeding will have the burden of overcoming such presumption.</w:t>
      </w:r>
    </w:p>
    <w:p>
      <w:pPr>
        <w:spacing w:after="0" w:line="11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Our partnership agreement provides that the conflicts committee of the board of directors may be comprised of one or more independent directors. If the board of directors establishes a conflicts committee with only one independent director, your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interests may not be as well served as if the conflicts committee was comprised of at least two independent directors. A single-member conflicts committee would not have the benefit of discussion with, and input from, other independent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and other affiliates of our general partner may compete with us.</w:t>
      </w:r>
    </w:p>
    <w:p>
      <w:pPr>
        <w:spacing w:after="0" w:line="90" w:lineRule="exact"/>
        <w:rPr>
          <w:sz w:val="20"/>
          <w:szCs w:val="20"/>
          <w:color w:val="auto"/>
        </w:rPr>
      </w:pPr>
    </w:p>
    <w:p>
      <w:pPr>
        <w:jc w:val="both"/>
        <w:ind w:right="100" w:firstLine="405"/>
        <w:spacing w:after="0" w:line="342" w:lineRule="auto"/>
        <w:rPr>
          <w:sz w:val="20"/>
          <w:szCs w:val="20"/>
          <w:color w:val="auto"/>
        </w:rPr>
      </w:pPr>
      <w:r>
        <w:rPr>
          <w:rFonts w:ascii="Arial" w:cs="Arial" w:eastAsia="Arial" w:hAnsi="Arial"/>
          <w:sz w:val="16"/>
          <w:szCs w:val="16"/>
          <w:color w:val="auto"/>
        </w:rPr>
        <w:t>Affiliates of our general partner, including Westlake, are not prohibited from engaging in other businesses or activities, including those that might be in direct competition with us. In addition, Westlake may compete with us for investment opportunities and may own an interest in entities that compete with us.</w:t>
      </w:r>
    </w:p>
    <w:p>
      <w:pPr>
        <w:spacing w:after="0" w:line="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Pursuant to the terms of our partnership agreement, the doctrine of corporate opportunity, or any analogous doctrine, does not apply to our general partner or any of its affiliates, including its executive officers and directors and Westlake. Any such person or entity that becomes aware of a potential transaction, agreement, arrangement or other matter that may be an opportunity for us will not have any duty to communicate or offer such opportunity to us. Any such person or entity will not be liable to us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us. This may create actual and potential conflicts of interest between us and affiliates of our general partner and result in less than favorable treatment of us and our unitholders.</w:t>
      </w:r>
    </w:p>
    <w:p>
      <w:pPr>
        <w:spacing w:after="0" w:line="216"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The holder or holders of our incentive distribution rights may elect to cause us to issue common units to it in connection with a resetting of the target distribution levels related to the incentive distribution rights, without the approval of the conflicts committee of our board of directors or the holders of our common units. This could result in lower distributions to holders of our common units.</w:t>
      </w:r>
    </w:p>
    <w:p>
      <w:pPr>
        <w:spacing w:after="0" w:line="30" w:lineRule="exact"/>
        <w:rPr>
          <w:sz w:val="20"/>
          <w:szCs w:val="20"/>
          <w:color w:val="auto"/>
        </w:rPr>
      </w:pPr>
    </w:p>
    <w:p>
      <w:pPr>
        <w:jc w:val="both"/>
        <w:ind w:right="220" w:firstLine="405"/>
        <w:spacing w:after="0" w:line="288" w:lineRule="auto"/>
        <w:rPr>
          <w:sz w:val="20"/>
          <w:szCs w:val="20"/>
          <w:color w:val="auto"/>
        </w:rPr>
      </w:pPr>
      <w:r>
        <w:rPr>
          <w:rFonts w:ascii="Arial" w:cs="Arial" w:eastAsia="Arial" w:hAnsi="Arial"/>
          <w:sz w:val="16"/>
          <w:szCs w:val="16"/>
          <w:color w:val="auto"/>
        </w:rPr>
        <w:t>The holder or holders of a majority of our incentive distribution rights (currently Westlake) have the right, at any time when there are no subordinated units outstanding and we have made cash distributions in excess of the then-applicable third target distribution for each of the prior four consecutive fiscal quarters, to reset the initial target distribution levels at higher levels based on our cash distribution levels at the time of the exercise of the reset election.</w:t>
      </w:r>
    </w:p>
    <w:p>
      <w:pPr>
        <w:ind w:right="20"/>
        <w:spacing w:after="0" w:line="252" w:lineRule="auto"/>
        <w:rPr>
          <w:sz w:val="20"/>
          <w:szCs w:val="20"/>
          <w:color w:val="auto"/>
        </w:rPr>
      </w:pPr>
      <w:r>
        <w:rPr>
          <w:rFonts w:ascii="Arial" w:cs="Arial" w:eastAsia="Arial" w:hAnsi="Arial"/>
          <w:sz w:val="18"/>
          <w:szCs w:val="18"/>
          <w:color w:val="auto"/>
        </w:rPr>
        <w:t>Following a reset election by such holder or holders, the minimum quarterly distribution will be calculated equal to an amount equal to the prior cash distribution per common unit for the fiscal quarter immediately preceding the reset election (such amount is referred to as the "reset minimum quarterly distribution") and the target distribution levels will be reset to correspondingly higher levels based on percentage increases above the reset minimum quarterly distribution. If such holder or holders elects to reset the target distribution levels, they will be entitled to receive common units as consideration for such election. The number of common units to be issued to such holder or holders will equal the number of common units that would have entitled the holder to an aggregate quarterly cash distribution for the quarter prior to the reset election equal to the distribution on the incentive distribution rights for the quarter prior to the reset election.</w:t>
      </w:r>
    </w:p>
    <w:p>
      <w:pPr>
        <w:spacing w:after="0" w:line="13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Westlake, as the current holder of our incentive distribution rights, could exercise this reset right in order to facilitate acquisitions or internal growth projects that would not be sufficiently accretive to cash distributions per unit without such conversion. However, Westlake may transfer the incentive distribution rights at any time. It is possible that Westlake or a transferee could exercise this reset election at a time when we are experiencing declines in our aggregate cash distributions or at a time when the holders of the incentive distribution rights expect that we will experience declines in our aggregate cash distributions in the foreseeable future. In such situations, a holder of the incentive distribution rights may be experiencing, or may expect to experience, declines in the cash distributions it receives related to the incentive distribution rights and may therefore desire to be issued our common units rather than retain the right to receive incentive distributions based on the initial target distribution levels. As a result, a reset election may cause our common unitholders to experience reduction in the amount of cash distributions that they would have otherwise received had we not issued new common units to the holders of the incentive distribution rights in connection with resetting the target distribution levels.</w:t>
      </w:r>
    </w:p>
    <w:p>
      <w:pPr>
        <w:spacing w:after="0" w:line="2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Holders of our common units have limited voting rights and are not entitled to elect our general partner or its directors, which could reduce the price at which our common units trade.</w:t>
      </w:r>
    </w:p>
    <w:p>
      <w:pPr>
        <w:spacing w:after="0" w:line="35"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Compared to the holders of common stock in a corporation, unitholders have limited voting rights and, therefore, limited ability to influence management's decisions regarding our business. Unitholders will have no right on an annual or ongoing basis to elect our general partner or its board of directors. The board of directors, including the independent directors, is chosen entirely by Westlake, as a result of it owning our general partner, and not by our unitholders. Unlike publicly traded corporations, we will not conduct annual meetings of our unitholders to elect directors or conduct other matters routinely conducted at annual meetings of stockholders of corporations. As a result of these limitations, the price at which the common units trade could be diminished because of the absence or reduction of a takeover premium in the trading price.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holders of our common units are dissatisfied, they cannot currently remove our general partner without its consent.</w:t>
      </w:r>
    </w:p>
    <w:p>
      <w:pPr>
        <w:spacing w:after="0" w:line="90" w:lineRule="exact"/>
        <w:rPr>
          <w:sz w:val="20"/>
          <w:szCs w:val="20"/>
          <w:color w:val="auto"/>
        </w:rPr>
      </w:pPr>
    </w:p>
    <w:p>
      <w:pPr>
        <w:ind w:right="60" w:firstLine="405"/>
        <w:spacing w:after="0" w:line="254" w:lineRule="auto"/>
        <w:rPr>
          <w:sz w:val="20"/>
          <w:szCs w:val="20"/>
          <w:color w:val="auto"/>
        </w:rPr>
      </w:pPr>
      <w:r>
        <w:rPr>
          <w:rFonts w:ascii="Arial" w:cs="Arial" w:eastAsia="Arial" w:hAnsi="Arial"/>
          <w:sz w:val="17"/>
          <w:szCs w:val="17"/>
          <w:color w:val="auto"/>
        </w:rPr>
        <w:t xml:space="preserve">If our unitholders are dissatisfied with the performance of our general partner, they currently cannot remove our general partner. Unitholders currently are unable to remove our general partner without its consent because our general partner and its affiliates own sufficient units to be able to prevent its removal. The vote, including Westlake, of the holders of at least 66 </w:t>
      </w:r>
      <w:r>
        <w:rPr>
          <w:rFonts w:ascii="Arial" w:cs="Arial" w:eastAsia="Arial" w:hAnsi="Arial"/>
          <w:sz w:val="24"/>
          <w:szCs w:val="24"/>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all outstanding common and subordinated units voting together as a single class is required to remove our general partner. As of March 2, 2016, Westlake owned an aggregate of 52.2% of our common and subordinated units. In addition, any vote to remove our general partner during the subordination period must provide for the election of a successor general partner by the holders of a majority of the common units and a majority of the subordinated units, voting as separate classes. Both of these conditions provide Westlake the ability to prevent the removal of our general partner.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of our general partner may be transferred to a third party without unitholder consent.</w:t>
      </w:r>
    </w:p>
    <w:p>
      <w:pPr>
        <w:spacing w:after="0" w:line="9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Our general partner may transfer its general partner interest to a third party without the consent of our unitholders. Furthermore, our partnership agreement permits Westlake to transfer ownership of our general partner to a third party, also without the consent of our unitholders. The new owner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incentive distribution rights may be transferred to a third party without unitholder consent.</w:t>
      </w:r>
    </w:p>
    <w:p>
      <w:pPr>
        <w:spacing w:after="0" w:line="90"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Westlake may transfer the incentive distribution rights to a third party at any time without the consent of our unitholders. If Westlake transfers the incentive distribution rights to a third party, it would not have the same incentive to grow our partnership and increase quarterly distributions to unitholders over time. For example, a transfer of incentive distribution rights by Westlake could reduce the likelihood of it accepting offers made by us relating to assets owned by Westlake, as it would have less of an economic incentive to grow our business, which in turn would impact our ability to grow our asset base.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call right that may require unitholders to sell their common units at an undesirable time or price.</w:t>
      </w:r>
    </w:p>
    <w:p>
      <w:pPr>
        <w:spacing w:after="0" w:line="90"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equal to the greater of (1) the average of the daily closing price of the common units over the 20 trading days preceding the date three days before notice of exercise of the call right is first mailed and (2) the highest per-unit price paid by our general partner or any of its affiliates for common units during the 90-day period preceding the date such notice is first mailed. As a result, unitholders may be required to sell their common units at an undesirable time or price and may not receive any return or a negative return on their investment. Unitholders may also incur a tax liability upon a sale of their units. Our general partner is not obligated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 its call right. If our general partner exercised its limited call right, the effect would be to take us private and, if the units were subsequently deregistered, we would no longer be subject to the reporting requirements of the Securities Exchange Act of 1934, as amended, or the Exchange Act.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units without unitholder approval, which would dilute existing unitholder ownership interests.</w:t>
      </w:r>
    </w:p>
    <w:p>
      <w:pPr>
        <w:spacing w:after="0" w:line="90"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Our partnership agreement does not limit the number of additional limited partner interests we may issue at any time without the approval of our unitholders. The issuance of additional common units or other equity interests of equal or senior rank will have the following effects:</w:t>
      </w:r>
    </w:p>
    <w:p>
      <w:pPr>
        <w:spacing w:after="0" w:line="1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existing unitholders' proportionate ownership interest in us will decrease;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earnings per each unit may decrease;</w:t>
      </w:r>
    </w:p>
    <w:p>
      <w:pPr>
        <w:spacing w:after="0" w:line="9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because a lower percentage of total outstanding units will be subordinated units, the risk that a shortfall in the payment of the minimum quarterly distribution will be borne by our common unitholders will increase;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units could be adversely affected by sales of substantial amounts of our common units in the public or private markets, including sales by Westlake or other large holders.</w:t>
      </w:r>
    </w:p>
    <w:p>
      <w:pPr>
        <w:spacing w:after="0" w:line="3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All of the subordinated units will convert into common units on a one-for-one basis at the end of the subordination period. Additionally, Westlake has registration rights with respect to the common units it holds. Sales by Westlake or other large holders of a substantial number of our common units in the public markets, or the perception that such sales might occur, could have a material adverse effect on the price of our common units or could impair our ability to obtain capital through an offering of equity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restricts the voting rights of unitholders owning 20% or more of our common units.</w:t>
      </w:r>
    </w:p>
    <w:p>
      <w:pPr>
        <w:spacing w:after="0" w:line="90"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Our partnership agreement restricts unitholders' voting rights by providing that any units held by a person or group that owns 20% or more of any class of units then outstanding, other than our general partner and its affiliates, their transferees and persons who acquired such units with the prior approval of the board of directors, cannot vote on any matter.</w:t>
      </w:r>
    </w:p>
    <w:p>
      <w:pPr>
        <w:spacing w:after="0" w:line="208" w:lineRule="exact"/>
        <w:rPr>
          <w:sz w:val="20"/>
          <w:szCs w:val="20"/>
          <w:color w:val="auto"/>
        </w:rPr>
      </w:pPr>
    </w:p>
    <w:p>
      <w:pPr>
        <w:ind w:right="280"/>
        <w:spacing w:after="0" w:line="334" w:lineRule="auto"/>
        <w:rPr>
          <w:sz w:val="20"/>
          <w:szCs w:val="20"/>
          <w:color w:val="auto"/>
        </w:rPr>
      </w:pPr>
      <w:r>
        <w:rPr>
          <w:rFonts w:ascii="Arial" w:cs="Arial" w:eastAsia="Arial" w:hAnsi="Arial"/>
          <w:sz w:val="16"/>
          <w:szCs w:val="16"/>
          <w:b w:val="1"/>
          <w:bCs w:val="1"/>
          <w:i w:val="1"/>
          <w:iCs w:val="1"/>
          <w:color w:val="auto"/>
        </w:rPr>
        <w:t>Cost reimbursements due to our general partner and Westlake for services provided to us or on our behalf will reduce our earnings and therefore our cash available for distribution to our unitholders. The amount and timing of such reimbursements will be determined by our general partner.</w:t>
      </w:r>
    </w:p>
    <w:p>
      <w:pPr>
        <w:spacing w:after="0" w:line="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We are obligated under our partnership agreement to reimburse our general partner and its affiliates for all expenses they incur and payments they make on our behalf, including expenses we and OpCo will incur under the services and secondment agreement and the omnibus agreement. Our partnership agreement does not set a limit on the amount of expenses for which our general partner and its affiliates may be reimbursed. These expenses include all expenses incurred under the services and secondment agreement and the omnibus agreement, including salary, bonus, incentive compensation and other amounts paid to persons who perform services for us or on our behalf and expenses allocated to our general partner by its affiliates. Our partnership agreement provides that our general partner will determine the expenses that are allocable to us. The reimbursement of expenses and payment of fees, if any, to our general partner and its affiliates will reduce the amount of our earnings and, thereby, our ability to distribute cash to our unitholders.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Under certain circumstances, unitholders may have to repay amounts wrongfully returned or distributed to them. Under Section 17-607 of the Delaware Revised Uniform Limited Partnership Act, or the Delaware Act, we may not make a distribution to our unitholders if the distribution would cause our liabilities to exceed the fair value of our assets. Delaware law provides that for a period of three years from the date of the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the partnership are not counted for purposes of determining whether a distribution is permitted.</w:t>
      </w:r>
    </w:p>
    <w:p>
      <w:pPr>
        <w:spacing w:after="0" w:line="220" w:lineRule="exact"/>
        <w:rPr>
          <w:sz w:val="20"/>
          <w:szCs w:val="20"/>
          <w:color w:val="auto"/>
        </w:rPr>
      </w:pPr>
    </w:p>
    <w:p>
      <w:pPr>
        <w:ind w:right="120"/>
        <w:spacing w:after="0" w:line="357"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controls, we may not be able to accurately report our financial results or prevent fraud. As a result, current and potential unitholders could lose confidence in our financial reporting, which would harm our business and the trading price of our units.</w:t>
      </w:r>
    </w:p>
    <w:p>
      <w:pPr>
        <w:ind w:right="20" w:firstLine="405"/>
        <w:spacing w:after="0" w:line="255" w:lineRule="auto"/>
        <w:rPr>
          <w:sz w:val="20"/>
          <w:szCs w:val="20"/>
          <w:color w:val="auto"/>
        </w:rPr>
      </w:pPr>
      <w:r>
        <w:rPr>
          <w:rFonts w:ascii="Arial" w:cs="Arial" w:eastAsia="Arial" w:hAnsi="Arial"/>
          <w:sz w:val="18"/>
          <w:szCs w:val="18"/>
          <w:color w:val="auto"/>
        </w:rPr>
        <w:t>Effective internal controls are necessary for us to provide reliable financial reports, prevent fraud and operate successfully as a public company. If we cannot provide reliable financial reports or prevent fraud, our reputation and operating results would be harmed. We cannot be certain that our efforts to maintain our internal controls will be successful, that we will be able to maintain adequate controls over our financial processes and reporting in the future or that we will be able to comply with our obligations under Section 404 of Sarbanes-Oxley. Any failure to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units.</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121" w:right="31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w:t>
      </w:r>
    </w:p>
    <w:p>
      <w:pPr>
        <w:spacing w:after="0" w:line="9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b w:val="1"/>
          <w:bCs w:val="1"/>
          <w:i w:val="1"/>
          <w:iCs w:val="1"/>
          <w:color w:val="auto"/>
        </w:rPr>
        <w:t>Our tax treatment depends on our status as a partnership for federal income tax purposes, as well as us not being subject to a material amount of entity-level taxation by individual states. If the Internal Revenue Service, or IRS, were to treat us as a corporation for federal income tax purposes, or we become subject to material entity-level taxation for state tax purposes, our cash available for distribution to you would be substantially reduced, which would likely cause a substantial reduction in the value of our common units. Proposed regulations issued by IRS in May 2015 may make it difficult or impossible for us to maintain our status as a partnership after a ten-year transition period.</w:t>
      </w:r>
    </w:p>
    <w:p>
      <w:pPr>
        <w:spacing w:after="0" w:line="23"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anticipated after-tax economic benefit of an investment in our common units depends largely on our being treated as a partnership for federal income tax purposes.</w:t>
      </w:r>
    </w:p>
    <w:p>
      <w:pPr>
        <w:spacing w:after="0" w:line="116"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Despite the fact that we are organized as a limited partnership under Delaware law, we would be treated as a corporation for U.S. federal income tax purposes unless we satisfy a "qualifying income" requirement (the "Qualifying Income Exception") under Section 7704 of the Internal Revenue Code of 1986, as amended (the "Code"). Failing to meet the Qualifying Income Exception would cause us to be treated as a corporation for U.S. federal income tax purposes.</w:t>
      </w:r>
    </w:p>
    <w:p>
      <w:pPr>
        <w:spacing w:after="0" w:line="133"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Prior to our initial public offering, we requested and obtained a favorable private letter ruling from the IRS to the effect that income from the production, transportation, storage and marketing of ethylene and its co-products constitutes "qualifying income" within the meaning of Section 7704 of the Code. However, no ruling has been or will be requested from the IRS regarding our treatment as a partnership for U.S. federal income tax purposes.</w:t>
      </w:r>
    </w:p>
    <w:p>
      <w:pPr>
        <w:spacing w:after="0" w:line="11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May 5, 2015, the U.S. Treasury Department and the IRS issued proposed regulations (the "Proposed Regulations") regarding qualifying income under Section 7704(d)(1)(E) of the Code. The Proposed Regulations provide industry-specific rules regarding the Qualifying Income Exception, including whether an activity constitutes the processing or refining of a natural resource, which limit the extent to which income generated from the processing and refining of products derived from crude oil and natural gas constitutes qualifying income. In the event that an activity does not satisfy the Qualifying Income Exception standards set forth therein, the Proposed Regulations include a proposed ten-year transition period for partnerships like us, who already received a private letter ruling that the income from that activity was qualifying income. The U.S. Treasury Department and the IRS requested comments from industry participants regarding the standards set forth in the Proposed Regulations. We have timely submitted our comments and have had discussions with the IRS and the U.S. Treasury Department. If the Proposed Regulations become final in their current form, such final regulations would make it difficult or impossible for us to satisfy the Qualifying Income Exception after the proposed ten-year transition period. The market price of our common units may decline significantly following, or in anticipation of, the expiration of any such transition period.</w:t>
      </w:r>
    </w:p>
    <w:p>
      <w:pPr>
        <w:spacing w:after="0" w:line="286"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If we were treated as a corporation for federal income tax purposes, we would pay U.S. federal income tax on our taxable income at the corporate tax rate, which is currently a maximum of 35%. Distributions to you would generally be taxed again as corporate distributions, and no income, gains, losses or deductions would flow through to you. Because a tax would be imposed upon us as a corporation, our cash available for distribution to you would be substantially reduced. Therefore, treatment of us as a corporation would result in a material reduction in the anticipated cash flow and after-tax return to the unitholders, likely causing a substantial reduction in the value of our common units.</w:t>
      </w:r>
    </w:p>
    <w:p>
      <w:pPr>
        <w:spacing w:after="0" w:line="119"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Our partnership agreement provides that if a law is enacted or existing law is modified or interpreted in a manner that subjects us to taxation as a corporation or otherwise subjects us to entity-level taxation for U.S. federal, state, local or foreign income tax purposes, the minimum quarterly distribution amount and the target distribution amounts may be adjusted to reflect the impact of that law or interpretation on us. At the state level, several states have been evaluating ways to subject partnerships to entity-level taxation through the imposition of state income, franchise or other forms of taxation. Specifically, we currently own assets and conduct business in Louisiana, Kentucky and Texas. Texas and Kentucky impose entity-level franchise or gross receipt taxes on partnerships. In the future, we may expand our operations. Imposition of similar entity-level taxes on us in Louisiana or other jurisdictions that we may expand to could substantially reduce our cash available for distribution to you.</w:t>
      </w:r>
    </w:p>
    <w:p>
      <w:pPr>
        <w:spacing w:after="0" w:line="20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units could be subject to potential legislative, judicial or administrative changes and differing interpretations, possibly on a retroactive basis.</w:t>
      </w:r>
    </w:p>
    <w:p>
      <w:pPr>
        <w:spacing w:after="0" w:line="35" w:lineRule="exact"/>
        <w:rPr>
          <w:sz w:val="20"/>
          <w:szCs w:val="20"/>
          <w:color w:val="auto"/>
        </w:rPr>
      </w:pPr>
    </w:p>
    <w:p>
      <w:pPr>
        <w:jc w:val="both"/>
        <w:ind w:right="60" w:firstLine="432"/>
        <w:spacing w:after="0" w:line="288" w:lineRule="auto"/>
        <w:rPr>
          <w:sz w:val="20"/>
          <w:szCs w:val="20"/>
          <w:color w:val="auto"/>
        </w:rPr>
      </w:pPr>
      <w:r>
        <w:rPr>
          <w:rFonts w:ascii="Arial" w:cs="Arial" w:eastAsia="Arial" w:hAnsi="Arial"/>
          <w:sz w:val="16"/>
          <w:szCs w:val="16"/>
          <w:color w:val="auto"/>
        </w:rPr>
        <w:t>The present U.S. federal income tax treatment of publicly traded partnerships, including us, or an investment in our common units may be modified by administrative, legislative or judicial changes or differing interpretations at any time. For example, the Obama administration's budget proposal for fiscal year 2016 recommends that certain publicly traded partnerships earning income from activities related to fossil fuels be taxed as corporations beginning in 2021.</w:t>
      </w:r>
    </w:p>
    <w:p>
      <w:pPr>
        <w:ind w:right="300"/>
        <w:spacing w:after="0" w:line="261" w:lineRule="auto"/>
        <w:rPr>
          <w:sz w:val="20"/>
          <w:szCs w:val="20"/>
          <w:color w:val="auto"/>
        </w:rPr>
      </w:pPr>
      <w:r>
        <w:rPr>
          <w:rFonts w:ascii="Arial" w:cs="Arial" w:eastAsia="Arial" w:hAnsi="Arial"/>
          <w:sz w:val="18"/>
          <w:szCs w:val="18"/>
          <w:color w:val="auto"/>
        </w:rPr>
        <w:t>From time to time, members of Congress propose and consider such substantive changes to the existing federal income tax laws that affect publicly traded partnerships. If successful, the Obama administration's proposal or other similar proposals could eliminate the qualifying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income exception to the treatment of all publicly-traded partnerships as corporations upon which we rely for our treatment as a partnership for U.S. federal income tax purposes.</w:t>
      </w:r>
    </w:p>
    <w:p>
      <w:pPr>
        <w:spacing w:after="0" w:line="116"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Any modification to the U.S. federal income tax laws may be applied retroactively and could make it more difficult or impossible for us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an investment in our common units.</w:t>
      </w:r>
    </w:p>
    <w:p>
      <w:pPr>
        <w:spacing w:after="0" w:line="1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the IRS were to contest the federal income tax positions we take, it may adversely impact the market for our common units, and the costs of any such contest would reduce our cash available for distribution to our unitholders.</w:t>
      </w:r>
    </w:p>
    <w:p>
      <w:pPr>
        <w:spacing w:after="0" w:line="3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IRS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common units and the price at which they trade. Moreover, the costs of any contest between us and the IRS will result in a reduction in our cash available for distribution to our unitholders and thus will be borne indirectly by our unitholders.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IRS makes audit adjustments to our income tax returns for tax years beginning after 2017, it (and some states) may collect any resulting taxes (including any applicable penalties and interest) directly from us, in which case our cash available for distribution to our unitholders might be substantially reduced.</w:t>
      </w:r>
    </w:p>
    <w:p>
      <w:pPr>
        <w:spacing w:after="0" w:line="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the Bipartisan Budget Act of 2015, if the IRS makes audit adjustments to our income tax returns for tax years beginning after 2017, it may collect any resulting taxes (including any applicable penalties and interest) directly from us. We will generally have the ability to shift any such tax liability to our general partner and our unitholders in accordance with their interests in us during the year under audit, but there can be no assurance that we will be able to do so (and will choose to do so) under all circumstances, or that we will be able to (or choose to) effect corresponding shifts in state income or similar tax liability resulting from the IRS adjustment in states in which we do business in the year under audit or in the adjustment year. If we are required to make payments of taxes, penalties and interest resulting from audit adjustments, our cash available for distribution to our unitholders might be substantially reduced.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you do not receive any cash distributions from us, you will be required to pay taxes on your share of our taxable income.</w:t>
      </w:r>
    </w:p>
    <w:p>
      <w:pPr>
        <w:spacing w:after="0" w:line="90"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You will be required to pay federal income taxes and, in some cases, state and local income taxes, on your share of our taxable income, whether or not you receive cash distributions from us. You may not receive cash distributions from us equal to your share of our taxable income or even equal to the actual tax due from you with respect to that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gain or loss on disposition of our common units could be more or less than expected.</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If you sell your common units, you will recognize a gain or loss equal to the difference between the amount realized and your tax basis in those common units. Because distributions in excess of your allocable share of our net taxable income decrease your tax basis in your common units, the amount, if any, of such prior excess distributions with respect to the units you sell will, in effect, become taxable income to you if you sell such units at a price greater than your tax basis in those units, even if the price you receive is less than your original cost. Furthermore, a substantial portion of the amount realized, whether or not representing gain, may be taxed as ordinary income due to potential recapture items, including depreciation recapture. In addition, because the amount realized includes a unitholder's share of our nonrecourse liabilities, if you sell your units, you may incur a tax liability in excess of the amount of cash you receive from the sale.</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Tax-exempt entities and non-U.S. persons face unique tax issues from owning our common units that may result in adverse tax consequences to them.</w:t>
      </w:r>
    </w:p>
    <w:p>
      <w:pPr>
        <w:spacing w:after="0" w:line="1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Investment in common units by tax-exempt entities, such as employee benefit plans and individual retirement accounts (known as IRAs), and non-U.S. persons raises issues unique to them. For example, virtually all of our income allocated to organizations that are exempt from federal income tax, including IRAs and other retirement plans, will be unrelated business taxable income and will be taxable to them. Distributions to non-U.S. persons will be reduced by withholding taxes at the highest applicable effective tax rate, and non-U.S. persons will be required to file U.S. federal tax returns and pay tax on their share of our taxable income.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will treat each purchaser of common units as having the same tax benefits without regard to the actual common units purchased. The IRS may challenge this treatment, which could adversely affect the value of the common units.</w:t>
      </w:r>
    </w:p>
    <w:p>
      <w:pPr>
        <w:spacing w:after="0" w:line="35"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Because we cannot match transferors and transferees of common units and because of other reasons, we will adopt depreciation and amortization positions that may not conform to all aspects of existing Treasury Regulations. A successful IRS challenge to those positions could adversely affect the amount of tax benefits available to you. It also could affect the timing of these tax benefits or the amount of gain from your sale of common units and could have a negative impact on the value of our common units or result in audit adjustments to your tax returns.</w:t>
      </w:r>
    </w:p>
    <w:p>
      <w:pPr>
        <w:spacing w:after="0" w:line="19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We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3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prorate our items of income, gain, loss and deduction between transferors and transferees of our units each month based upon the ownership of our units on the first day of each month, instead of on the basis of the date a particular unit is transferred. The U.S. Treasury Department recently adopted final Treasury Regulations allowing a similar monthly simplifying convention for taxable years beginning on or after August 3, 2015. However, such final regulations do not specifically authorize the use of the proration method we have adopted. If the IRS were to challenge our proration method or new Treasury Regulations were issued, we may be required to change the allocation of items of income, gain, loss and deduction among our unitholders.</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 unitholder whose units are the subject of a securities loan (e.g., a loan to a "short seller" to cover a short sale of units) may be considered as having disposed of those units. If so, he would no longer be treated for tax purposes as a partner with respect to those units during the period of the loan and may recognize gain or loss from the disposition.</w:t>
      </w:r>
    </w:p>
    <w:p>
      <w:pPr>
        <w:spacing w:after="0" w:line="46" w:lineRule="exact"/>
        <w:rPr>
          <w:sz w:val="20"/>
          <w:szCs w:val="20"/>
          <w:color w:val="auto"/>
        </w:rPr>
      </w:pPr>
    </w:p>
    <w:p>
      <w:pPr>
        <w:jc w:val="both"/>
        <w:ind w:right="20" w:firstLine="405"/>
        <w:spacing w:after="0" w:line="288" w:lineRule="auto"/>
        <w:rPr>
          <w:sz w:val="20"/>
          <w:szCs w:val="20"/>
          <w:color w:val="auto"/>
        </w:rPr>
      </w:pPr>
      <w:r>
        <w:rPr>
          <w:rFonts w:ascii="Arial" w:cs="Arial" w:eastAsia="Arial" w:hAnsi="Arial"/>
          <w:sz w:val="16"/>
          <w:szCs w:val="16"/>
          <w:color w:val="auto"/>
        </w:rPr>
        <w:t>Because there are no specific rules governing the U.S. federal income tax consequence of loaning a partnership interest, a unitholder whose units are the subject of a securities loan may be considered as having disposed of the loaned units. In that case, the unitholder may no longer be treated for tax purposes as a partner with respect to those units during the period of the loan to the short seller and the unitholder may recognize gain or loss from such disposition.</w:t>
      </w:r>
    </w:p>
    <w:p>
      <w:pPr>
        <w:spacing w:after="0" w:line="254" w:lineRule="auto"/>
        <w:rPr>
          <w:sz w:val="20"/>
          <w:szCs w:val="20"/>
          <w:color w:val="auto"/>
        </w:rPr>
      </w:pPr>
      <w:r>
        <w:rPr>
          <w:rFonts w:ascii="Arial" w:cs="Arial" w:eastAsia="Arial" w:hAnsi="Arial"/>
          <w:sz w:val="18"/>
          <w:szCs w:val="18"/>
          <w:color w:val="auto"/>
        </w:rPr>
        <w:t>Moreover, during the period of the loan, any of our income, gain, loss or deduction with respect to those units may not be reportable by the unitholder and any cash distributions received by the unitholder as to those units could be fully taxable as ordinary income. Unitholders desiring to assure their status as partners and avoid the risk of gain recognition from a securities loan are urged to modify any applicable brokerage account agreements to prohibit their brokers from borrowing their units.</w:t>
      </w:r>
    </w:p>
    <w:p>
      <w:pPr>
        <w:spacing w:after="0" w:line="21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have adopted certain valuation methodologies in determining unitholder's allocations of income, gain, loss and deduction. The IRS may challenge these methods or the resulting allocations, and such a challenge could adversely affect the value of our common units.</w:t>
      </w:r>
    </w:p>
    <w:p>
      <w:pPr>
        <w:spacing w:after="0" w:line="1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determining the items of income, gain, loss and deduction allocable to our unitholders, we must routinely determine the fair market value of our respective assets. Although we may from time to time consult with professional appraisers regarding valuation matters, we make many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spacing w:after="0" w:line="117"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19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The sale or exchange of 50% or more of our capital and profits interests during any 12-month period will result in the termination of our partnership for federal income tax purposes. The sale or exchange of 50% or more of the capital and profits interests in OpCo during any 12-month period will result in the termination of OpCo for federal income tax purposes.</w:t>
      </w:r>
    </w:p>
    <w:p>
      <w:pPr>
        <w:spacing w:after="0" w:line="4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will be considered to have terminated for federal income tax purposes if there is a sale or exchange of 50% or more of the total interests in our capital and profits within a 12-month period. As of March 2, 2016, Westlake owned 52.2% of the total interests in our capital and profits. Therefore, a transfer by Westlake of all or a portion of its interests in us could, in conjunction with the trading of common units held by the public, result in a termination of our partnership for federal income tax purposes. For purposes of determining whether the 50% threshold has been met, multiple sales of the same interest will be counted only once.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Our termination would, among other things, result in the closing of our taxable year for all unitholders, which would result in us filing two tax returns for one calendar year and could result in a significant deferral of depreciation deductions allowable in computing our taxable income. In the case of a unitholder reporting on a taxable year other than a calendar year, the closing of our taxable year may also result in more than twelve months of our taxable income or loss being includable in taxable income for the unitholder's taxable year that includes our termination. Our termination would not affect our classification as a partnership for federal income tax purposes, but it would result in our being treated as a new partnership for U.S. federal income tax purposes following the termination. If we were treated as a new partnership, we would be required to make new tax elections and could be subject to penalties if we were unable to determine that a termination occurred. The IRS has announced a relief procedure whereby if a publicly traded partnership that has technically terminated requests and the IRS grants special relief, among other things, the partnership may be permitted to provide only a single Schedule K-1 to unitholders for the two short tax periods included in the year in which the termination occurs.</w:t>
      </w:r>
    </w:p>
    <w:p>
      <w:pPr>
        <w:spacing w:after="0" w:line="12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OpCo is treated as a partnership for federal income tax purposes and will be considered to have technically terminated and to have formed a new partnership for federal income tax purposes if there is a sale or exchange of 50% or more of the total interests in OpCo’s capital and profits within a twelve month period. Such a termination could result in a deferral of depreciation deductions allowable in computing our taxable income.</w:t>
      </w:r>
    </w:p>
    <w:p>
      <w:pPr>
        <w:spacing w:after="0" w:line="200" w:lineRule="exact"/>
        <w:rPr>
          <w:sz w:val="20"/>
          <w:szCs w:val="20"/>
          <w:color w:val="auto"/>
        </w:rPr>
      </w:pP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You will likely be subject to state and local taxes and income tax return filing requirements in jurisdictions where you do not live as a result of investing in our common units.</w:t>
      </w:r>
    </w:p>
    <w:p>
      <w:pPr>
        <w:spacing w:after="0" w:line="35"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In addition to U.S. federal income taxes, you may be subject to other taxes, including foreign, state and local taxes, unincorporated business taxes and estate, inheritance or intangible taxes that are imposed by the various jurisdictions in which we conduct business or own property now or in the future, even if you do not live in any of those jurisdictions. You will likely be required to file foreign, state and local income tax returns and pay state and local income taxes in some or all of these various jurisdictions. Further, you may be subject to penalties for failure to comply with those requirements.</w:t>
      </w:r>
    </w:p>
    <w:p>
      <w:pPr>
        <w:spacing w:after="0" w:line="100"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We currently own assets and conduct business in Kentucky, Louisiana and Texas. Kentucky and Louisiana currently impose a personal income tax on individuals, Kentucky and Texas impose an entity-level franchise or gross receipts tax on a variety of legal entities, and Kentucky and Louisiana impose a corporate income tax on corporations and other entities treated as corporations for federal income tax purposes. As we make acquisitions or expand our business, we may own assets or conduct business in additional states that impose similar taxes. It is your responsibility to file all U.S. federal, foreign, state and local tax returns.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Information regarding our properties is contained in "Item 1. Business—OpCo's Assets" and "Item 7. Management's Discussion and Analysis of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the ordinary conduct of our business, we and Westlake and Westlake's subsidiaries, including OpCo, are subject to periodic lawsuits, investigations and claims, including environmental claims and employee related matters.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 In addition, under the Omnibus Agreement, Westlake agreed to indemnify OpCo for certain environmental liabilities arising out of or occurring before the closing date of the IPO.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ind w:right="2160"/>
        <w:spacing w:after="0" w:line="34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Our Partnership Interests</w:t>
      </w:r>
    </w:p>
    <w:p>
      <w:pPr>
        <w:spacing w:after="0" w:line="1" w:lineRule="exact"/>
        <w:rPr>
          <w:sz w:val="20"/>
          <w:szCs w:val="20"/>
          <w:color w:val="auto"/>
        </w:rPr>
      </w:pPr>
    </w:p>
    <w:p>
      <w:pPr>
        <w:jc w:val="both"/>
        <w:ind w:right="180" w:firstLine="405"/>
        <w:spacing w:after="0" w:line="312" w:lineRule="auto"/>
        <w:rPr>
          <w:sz w:val="20"/>
          <w:szCs w:val="20"/>
          <w:color w:val="auto"/>
        </w:rPr>
      </w:pPr>
      <w:r>
        <w:rPr>
          <w:rFonts w:ascii="Arial" w:cs="Arial" w:eastAsia="Arial" w:hAnsi="Arial"/>
          <w:sz w:val="16"/>
          <w:szCs w:val="16"/>
          <w:color w:val="auto"/>
        </w:rPr>
        <w:t>Our common units are listed and traded on the New York Stock Exchange ("NYSE") under the symbol "WLKP." Our common units began trading on July 30, 2014 at an initial offering price of $24.00 per unit. Prior to July 30, 2014, our units were not listed on any exchange and there was no public market for our units. The following table sets forth for the indicated periods the high and low sales prices per unit for our common units on the NYSE: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Low</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4th Quarter</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22.25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15.58</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3rd Quarter</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24.47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2nd Quarter</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28.99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19.21</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1st Quarter</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30.85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3rd Quarter (From July 30, 2014)</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34.31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28.57</w:t>
            </w:r>
          </w:p>
        </w:tc>
      </w:tr>
    </w:tbl>
    <w:p>
      <w:pPr>
        <w:spacing w:after="0" w:line="17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As of the close of business on March 2, 2016, based upon information received from our transfer agent, there were two holders of record of our common units. We have issued 12,686,115 subordinated units, for which there is no established public trading market. All of the subordinated units are held by Westlake. The principal difference between our common units and subordinated units is that for any quarter during the subordination period, holders of the subordinated units are not entitled to receive any distribution from operating surplus until the common units have received the minimum quarterly distribution from operating surplus for such quarter plus any arrearages in the payment of the minimum quarterly distribution from prior quarters. Subordinated units will not accrue arrearages. When the subordination period ends, all of the subordinated units will convert into an equal number of common units.</w:t>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distributions paid to unitholders for the years ended December 31, 2015 and 2014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Record Date</w:t>
            </w:r>
          </w:p>
        </w:tc>
        <w:tc>
          <w:tcPr>
            <w:tcW w:w="120" w:type="dxa"/>
            <w:vAlign w:val="bottom"/>
            <w:vMerge w:val="restart"/>
          </w:tcPr>
          <w:p>
            <w:pPr>
              <w:spacing w:after="0"/>
              <w:rPr>
                <w:sz w:val="14"/>
                <w:szCs w:val="14"/>
                <w:color w:val="auto"/>
              </w:rPr>
            </w:pPr>
          </w:p>
        </w:tc>
        <w:tc>
          <w:tcPr>
            <w:tcW w:w="240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Payment Date</w:t>
            </w:r>
          </w:p>
        </w:tc>
        <w:tc>
          <w:tcPr>
            <w:tcW w:w="100" w:type="dxa"/>
            <w:vAlign w:val="bottom"/>
            <w:vMerge w:val="restart"/>
          </w:tcPr>
          <w:p>
            <w:pPr>
              <w:spacing w:after="0"/>
              <w:rPr>
                <w:sz w:val="14"/>
                <w:szCs w:val="14"/>
                <w:color w:val="auto"/>
              </w:rPr>
            </w:pPr>
          </w:p>
        </w:tc>
        <w:tc>
          <w:tcPr>
            <w:tcW w:w="14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Amount per Limited</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Partner Unit</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2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February 11, 2016</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February 26, 2016</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0.3080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9, 2015</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November 27, 2015</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0.2994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August 13, 2015</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August 27, 2015</w:t>
            </w: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0.2910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12, 2015</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27, 2015</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0.2829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9, 2015</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24, 2015</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0.2750</w:t>
            </w:r>
          </w:p>
        </w:tc>
        <w:tc>
          <w:tcPr>
            <w:tcW w:w="0" w:type="dxa"/>
            <w:vAlign w:val="bottom"/>
          </w:tcPr>
          <w:p>
            <w:pPr>
              <w:spacing w:after="0"/>
              <w:rPr>
                <w:sz w:val="1"/>
                <w:szCs w:val="1"/>
                <w:color w:val="auto"/>
              </w:rPr>
            </w:pPr>
          </w:p>
        </w:tc>
      </w:tr>
      <w:tr>
        <w:trPr>
          <w:trHeight w:val="341"/>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 xml:space="preserve">November 10, 2014 </w:t>
            </w:r>
            <w:r>
              <w:rPr>
                <w:rFonts w:ascii="Arial" w:cs="Arial" w:eastAsia="Arial" w:hAnsi="Arial"/>
                <w:sz w:val="25"/>
                <w:szCs w:val="25"/>
                <w:color w:val="auto"/>
                <w:vertAlign w:val="superscript"/>
              </w:rPr>
              <w:t>(1)</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November 25, 2014</w:t>
            </w:r>
          </w:p>
        </w:tc>
        <w:tc>
          <w:tcPr>
            <w:tcW w:w="240" w:type="dxa"/>
            <w:vAlign w:val="bottom"/>
          </w:tcPr>
          <w:p>
            <w:pPr>
              <w:spacing w:after="0"/>
              <w:rPr>
                <w:sz w:val="24"/>
                <w:szCs w:val="24"/>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0.1704</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initial prorated quarterly cash distribution for the period from August 4, 2014 through September 30, 2014 of $0.2750 per unit.</w:t>
      </w:r>
    </w:p>
    <w:p>
      <w:pPr>
        <w:spacing w:after="0" w:line="17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We are a publicly traded partnership and are not subject to federal income tax. Instead, unitholders are required to report their allocable share of our income, gain, loss and deduction, regardless of whether we make distributions.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Information from our Partnership Agreement</w:t>
      </w:r>
    </w:p>
    <w:p>
      <w:pPr>
        <w:spacing w:after="0" w:line="9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Set forth below is a summary of the significant provisions of our partnership agreement that relate to cash distributions, minimum quarterly distributions and incentive distribution rights.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94"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Our partnership agreement provides that our general partner will make a determination as to whether to make a distribution, but our partnership agreement does not require us to pay distributions at any time or in any amount. Instead, the board of directors adopted a cash distribution policy in connection with the closing of the IPO that sets forth our general partner's intention with respect to the distributions to be made to unitholders. Pursuant to our cash distribution policy, within 60 days after the end of each quarter, we intend to make a minimum quarterly distribution of $0.2750 per unit to the extent we have sufficient cash after establishment of cash reserves and payment of fees and expenses, including payments to our general partner and its affiliates.</w:t>
      </w:r>
    </w:p>
    <w:p>
      <w:pPr>
        <w:spacing w:after="0" w:line="280" w:lineRule="exact"/>
        <w:rPr>
          <w:sz w:val="20"/>
          <w:szCs w:val="20"/>
          <w:color w:val="auto"/>
        </w:rPr>
      </w:pPr>
    </w:p>
    <w:p>
      <w:pPr>
        <w:jc w:val="both"/>
        <w:ind w:right="580" w:firstLine="405"/>
        <w:spacing w:after="0" w:line="342" w:lineRule="auto"/>
        <w:rPr>
          <w:sz w:val="20"/>
          <w:szCs w:val="20"/>
          <w:color w:val="auto"/>
        </w:rPr>
      </w:pPr>
      <w:r>
        <w:rPr>
          <w:rFonts w:ascii="Arial" w:cs="Arial" w:eastAsia="Arial" w:hAnsi="Arial"/>
          <w:sz w:val="16"/>
          <w:szCs w:val="16"/>
          <w:color w:val="auto"/>
        </w:rPr>
        <w:t>The board of directors may change our cash distribution policy at any time and from time to time, and even if our cash distribution policy is not modified or revoked, the amount of distributions paid under our policy and the decision to make any distribution is determined by our general partner.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94"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Any distribution we make is characterized as made from "operating surplus" or "capital surplus." Distributions from operating surplus are made differently than cash distributions we would make from capital surplus. Operating surplus distributions will be made to our unitholders and, if we make quarterly distributions above the first target distribution level described below, to the holder of our incentive distribution rights. We do not anticipate that we will make any distributions from capital surplus. In such an event, however, any capital surplus distribution would be made pro rata to all unitholders, but the incentive distribution rights would generally not participate in any capital surplus distributions. Any distribution of capital surplus would result in a reduction of the minimum quarterly distribution and target distribution levels and, if we reduce the minimum quarterly distribution to zero and eliminate any unpaid arrearages, thereafter capital surplus would be distributed as if it were operating surplus and the incentive distribution rights would thereafter be entitled to participate in such distributions. In determining operating surplus and capital surplus, we will only take into account our proportionate share of our consolidated subsidiaries that are not wholly owned, such as OpCo.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Quarterly Distribution</w:t>
      </w:r>
    </w:p>
    <w:p>
      <w:pPr>
        <w:spacing w:after="0" w:line="94"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Our partnership agreement provides that, during the subordination period, the common units will have the right to receive distributions of available cash from operating surplus each quarter in an amount equal to $0.2750 per common unit, which amount is defined in our partnership agreement as the minimum quarterly distribution, plus any arrearages in the payment of the minimum quarterly distribution on the common units from prior quarters, before any distributions of available cash from operating surplus may be made on the subordinated units. These units are deemed "subordinated" because for a period of time, referred to as the subordination period, the subordinated units will not be entitled to receive any distributions from operating surplus until the common units have received the minimum quarterly distribution plus any arrearages in the payment of the minimum quarterly distribution from prior quarters. Furthermore, no arrearages will be paid on the subordinated units. The practical effect of the subordinated units is to increase the likelihood that during the subordination period there will be sufficient available cash from operating surplus to pay the minimum quarterly distribution on the common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Interests and Incentive Distribution Rights</w:t>
      </w:r>
    </w:p>
    <w:p>
      <w:pPr>
        <w:spacing w:after="0" w:line="94" w:lineRule="exact"/>
        <w:rPr>
          <w:sz w:val="20"/>
          <w:szCs w:val="20"/>
          <w:color w:val="auto"/>
        </w:rPr>
      </w:pPr>
    </w:p>
    <w:p>
      <w:pPr>
        <w:ind w:right="340" w:firstLine="405"/>
        <w:spacing w:after="0" w:line="308" w:lineRule="auto"/>
        <w:rPr>
          <w:sz w:val="20"/>
          <w:szCs w:val="20"/>
          <w:color w:val="auto"/>
        </w:rPr>
      </w:pPr>
      <w:r>
        <w:rPr>
          <w:rFonts w:ascii="Arial" w:cs="Arial" w:eastAsia="Arial" w:hAnsi="Arial"/>
          <w:sz w:val="17"/>
          <w:szCs w:val="17"/>
          <w:color w:val="auto"/>
        </w:rPr>
        <w:t>Our general partner owns a non-economic general partner interest in us, which does not entitle it to receive cash distributions. However, our general partner may in the future own common units or other equity interests in us and will be entitled to receive distributions on any such interests.</w:t>
      </w:r>
    </w:p>
    <w:p>
      <w:pPr>
        <w:spacing w:after="0" w:line="93"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Incentive distribution rights represent the right to receive increasing percentages (15.0%, 25.0% and 50.0%) of quarterly distributions from operating surplus after the minimum quarterly distribution and the target distribution levels have been achieved. Westlake currently holds the incentive distribution rights, but may transfer these rights separately from its general partner interest.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Additional Interests in OpCo</w:t>
      </w:r>
    </w:p>
    <w:p>
      <w:pPr>
        <w:spacing w:after="0" w:line="94"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On April 29, 2015, we purchased an additional 2.7% newly-issued limited partner interest in OpCo for approximately $135.3 million, resulting in an aggregate 13.3% limited partner interest in OpCo effective April 1, 2015. In order to fund this purchase, we entered into a revolving credit facility (the "MLP Revolver") with a subsidiary of Westlake, which has a total borrowing capacity of $300.0 million. We intend to rely on the MLP Revolver in making any additional purchases of limited partner interests in OpCo in the future. For more information on the MLP Revolver, please see "Item 7. Management's Discussion and Analysis of Financial Conditions and Results of Operations—Liquidity and Capital Resources—Indebtedness—MLP Revolver."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121" w:right="1440"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4" w:lineRule="exact"/>
        <w:rPr>
          <w:sz w:val="20"/>
          <w:szCs w:val="20"/>
          <w:color w:val="auto"/>
        </w:rPr>
      </w:pPr>
    </w:p>
    <w:p>
      <w:pPr>
        <w:ind w:right="700" w:firstLine="405"/>
        <w:spacing w:after="0" w:line="308" w:lineRule="auto"/>
        <w:rPr>
          <w:sz w:val="20"/>
          <w:szCs w:val="20"/>
          <w:color w:val="auto"/>
        </w:rPr>
      </w:pPr>
      <w:r>
        <w:rPr>
          <w:rFonts w:ascii="Arial" w:cs="Arial" w:eastAsia="Arial" w:hAnsi="Arial"/>
          <w:sz w:val="17"/>
          <w:szCs w:val="17"/>
          <w:color w:val="auto"/>
        </w:rPr>
        <w:t>The following information should be read together with "Item 7. Management's Discussion and Analysis of Financial Condition and Results of Operations" and our consolidated and combined financial statements and the related notes included elsewhere in this report.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(1)</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8"/>
        </w:trPr>
        <w:tc>
          <w:tcPr>
            <w:tcW w:w="4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5"/>
              </w:rPr>
              <w:t>Predecessor</w:t>
            </w:r>
          </w:p>
        </w:tc>
        <w:tc>
          <w:tcPr>
            <w:tcW w:w="22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rPr>
              <w:t>Predecessor</w:t>
            </w:r>
          </w:p>
        </w:tc>
        <w:tc>
          <w:tcPr>
            <w:tcW w:w="220" w:type="dxa"/>
            <w:vAlign w:val="bottom"/>
          </w:tcPr>
          <w:p>
            <w:pPr>
              <w:spacing w:after="0"/>
              <w:rPr>
                <w:sz w:val="22"/>
                <w:szCs w:val="22"/>
                <w:color w:val="auto"/>
              </w:rPr>
            </w:pPr>
          </w:p>
        </w:tc>
        <w:tc>
          <w:tcPr>
            <w:tcW w:w="1140" w:type="dxa"/>
            <w:vAlign w:val="bottom"/>
          </w:tcPr>
          <w:p>
            <w:pPr>
              <w:jc w:val="right"/>
              <w:ind w:right="231"/>
              <w:spacing w:after="0"/>
              <w:rPr>
                <w:sz w:val="20"/>
                <w:szCs w:val="20"/>
                <w:color w:val="auto"/>
              </w:rPr>
            </w:pPr>
            <w:r>
              <w:rPr>
                <w:rFonts w:ascii="Arial" w:cs="Arial" w:eastAsia="Arial" w:hAnsi="Arial"/>
                <w:sz w:val="14"/>
                <w:szCs w:val="14"/>
                <w:b w:val="1"/>
                <w:bCs w:val="1"/>
                <w:i w:val="1"/>
                <w:iCs w:val="1"/>
                <w:color w:val="auto"/>
                <w:w w:val="95"/>
              </w:rPr>
              <w:t>Predecessor</w:t>
            </w:r>
          </w:p>
        </w:tc>
        <w:tc>
          <w:tcPr>
            <w:tcW w:w="0" w:type="dxa"/>
            <w:vAlign w:val="bottom"/>
          </w:tcPr>
          <w:p>
            <w:pPr>
              <w:spacing w:after="0"/>
              <w:rPr>
                <w:sz w:val="1"/>
                <w:szCs w:val="1"/>
                <w:color w:val="auto"/>
              </w:rPr>
            </w:pPr>
          </w:p>
        </w:tc>
      </w:tr>
      <w:tr>
        <w:trPr>
          <w:trHeight w:val="276"/>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2"/>
              </w:rPr>
              <w:t>(in thousands of dollars, except unit amounts and per unit data)</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1,007,221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1,749,700</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2,127,747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2,249,098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2,251,043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745,812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872,607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635,652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409,098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23,550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25,451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24,312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716,556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611,549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384,786</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(10,499)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(8,947)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5"/>
                <w:szCs w:val="25"/>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7,701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4,186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354,525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709,208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846,825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606,798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378,643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199,388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300,279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210,878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131,670</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353,853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509,820</w:t>
            </w:r>
          </w:p>
        </w:tc>
        <w:tc>
          <w:tcPr>
            <w:tcW w:w="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546,546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395,920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246,973</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Less: Predecessor net income prior to initial</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offering on August 4, 2014</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361,334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income subsequent to initial public</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offering</w:t>
            </w:r>
          </w:p>
        </w:tc>
        <w:tc>
          <w:tcPr>
            <w:tcW w:w="34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353,853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148,486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 in OpCo</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314,022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134,909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income attributable to Westlake</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Chemical Partners LP subsequent to</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initial public offering and limited</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39,831</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13,577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partners' interest in net income</w:t>
            </w:r>
          </w:p>
        </w:tc>
        <w:tc>
          <w:tcPr>
            <w:tcW w:w="34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120" w:type="dxa"/>
            <w:vAlign w:val="bottom"/>
            <w:shd w:val="clear" w:color="auto" w:fill="CCEEFF"/>
          </w:tcPr>
          <w:p>
            <w:pPr>
              <w:ind w:left="40"/>
              <w:spacing w:after="0" w:line="185" w:lineRule="exact"/>
              <w:rPr>
                <w:sz w:val="20"/>
                <w:szCs w:val="20"/>
                <w:color w:val="auto"/>
              </w:rPr>
            </w:pPr>
            <w:r>
              <w:rPr>
                <w:rFonts w:ascii="Arial" w:cs="Arial" w:eastAsia="Arial" w:hAnsi="Arial"/>
                <w:sz w:val="18"/>
                <w:szCs w:val="18"/>
                <w:b w:val="1"/>
                <w:bCs w:val="1"/>
                <w:color w:val="auto"/>
              </w:rPr>
              <w:t>Net income attributable to</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Westlake Chemical Partners LP</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subsequent to initial public offering</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per limited partner unit (basic and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1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Common units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Subordinated units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Sheet Data (end of period):</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169,559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133,750</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(3)</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167,593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164,661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43,642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40,336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90,420</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1,290,349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1,096,435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1,041,474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834,843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800,376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384,006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227,638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252,973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253,000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253,000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834,950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455,432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273,812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216,705</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Distributions per unit </w:t>
            </w:r>
            <w:r>
              <w:rPr>
                <w:rFonts w:ascii="Arial" w:cs="Arial" w:eastAsia="Arial" w:hAnsi="Arial"/>
                <w:sz w:val="25"/>
                <w:szCs w:val="25"/>
                <w:color w:val="auto"/>
                <w:vertAlign w:val="superscript"/>
              </w:rPr>
              <w:t>(4)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0.45</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flow from:</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604,012</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602,509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496,821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268,716</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(231,185)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(202,956)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(230,050)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(158,008)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(71,637)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(267,306)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(197,079)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81,210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77,611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73,463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57,193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231,185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202,823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73,681</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(5)</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37,730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13,812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440,702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797,318</w:t>
            </w:r>
          </w:p>
        </w:tc>
        <w:tc>
          <w:tcPr>
            <w:tcW w:w="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928,320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679,992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444,783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121" w:right="25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26" w:lineRule="exact"/>
        <w:rPr>
          <w:sz w:val="20"/>
          <w:szCs w:val="20"/>
          <w:color w:val="auto"/>
        </w:rPr>
      </w:pPr>
    </w:p>
    <w:p>
      <w:pPr>
        <w:ind w:left="420" w:right="20" w:hanging="412"/>
        <w:spacing w:after="0" w:line="277"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amounts for the pre-IPO period from January 1, 2014 through August 3, 2014 and post-IPO period from August 4, 2014 through December 31, 2014.</w:t>
      </w:r>
    </w:p>
    <w:p>
      <w:pPr>
        <w:spacing w:after="0" w:line="35" w:lineRule="exact"/>
        <w:rPr>
          <w:rFonts w:ascii="Arial" w:cs="Arial" w:eastAsia="Arial" w:hAnsi="Arial"/>
          <w:sz w:val="18"/>
          <w:szCs w:val="18"/>
          <w:color w:val="auto"/>
        </w:rPr>
      </w:pPr>
    </w:p>
    <w:p>
      <w:pPr>
        <w:ind w:left="420" w:right="220" w:hanging="412"/>
        <w:spacing w:after="0" w:line="277"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Pre-IPO 2014 and 2013 Predecessor's other income, net are composed of equity in income of joint venture, claims recovery, franchise taxes and other gains and losses.</w:t>
      </w:r>
    </w:p>
    <w:p>
      <w:pPr>
        <w:spacing w:after="0" w:line="35" w:lineRule="exact"/>
        <w:rPr>
          <w:rFonts w:ascii="Arial" w:cs="Arial" w:eastAsia="Arial" w:hAnsi="Arial"/>
          <w:sz w:val="18"/>
          <w:szCs w:val="18"/>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Working capital equals current assets less current liabilities.</w:t>
      </w:r>
    </w:p>
    <w:p>
      <w:pPr>
        <w:spacing w:after="0" w:line="90" w:lineRule="exact"/>
        <w:rPr>
          <w:rFonts w:ascii="Arial" w:cs="Arial" w:eastAsia="Arial" w:hAnsi="Arial"/>
          <w:sz w:val="18"/>
          <w:szCs w:val="18"/>
          <w:color w:val="auto"/>
        </w:rPr>
      </w:pPr>
    </w:p>
    <w:p>
      <w:pPr>
        <w:jc w:val="both"/>
        <w:ind w:left="420" w:right="120" w:hanging="412"/>
        <w:spacing w:after="0" w:line="264"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Distribution per unit for 2014 represents cash distributions per common and subordinated units for the initial period from August 4, 2014 to September 30, 2014 and for the quarter ended December 31, 2014. Distribution per unit for 2015 represents cash distributions per common and subordinated units for the quarters ended March 31, June 30, September 30 and December 31, 2015.</w:t>
      </w:r>
    </w:p>
    <w:p>
      <w:pPr>
        <w:spacing w:after="0" w:line="46" w:lineRule="exact"/>
        <w:rPr>
          <w:rFonts w:ascii="Arial" w:cs="Arial" w:eastAsia="Arial" w:hAnsi="Arial"/>
          <w:sz w:val="18"/>
          <w:szCs w:val="18"/>
          <w:color w:val="auto"/>
        </w:rPr>
      </w:pPr>
    </w:p>
    <w:p>
      <w:pPr>
        <w:ind w:left="420" w:hanging="412"/>
        <w:spacing w:after="0" w:line="286"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also use MLP distributable cash flow (a non-GAAP financial measure) to analyze our performance. We define distributable cash flow as net income plus depreciation and amortization, less contributions for turnaround reserves and maintenance capital expenditures. We define MLP distributable cash flow as distributable cash flow attributable to periods subsequent to the date of our IPO less distributable cash flow attributable to Westlake's noncontrolling interest in OpCo. MLP distributable cash flow does not reflect changes in working capital balances. MLP distributable cash flow is a non-GAAP supplemental financial measure that management and external users of our consolidated financial statements, such as industry analysts, investors, lenders and rating agencies, may use to assess our operating performance as compared to other publicly traded partnerships, our ability to incur and service debt and fund capital expenditures and the viability of acquisitions and other capital expenditure projects and the returns on investment of various investment opportunities. We believe that the presentation of MLP distributable cash flow provides useful information to investors in assessing our financial condition and results of operations. MLP distributable cash flow should not be considered an alternative to GAAP net income or net cash provided by operating activities. MLP distributable cash flow has important limitations as an analytical tool because it excludes some but not all items that affect net income and net cash provided by operating activities. MLP distributable cash flow should not be considered in isolation or as a substitute for analysis of our results as reported under GAAP. It should be noted that other limited partnerships and companies calculate MLP distributable cash flows differently, and, therefore, MLP distributable cash flows as presented for us may not be comparable to MLP distributable cash flows reported by other partnerships and companies. The following table reconciles MLP distributable cash flow to net income and net cash provided by operating activities, the most directly comparable GAAP financial measures.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167" w:lineRule="exact"/>
        <w:rPr>
          <w:sz w:val="20"/>
          <w:szCs w:val="20"/>
          <w:color w:val="auto"/>
        </w:rPr>
      </w:pPr>
    </w:p>
    <w:tbl>
      <w:tblPr>
        <w:tblLayout w:type="fixed"/>
        <w:tblInd w:w="42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Year Ended December 31,</w:t>
            </w:r>
          </w:p>
        </w:tc>
      </w:tr>
      <w:tr>
        <w:trPr>
          <w:trHeight w:val="228"/>
        </w:trPr>
        <w:tc>
          <w:tcPr>
            <w:tcW w:w="79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58"/>
        </w:trPr>
        <w:tc>
          <w:tcPr>
            <w:tcW w:w="79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MLP distributable cash flow</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13,812</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Add:</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Distributable cash flow attributable to noncontrolling interest in OpCo</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301,215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136,929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Net income attributable to the Predecessor</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361,334</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9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Maintenance capital expenditures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17,629</w:t>
            </w:r>
          </w:p>
        </w:tc>
      </w:tr>
      <w:tr>
        <w:trPr>
          <w:trHeight w:val="270"/>
        </w:trPr>
        <w:tc>
          <w:tcPr>
            <w:tcW w:w="790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Contribution to turnaround reserves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28,183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11,947</w:t>
            </w: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790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(31,831)</w:t>
            </w:r>
          </w:p>
        </w:tc>
      </w:tr>
      <w:tr>
        <w:trPr>
          <w:trHeight w:val="26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353,853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509,820</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 and other</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97,163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82,902</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income of joint venture, net of dividends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8,608</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disposition of fixed assets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1,544</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604,012</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660" w:hanging="193"/>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2014 balances include the amounts for the period from August 4, 2014 through December 31, 2014 only.</w:t>
      </w:r>
    </w:p>
    <w:p>
      <w:pPr>
        <w:spacing w:after="0" w:line="90" w:lineRule="exact"/>
        <w:rPr>
          <w:rFonts w:ascii="Arial" w:cs="Arial" w:eastAsia="Arial" w:hAnsi="Arial"/>
          <w:sz w:val="18"/>
          <w:szCs w:val="18"/>
          <w:color w:val="auto"/>
        </w:rPr>
      </w:pPr>
    </w:p>
    <w:p>
      <w:pPr>
        <w:ind w:left="420" w:right="180" w:hanging="412"/>
        <w:spacing w:after="0" w:line="277"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EBITDA (a non-GAAP financial measure) is calculated as net income before interest expense, income taxes, depreciation and amortization. The body of accounting principles generally accepted in the United States is commonly referred to 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20"/>
        <w:spacing w:after="0" w:line="338" w:lineRule="auto"/>
        <w:rPr>
          <w:sz w:val="20"/>
          <w:szCs w:val="20"/>
          <w:color w:val="auto"/>
        </w:rPr>
      </w:pPr>
      <w:r>
        <w:rPr>
          <w:rFonts w:ascii="Arial" w:cs="Arial" w:eastAsia="Arial" w:hAnsi="Arial"/>
          <w:sz w:val="16"/>
          <w:szCs w:val="16"/>
          <w:color w:val="auto"/>
        </w:rPr>
        <w:t>"GAAP." For this purpose a non-GAAP financial measure is generally defined by the SEC as one that purports to measure historical and future financial performance, financial position or cash flows, but excludes or includes amounts that would not be so adjusted in the most comparable GAAP measures. We have included EBITDA in this Form 10-K because, in addition to the MLP distributable cash flow measure as described above, our management considers EBITDA an important supplemental measure of our performance and believes that it is frequently used by securities analysts, investors and other interested parties in the evaluation of partnerships and companies in our industry, some of which present EBITDA when reporting their results. We regularly evaluate our performance as compared to other partnerships and companies in our industry that have different financing and capital structures and/or tax rates by using EBITDA. EBITDA allows for meaningful performance comparisons by adjusting for factors such as interest expense, depreciation and amortization and taxes, which often vary from company to company. In addition, we utilize EBITDA in evaluating acquisition targets. Management also believes that EBITDA is a useful tool for measuring our ability to meet our future debt service, capital expenditures and working capital requirements, and EBITDA is commonly used by us and our investors to measure our ability to service indebtedness. EBITDA is not a substitute for the GAAP measures of earnings or of cash flow and is not necessarily a measure of our ability to fund our cash needs. In addition, it should be noted that companies calculate EBITDA differently and, therefore, EBITDA as presented in this Form 10-K may not be comparable to EBITDA reported by other companies. EBITDA has material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 of Predecessor's operations. We compensate for these limitations by relying primarily on our GAAP results and using EBITDA only supplementally. The following table reconciles EBITDA to net income and to cash flows from operating activities, the most directly comparable GAAP measures.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EBITDA to Net Income and Net Cash Provided by Operating Activities</w:t>
      </w:r>
    </w:p>
    <w:p>
      <w:pPr>
        <w:spacing w:after="0" w:line="234"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left="673"/>
              <w:spacing w:after="0"/>
              <w:rPr>
                <w:sz w:val="20"/>
                <w:szCs w:val="20"/>
                <w:color w:val="auto"/>
              </w:rPr>
            </w:pPr>
            <w:r>
              <w:rPr>
                <w:rFonts w:ascii="Arial" w:cs="Arial" w:eastAsia="Arial" w:hAnsi="Arial"/>
                <w:sz w:val="14"/>
                <w:szCs w:val="14"/>
                <w:b w:val="1"/>
                <w:bCs w:val="1"/>
                <w:color w:val="auto"/>
                <w:w w:val="93"/>
              </w:rPr>
              <w:t>Year Ended December 31,</w:t>
            </w: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85"/>
              </w:rPr>
              <w:t>Predecessor</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i w:val="1"/>
                <w:iCs w:val="1"/>
                <w:color w:val="auto"/>
              </w:rPr>
              <w:t>Predecessor</w:t>
            </w:r>
          </w:p>
        </w:tc>
        <w:tc>
          <w:tcPr>
            <w:tcW w:w="200" w:type="dxa"/>
            <w:vAlign w:val="bottom"/>
          </w:tcPr>
          <w:p>
            <w:pPr>
              <w:spacing w:after="0"/>
              <w:rPr>
                <w:sz w:val="22"/>
                <w:szCs w:val="22"/>
                <w:color w:val="auto"/>
              </w:rPr>
            </w:pPr>
          </w:p>
        </w:tc>
        <w:tc>
          <w:tcPr>
            <w:tcW w:w="1060" w:type="dxa"/>
            <w:vAlign w:val="bottom"/>
          </w:tcPr>
          <w:p>
            <w:pPr>
              <w:jc w:val="right"/>
              <w:ind w:right="193"/>
              <w:spacing w:after="0"/>
              <w:rPr>
                <w:sz w:val="20"/>
                <w:szCs w:val="20"/>
                <w:color w:val="auto"/>
              </w:rPr>
            </w:pPr>
            <w:r>
              <w:rPr>
                <w:rFonts w:ascii="Arial" w:cs="Arial" w:eastAsia="Arial" w:hAnsi="Arial"/>
                <w:sz w:val="14"/>
                <w:szCs w:val="14"/>
                <w:b w:val="1"/>
                <w:bCs w:val="1"/>
                <w:i w:val="1"/>
                <w:iCs w:val="1"/>
                <w:color w:val="auto"/>
                <w:w w:val="90"/>
              </w:rPr>
              <w:t>Predecessor</w:t>
            </w:r>
          </w:p>
        </w:tc>
        <w:tc>
          <w:tcPr>
            <w:tcW w:w="0" w:type="dxa"/>
            <w:vAlign w:val="bottom"/>
          </w:tcPr>
          <w:p>
            <w:pPr>
              <w:spacing w:after="0"/>
              <w:rPr>
                <w:sz w:val="1"/>
                <w:szCs w:val="1"/>
                <w:color w:val="auto"/>
              </w:rPr>
            </w:pPr>
          </w:p>
        </w:tc>
      </w:tr>
      <w:tr>
        <w:trPr>
          <w:trHeight w:val="256"/>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440,702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797,318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928,320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679,992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444,783</w:t>
            </w: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(300,279)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(131,670)</w:t>
            </w: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(8,947)</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(57,193)</w:t>
            </w:r>
          </w:p>
        </w:tc>
        <w:tc>
          <w:tcPr>
            <w:tcW w:w="0" w:type="dxa"/>
            <w:vAlign w:val="bottom"/>
          </w:tcPr>
          <w:p>
            <w:pPr>
              <w:spacing w:after="0"/>
              <w:rPr>
                <w:sz w:val="1"/>
                <w:szCs w:val="1"/>
                <w:color w:val="auto"/>
              </w:rPr>
            </w:pPr>
          </w:p>
        </w:tc>
      </w:tr>
      <w:tr>
        <w:trPr>
          <w:trHeight w:val="297"/>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353,853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509,820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546,546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395,920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246,973</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Changes in operating assets and</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liabilities and other</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22,907</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Income from equity method investment,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60"/>
              <w:spacing w:after="0"/>
              <w:rPr>
                <w:sz w:val="20"/>
                <w:szCs w:val="20"/>
                <w:color w:val="auto"/>
              </w:rPr>
            </w:pPr>
            <w:r>
              <w:rPr>
                <w:rFonts w:ascii="Arial" w:cs="Arial" w:eastAsia="Arial" w:hAnsi="Arial"/>
                <w:sz w:val="18"/>
                <w:szCs w:val="18"/>
                <w:color w:val="auto"/>
              </w:rPr>
              <w:t>net of dividends</w:t>
            </w:r>
          </w:p>
        </w:tc>
        <w:tc>
          <w:tcPr>
            <w:tcW w:w="3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Loss from disposition of fixed assets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09"/>
        </w:trPr>
        <w:tc>
          <w:tcPr>
            <w:tcW w:w="3800" w:type="dxa"/>
            <w:vAlign w:val="bottom"/>
          </w:tcPr>
          <w:p>
            <w:pPr>
              <w:ind w:left="20"/>
              <w:spacing w:after="0"/>
              <w:rPr>
                <w:sz w:val="20"/>
                <w:szCs w:val="20"/>
                <w:color w:val="auto"/>
              </w:rPr>
            </w:pPr>
            <w:r>
              <w:rPr>
                <w:rFonts w:ascii="Arial" w:cs="Arial" w:eastAsia="Arial" w:hAnsi="Arial"/>
                <w:sz w:val="18"/>
                <w:szCs w:val="18"/>
                <w:color w:val="auto"/>
              </w:rPr>
              <w:t>Net cash provided by</w:t>
            </w: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452,542</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604,012</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602,509</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496,821</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268,716</w:t>
            </w:r>
          </w:p>
        </w:tc>
        <w:tc>
          <w:tcPr>
            <w:tcW w:w="0" w:type="dxa"/>
            <w:vAlign w:val="bottom"/>
          </w:tcPr>
          <w:p>
            <w:pPr>
              <w:spacing w:after="0"/>
              <w:rPr>
                <w:sz w:val="1"/>
                <w:szCs w:val="1"/>
                <w:color w:val="auto"/>
              </w:rPr>
            </w:pPr>
          </w:p>
        </w:tc>
      </w:tr>
      <w:tr>
        <w:trPr>
          <w:trHeight w:val="242"/>
        </w:trPr>
        <w:tc>
          <w:tcPr>
            <w:tcW w:w="380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3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400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consolidated and combined financial statements, the notes thereto, and the other financial information appearing elsewhere in this report. The following discussion includes forward-looking statements that involve certain risks and uncertainties. See "Cautionary Statement Regarding Forward-Looking Statements" and "Item 1A. Risk Factors" in this report.</w:t>
      </w:r>
    </w:p>
    <w:p>
      <w:pPr>
        <w:spacing w:after="0" w:line="133"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Unless the context otherwise requires, references in this report to the "Predecessor" refer to Westlake Chemical Partners LP Predecessor, our predecessor for accounting purposes, and refer to the time periods prior to the completion of our initial public offering on August 4, 2014 (the "IPO"). Unless otherwise indicated, references in this report to "we," "our," "us" or like terms used in the present tense or prospectively, or in reference to the period subsequent to the IPO, refer to Westlake Chemical Partners LP ("Westlake Chemical Partners LP" or the "Partnership"), Westlake Chemical OpCo LP ("OpCo") and Westlake Chemical OpCo GP LLC ("OpCo GP"), and references to the Partnership for all periods prior to the IPO refer to the Predecessor. References to "Westlake" refer to Westlake Chemical Corporation and its consolidated subsidiaries other than the Partnership, OpCo GP and OpCo.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Initial Public Offering</w:t>
      </w:r>
    </w:p>
    <w:p>
      <w:pPr>
        <w:spacing w:after="0" w:line="94"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On August 4, 2014, the Partnership closed its IPO of 12,937,500 common units. See Note 2 to the consolidated and combined financial statements within this report for a description of the IPO, as well as the assets and liabilities contributed to us and agreements entered in connection with the IPO.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Additional Interests in OpCo</w:t>
      </w:r>
    </w:p>
    <w:p>
      <w:pPr>
        <w:spacing w:after="0" w:line="9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On April 29, 2015, we purchased an additional 2.7% newly-issued limited partner interest in OpCo for approximately $135.3 million, resulting in an aggregate 13.3% limited partner interest in OpCo effective April 1, 2015. In order to fund this purchase, we entered into a revolving credit facility (the "MLP Revolver") with a subsidiary of Westlake, which has a total borrowing capacity of $300.0 million. We intend to rely on the MLP Revolver in making any additional purchases of limited partner interests in OpCo in the future. For more information on the MLP Revolver, please see "Liquidity and Capital Resources—Indebtedness—MLP Revolver."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94"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are a Delaware limited partnership formed by Westlake to operate, acquire and develop facilities for the processing of natural gas liquids and related assets. Currently, our sole revenue generating asset is our 13.3% limited partner interest in OpCo. We control OpCo through our ownership of its general partner. Westlake retains the remaining 86.7% limited partner interest in OpCo as well as significant interest in us through its ownership of our general partner, 52.2% of our limited partner units (consisting of 1,436,115 common units and all of the subordinated units) and our incentive distribution rights. OpCo's assets include (1) two natural gas liquids processing facilities ("Petro 1" and "Petro 2" and, collectively, "Lake Charles Olefins") at Westlake's Lake Charles, Louisiana site; (2) one natural gas liquids processing facility ("Calvert City Olefins") at Westlake's Calvert City, Kentucky site; and (3) a 200-mile common carrier ethylene pipeline (the "Longview Pipeline") that runs from Mont Belvieu, Texas to Westlake's Longview, Texas facility.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generate revenue primarily by selling ethylene and the resulting co-products we produce. In connection with the IPO, OpCo and Westlake entered into an ethylene sales agreement (the "Ethylene Sales Agreement") pursuant to which we generate a substantial majority of our revenue. This agreement is a long-term, fee-based agreement with a minimum purchase commitment and includes variable pricing based on OpCo's actual feedstock and natural gas costs and estimated other costs of producing ethylene, plus a fixed margin per pound of $0.10 less revenue from co-products sales. Westlake has an option to take 95% of volumes in excess of the minimum commitment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w:t>
      </w:r>
    </w:p>
    <w:p>
      <w:pPr>
        <w:spacing w:after="0" w:line="12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sell ethylene production in excess of volumes sold to Westlake, as well as all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During 2015, all the third-party ethylene and co-products sales related to such third party ethylene sales have generated greater than 17% of our total revenues. The significant drop in crude oil prices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since the third quarter of 2014 and continuing through 2015 may create volatility in the North American and global markets, which may result in further reduced prices and margins in third-party ethylene and such co-products sales in 2016.</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Please refer to Note 2 to the consolidated and combined financial statements within this report for more information on the Ethylene Sales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Source Feedstock</w:t>
      </w:r>
    </w:p>
    <w:p>
      <w:pPr>
        <w:spacing w:after="0" w:line="94" w:lineRule="exact"/>
        <w:rPr>
          <w:sz w:val="20"/>
          <w:szCs w:val="20"/>
          <w:color w:val="auto"/>
        </w:rPr>
      </w:pPr>
    </w:p>
    <w:p>
      <w:pPr>
        <w:ind w:right="240" w:firstLine="392"/>
        <w:spacing w:after="0" w:line="259" w:lineRule="auto"/>
        <w:rPr>
          <w:sz w:val="20"/>
          <w:szCs w:val="20"/>
          <w:color w:val="auto"/>
        </w:rPr>
      </w:pPr>
      <w:r>
        <w:rPr>
          <w:rFonts w:ascii="Arial" w:cs="Arial" w:eastAsia="Arial" w:hAnsi="Arial"/>
          <w:sz w:val="18"/>
          <w:szCs w:val="18"/>
          <w:color w:val="auto"/>
        </w:rPr>
        <w:t>In connection with the IPO, OpCo entered into a 12-year feedstock supply agreement (the "Feedstock Supply Agreement") with Westlake Petrochemicals LLC, a wholly owned subsidiary of Westlake, under which Westlake Petrochemicals LLC supplies OpCo with ethane and other feedstocks that OpCo uses to produce ethylene under the Ethylene Sales Agreement. OpCo may purchase the ethane and other feedstocks to produce ethylene and resulting co-products to sell to unrelated third parties from Westlake Petrochemicals LLC.</w:t>
      </w:r>
    </w:p>
    <w:p>
      <w:pPr>
        <w:spacing w:after="0" w:line="133"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Please refer to Note 2 to the consolidated and combined financial statements within this report for more information on the Feedstock Supply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Operations</w:t>
      </w:r>
    </w:p>
    <w:p>
      <w:pPr>
        <w:spacing w:after="0" w:line="94"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Our management uses a variety of financial and operating metrics to analyze our performance. These metrics are significant factors in assessing our operating results and profitability and include: (1) production volumes, (2) operating and maintenance expenses, including turnaround costs, and (3) MLP distributable cash flow and EBITDA.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Volumes</w:t>
      </w:r>
    </w:p>
    <w:p>
      <w:pPr>
        <w:spacing w:after="0" w:line="90" w:lineRule="exact"/>
        <w:rPr>
          <w:sz w:val="20"/>
          <w:szCs w:val="20"/>
          <w:color w:val="auto"/>
        </w:rPr>
      </w:pPr>
    </w:p>
    <w:p>
      <w:pPr>
        <w:ind w:firstLine="392"/>
        <w:spacing w:after="0" w:line="264" w:lineRule="auto"/>
        <w:rPr>
          <w:sz w:val="20"/>
          <w:szCs w:val="20"/>
          <w:color w:val="auto"/>
        </w:rPr>
      </w:pPr>
      <w:r>
        <w:rPr>
          <w:rFonts w:ascii="Arial" w:cs="Arial" w:eastAsia="Arial" w:hAnsi="Arial"/>
          <w:sz w:val="18"/>
          <w:szCs w:val="18"/>
          <w:color w:val="auto"/>
        </w:rPr>
        <w:t>The amount of profit we generate primarily depends on the volumes of ethylene and resulting co-products we are able to produce at Calvert City Olefins and Lake Charles Olefins. Although Westlake has committed to purchasing minimum volumes from us under the Ethylene Sales Agreement, our results of operations are impacted by our ability to:</w:t>
      </w:r>
    </w:p>
    <w:p>
      <w:pPr>
        <w:spacing w:after="0" w:line="46" w:lineRule="exact"/>
        <w:rPr>
          <w:sz w:val="20"/>
          <w:szCs w:val="20"/>
          <w:color w:val="auto"/>
        </w:rPr>
      </w:pPr>
    </w:p>
    <w:p>
      <w:pPr>
        <w:ind w:left="660" w:right="2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produce sufficient volumes of ethylene to meet our commitments under the Ethylene Sales Agreement or recover our estimated costs through the pricing provisions of the Ethylene Sales Agreement;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contract with third parties for the remaining uncommitted processing capacity;</w:t>
      </w:r>
    </w:p>
    <w:p>
      <w:pPr>
        <w:spacing w:after="0" w:line="9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 or increase capacity at our existing processing facilities, or add additional processing capacity via organic expansion projects and acquisitions;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achieve or exceed the specified yield factors for natural gas, ethane and other feedstock under the Ethylene Sales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Maintenance Capital Expenditures and Turnaround Costs</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repair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processing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unit.</w:t>
      </w:r>
    </w:p>
    <w:p>
      <w:pPr>
        <w:spacing w:after="0" w:line="12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directly affects our profitability and cash flows. We seek to manage our operating and maintenance expenses on our natural gas liquids processing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MLP Distributable Cash Flow and EBITDA</w:t>
      </w:r>
    </w:p>
    <w:p>
      <w:pPr>
        <w:spacing w:after="0" w:line="9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We use each of MLP distributable cash flow and EBITDA to analyze our performance. We define distributable cash flow as net income plus depreciation and amortization, less contributions for turnaround reserves and maintenance capital expenditures. We define MLP distributable cash flow as distributable cash flow attributable to periods subsequent to the date of the IPO less distributable cash flow attributable to Westlake's noncontrolling interest in OpCo. MLP distributable cash flow does not reflect changes in working capital balances. We define EBITDA as net income before interest expense, income taxes, depreciation and amortization. MLP distributable cash flow and EBITDA are non-GAAP supplemental financial measures that management and external users of our consolidated financial statements, such as industry analysts, investors, lenders and rating agencies, may use to assess:</w:t>
      </w:r>
    </w:p>
    <w:p>
      <w:pPr>
        <w:spacing w:after="0" w:line="3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believe that the presentation of MLP distributable cash flow and EBITDA provides useful information to investors in assessing our financial condition and results of operations. The GAAP measures most directly comparable to MLP distributable cash flow are net income and net cash provided by operating activities. MLP distributable cash flow should not be considered as an alternative to GAAP net income or net cash provided by operating activities. MLP distributable cash flow has important limitations as an analytical tool because it excludes some but not all items that affect net income and net cash provided by operating activities. The GAAP measures most directly comparable to EBITDA are net income and cash flow from operating activities, but EBITDA should not be considered 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 of Predecessor's operations. MLP distributable cash flow and EBITDA should not be considered in isolation or as a substitute for analysis of our results as reported under GAAP. See reconciliations for each of MLP distributable cash flow and EBITDA under "Results of Operations"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Financial Results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results of operations subsequent to the IPO are not comparable to the Predecessor's historical results of operations for the reasons described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Ethylene, Co-products and Excess Feedstock Sales</w:t>
      </w:r>
    </w:p>
    <w:p>
      <w:pPr>
        <w:spacing w:after="0" w:line="9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There are differences in the way the Predecessor generated and recorded revenue and the way we generate and record revenue from ethylene sales to Westlake. The Predecessor generally recognized revenue for ethylene sold internally based on a transfer pricing formula intended to approximate the fair market value of the commodity. Subsequent to the IPO, a substantial majority of our revenue from ethylene sales is generated from sales of ethylene to Westlake under the Ethylene Sales Agreement. The Ethylene Sales Agreement contains minimum purchase commitments and pricing that is expected to generate a fixed margin of $0.10 per pound.</w:t>
      </w:r>
    </w:p>
    <w:p>
      <w:pPr>
        <w:spacing w:after="0" w:line="134"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Predecessor's third-party sales consisted of ethylene, feedstock and associated co-products sales. With respect to third-party ethylene sales, the Predecessor also resold externally procured ethylene to third parties. Subsequent to the IPO, the ethylene procurement and reselling activities of the Predecessor remained with Westlake. In addition, the Predecessor's net sales included revenue from sales to third parties of excess feedstock not used in the ethylene production process. Following the closing of the IPO, we do not generate revenues from the sale of excess feedstock to third parties as all of the Predecessor's feedstock risk-management activities remained with Westlake. However, we sell all of our co-products volume to third parties in a manner consistent with the Predecessor. As such, there are no significant changes to revenue related to the sale of co-products, as compared to the Predecessor's historical revenue from co-products sales.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Predecessor's selling, general and administrative expenses included direct and indirect charges for the management and operation of our ethylene and other transportation assets allocated by Westlake for general corporate services such as treasury, information technology, legal, corporate tax, human resources, executive compensation, and other financial and</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122" w:right="31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administrative services. These expenses were charged or allocated to the Predecessor based on the nature of the expense and the Predecessor's proportionate share of fixed assets, headcount or other measure, as deemed appropriate. Subsequent to the IPO, under the Services and Secondment Agreement and the Omnibus Agreement, Westlake continues to charge us a combination of direct and allocated charges for similar general corporate services as those charged to the Predecessor historically. We also incur certain annual general and administrative expenses as a result of being a separate publicly traded partnership which were not reflected in the periods prior to the IPO.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The Partnership is a limited partnership and is treated as a partnership for U.S. federal income tax purposes and, therefore, is not liable for entity-level federal income taxes. The Partnership is, however, subject to state and local income taxes. The Predecessor's tax provision was determined on a separate return basis. Accordingly, we expect our tax provision to be significantly reduced as compared to that of the Predecessor.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At the closing of the IPO, Westlake contributed a 5.8% limited partner interest and the general partner interest in OpCo to us. Immediately following the IPO, we used the IPO net proceeds to acquire an additional 4.8% limited partner interest in OpCo directly from OpCo and Westlake retained the remaining 89.4% limited partner interest in OpCo. Subsequently, in April 2015, we purchased an additional 2.7% newly-issued limited partner interest in OpCo, resulting in an aggregate 13.3% limited partner interest in OpCo effective April 1, 2015. Westlake owns the remaining 86.7% limited partner interest in OpCo, which is recorded as noncontrolling interest in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Demand for Ethylene and Resulting Co-products</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generate a substantial majority of our revenue from the Ethylene Sales Agreement. This contract is intended to promote cash flow stability and minimize our direct exposure to commodity price fluctuations in the following ways: (1) the cost-plus pricing structure of the Ethylene Sales Agreement is expected to generate a fixed margin of $0.10 per pound, adjusting automatically for changes in feedstock costs; and (2) Westlake is committed to purchase 95% of the annual planned production, subject to a maximum commitment of 3.8 billion pounds of ethylene per year, with an option to purchase an additional 95% of actual monthly production in excess of the planned production. As a result, our direct exposure to commodity price risk is limited to approximately 5% of our total ethylene production, which is that portion sold to third parties, assuming Westlake exercises its option to purchase 95% of the over production, as well as to our co-products sales.</w:t>
      </w:r>
    </w:p>
    <w:p>
      <w:pPr>
        <w:spacing w:after="0" w:line="13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 commodity price fluctuations during the term of the Ethylene Sales Agreement through the minimum commitment and the cost-plus based pricing, our ability to execute our growth strategy in our areas of operation will depend, in part, on the demand for ethylene derivatives in the geographical areas served by our processing facilities.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table below and descriptions that follow represent the consolidated results of operations of the Partnership for the year 2015. The consolidated and combined results of operations for the year 2014 consist of the consolidated results of the Partnership for the period from August 4, 2014 through December 31, 2014 and the combined results of the Predecessor for the period from January 1, 2014 through August 3, 2014. Our consolidated results of operations subsequent to the IPO are not comparable to the Predecessor's historical combined results of operations for the reasons discussed under "Factors Affecting the Comparability of Our Financial Results."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2"/>
                <w:szCs w:val="22"/>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gridSpan w:val="2"/>
          </w:tcPr>
          <w:p>
            <w:pPr>
              <w:jc w:val="center"/>
              <w:ind w:right="54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6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8"/>
        </w:trPr>
        <w:tc>
          <w:tcPr>
            <w:tcW w:w="5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i w:val="1"/>
                <w:iCs w:val="1"/>
                <w:color w:val="auto"/>
                <w:w w:val="83"/>
              </w:rPr>
              <w:t>Predecessor</w:t>
            </w:r>
          </w:p>
        </w:tc>
        <w:tc>
          <w:tcPr>
            <w:tcW w:w="0" w:type="dxa"/>
            <w:vAlign w:val="bottom"/>
          </w:tcPr>
          <w:p>
            <w:pPr>
              <w:spacing w:after="0"/>
              <w:rPr>
                <w:sz w:val="1"/>
                <w:szCs w:val="1"/>
                <w:color w:val="auto"/>
              </w:rPr>
            </w:pPr>
          </w:p>
        </w:tc>
      </w:tr>
      <w:tr>
        <w:trPr>
          <w:trHeight w:val="276"/>
        </w:trPr>
        <w:tc>
          <w:tcPr>
            <w:tcW w:w="5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40" w:type="dxa"/>
            <w:vAlign w:val="bottom"/>
            <w:gridSpan w:val="14"/>
          </w:tcPr>
          <w:p>
            <w:pPr>
              <w:jc w:val="center"/>
              <w:spacing w:after="0"/>
              <w:rPr>
                <w:sz w:val="20"/>
                <w:szCs w:val="20"/>
                <w:color w:val="auto"/>
              </w:rPr>
            </w:pPr>
            <w:r>
              <w:rPr>
                <w:rFonts w:ascii="Arial" w:cs="Arial" w:eastAsia="Arial" w:hAnsi="Arial"/>
                <w:sz w:val="14"/>
                <w:szCs w:val="14"/>
                <w:b w:val="1"/>
                <w:bCs w:val="1"/>
                <w:color w:val="auto"/>
                <w:w w:val="92"/>
              </w:rPr>
              <w:t>(in thousands of dollars, except unit amounts and per unit data)</w:t>
            </w: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2100" w:type="dxa"/>
            <w:vAlign w:val="bottom"/>
            <w:tcBorders>
              <w:bottom w:val="single" w:sz="8" w:color="CCEEFF"/>
            </w:tcBorders>
            <w:gridSpan w:val="3"/>
            <w:shd w:val="clear" w:color="auto" w:fill="CCEEFF"/>
          </w:tcPr>
          <w:p>
            <w:pPr>
              <w:jc w:val="right"/>
              <w:ind w:right="837"/>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834,918</w:t>
            </w:r>
          </w:p>
        </w:tc>
        <w:tc>
          <w:tcPr>
            <w:tcW w:w="740" w:type="dxa"/>
            <w:vAlign w:val="bottom"/>
            <w:tcBorders>
              <w:bottom w:val="single" w:sz="8" w:color="CCEEFF"/>
            </w:tcBorders>
            <w:gridSpan w:val="3"/>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1,292,089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1,603,043</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Net co-products, ethylene and feedstock sales—third parties</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172,303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457,611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524,704</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7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1,007,221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1,749,700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2,127,747</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382,882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745,812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872,607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7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23,550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29,256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25,451</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359,332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716,556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847,156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Interest expense—Westlake</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(10,499)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(8,032)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7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3,151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7,701</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354,525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709,208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846,825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7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199,388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300,279</w:t>
            </w:r>
          </w:p>
        </w:tc>
        <w:tc>
          <w:tcPr>
            <w:tcW w:w="0" w:type="dxa"/>
            <w:vAlign w:val="bottom"/>
          </w:tcPr>
          <w:p>
            <w:pPr>
              <w:spacing w:after="0"/>
              <w:rPr>
                <w:sz w:val="1"/>
                <w:szCs w:val="1"/>
                <w:color w:val="auto"/>
              </w:rPr>
            </w:pPr>
          </w:p>
        </w:tc>
      </w:tr>
      <w:tr>
        <w:trPr>
          <w:trHeight w:val="297"/>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gridSpan w:val="2"/>
          </w:tcPr>
          <w:p>
            <w:pPr>
              <w:spacing w:after="0"/>
              <w:rPr>
                <w:sz w:val="24"/>
                <w:szCs w:val="24"/>
                <w:color w:val="auto"/>
              </w:rPr>
            </w:pPr>
          </w:p>
        </w:tc>
        <w:tc>
          <w:tcPr>
            <w:tcW w:w="1020" w:type="dxa"/>
            <w:vAlign w:val="bottom"/>
            <w:tcBorders>
              <w:top w:val="single" w:sz="8" w:color="auto"/>
              <w:bottom w:val="single" w:sz="8" w:color="CCEEFF"/>
            </w:tcBorders>
          </w:tcPr>
          <w:p>
            <w:pPr>
              <w:jc w:val="right"/>
              <w:ind w:right="837"/>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CCEEFF"/>
            </w:tcBorders>
            <w:gridSpan w:val="2"/>
          </w:tcPr>
          <w:p>
            <w:pPr>
              <w:jc w:val="right"/>
              <w:spacing w:after="0"/>
              <w:rPr>
                <w:sz w:val="20"/>
                <w:szCs w:val="20"/>
                <w:color w:val="auto"/>
              </w:rPr>
            </w:pPr>
            <w:r>
              <w:rPr>
                <w:rFonts w:ascii="Arial" w:cs="Arial" w:eastAsia="Arial" w:hAnsi="Arial"/>
                <w:sz w:val="18"/>
                <w:szCs w:val="18"/>
                <w:color w:val="auto"/>
                <w:w w:val="89"/>
              </w:rPr>
              <w:t>353,853</w:t>
            </w:r>
          </w:p>
        </w:tc>
        <w:tc>
          <w:tcPr>
            <w:tcW w:w="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CCEEFF"/>
            </w:tcBorders>
          </w:tcPr>
          <w:p>
            <w:pPr>
              <w:jc w:val="right"/>
              <w:ind w:right="41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509,820</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546,546</w:t>
            </w: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Less: Predecessor net income prior to initial public</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offering on August 4, 2014</w:t>
            </w:r>
          </w:p>
        </w:tc>
        <w:tc>
          <w:tcPr>
            <w:tcW w:w="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361,334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Net income subsequent to initial public offering</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353,853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148,486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 OpCo</w:t>
            </w:r>
          </w:p>
        </w:tc>
        <w:tc>
          <w:tcPr>
            <w:tcW w:w="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314,022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134,909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0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Partners LP subsequent to initial public offering</w:t>
            </w:r>
          </w:p>
        </w:tc>
        <w:tc>
          <w:tcPr>
            <w:tcW w:w="2100" w:type="dxa"/>
            <w:vAlign w:val="bottom"/>
            <w:gridSpan w:val="3"/>
            <w:vMerge w:val="restart"/>
          </w:tcPr>
          <w:p>
            <w:pPr>
              <w:jc w:val="right"/>
              <w:ind w:right="837"/>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39,831</w:t>
            </w:r>
          </w:p>
        </w:tc>
        <w:tc>
          <w:tcPr>
            <w:tcW w:w="740" w:type="dxa"/>
            <w:vAlign w:val="bottom"/>
            <w:gridSpan w:val="3"/>
            <w:vMerge w:val="restart"/>
          </w:tcPr>
          <w:p>
            <w:pPr>
              <w:jc w:val="right"/>
              <w:ind w:right="416"/>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vMerge w:val="restart"/>
          </w:tcPr>
          <w:p>
            <w:pPr>
              <w:jc w:val="right"/>
              <w:ind w:right="48"/>
              <w:spacing w:after="0"/>
              <w:rPr>
                <w:sz w:val="20"/>
                <w:szCs w:val="20"/>
                <w:color w:val="auto"/>
              </w:rPr>
            </w:pPr>
            <w:r>
              <w:rPr>
                <w:rFonts w:ascii="Arial" w:cs="Arial" w:eastAsia="Arial" w:hAnsi="Arial"/>
                <w:sz w:val="18"/>
                <w:szCs w:val="18"/>
                <w:b w:val="1"/>
                <w:bCs w:val="1"/>
                <w:color w:val="auto"/>
              </w:rPr>
              <w:t>13,577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and limited partners' interest in net income</w:t>
            </w:r>
          </w:p>
        </w:tc>
        <w:tc>
          <w:tcPr>
            <w:tcW w:w="2100" w:type="dxa"/>
            <w:vAlign w:val="bottom"/>
            <w:gridSpan w:val="3"/>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740" w:type="dxa"/>
            <w:vAlign w:val="bottom"/>
            <w:gridSpan w:val="3"/>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000" w:type="dxa"/>
            <w:vAlign w:val="bottom"/>
            <w:tcBorders>
              <w:top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attributable to Westlake Chemical</w:t>
            </w:r>
          </w:p>
        </w:tc>
        <w:tc>
          <w:tcPr>
            <w:tcW w:w="7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Partners LP subsequent to initial public offering</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limited partner unit (basic and diluted)</w:t>
            </w:r>
          </w:p>
        </w:tc>
        <w:tc>
          <w:tcPr>
            <w:tcW w:w="7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Common units</w:t>
            </w:r>
          </w:p>
        </w:tc>
        <w:tc>
          <w:tcPr>
            <w:tcW w:w="1080" w:type="dxa"/>
            <w:vAlign w:val="bottom"/>
            <w:tcBorders>
              <w:bottom w:val="single" w:sz="8" w:color="CCEEFF"/>
            </w:tcBorders>
            <w:gridSpan w:val="2"/>
          </w:tcPr>
          <w:p>
            <w:pPr>
              <w:spacing w:after="0"/>
              <w:rPr>
                <w:sz w:val="24"/>
                <w:szCs w:val="24"/>
                <w:color w:val="auto"/>
              </w:rPr>
            </w:pPr>
          </w:p>
        </w:tc>
        <w:tc>
          <w:tcPr>
            <w:tcW w:w="102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Subordinated units</w:t>
            </w:r>
          </w:p>
        </w:tc>
        <w:tc>
          <w:tcPr>
            <w:tcW w:w="2100" w:type="dxa"/>
            <w:vAlign w:val="bottom"/>
            <w:gridSpan w:val="3"/>
            <w:shd w:val="clear" w:color="auto" w:fill="CCEEFF"/>
          </w:tcPr>
          <w:p>
            <w:pPr>
              <w:jc w:val="right"/>
              <w:ind w:right="83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740" w:type="dxa"/>
            <w:vAlign w:val="bottom"/>
            <w:gridSpan w:val="3"/>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limited partner units outstanding</w:t>
            </w:r>
          </w:p>
        </w:tc>
        <w:tc>
          <w:tcPr>
            <w:tcW w:w="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40"/>
              <w:spacing w:after="0"/>
              <w:rPr>
                <w:sz w:val="20"/>
                <w:szCs w:val="20"/>
                <w:color w:val="auto"/>
              </w:rPr>
            </w:pPr>
            <w:r>
              <w:rPr>
                <w:rFonts w:ascii="Arial" w:cs="Arial" w:eastAsia="Arial" w:hAnsi="Arial"/>
                <w:sz w:val="18"/>
                <w:szCs w:val="18"/>
                <w:color w:val="auto"/>
              </w:rPr>
              <w:t>(basic and diluted)</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units—public</w:t>
            </w:r>
          </w:p>
        </w:tc>
        <w:tc>
          <w:tcPr>
            <w:tcW w:w="27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12,937,500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12,937,500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Common units—Westlake</w:t>
            </w:r>
          </w:p>
        </w:tc>
        <w:tc>
          <w:tcPr>
            <w:tcW w:w="2780" w:type="dxa"/>
            <w:vAlign w:val="bottom"/>
            <w:gridSpan w:val="5"/>
          </w:tcPr>
          <w:p>
            <w:pPr>
              <w:jc w:val="right"/>
              <w:spacing w:after="0"/>
              <w:rPr>
                <w:sz w:val="20"/>
                <w:szCs w:val="20"/>
                <w:color w:val="auto"/>
              </w:rPr>
            </w:pPr>
            <w:r>
              <w:rPr>
                <w:rFonts w:ascii="Arial" w:cs="Arial" w:eastAsia="Arial" w:hAnsi="Arial"/>
                <w:sz w:val="18"/>
                <w:szCs w:val="18"/>
                <w:color w:val="auto"/>
              </w:rPr>
              <w:t>1,436,115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1,436,115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Subordinated units—Westlake</w:t>
            </w:r>
          </w:p>
        </w:tc>
        <w:tc>
          <w:tcPr>
            <w:tcW w:w="1080" w:type="dxa"/>
            <w:vAlign w:val="bottom"/>
            <w:tcBorders>
              <w:bottom w:val="single" w:sz="8" w:color="CCEEFF"/>
            </w:tcBorders>
            <w:gridSpan w:val="2"/>
            <w:shd w:val="clear" w:color="auto" w:fill="CCEEFF"/>
          </w:tcPr>
          <w:p>
            <w:pPr>
              <w:spacing w:after="0"/>
              <w:rPr>
                <w:sz w:val="22"/>
                <w:szCs w:val="22"/>
                <w:color w:val="auto"/>
              </w:rPr>
            </w:pPr>
          </w:p>
        </w:tc>
        <w:tc>
          <w:tcPr>
            <w:tcW w:w="1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12,686,115</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2"/>
                <w:szCs w:val="22"/>
                <w:color w:val="auto"/>
              </w:rPr>
            </w:pPr>
          </w:p>
        </w:tc>
        <w:tc>
          <w:tcPr>
            <w:tcW w:w="2780" w:type="dxa"/>
            <w:vAlign w:val="bottom"/>
            <w:gridSpan w:val="5"/>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2014</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60" w:type="dxa"/>
            <w:vAlign w:val="bottom"/>
            <w:tcBorders>
              <w:top w:val="single" w:sz="8" w:color="auto"/>
            </w:tcBorders>
            <w:gridSpan w:val="2"/>
          </w:tcPr>
          <w:p>
            <w:pPr>
              <w:jc w:val="right"/>
              <w:ind w:right="177"/>
              <w:spacing w:after="0" w:line="153" w:lineRule="exact"/>
              <w:rPr>
                <w:sz w:val="20"/>
                <w:szCs w:val="20"/>
                <w:color w:val="auto"/>
              </w:rPr>
            </w:pPr>
            <w:r>
              <w:rPr>
                <w:rFonts w:ascii="Arial" w:cs="Arial" w:eastAsia="Arial" w:hAnsi="Arial"/>
                <w:sz w:val="14"/>
                <w:szCs w:val="14"/>
                <w:b w:val="1"/>
                <w:bCs w:val="1"/>
                <w:color w:val="auto"/>
              </w:rPr>
              <w:t>Average Sales</w:t>
            </w: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4"/>
            <w:vMerge w:val="restart"/>
          </w:tcPr>
          <w:p>
            <w:pPr>
              <w:jc w:val="right"/>
              <w:ind w:right="336"/>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3"/>
                <w:szCs w:val="13"/>
                <w:color w:val="auto"/>
              </w:rPr>
            </w:pPr>
          </w:p>
        </w:tc>
        <w:tc>
          <w:tcPr>
            <w:tcW w:w="1100" w:type="dxa"/>
            <w:vAlign w:val="bottom"/>
            <w:tcBorders>
              <w:top w:val="single" w:sz="8" w:color="auto"/>
            </w:tcBorders>
            <w:gridSpan w:val="3"/>
          </w:tcPr>
          <w:p>
            <w:pPr>
              <w:jc w:val="center"/>
              <w:ind w:left="168"/>
              <w:spacing w:after="0" w:line="153" w:lineRule="exact"/>
              <w:rPr>
                <w:sz w:val="20"/>
                <w:szCs w:val="20"/>
                <w:color w:val="auto"/>
              </w:rPr>
            </w:pPr>
            <w:r>
              <w:rPr>
                <w:rFonts w:ascii="Arial" w:cs="Arial" w:eastAsia="Arial" w:hAnsi="Arial"/>
                <w:sz w:val="14"/>
                <w:szCs w:val="14"/>
                <w:b w:val="1"/>
                <w:bCs w:val="1"/>
                <w:color w:val="auto"/>
                <w:w w:val="89"/>
              </w:rPr>
              <w:t>Average Sales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jc w:val="center"/>
              <w:ind w:left="188"/>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 sales price and volume percentage change</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prior year</w:t>
            </w:r>
          </w:p>
        </w:tc>
        <w:tc>
          <w:tcPr>
            <w:tcW w:w="2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-38.0 %</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4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459"/>
        </w:trPr>
        <w:tc>
          <w:tcPr>
            <w:tcW w:w="5000" w:type="dxa"/>
            <w:vAlign w:val="bottom"/>
          </w:tcPr>
          <w:p>
            <w:pPr>
              <w:spacing w:after="0"/>
              <w:rPr>
                <w:sz w:val="24"/>
                <w:szCs w:val="24"/>
                <w:color w:val="auto"/>
              </w:rPr>
            </w:pPr>
          </w:p>
        </w:tc>
        <w:tc>
          <w:tcPr>
            <w:tcW w:w="1080" w:type="dxa"/>
            <w:vAlign w:val="bottom"/>
            <w:gridSpan w:val="2"/>
          </w:tcPr>
          <w:p>
            <w:pPr>
              <w:jc w:val="right"/>
              <w:ind w:right="208"/>
              <w:spacing w:after="0"/>
              <w:rPr>
                <w:sz w:val="20"/>
                <w:szCs w:val="20"/>
                <w:color w:val="auto"/>
              </w:rPr>
            </w:pPr>
            <w:r>
              <w:rPr>
                <w:rFonts w:ascii="Arial" w:cs="Arial" w:eastAsia="Arial" w:hAnsi="Arial"/>
                <w:sz w:val="18"/>
                <w:szCs w:val="18"/>
                <w:color w:val="auto"/>
              </w:rPr>
              <w:t>36</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gridSpan w:val="2"/>
          </w:tcPr>
          <w:p>
            <w:pPr>
              <w:ind w:left="6800"/>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6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700" w:type="dxa"/>
            <w:vAlign w:val="bottom"/>
          </w:tcPr>
          <w:p>
            <w:pPr>
              <w:jc w:val="right"/>
              <w:ind w:right="617"/>
              <w:spacing w:after="0"/>
              <w:rPr>
                <w:sz w:val="20"/>
                <w:szCs w:val="20"/>
                <w:color w:val="auto"/>
              </w:rPr>
            </w:pPr>
            <w:r>
              <w:rPr>
                <w:rFonts w:ascii="Arial" w:cs="Arial" w:eastAsia="Arial" w:hAnsi="Arial"/>
                <w:sz w:val="14"/>
                <w:szCs w:val="14"/>
                <w:b w:val="1"/>
                <w:bCs w:val="1"/>
                <w:color w:val="auto"/>
              </w:rPr>
              <w:t>2013</w:t>
            </w:r>
          </w:p>
        </w:tc>
      </w:tr>
      <w:tr>
        <w:trPr>
          <w:trHeight w:val="258"/>
        </w:trPr>
        <w:tc>
          <w:tcPr>
            <w:tcW w:w="608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Borders>
              <w:top w:val="single" w:sz="8" w:color="auto"/>
            </w:tcBorders>
          </w:tcPr>
          <w:p>
            <w:pPr>
              <w:jc w:val="right"/>
              <w:ind w:right="417"/>
              <w:spacing w:after="0"/>
              <w:rPr>
                <w:sz w:val="20"/>
                <w:szCs w:val="20"/>
                <w:color w:val="auto"/>
              </w:rPr>
            </w:pPr>
            <w:r>
              <w:rPr>
                <w:rFonts w:ascii="Arial" w:cs="Arial" w:eastAsia="Arial" w:hAnsi="Arial"/>
                <w:sz w:val="14"/>
                <w:szCs w:val="14"/>
                <w:b w:val="1"/>
                <w:bCs w:val="1"/>
                <w:i w:val="1"/>
                <w:iCs w:val="1"/>
                <w:color w:val="auto"/>
              </w:rPr>
              <w:t>Predecessor</w:t>
            </w:r>
          </w:p>
        </w:tc>
      </w:tr>
      <w:tr>
        <w:trPr>
          <w:trHeight w:val="282"/>
        </w:trPr>
        <w:tc>
          <w:tcPr>
            <w:tcW w:w="7220" w:type="dxa"/>
            <w:vAlign w:val="bottom"/>
            <w:gridSpan w:val="2"/>
          </w:tcPr>
          <w:p>
            <w:pPr>
              <w:ind w:left="40"/>
              <w:spacing w:after="0" w:line="282"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Ethane (cents/lb)</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w:t>
            </w:r>
          </w:p>
        </w:tc>
      </w:tr>
      <w:tr>
        <w:trPr>
          <w:trHeight w:val="243"/>
        </w:trPr>
        <w:tc>
          <w:tcPr>
            <w:tcW w:w="7220" w:type="dxa"/>
            <w:vAlign w:val="bottom"/>
            <w:gridSpan w:val="2"/>
          </w:tcPr>
          <w:p>
            <w:pPr>
              <w:ind w:left="40"/>
              <w:spacing w:after="0"/>
              <w:rPr>
                <w:sz w:val="20"/>
                <w:szCs w:val="20"/>
                <w:color w:val="auto"/>
              </w:rPr>
            </w:pPr>
            <w:r>
              <w:rPr>
                <w:rFonts w:ascii="Arial" w:cs="Arial" w:eastAsia="Arial" w:hAnsi="Arial"/>
                <w:sz w:val="18"/>
                <w:szCs w:val="18"/>
                <w:color w:val="auto"/>
              </w:rPr>
              <w:t>Propane (cents/lb)</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23.7</w:t>
            </w:r>
          </w:p>
        </w:tc>
      </w:tr>
      <w:tr>
        <w:trPr>
          <w:trHeight w:val="27"/>
        </w:trPr>
        <w:tc>
          <w:tcPr>
            <w:tcW w:w="6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2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57.1</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Industry pricing data was obtained through IHS Chemical. We have not independently verified the data.</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 Chemical.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year ended December 31, 2015, net income was $353.9 million on net sales of $1,007.2 million. This represents a decrease in net income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$155.9 million compared to 2014 net income of $509.8 million on net sales of $1,749.7 million. Net sales for 2015 decreased by $742.5 million as compared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2014 mainly due to a lower average sales price of ethylene sold to Westlake resulting from the execution of the Ethylene Sales Agreement and lower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average sales price of ethylene sold to third parties due to a significant decline in market prices in 2015. Co-products average sales prices were also lower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as compared to the prior year, primarily due to the decline in the market price of the co-products. Income from operations was $359.3 million in 2015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$716.6 million in 2014. Income from operations for the year ended December 31, 2015 decreased as compared to 2014 primarily as result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overall lower margin achieved on ethylene resulting from the execution of the Ethylene Sales Agreement after the IPO and the decline in the market prices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ethylene and co-products, partially offset by lower feedstock and energy costs as well as lower selling, general and administrative expenses.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with 2014</w:t>
      </w:r>
    </w:p>
    <w:p>
      <w:pPr>
        <w:spacing w:after="0" w:line="9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decreased by $742.5 million, or 42.4%, to $1,007.2 million in 2015 from $1,749.7 million in 2014, primarily due to a lower average</w:t>
      </w:r>
      <w:r>
        <w:rPr>
          <w:rFonts w:ascii="Arial" w:cs="Arial" w:eastAsia="Arial" w:hAnsi="Arial"/>
          <w:sz w:val="16"/>
          <w:szCs w:val="16"/>
          <w:i w:val="1"/>
          <w:iCs w:val="1"/>
          <w:color w:val="auto"/>
        </w:rPr>
        <w:t xml:space="preserve"> </w:t>
      </w:r>
      <w:r>
        <w:rPr>
          <w:rFonts w:ascii="Arial" w:cs="Arial" w:eastAsia="Arial" w:hAnsi="Arial"/>
          <w:sz w:val="16"/>
          <w:szCs w:val="16"/>
          <w:color w:val="auto"/>
        </w:rPr>
        <w:t>sales price of ethylene sold to Westlake resulting from the execution of the Ethylene Sales Agreement following the IPO, lower average sales price of ethylene sold to third parties due to the significant decline in market prices in 2015 and a lower volume of ethylene sold to third parties, partially offset by increased volume of ethylene sold to Westlake in 2015 as compared to 2014. The total ethylene sales volume in 2015 was lower as compared to 2014 due primarily to Westlake's retention of the Predecessor's ethylene procurement and reselling activities, which was partially offset by higher production in 2015 resulting from the Calvert City Olefins expansion in 2014 and other efficiency projects. Further, co-product sales prices were significantly lower in 2015 as compared to 2014, primarily due to the significant decline in market prices of co-products, which resulted in a decrease in co-product sales to third parties. This decrease in sales prices was partially offset by an increase in volume of co-product sales to third parties. Additionally, there were no excess feedstock sales subsequent to the IPO in 2014 or in 2015 as such activities were retained by Westlake. The overall average sales prices of ethylene and co-products in 2015 decreased by 38.0% as compared to 2014 and overall sales volumes in 2015 decreased by 4.4% as compared to 2014.</w:t>
      </w:r>
    </w:p>
    <w:p>
      <w:pPr>
        <w:spacing w:after="0" w:line="11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margin percentage decreased to 38.0% in 2015 from 42.6% in 2014 primarily due to a reduction in margin for ethylene sold to</w:t>
      </w:r>
      <w:r>
        <w:rPr>
          <w:rFonts w:ascii="Arial" w:cs="Arial" w:eastAsia="Arial" w:hAnsi="Arial"/>
          <w:sz w:val="18"/>
          <w:szCs w:val="18"/>
          <w:i w:val="1"/>
          <w:iCs w:val="1"/>
          <w:color w:val="auto"/>
        </w:rPr>
        <w:t xml:space="preserve"> </w:t>
      </w:r>
      <w:r>
        <w:rPr>
          <w:rFonts w:ascii="Arial" w:cs="Arial" w:eastAsia="Arial" w:hAnsi="Arial"/>
          <w:sz w:val="18"/>
          <w:szCs w:val="18"/>
          <w:color w:val="auto"/>
        </w:rPr>
        <w:t>Westlake resulting from the Ethylene Sales Agreement and also due to the decline in margin from ethylene sold to third parties as a result of the significant decline in ethylene market prices during 2015. The decrease was largely offset by a drop in feedstock prices, a decrease in energy costs as well as the absence in 2015 of costs and lost production associated with the Calvert City Olefins turnaround, conversion and expansion activities that took place during the first and second quarters of 2014.</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Selling, general and administrative expenses decreased by $5.7 million, or 19.5%, to $23.6 million in</w:t>
      </w:r>
    </w:p>
    <w:p>
      <w:pPr>
        <w:spacing w:after="0" w:line="46"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color w:val="auto"/>
        </w:rPr>
        <w:t>2015 from $29.3 million in 2014. The decrease was mainly attributable to the absence of an allocation from Westlake of labor costs attributable to the Predecessor's operations retained by Westlake after the IPO, partially offset by incremental selling, general and administrative expenses incurred by the Partnership subsequent to the IPO as a result of being a separate publicly-traded partnership.</w:t>
      </w:r>
    </w:p>
    <w:p>
      <w:pPr>
        <w:spacing w:after="0" w:line="13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by $5.5 million to $5.0 million in 2015 from $10.5 million in 2014, primarily due to a lower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in 2015 as compared to the prior year. The lower average interest rate in 2015 as compared to the prior year was due to the repayment of a significant portion of the August 2013 Promissory Notes (as defined in "Liquidity and Capital Resources—Indebtedness") in April 2015, which bear a higher interest rate as compared to our other outstanding debt.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i w:val="1"/>
          <w:iCs w:val="1"/>
          <w:color w:val="auto"/>
        </w:rPr>
        <w:t>Other Income, Net</w:t>
      </w:r>
      <w:r>
        <w:rPr>
          <w:rFonts w:ascii="Arial" w:cs="Arial" w:eastAsia="Arial" w:hAnsi="Arial"/>
          <w:sz w:val="16"/>
          <w:szCs w:val="16"/>
          <w:color w:val="auto"/>
        </w:rPr>
        <w:t>. Other income, net decreased by $3.0 million to $0.2 million in 2015 from $3.2 million in 2014, primarily due to the absence of</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attributable to the Predecessor's equity stake in a natural gas liquids pipeline joint venture that was not contributed to us in connection with the IPO.</w:t>
      </w:r>
    </w:p>
    <w:p>
      <w:pPr>
        <w:spacing w:after="0" w:line="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income tax rate was 0.2% in 2015 as compared to 28.1% for 2014. The effective income tax rate in 2015 is not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effective income tax rate for 2014 as the Partnership is not subject to federal income taxes subsequent to the IPO.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Compared with 2013</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by $378.0 million, or 17.8%, to $1,749.7 million in 2014 from $2,127.7 million in 2013, primarily attributable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sales prices and sales volumes of ethylene sold to Westlake resulting from the Ethylene Sales Agreement, as well as the retention by Westlake of the Predecessor's ethylene procurement and reselling activities in connection with the IPO. The decrease in net sales was partially offset by an increase in average sales prices for ethylene and feedstock sold to third parties. Overall average sales prices in 2014 decreased by 10.5% as compared to 2013. Overall sales volumes in 2014 decreased by 7.3% as compared to 2013.</w:t>
      </w:r>
    </w:p>
    <w:p>
      <w:pPr>
        <w:spacing w:after="0" w:line="13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margin percentage of 42.6% in 2014 increased from 41.0% in 2013. The improvement in gross profit margin percentage was</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predominantly due to lower feedstock costs, which were attributable to an overall decrease in use of propane partially offset by an increase in ethane and energy costs. In addition, gross profit percentage in 2014 was negatively impacted by the lower margins earned on ethylene sold to Westlake as a result of the Ethylene Sales Agreement, as well as the costs and lost production associated with the Calvert City Olefins turnaround, conversion and expansion activities that took place during the first and second quarters of 2014.</w:t>
      </w:r>
    </w:p>
    <w:p>
      <w:pPr>
        <w:spacing w:after="0" w:line="13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increased by $3.8 million, or 14.9%, to $29.3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2014 from $25.5 million in 2013. The increase was mainly attributable to incremental general and administrative expenses incurred by the Partnership subsequent to the IPO as a result of being a separate publicly-traded partnership, as well as higher allocations from Westlake due to Westlake's increased costs associated with consulting and professional fees, and other operating costs such as maintenance and services fees. The increase in selling, general and administrative expenses was partially offset by a lower allocation from Westlake associated with labor costs resulting from Westlake retaining certain operations of the Predecessor subsequent to the IPO.</w:t>
      </w:r>
    </w:p>
    <w:p>
      <w:pPr>
        <w:spacing w:after="0" w:line="139"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$2.5 million to $10.5 million in 2014 from $8.0 million in 2013, primarily due to the higher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debt balance in 2014 as compared to the prior year.</w:t>
      </w:r>
    </w:p>
    <w:p>
      <w:pPr>
        <w:spacing w:after="0" w:line="11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decreased by $4.5 million to $3.2 million in 2014 from $7.7 million in 2013. The decrease was mainly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claim settlement in the first quarter of 2013, which did not recur in 2014 and a decrease in income attributable to the Predecessor's equity stake in a NGLs pipeline joint venture that was not contributed to us in connection with the IPO.</w:t>
      </w:r>
    </w:p>
    <w:p>
      <w:pPr>
        <w:spacing w:after="0" w:line="12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income tax rate was 28.1% in 2014. The effective income tax rate in 2014 is not comparable to the effective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for 2013 as the Partnership is not subject to federal income taxes subsequent to the IPO. The effective income tax rate was 35.5% in 2013. The effective income tax rate for 2013 was above the U.S. federal statutory rate of 35.0% primarily due to state income taxes, mostly offset by the domestic manufacturing deduction and state income tax credits.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Operating activities provided cash of $452.5 million in 2015 compared to cash provided of $604.0 million in 2014. The $151.5 million decrease in cash flows from operating activities was mainly due to a decrease in net income from operations as a result of the Ethylene Sales Agreement by $155.9 million, partially offset by a decrease in use of cash for working capital purposes.</w:t>
      </w:r>
    </w:p>
    <w:p>
      <w:pPr>
        <w:spacing w:after="0" w:line="46" w:lineRule="exact"/>
        <w:rPr>
          <w:sz w:val="20"/>
          <w:szCs w:val="20"/>
          <w:color w:val="auto"/>
        </w:rPr>
      </w:pPr>
    </w:p>
    <w:p>
      <w:pPr>
        <w:ind w:right="280" w:firstLine="392"/>
        <w:spacing w:after="0" w:line="264" w:lineRule="auto"/>
        <w:rPr>
          <w:sz w:val="20"/>
          <w:szCs w:val="20"/>
          <w:color w:val="auto"/>
        </w:rPr>
      </w:pPr>
      <w:r>
        <w:rPr>
          <w:rFonts w:ascii="Arial" w:cs="Arial" w:eastAsia="Arial" w:hAnsi="Arial"/>
          <w:sz w:val="18"/>
          <w:szCs w:val="18"/>
          <w:color w:val="auto"/>
        </w:rPr>
        <w:t>Operating activities provided cash of $604.0 million in 2014 compared to cash provided of $602.5 million in 2013. The $1.5 million increase in cash flows from operating activities was mainly due to a decrease in the use of cash for working capital purposes, partially offset by a decrease in net income during 2014 and lower non-cash deferred tax adjustment in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Net cash used for investing activities during 2015 was $231.2 million as compared to net cash used for investing activities of $203.0 million in 2014. Capital expenditures were $231.2 million in 2015 compared to $202.8 million in 2014. Capital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expenditures in 2015 were primarily incurred in connection with the planned upgrade and expansion of OpCo's Petro 1 facility to increase ethylene production capacity as further discussed under "Liquidity and Capital Resources—Capital Expenditures" below. The remaining capital expenditures in 2015 primarily related to projects to improve production capacity or reduce costs, maintenance and safety projects and environmental projects at our facilities.</w:t>
      </w:r>
    </w:p>
    <w:p>
      <w:pPr>
        <w:spacing w:after="0" w:line="12" w:lineRule="exact"/>
        <w:rPr>
          <w:sz w:val="20"/>
          <w:szCs w:val="20"/>
          <w:color w:val="auto"/>
        </w:rPr>
      </w:pPr>
    </w:p>
    <w:p>
      <w:pPr>
        <w:ind w:right="180" w:firstLine="392"/>
        <w:spacing w:after="0" w:line="259" w:lineRule="auto"/>
        <w:rPr>
          <w:sz w:val="20"/>
          <w:szCs w:val="20"/>
          <w:color w:val="auto"/>
        </w:rPr>
      </w:pPr>
      <w:r>
        <w:rPr>
          <w:rFonts w:ascii="Arial" w:cs="Arial" w:eastAsia="Arial" w:hAnsi="Arial"/>
          <w:sz w:val="18"/>
          <w:szCs w:val="18"/>
          <w:color w:val="auto"/>
        </w:rPr>
        <w:t>Net cash used for investing activities during 2014 was $203.0 million as compared to net cash used for investing activities of $230.1 million in 2013. Capital expenditures were $202.8 million in 2014 compared to $223.1 million in 2013. Capital expenditures in 2014 were mainly incurred on the expansion and feedstock conversion project at Calvert City Olefins and the planned upgrade and expansion of Petro 1. Capital expenditures in 2013 were mainly incurred on the expansion of Petro 2, which was completed in the first quarter of 2013.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Net cash used for financing activities during 2015 was $185.5 million as compared to net cash used for financing activities of $267.3 million during 2014. The activity during 2015 was primarily related to the repayment of $135.3 million of the August 2013 Promissory Notes and the distribution of $310.8 million to our common and subordinated unitholders (including Westlake) and of $31.1 million to Westlake with respect to its noncontrolling interest in OpCo for the quarters ended December 31, 2014, March 31, 2015, June 30, 2015 and September 30, 2015. The repayment and distributions were partially offset by our borrowings under the MLP Revolver to fund the purchase of an additional 2.7% limited partner interest in OpCo in April 2015 for $135.3 million and borrowings under the OpCo Revolver of $156.4 million to fund the capital expenditures for the Petro 2 and Petro 1 ethylene plants.</w:t>
      </w:r>
    </w:p>
    <w:p>
      <w:pPr>
        <w:spacing w:after="0" w:line="30" w:lineRule="exact"/>
        <w:rPr>
          <w:sz w:val="20"/>
          <w:szCs w:val="20"/>
          <w:color w:val="auto"/>
        </w:rPr>
      </w:pPr>
    </w:p>
    <w:p>
      <w:pPr>
        <w:ind w:right="20" w:firstLine="392"/>
        <w:spacing w:after="0" w:line="270" w:lineRule="auto"/>
        <w:rPr>
          <w:sz w:val="20"/>
          <w:szCs w:val="20"/>
          <w:color w:val="auto"/>
        </w:rPr>
      </w:pPr>
      <w:r>
        <w:rPr>
          <w:rFonts w:ascii="Arial" w:cs="Arial" w:eastAsia="Arial" w:hAnsi="Arial"/>
          <w:sz w:val="17"/>
          <w:szCs w:val="17"/>
          <w:color w:val="auto"/>
        </w:rPr>
        <w:t>Net cash used for financing activities during 2014 was $267.3 million as compared to net cash used of $372.5 million in 2013. The activity during the period from January 1, 2014 through August 3, 2014 was primarily related to the Predecessor's $448.1 million, net distribution to Westlake, partially offset by borrowings of $121.1 million under the Predecessor's unsecured promissory note agreements with Westlake. The activity during the period from August 4, 2014 through December 31, 2014 was primarily related to the Partnership raising $286.1 million in net proceeds from the IPO, as well as borrowings of $60.5 million under our revolving credit facility with Westlake, partially offset by a $151.7 million distribution to Westlake for pre-formation capital expenditures and a $78.9 million repayment of borrowings outstanding under the unsecured promissory note agreements assumed by OpCo at the closing of the IPO. During November 2014, the Partnership made its first quarterly distribution for the period from August 4, 2014 to September 30, 2014 in the amount of $56.3 million, which was comprised of a $4.6 million distribution to common and subordinated unitholders and a $51.7 million distribution to the noncontrolling interest in OpCo retained by Westlake.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17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27" w:lineRule="exact"/>
        <w:rPr>
          <w:sz w:val="20"/>
          <w:szCs w:val="20"/>
          <w:color w:val="auto"/>
        </w:rPr>
      </w:pPr>
    </w:p>
    <w:p>
      <w:pPr>
        <w:ind w:right="260" w:firstLine="432"/>
        <w:spacing w:after="0" w:line="276"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19" w:lineRule="exact"/>
        <w:rPr>
          <w:sz w:val="20"/>
          <w:szCs w:val="20"/>
          <w:color w:val="auto"/>
        </w:rPr>
      </w:pPr>
    </w:p>
    <w:p>
      <w:pPr>
        <w:jc w:val="both"/>
        <w:ind w:right="380" w:firstLine="432"/>
        <w:spacing w:after="0" w:line="302" w:lineRule="auto"/>
        <w:rPr>
          <w:sz w:val="20"/>
          <w:szCs w:val="20"/>
          <w:color w:val="auto"/>
        </w:rPr>
      </w:pPr>
      <w:r>
        <w:rPr>
          <w:rFonts w:ascii="Arial" w:cs="Arial" w:eastAsia="Arial" w:hAnsi="Arial"/>
          <w:sz w:val="16"/>
          <w:szCs w:val="16"/>
          <w:color w:val="auto"/>
        </w:rPr>
        <w:t>In order to fund non-annual turnaround expenditures, we cause OpCo to reserve approximately $30.0 million during each twelve-month period for turnaround activities. Each of OpCo's processing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00"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Our cash is generated from cash distributions from OpCo. OpCo is a restricted subsidiary and guarantor under Westlake's credit facility and the indentures governing its senior notes.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On February 1, 2016, the board of directors of Westlake Chemical Partners GP LLC, our general partner, announced a quarterly distribution of $0.3080 per unit payable on February 26, 2016 to unitholders of record on February 11, 2016, which equates to approximately $8.3 million per quarter, or approximately $33.3 million per year in aggregate, based on the number of common and subordinated units outstanding on December 31, 2015. We do not have a legal or contractual obligation to pay distributions on a quarterly basis or any other basis at our minimum quarterly distribution rate or any other rate.</w:t>
      </w:r>
    </w:p>
    <w:p>
      <w:pPr>
        <w:spacing w:after="0" w:line="1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Historically, the Predecessor's principal sources of liquidity were cash from operations and funding from Westlake. As a participant in Westlake's centralized cash management system, the Predecessor's cash receipts were deposited in Westlake's or its affiliates' bank accounts and cash disbursements were made from those accounts. In addition to the cash generated by its operations, the Predecessor also entered into certain financing arrangements with Westlake to satisfy its capital and operating expenditure requirements. The Predecessor separately recorded costs associated with financing its operations resulting from financing arrangements entered into with Westlake.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In April 2011, Westlake announced an expansion program to increase the ethylene production capacity of both of OpCo's Petro 1 and Petro 2 ethylene facilities in Lake Charles. The expansion of Petro 2 was completed in the first quarter of 2013 and increased ethylene production capacity by approximately 240 million pounds annually. We currently plan to begin the upgrade and capacity expansion of Petro 1 during the second quarter of 2016. This project is currently estimated to cost in the range of $275.0 million to $335.0 million and is expected to add approximately 250 million pounds of ethylene capacity annually. As of December 31, 2015, we had incurred a total cost of approximately $201.1 million on this capital project.</w:t>
      </w:r>
    </w:p>
    <w:p>
      <w:pPr>
        <w:spacing w:after="0" w:line="11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January 2016, we announced an expansion project to increase the ethylene capacity of OpCo's ethylene plant at Calvert City Olefins. The expansion is expected to increase ethylene capacity by approximately 70 million pounds annually and is targeted for completion during the first half of 2017. Combined with other incremental capacity increases, the total ethylene capacity of OpCo's ethylene plant at Calvert City Olefins is expected to increase to 730 million pounds annually at the completion of this project. This capital project is currently estimated to cost in the range of $70.0 million to $80.0 million and is expected to be funded with borrowings under the OpCo Revolver.</w:t>
      </w:r>
    </w:p>
    <w:p>
      <w:pPr>
        <w:spacing w:after="0" w:line="5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April 2014, the Predecessor completed the feedstock conversion and ethylene expansion project at Calvert City Olefins that resulted in approximately 180 million pounds of additional annual capacity and also provided OpCo with 100% ethane feedstock capability at the facility.</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Westlake has historically funded capital expenditures related to Lake Charles Olefins and Calvert City Olefins. During the period from January 1, 2014 through August 3, 2014, Westlake loaned the Predecessor a principal amount of approximately $121.1 million, all of which was used for capital expenditures. During the period from August 4, 2014 through December 31, 2014 and during 2015, Westlake loaned OpCo $60.5 million and $291.7 million, respectively, all of which was used for capital expenditures. We expect that Westlake will loan additional cash to OpCo to fund its expansion capital expenditures in the future, but Westlake is under no obligation to do 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As of December 31, 2015, our cash and cash equivalents totaled $169.6 million. In addition, we have a revolving credit facility with Westlake available to supplement cash if needed, as described under "Indebtedness"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2013 Promissory Notes</w:t>
      </w:r>
    </w:p>
    <w:p>
      <w:pPr>
        <w:spacing w:after="0" w:line="90"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OpCo assumed $246.1 million of indebtedness under three intercompany promissory notes incurred by Westlake on behalf of the Predecessor (the "August 2013 Promissory Notes") in connection with the closing of the IPO. Using proceeds from the IPO, OpCo repaid $78.9 million of the outstanding principal amount of the August 2013 Promissory Notes during 2014. During 2015, OpCo repaid $135.3 million of the outstanding principal amount of the remaining August 2013 Promissory Notes. As of December 31, 2015, $31.8 million of the principal amount of the August 2013 Promissory Notes was still outstanding. The August 2013 Promissory Notes have a ten-year term and bear interest at the prime rate plus a 1.5% margin, which is accrued in arrears quarterly. OpCo has the right at any time to prepay the August 2013 Promissory Notes, in whole or in part, without any premium or penalty. The August 2013 Promissory Notes mature in August 2023.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ind w:right="320" w:firstLine="392"/>
        <w:spacing w:after="0" w:line="277" w:lineRule="auto"/>
        <w:rPr>
          <w:sz w:val="20"/>
          <w:szCs w:val="20"/>
          <w:color w:val="auto"/>
        </w:rPr>
      </w:pPr>
      <w:r>
        <w:rPr>
          <w:rFonts w:ascii="Arial" w:cs="Arial" w:eastAsia="Arial" w:hAnsi="Arial"/>
          <w:sz w:val="18"/>
          <w:szCs w:val="18"/>
          <w:color w:val="auto"/>
        </w:rPr>
        <w:t>In connection with the IPO, OpCo entered into a $600.0 million revolving credit facility with Westlake ("OpCo Revolver") that may be used to fund growth projects and working capital needs. As of December 31, 2015, outstanding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borrowings under the OpCo Revolver totaled $216.9 million and bore interest at the LIBOR rate plus 3.0%, which is accrued in arrears quarterly. The OpCo Revolver matures in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90"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April 2015 we entered into a $300.0 million senior, unsecured revolving credit agreement with Westlake Chemical Finance Corporation, an affiliate of Westlake ("MLP Revolver"). The MLP Revolver is scheduled to mature on April 29, 2018.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December 31, 2015, the outstanding borrowings under the MLP Revolver totaled $135.3 million. We intend to use the MLP Revolver to purchase additional limited partnership interests in OpCo in the future, in the event OpCo desires to sell such additional interests to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0"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In addition to long-term debt, we are required to make payments relating to various types of obligations. The following table summarizes our contractual obligations as of December 31, 2015 relating to long-term debt, interest payments, operating leases and purchase obligations for the next five years and thereafter. The amounts do not include deferred charges and other items classified in other liabilities in the consolidated balance sheet due to the uncertainty of the future payment schedule.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Payment Due by Period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2017-2018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2019-2020</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Thereafter</w:t>
            </w:r>
          </w:p>
        </w:tc>
      </w:tr>
      <w:tr>
        <w:trPr>
          <w:trHeight w:val="385"/>
        </w:trPr>
        <w:tc>
          <w:tcPr>
            <w:tcW w:w="4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(dollars in millions)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8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Principal </w:t>
            </w:r>
            <w:r>
              <w:rPr>
                <w:rFonts w:ascii="Arial" w:cs="Arial" w:eastAsia="Arial" w:hAnsi="Arial"/>
                <w:sz w:val="25"/>
                <w:szCs w:val="25"/>
                <w:color w:val="auto"/>
                <w:vertAlign w:val="superscript"/>
              </w:rPr>
              <w:t>(1)</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384.0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216.9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31.8</w:t>
            </w:r>
          </w:p>
        </w:tc>
      </w:tr>
      <w:tr>
        <w:trPr>
          <w:trHeight w:val="270"/>
        </w:trPr>
        <w:tc>
          <w:tcPr>
            <w:tcW w:w="41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5"/>
                <w:szCs w:val="25"/>
                <w:color w:val="auto"/>
                <w:vertAlign w:val="superscript"/>
              </w:rPr>
              <w:t>(2)</w:t>
            </w:r>
          </w:p>
        </w:tc>
        <w:tc>
          <w:tcPr>
            <w:tcW w:w="88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w:t>
            </w: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(3)</w:t>
            </w:r>
          </w:p>
        </w:tc>
        <w:tc>
          <w:tcPr>
            <w:tcW w:w="8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70"/>
        </w:trPr>
        <w:tc>
          <w:tcPr>
            <w:tcW w:w="4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(4)</w:t>
            </w:r>
          </w:p>
        </w:tc>
        <w:tc>
          <w:tcPr>
            <w:tcW w:w="8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480.2</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226.0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36.9</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26"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Long-Term Debt</w:t>
      </w:r>
      <w:r>
        <w:rPr>
          <w:rFonts w:ascii="Arial" w:cs="Arial" w:eastAsia="Arial" w:hAnsi="Arial"/>
          <w:sz w:val="18"/>
          <w:szCs w:val="18"/>
          <w:color w:val="auto"/>
        </w:rPr>
        <w:t>. Long-term debt consists of the August 2013 Promissory Notes and the revolving credit facility.</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Interest Payments. </w:t>
      </w:r>
      <w:r>
        <w:rPr>
          <w:rFonts w:ascii="Arial" w:cs="Arial" w:eastAsia="Arial" w:hAnsi="Arial"/>
          <w:sz w:val="17"/>
          <w:szCs w:val="17"/>
          <w:color w:val="auto"/>
        </w:rPr>
        <w:t>Interest payments are based on interest rates in effect at December 31, 2015 and assume contractual amortization payments.</w:t>
      </w:r>
    </w:p>
    <w:p>
      <w:pPr>
        <w:spacing w:after="0" w:line="101" w:lineRule="exact"/>
        <w:rPr>
          <w:rFonts w:ascii="Arial" w:cs="Arial" w:eastAsia="Arial" w:hAnsi="Arial"/>
          <w:sz w:val="17"/>
          <w:szCs w:val="17"/>
          <w:color w:val="auto"/>
        </w:rPr>
      </w:pPr>
    </w:p>
    <w:p>
      <w:pPr>
        <w:ind w:left="420" w:right="40" w:hanging="412"/>
        <w:spacing w:after="0" w:line="302"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Operating Leases. </w:t>
      </w:r>
      <w:r>
        <w:rPr>
          <w:rFonts w:ascii="Arial" w:cs="Arial" w:eastAsia="Arial" w:hAnsi="Arial"/>
          <w:sz w:val="16"/>
          <w:szCs w:val="16"/>
          <w:color w:val="auto"/>
        </w:rPr>
        <w:t>Represent noncancelable operating leases with respect to rail cars that are subleased to OpCo and two site lease agreements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periods. Pursuant to the site lease agreements, OpCo leases the real property underlying Lake Charles Olefins and Calvert City Olefins. OpCo is also granted rights to access and use certain other portions of Westlake's natural gas liquids processing facilities that are necessary to operate OpCo's natural gas liquids processing facilities. OpCo owes Westlake one dollar per site per year. Each of the site lease agreements has a term of 50 years.</w:t>
      </w:r>
    </w:p>
    <w:p>
      <w:pPr>
        <w:spacing w:after="0" w:line="19" w:lineRule="exact"/>
        <w:rPr>
          <w:rFonts w:ascii="Arial" w:cs="Arial" w:eastAsia="Arial" w:hAnsi="Arial"/>
          <w:sz w:val="16"/>
          <w:szCs w:val="16"/>
          <w:color w:val="auto"/>
        </w:rPr>
      </w:pPr>
    </w:p>
    <w:p>
      <w:pPr>
        <w:jc w:val="both"/>
        <w:ind w:left="420" w:right="20" w:hanging="412"/>
        <w:spacing w:after="0" w:line="312"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Purchase Obligations. </w:t>
      </w:r>
      <w:r>
        <w:rPr>
          <w:rFonts w:ascii="Arial" w:cs="Arial" w:eastAsia="Arial" w:hAnsi="Arial"/>
          <w:sz w:val="16"/>
          <w:szCs w:val="16"/>
          <w:color w:val="auto"/>
        </w:rPr>
        <w:t>Purchase obligations include agreements to purchase goods and services that are enforceable and legally binding and that specify</w:t>
      </w:r>
      <w:r>
        <w:rPr>
          <w:rFonts w:ascii="Arial" w:cs="Arial" w:eastAsia="Arial" w:hAnsi="Arial"/>
          <w:sz w:val="16"/>
          <w:szCs w:val="16"/>
          <w:i w:val="1"/>
          <w:iCs w:val="1"/>
          <w:color w:val="auto"/>
        </w:rPr>
        <w:t xml:space="preserve"> </w:t>
      </w:r>
      <w:r>
        <w:rPr>
          <w:rFonts w:ascii="Arial" w:cs="Arial" w:eastAsia="Arial" w:hAnsi="Arial"/>
          <w:sz w:val="16"/>
          <w:szCs w:val="16"/>
          <w:color w:val="auto"/>
        </w:rPr>
        <w:t>all significant terms, including a minimum quantity and price. We are party to various obligations to purchase goods and services, including the Services and Secondment Agreement, in the ordinary course of our business, as well as various purchase commitments for our capital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Critical accounting policies are those that are important to our financial condition and require management's most difficult, subjective or complex judgments. Different amounts would be reported under different operating conditions or under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alternative assumptions. We have evaluated the accounting policies used in the preparation of the accompanying consolidated and combined financial statements and related notes and believe those policies are reasonable and appropriate.</w:t>
      </w:r>
    </w:p>
    <w:p>
      <w:pPr>
        <w:spacing w:after="0" w:line="11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apply those accounting policies that we believe best reflect the underlying business and economic events, consistent with GAAP. Our more critical accounting policies include those related to long-lived assets, fair value estimates and environmental and legal obligations. Inherent in such policies are certain key assumptions and estimates. We periodically update the estimates used in the preparation of the financial statements based on our latest assessment of the current and projected business and general economic environment. Our significant accounting policies are summarized in Note 1 to the consolidated and combined financial statements appearing elsewhere in this Form 10-K. We believe the following to be our most critical accounting policies applied in the preparation of our financial statements.</w:t>
      </w:r>
    </w:p>
    <w:p>
      <w:pPr>
        <w:spacing w:after="0" w:line="139"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i w:val="1"/>
          <w:iCs w:val="1"/>
          <w:color w:val="auto"/>
        </w:rPr>
        <w:t xml:space="preserve">Long-Lived Assets. </w:t>
      </w:r>
      <w:r>
        <w:rPr>
          <w:rFonts w:ascii="Arial" w:cs="Arial" w:eastAsia="Arial" w:hAnsi="Arial"/>
          <w:sz w:val="17"/>
          <w:szCs w:val="17"/>
          <w:color w:val="auto"/>
        </w:rPr>
        <w:t>Key estimates related to long-lived assets include useful lives, recoverability of carrying values and existence of any 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Such estimates could be significantly modified. The carrying values of long-lived assets could be impaired by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the cyclical nature of the chemical and refining industries and uncertainties associated with governmental actions.</w:t>
      </w:r>
    </w:p>
    <w:p>
      <w:pPr>
        <w:spacing w:after="0" w:line="11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evaluate long-lived assets for potential impairment indicators whenever events or changes in circumstances indicate that the carrying amount of an asset may not be recoverable, including when negative conditions such as significant current or projected operating losses exist. Our judgments regarding the existence of impairment indicators are based on legal factors, market conditions and the operational performance of our businesses. Actual impairment losses incurred could vary significantly from amounts estimated. Long-lived assets assessed for impairment are grouped at the lowest level for which identifiable cash flows are largely independent of the cash flows of other assets and liabilities. Additionally, future events could cause us to conclude that impairment indicators exist and that associated long-lived assets of our businesses are impaired. Any resulting impairment loss could have a material adverse impact on our financial condition and results of operations.</w:t>
      </w:r>
    </w:p>
    <w:p>
      <w:pPr>
        <w:spacing w:after="0" w:line="12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estimated useful lives of long-lived assets range from three to 35 years. Depreciation and amortization of these assets, including amortization of deferred turnaround costs, under the straight-line method over their estimated useful lives totaled $81.2 million, $77.6 million and $73.5 million in 2015, 2014 and 2013, respectively. If the useful lives of the assets were found to be shorter than originally estimated, depreciation or amortization charges would be accelerated.</w:t>
      </w:r>
    </w:p>
    <w:p>
      <w:pPr>
        <w:spacing w:after="0" w:line="133"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defer the costs of planned major maintenance activities, or turnarounds, and amortize the costs over the period until the next planned turnaround of the affected unit. Total costs deferred on turnarounds were $3.2 million, $0.3 million and $59.1 million in 2015, 2014 and 2013, respectively. Amortization in 2015, 2014 and 2013 of previously deferred turnaround costs was $16.8 million, $17.0 million and $15.5 million, respectively. As of December 31, 2015, deferred turnaround costs, net of accumulated amortization, totaled $32.3 million. Expensing turnaround costs as incurred would likely result in greater variability of our quarterly operating results and would adversely affect our financial position and results of operations.</w:t>
      </w:r>
    </w:p>
    <w:p>
      <w:pPr>
        <w:spacing w:after="0" w:line="10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Additional information concerning long-lived assets and related depreciation and amortization appears in Notes 7 and 8 to the audited consolidated and combined financial statements appearing elsewhere in this Form 10-K.</w:t>
      </w:r>
    </w:p>
    <w:p>
      <w:pPr>
        <w:spacing w:after="0" w:line="11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 xml:space="preserve">Fair Value Estimates. </w:t>
      </w:r>
      <w:r>
        <w:rPr>
          <w:rFonts w:ascii="Arial" w:cs="Arial" w:eastAsia="Arial" w:hAnsi="Arial"/>
          <w:sz w:val="18"/>
          <w:szCs w:val="18"/>
          <w:color w:val="auto"/>
        </w:rPr>
        <w:t>We develop estimates of fair value to allocate the purchase price paid to acquire a business to the assets acquired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in an acquisition, to assess impairment of long-lived assets, goodwill and intangible assets and to record derivative instruments. We use all available information to make these fair value determinations, including the engagement of third-party consultants. At December 31, 2015, recorded goodwill was $5.8 million, all of which was associated with the acquisition of the Longview Pipeline as part of the acquisition of Westlake's Longview production facilities. In addition, we record all derivative instruments at fair value. The fair value of the financial instruments is estimated using quoted market prices in active markets and observable market-based inputs or unobservable inputs that are corroborated by market data when active markets are not available or unobservable inputs that are not corroborated by market data. See Note 16 to the consolidated and combined financial statements in this report for more information.</w:t>
      </w:r>
    </w:p>
    <w:p>
      <w:pPr>
        <w:spacing w:after="0" w:line="138"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i w:val="1"/>
          <w:iCs w:val="1"/>
          <w:color w:val="auto"/>
        </w:rPr>
        <w:t xml:space="preserve">Environmental and Legal Obligations. </w:t>
      </w:r>
      <w:r>
        <w:rPr>
          <w:rFonts w:ascii="Arial" w:cs="Arial" w:eastAsia="Arial" w:hAnsi="Arial"/>
          <w:sz w:val="16"/>
          <w:szCs w:val="16"/>
          <w:color w:val="auto"/>
        </w:rPr>
        <w:t>We consult with various professionals to assist us in making estimates relating to environmental costs and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We accrue an expense when we determine that it is probable that a liability has been incurred and the amount is reasonably estimable. While we believe that the amounts recorded in the accompanying consolidated and combined financial statements related to these contingencies are based on the best estimates and judgments available, the actual outcomes could differ from our estimates. Additional information about certain legal proceedings and environmental matters appears in Note 20 to the consolidated and combined financial statements appearing elsewhere in this Form 10-K.</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122" w:right="29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See Note 3 to the consolidated and combined financial statements for a full description of recent accounting pronouncements, including expected dates of adoption and estimated effects on results of operations and financial condition, which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 substantial portion of the Predecessor's and the Partnership's products and raw materials are commodities whose prices fluctuate as market supply and demand fundamentals change. Accordingly, the Predecessor's product margins and level of profitability tended to fluctuate with changes in the business cycle, and the Predecessor tried to protect against such instability through various business strategies. These strategies included ethylene feedstock flexibility and the use of derivative instruments in certain instances to reduce price volatility risk on feedstocks. In connection with the IPO, Westlake retained the Predecessor's open derivative positions. As of December 31, 2015 and December 31, 2014, we had no open commodity derivative positions. Additional information concerning derivative commodity instruments appears in Notes 15 and 16 to the consolidated and combined financial statements within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are exposed to interest rate risk with respect to our outstanding debt, all of which is variable rate debt. At December 31, 2015, our variable rate debt totaled $384.0 million, all of which was owed to a wholly owned subsidiary of Westlake, $31.8 million of which accrues interest at a variable rate of prime plus 150 basis points, $216.9 million of which accrues interest at a variable rate of LIBOR plus 300 basis points and the remaining $135 million of which accrues interest at a variable rate of LIBOR plus 200 basis points. Historically, neither the Partnership nor the Predecessor engaged in hedging of variable rate debt. During August 2015, the Partnership entered into an interest rate contract with Westlake to fix the LIBOR component of the interest rate for a portion of the debt. The weighted average variable interest rate of our debt, excluding the effectively fixed rate portion through the interest rate contract, was 3.24% as of December 31, 2015. We will continue to be subject to interest rate risk with respect to our variable rate debt as well as the risk of higher interest cost if and when this debt is refinanced. A hypothetical increase in our average interest rate on variable rate debt (excluding the effectively fixed rate debt portion through the interest rate contract) by 100 basis points would increase our annual interest expense by approximately $3.1 million, based on the December 31, 2015 debt balance.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Index to Consolidated and Combined Financial Statements</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0240" w:type="dxa"/>
            <w:vAlign w:val="bottom"/>
          </w:tcPr>
          <w:p>
            <w:pPr>
              <w:spacing w:after="0"/>
              <w:rPr>
                <w:sz w:val="16"/>
                <w:szCs w:val="16"/>
                <w:color w:val="auto"/>
              </w:rPr>
            </w:pPr>
          </w:p>
        </w:tc>
        <w:tc>
          <w:tcPr>
            <w:tcW w:w="1140" w:type="dxa"/>
            <w:vAlign w:val="bottom"/>
          </w:tcPr>
          <w:p>
            <w:pPr>
              <w:jc w:val="right"/>
              <w:ind w:right="332"/>
              <w:spacing w:after="0"/>
              <w:rPr>
                <w:sz w:val="20"/>
                <w:szCs w:val="20"/>
                <w:color w:val="auto"/>
              </w:rPr>
            </w:pPr>
            <w:r>
              <w:rPr>
                <w:rFonts w:ascii="Arial" w:cs="Arial" w:eastAsia="Arial" w:hAnsi="Arial"/>
                <w:sz w:val="14"/>
                <w:szCs w:val="14"/>
                <w:b w:val="1"/>
                <w:bCs w:val="1"/>
                <w:color w:val="auto"/>
              </w:rPr>
              <w:t>Page</w:t>
            </w:r>
          </w:p>
        </w:tc>
      </w:tr>
      <w:tr>
        <w:trPr>
          <w:trHeight w:val="80"/>
        </w:trPr>
        <w:tc>
          <w:tcPr>
            <w:tcW w:w="1024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372"/>
        </w:trPr>
        <w:tc>
          <w:tcPr>
            <w:tcW w:w="10240" w:type="dxa"/>
            <w:vAlign w:val="bottom"/>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114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44</w:t>
              </w:r>
            </w:hyperlink>
          </w:p>
        </w:tc>
      </w:tr>
      <w:tr>
        <w:trPr>
          <w:trHeight w:val="270"/>
        </w:trPr>
        <w:tc>
          <w:tcPr>
            <w:tcW w:w="10240" w:type="dxa"/>
            <w:vAlign w:val="bottom"/>
          </w:tcPr>
          <w:p>
            <w:pPr>
              <w:spacing w:after="0"/>
              <w:rPr>
                <w:rFonts w:ascii="Arial" w:cs="Arial" w:eastAsia="Arial" w:hAnsi="Arial"/>
                <w:sz w:val="18"/>
                <w:szCs w:val="18"/>
                <w:color w:val="auto"/>
              </w:rPr>
            </w:pPr>
            <w:hyperlink w:anchor="page48">
              <w:r>
                <w:rPr>
                  <w:rFonts w:ascii="Arial" w:cs="Arial" w:eastAsia="Arial" w:hAnsi="Arial"/>
                  <w:sz w:val="18"/>
                  <w:szCs w:val="18"/>
                  <w:color w:val="auto"/>
                </w:rPr>
                <w:t>Report of Independent Registered Public Accounting Firm</w:t>
              </w:r>
            </w:hyperlink>
          </w:p>
        </w:tc>
        <w:tc>
          <w:tcPr>
            <w:tcW w:w="114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r>
      <w:tr>
        <w:trPr>
          <w:trHeight w:val="270"/>
        </w:trPr>
        <w:tc>
          <w:tcPr>
            <w:tcW w:w="10240" w:type="dxa"/>
            <w:vAlign w:val="bottom"/>
          </w:tcPr>
          <w:p>
            <w:pPr>
              <w:spacing w:after="0"/>
              <w:rPr>
                <w:rFonts w:ascii="Arial" w:cs="Arial" w:eastAsia="Arial" w:hAnsi="Arial"/>
                <w:sz w:val="18"/>
                <w:szCs w:val="18"/>
                <w:color w:val="auto"/>
              </w:rPr>
            </w:pPr>
            <w:r>
              <w:rPr>
                <w:rFonts w:ascii="Arial" w:cs="Arial" w:eastAsia="Arial" w:hAnsi="Arial"/>
                <w:sz w:val="18"/>
                <w:szCs w:val="18"/>
                <w:color w:val="auto"/>
              </w:rPr>
              <w:t xml:space="preserve">Consolidated and Combined </w:t>
            </w:r>
            <w:hyperlink w:anchor="page49">
              <w:r>
                <w:rPr>
                  <w:rFonts w:ascii="Arial" w:cs="Arial" w:eastAsia="Arial" w:hAnsi="Arial"/>
                  <w:sz w:val="18"/>
                  <w:szCs w:val="18"/>
                  <w:color w:val="auto"/>
                </w:rPr>
                <w:t>Financial Statements:</w:t>
              </w:r>
            </w:hyperlink>
          </w:p>
        </w:tc>
        <w:tc>
          <w:tcPr>
            <w:tcW w:w="1140" w:type="dxa"/>
            <w:vAlign w:val="bottom"/>
          </w:tcPr>
          <w:p>
            <w:pPr>
              <w:spacing w:after="0"/>
              <w:rPr>
                <w:sz w:val="23"/>
                <w:szCs w:val="23"/>
                <w:color w:val="auto"/>
              </w:rPr>
            </w:pPr>
          </w:p>
        </w:tc>
      </w:tr>
      <w:tr>
        <w:trPr>
          <w:trHeight w:val="270"/>
        </w:trPr>
        <w:tc>
          <w:tcPr>
            <w:tcW w:w="10240" w:type="dxa"/>
            <w:vAlign w:val="bottom"/>
          </w:tcPr>
          <w:p>
            <w:pPr>
              <w:ind w:left="340"/>
              <w:spacing w:after="0"/>
              <w:rPr>
                <w:rFonts w:ascii="Arial" w:cs="Arial" w:eastAsia="Arial" w:hAnsi="Arial"/>
                <w:sz w:val="18"/>
                <w:szCs w:val="18"/>
                <w:color w:val="auto"/>
              </w:rPr>
            </w:pPr>
            <w:hyperlink w:anchor="page50">
              <w:r>
                <w:rPr>
                  <w:rFonts w:ascii="Arial" w:cs="Arial" w:eastAsia="Arial" w:hAnsi="Arial"/>
                  <w:sz w:val="18"/>
                  <w:szCs w:val="18"/>
                  <w:color w:val="auto"/>
                </w:rPr>
                <w:t>Consolidated Balance Sheets as of December 31, 2015 and 2014</w:t>
              </w:r>
            </w:hyperlink>
          </w:p>
        </w:tc>
        <w:tc>
          <w:tcPr>
            <w:tcW w:w="11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46</w:t>
              </w:r>
            </w:hyperlink>
          </w:p>
        </w:tc>
      </w:tr>
      <w:tr>
        <w:trPr>
          <w:trHeight w:val="256"/>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and Combined Statements of Operations for the Years Ended December 31, 2015, 2014 and</w:t>
            </w:r>
          </w:p>
        </w:tc>
        <w:tc>
          <w:tcPr>
            <w:tcW w:w="11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r>
      <w:tr>
        <w:trPr>
          <w:trHeight w:val="230"/>
        </w:trPr>
        <w:tc>
          <w:tcPr>
            <w:tcW w:w="10240" w:type="dxa"/>
            <w:vAlign w:val="bottom"/>
          </w:tcPr>
          <w:p>
            <w:pPr>
              <w:ind w:left="480"/>
              <w:spacing w:after="0"/>
              <w:rPr>
                <w:sz w:val="20"/>
                <w:szCs w:val="20"/>
                <w:color w:val="auto"/>
              </w:rPr>
            </w:pPr>
            <w:r>
              <w:rPr>
                <w:rFonts w:ascii="Arial" w:cs="Arial" w:eastAsia="Arial" w:hAnsi="Arial"/>
                <w:sz w:val="18"/>
                <w:szCs w:val="18"/>
                <w:color w:val="auto"/>
              </w:rPr>
              <w:t>2013</w:t>
            </w:r>
          </w:p>
        </w:tc>
        <w:tc>
          <w:tcPr>
            <w:tcW w:w="1140" w:type="dxa"/>
            <w:vAlign w:val="bottom"/>
          </w:tcPr>
          <w:p>
            <w:pPr>
              <w:spacing w:after="0"/>
              <w:rPr>
                <w:sz w:val="20"/>
                <w:szCs w:val="20"/>
                <w:color w:val="auto"/>
              </w:rPr>
            </w:pPr>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 of Comprehensive Income for the Year Ended December 31, 2015</w:t>
            </w:r>
          </w:p>
        </w:tc>
        <w:tc>
          <w:tcPr>
            <w:tcW w:w="114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48</w:t>
              </w:r>
            </w:hyperlink>
          </w:p>
        </w:tc>
      </w:tr>
      <w:tr>
        <w:trPr>
          <w:trHeight w:val="256"/>
        </w:trPr>
        <w:tc>
          <w:tcPr>
            <w:tcW w:w="10240" w:type="dxa"/>
            <w:vAlign w:val="bottom"/>
          </w:tcPr>
          <w:p>
            <w:pPr>
              <w:ind w:left="340"/>
              <w:spacing w:after="0"/>
              <w:rPr>
                <w:rFonts w:ascii="Arial" w:cs="Arial" w:eastAsia="Arial" w:hAnsi="Arial"/>
                <w:sz w:val="18"/>
                <w:szCs w:val="18"/>
                <w:color w:val="auto"/>
              </w:rPr>
            </w:pPr>
            <w:r>
              <w:rPr>
                <w:rFonts w:ascii="Arial" w:cs="Arial" w:eastAsia="Arial" w:hAnsi="Arial"/>
                <w:sz w:val="18"/>
                <w:szCs w:val="18"/>
                <w:color w:val="auto"/>
              </w:rPr>
              <w:t xml:space="preserve">Consolidated and Combined Statements of Changes in Equity </w:t>
            </w:r>
            <w:hyperlink w:anchor="page52">
              <w:r>
                <w:rPr>
                  <w:rFonts w:ascii="Arial" w:cs="Arial" w:eastAsia="Arial" w:hAnsi="Arial"/>
                  <w:sz w:val="18"/>
                  <w:szCs w:val="18"/>
                  <w:color w:val="auto"/>
                </w:rPr>
                <w:t xml:space="preserve">for the Years Ended </w:t>
              </w:r>
            </w:hyperlink>
            <w:r>
              <w:rPr>
                <w:rFonts w:ascii="Arial" w:cs="Arial" w:eastAsia="Arial" w:hAnsi="Arial"/>
                <w:sz w:val="18"/>
                <w:szCs w:val="18"/>
                <w:color w:val="auto"/>
              </w:rPr>
              <w:t>December 31, 2015, 2014</w:t>
            </w:r>
          </w:p>
        </w:tc>
        <w:tc>
          <w:tcPr>
            <w:tcW w:w="11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49</w:t>
              </w:r>
            </w:hyperlink>
          </w:p>
        </w:tc>
      </w:tr>
      <w:tr>
        <w:trPr>
          <w:trHeight w:val="230"/>
        </w:trPr>
        <w:tc>
          <w:tcPr>
            <w:tcW w:w="10240" w:type="dxa"/>
            <w:vAlign w:val="bottom"/>
          </w:tcPr>
          <w:p>
            <w:pPr>
              <w:ind w:left="480"/>
              <w:spacing w:after="0"/>
              <w:rPr>
                <w:sz w:val="20"/>
                <w:szCs w:val="20"/>
                <w:color w:val="auto"/>
              </w:rPr>
            </w:pPr>
            <w:r>
              <w:rPr>
                <w:rFonts w:ascii="Arial" w:cs="Arial" w:eastAsia="Arial" w:hAnsi="Arial"/>
                <w:sz w:val="18"/>
                <w:szCs w:val="18"/>
                <w:color w:val="auto"/>
              </w:rPr>
              <w:t>and 2013</w:t>
            </w:r>
          </w:p>
        </w:tc>
        <w:tc>
          <w:tcPr>
            <w:tcW w:w="1140" w:type="dxa"/>
            <w:vAlign w:val="bottom"/>
          </w:tcPr>
          <w:p>
            <w:pPr>
              <w:spacing w:after="0"/>
              <w:rPr>
                <w:sz w:val="20"/>
                <w:szCs w:val="20"/>
                <w:color w:val="auto"/>
              </w:rPr>
            </w:pPr>
          </w:p>
        </w:tc>
      </w:tr>
      <w:tr>
        <w:trPr>
          <w:trHeight w:val="256"/>
        </w:trPr>
        <w:tc>
          <w:tcPr>
            <w:tcW w:w="10240" w:type="dxa"/>
            <w:vAlign w:val="bottom"/>
          </w:tcPr>
          <w:p>
            <w:pPr>
              <w:ind w:left="340"/>
              <w:spacing w:after="0"/>
              <w:rPr>
                <w:rFonts w:ascii="Arial" w:cs="Arial" w:eastAsia="Arial" w:hAnsi="Arial"/>
                <w:sz w:val="18"/>
                <w:szCs w:val="18"/>
                <w:color w:val="auto"/>
              </w:rPr>
            </w:pPr>
            <w:r>
              <w:rPr>
                <w:rFonts w:ascii="Arial" w:cs="Arial" w:eastAsia="Arial" w:hAnsi="Arial"/>
                <w:sz w:val="18"/>
                <w:szCs w:val="18"/>
                <w:color w:val="auto"/>
              </w:rPr>
              <w:t xml:space="preserve">Consolidated and Combined </w:t>
            </w:r>
            <w:hyperlink w:anchor="page53">
              <w:r>
                <w:rPr>
                  <w:rFonts w:ascii="Arial" w:cs="Arial" w:eastAsia="Arial" w:hAnsi="Arial"/>
                  <w:sz w:val="18"/>
                  <w:szCs w:val="18"/>
                  <w:color w:val="auto"/>
                </w:rPr>
                <w:t xml:space="preserve">Statements of Cash Flows for the Years Ended </w:t>
              </w:r>
            </w:hyperlink>
            <w:r>
              <w:rPr>
                <w:rFonts w:ascii="Arial" w:cs="Arial" w:eastAsia="Arial" w:hAnsi="Arial"/>
                <w:sz w:val="18"/>
                <w:szCs w:val="18"/>
                <w:color w:val="auto"/>
              </w:rPr>
              <w:t>December 31, 2015, 2014 and</w:t>
            </w:r>
          </w:p>
        </w:tc>
        <w:tc>
          <w:tcPr>
            <w:tcW w:w="114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50</w:t>
              </w:r>
            </w:hyperlink>
          </w:p>
        </w:tc>
      </w:tr>
      <w:tr>
        <w:trPr>
          <w:trHeight w:val="230"/>
        </w:trPr>
        <w:tc>
          <w:tcPr>
            <w:tcW w:w="10240" w:type="dxa"/>
            <w:vAlign w:val="bottom"/>
          </w:tcPr>
          <w:p>
            <w:pPr>
              <w:ind w:left="480"/>
              <w:spacing w:after="0"/>
              <w:rPr>
                <w:sz w:val="20"/>
                <w:szCs w:val="20"/>
                <w:color w:val="auto"/>
              </w:rPr>
            </w:pPr>
            <w:r>
              <w:rPr>
                <w:rFonts w:ascii="Arial" w:cs="Arial" w:eastAsia="Arial" w:hAnsi="Arial"/>
                <w:sz w:val="18"/>
                <w:szCs w:val="18"/>
                <w:color w:val="auto"/>
              </w:rPr>
              <w:t>2013</w:t>
            </w:r>
          </w:p>
        </w:tc>
        <w:tc>
          <w:tcPr>
            <w:tcW w:w="1140" w:type="dxa"/>
            <w:vAlign w:val="bottom"/>
          </w:tcPr>
          <w:p>
            <w:pPr>
              <w:spacing w:after="0"/>
              <w:rPr>
                <w:sz w:val="20"/>
                <w:szCs w:val="20"/>
                <w:color w:val="auto"/>
              </w:rPr>
            </w:pPr>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Notes to Consolidated and Combined Financial Statements</w:t>
            </w:r>
          </w:p>
        </w:tc>
        <w:tc>
          <w:tcPr>
            <w:tcW w:w="114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51</w:t>
              </w:r>
            </w:hyperlink>
          </w:p>
        </w:tc>
      </w:tr>
      <w:tr>
        <w:trPr>
          <w:trHeight w:val="270"/>
        </w:trPr>
        <w:tc>
          <w:tcPr>
            <w:tcW w:w="10240" w:type="dxa"/>
            <w:vAlign w:val="bottom"/>
          </w:tcPr>
          <w:p>
            <w:pPr>
              <w:spacing w:after="0"/>
              <w:rPr>
                <w:sz w:val="20"/>
                <w:szCs w:val="20"/>
                <w:color w:val="auto"/>
              </w:rPr>
            </w:pPr>
            <w:r>
              <w:rPr>
                <w:rFonts w:ascii="Arial" w:cs="Arial" w:eastAsia="Arial" w:hAnsi="Arial"/>
                <w:sz w:val="18"/>
                <w:szCs w:val="18"/>
                <w:color w:val="auto"/>
              </w:rPr>
              <w:t>Financial Statement Schedule II—Valuation and Qualifying Accounts</w:t>
            </w:r>
          </w:p>
        </w:tc>
        <w:tc>
          <w:tcPr>
            <w:tcW w:w="114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88</w:t>
              </w:r>
            </w:hyperlink>
          </w:p>
        </w:tc>
      </w:tr>
    </w:tbl>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Financial statement schedules not included in this Form 10-K have been omitted because they are not applicable or because the required information is shown in the consolidated and combined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management of Westlake Chemical Partners LP (the "Partnership") is responsible for establishing and maintaining adequate internal control over financial reporting. The Partnership's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9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 xml:space="preserve">The management of the Partnership assessed the effectiveness of the Partnership's internal control over financial reporting as of December 31, 2015. In making this assessment, management used the criteria set forth by the Committee of Sponsoring Organizations of the Treadway Commission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(2013). Based on its assessment, Partnership's management has concluded that the Partnership's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 as of December 31, 2015 based on those criteria.</w:t>
      </w:r>
    </w:p>
    <w:p>
      <w:pPr>
        <w:spacing w:after="0" w:line="133"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PricewaterhouseCoopers LLP, the independent registered public accounting firm that audited the financial statements included in this Annual Report on Form 10-K, has also audited the effectiveness of internal control over financial reporting as of December 31, 2015 as stated in their report that appears on the following page.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 Westlake Chemical Partners LP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Westlake Chemical Partners GP LLC:</w:t>
      </w:r>
    </w:p>
    <w:p>
      <w:pPr>
        <w:spacing w:after="0" w:line="238"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In our opinion, the accompanying balance sheets and the related statements of operations, comprehensive income, changes in equity, and cash flows present fairly, in all material respects, the financial position of Westlake Chemical Partners LP and its subsidiaries at December 31, 2015 and 2014, and the results of their operations and their cash flows for each of the three years in the period ended December 31, 2015 in conformity with accounting principles generally accepted in the United States of America. In addition, in our opinion, the financial statement schedule listed in the index appearing under Item 15(a)</w:t>
      </w:r>
    </w:p>
    <w:p>
      <w:pPr>
        <w:spacing w:after="0" w:line="2" w:lineRule="exact"/>
        <w:rPr>
          <w:sz w:val="20"/>
          <w:szCs w:val="20"/>
          <w:color w:val="auto"/>
        </w:rPr>
      </w:pPr>
    </w:p>
    <w:p>
      <w:pPr>
        <w:ind w:right="100" w:firstLine="8"/>
        <w:spacing w:after="0" w:line="284"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presents fairly, in all material respects, the information set forth therein when read in conjunction with the related consolidated financial statements. Also in our opinion, the Partnership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Partnership's management is 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on the financial statement schedule, and on the Partnership’s internal control over financial reporting based on our audits (which was an integrated audit in 2015).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3"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2016</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2" w:right="27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74"/>
        </w:trPr>
        <w:tc>
          <w:tcPr>
            <w:tcW w:w="8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6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(in thousands of dollars,</w:t>
            </w:r>
          </w:p>
        </w:tc>
      </w:tr>
      <w:tr>
        <w:trPr>
          <w:trHeight w:val="192"/>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except unit amounts)</w:t>
            </w:r>
          </w:p>
        </w:tc>
      </w:tr>
      <w:tr>
        <w:trPr>
          <w:trHeight w:val="256"/>
        </w:trPr>
        <w:tc>
          <w:tcPr>
            <w:tcW w:w="85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169,559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133,750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 net—Westlake Chemical Corporation ("Westlake")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39,655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18,529</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net—third parties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37,520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6,634</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225,287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196,645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1,020,469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842,057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charges and other assets,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38,779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51,919</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assets, net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57,733</w:t>
            </w:r>
          </w:p>
        </w:tc>
      </w:tr>
      <w:tr>
        <w:trPr>
          <w:trHeight w:val="297"/>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1,290,349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1,096,435</w:t>
            </w:r>
          </w:p>
        </w:tc>
      </w:tr>
      <w:tr>
        <w:trPr>
          <w:trHeight w:val="237"/>
        </w:trPr>
        <w:tc>
          <w:tcPr>
            <w:tcW w:w="85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payable—Westlake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payable—third parties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18,737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12,614</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11,900</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57,694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31,984</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384,006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227,638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1,848</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443,182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261,485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9 and 19)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jc w:val="center"/>
              <w:ind w:right="1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unitholders—public (12,937,500 units issued 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294,565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290,377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Common unitholder—Westlake (1,436,115 units issued and outstanding)</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4,502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4,038</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Subordinated unitholder—Westlake (12,686,115 units issued 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35,681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General partner—Westlake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(242,572)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(242,572)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Westlake Chemical Partners LP partners' capital</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96,561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87,524</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750,606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747,426</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847,167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834,950</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1,290,349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1,096,435</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and combined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7"/>
        </w:trPr>
        <w:tc>
          <w:tcPr>
            <w:tcW w:w="7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233"/>
              <w:spacing w:after="0"/>
              <w:rPr>
                <w:sz w:val="20"/>
                <w:szCs w:val="20"/>
                <w:color w:val="auto"/>
              </w:rPr>
            </w:pPr>
            <w:r>
              <w:rPr>
                <w:rFonts w:ascii="Arial" w:cs="Arial" w:eastAsia="Arial" w:hAnsi="Arial"/>
                <w:sz w:val="14"/>
                <w:szCs w:val="14"/>
                <w:b w:val="1"/>
                <w:bCs w:val="1"/>
                <w:i w:val="1"/>
                <w:iCs w:val="1"/>
                <w:color w:val="auto"/>
                <w:w w:val="95"/>
              </w:rPr>
              <w:t>Predecessor</w:t>
            </w:r>
          </w:p>
        </w:tc>
        <w:tc>
          <w:tcPr>
            <w:tcW w:w="0" w:type="dxa"/>
            <w:vAlign w:val="bottom"/>
          </w:tcPr>
          <w:p>
            <w:pPr>
              <w:spacing w:after="0"/>
              <w:rPr>
                <w:sz w:val="1"/>
                <w:szCs w:val="1"/>
                <w:color w:val="auto"/>
              </w:rPr>
            </w:pPr>
          </w:p>
        </w:tc>
      </w:tr>
      <w:tr>
        <w:trPr>
          <w:trHeight w:val="327"/>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 of dollars,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40" w:type="dxa"/>
            <w:vAlign w:val="bottom"/>
            <w:gridSpan w:val="9"/>
          </w:tcPr>
          <w:p>
            <w:pPr>
              <w:jc w:val="center"/>
              <w:ind w:right="173"/>
              <w:spacing w:after="0"/>
              <w:rPr>
                <w:sz w:val="20"/>
                <w:szCs w:val="20"/>
                <w:color w:val="auto"/>
              </w:rPr>
            </w:pPr>
            <w:r>
              <w:rPr>
                <w:rFonts w:ascii="Arial" w:cs="Arial" w:eastAsia="Arial" w:hAnsi="Arial"/>
                <w:sz w:val="14"/>
                <w:szCs w:val="14"/>
                <w:b w:val="1"/>
                <w:bCs w:val="1"/>
                <w:color w:val="auto"/>
                <w:w w:val="92"/>
              </w:rPr>
              <w:t>except unit amounts and per unit data)</w:t>
            </w: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834,918</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1,292,089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1,603,043</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co-products, ethylene and feedstock sales—third parties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172,303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457,611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524,704</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1,007,221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1,749,700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2,127,747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624,339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1,003,888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1,255,140</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382,882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745,812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872,607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23,550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29,256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25,451</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359,332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716,556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847,156</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(10,499)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(8,032)</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7,701</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354,525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709,208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846,825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199,388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300,279</w:t>
            </w:r>
          </w:p>
        </w:tc>
        <w:tc>
          <w:tcPr>
            <w:tcW w:w="0" w:type="dxa"/>
            <w:vAlign w:val="bottom"/>
          </w:tcPr>
          <w:p>
            <w:pPr>
              <w:spacing w:after="0"/>
              <w:rPr>
                <w:sz w:val="1"/>
                <w:szCs w:val="1"/>
                <w:color w:val="auto"/>
              </w:rPr>
            </w:pPr>
          </w:p>
        </w:tc>
      </w:tr>
      <w:tr>
        <w:trPr>
          <w:trHeight w:val="297"/>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tcPr>
          <w:p>
            <w:pPr>
              <w:jc w:val="right"/>
              <w:ind w:right="12"/>
              <w:spacing w:after="0"/>
              <w:rPr>
                <w:sz w:val="20"/>
                <w:szCs w:val="20"/>
                <w:color w:val="auto"/>
              </w:rPr>
            </w:pPr>
            <w:r>
              <w:rPr>
                <w:rFonts w:ascii="Arial" w:cs="Arial" w:eastAsia="Arial" w:hAnsi="Arial"/>
                <w:sz w:val="18"/>
                <w:szCs w:val="18"/>
                <w:color w:val="auto"/>
              </w:rPr>
              <w:t>353,853</w:t>
            </w:r>
          </w:p>
        </w:tc>
        <w:tc>
          <w:tcPr>
            <w:tcW w:w="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509,820</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546,546</w:t>
            </w:r>
          </w:p>
        </w:tc>
        <w:tc>
          <w:tcPr>
            <w:tcW w:w="0" w:type="dxa"/>
            <w:vAlign w:val="bottom"/>
          </w:tcPr>
          <w:p>
            <w:pPr>
              <w:spacing w:after="0"/>
              <w:rPr>
                <w:sz w:val="1"/>
                <w:szCs w:val="1"/>
                <w:color w:val="auto"/>
              </w:rPr>
            </w:pPr>
          </w:p>
        </w:tc>
      </w:tr>
      <w:tr>
        <w:trPr>
          <w:trHeight w:val="189"/>
        </w:trPr>
        <w:tc>
          <w:tcPr>
            <w:tcW w:w="71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Less: Predecessor net income prior to initial public offering on</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August 4, 2014</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361,334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Net income subsequent to initial public offering</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353,853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148,486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 in OpCo</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314,022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134,909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71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 Partners LP subsequent</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b w:val="1"/>
                <w:bCs w:val="1"/>
                <w:color w:val="auto"/>
              </w:rPr>
              <w:t>39,831</w:t>
            </w:r>
          </w:p>
        </w:tc>
        <w:tc>
          <w:tcPr>
            <w:tcW w:w="2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b w:val="1"/>
                <w:bCs w:val="1"/>
                <w:color w:val="auto"/>
              </w:rPr>
              <w:t>13,577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 initial public offering and limited partners' interest in net income</w:t>
            </w:r>
          </w:p>
        </w:tc>
        <w:tc>
          <w:tcPr>
            <w:tcW w:w="2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attributable to Westlake Chemical Partners LP subsequent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 initial public offering per limited partner unit (basic and diluted)</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1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Common units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Subordinated units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4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limited partner units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units—public</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12,937,500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12,937,500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Common units—Westlake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1,436,115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1,436,115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units—Westlake</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12,686,115</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12,686,115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and combined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ind w:left="4040"/>
              <w:spacing w:after="0"/>
              <w:rPr>
                <w:sz w:val="20"/>
                <w:szCs w:val="20"/>
                <w:color w:val="auto"/>
              </w:rPr>
            </w:pPr>
            <w:r>
              <w:rPr>
                <w:rFonts w:ascii="Arial" w:cs="Arial" w:eastAsia="Arial" w:hAnsi="Arial"/>
                <w:sz w:val="18"/>
                <w:szCs w:val="18"/>
                <w:b w:val="1"/>
                <w:bCs w:val="1"/>
                <w:color w:val="auto"/>
              </w:rPr>
              <w:t>WESTLAKE CHEMICAL PARTNERS LP</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10060" w:type="dxa"/>
            <w:vAlign w:val="bottom"/>
          </w:tcPr>
          <w:p>
            <w:pPr>
              <w:ind w:left="3040"/>
              <w:spacing w:after="0"/>
              <w:rPr>
                <w:sz w:val="20"/>
                <w:szCs w:val="20"/>
                <w:color w:val="auto"/>
              </w:rPr>
            </w:pPr>
            <w:r>
              <w:rPr>
                <w:rFonts w:ascii="Arial" w:cs="Arial" w:eastAsia="Arial" w:hAnsi="Arial"/>
                <w:sz w:val="18"/>
                <w:szCs w:val="18"/>
                <w:b w:val="1"/>
                <w:bCs w:val="1"/>
                <w:color w:val="auto"/>
              </w:rPr>
              <w:t>CONSOLIDATED STATEMENT OF COMPREHENSIVE INCOME</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8"/>
        </w:trPr>
        <w:tc>
          <w:tcPr>
            <w:tcW w:w="10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Year Ended</w:t>
            </w:r>
          </w:p>
        </w:tc>
      </w:tr>
      <w:tr>
        <w:trPr>
          <w:trHeight w:val="192"/>
        </w:trPr>
        <w:tc>
          <w:tcPr>
            <w:tcW w:w="10060" w:type="dxa"/>
            <w:vAlign w:val="bottom"/>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2015</w:t>
            </w:r>
          </w:p>
        </w:tc>
      </w:tr>
      <w:tr>
        <w:trPr>
          <w:trHeight w:val="274"/>
        </w:trPr>
        <w:tc>
          <w:tcPr>
            <w:tcW w:w="10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(in thousands of</w:t>
            </w:r>
          </w:p>
        </w:tc>
      </w:tr>
      <w:tr>
        <w:trPr>
          <w:trHeight w:val="192"/>
        </w:trPr>
        <w:tc>
          <w:tcPr>
            <w:tcW w:w="10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dollars)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353,853</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Interest rate contract:</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Adjustments in fair value of cash flow hedge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w:t>
            </w:r>
          </w:p>
        </w:tc>
      </w:tr>
      <w:tr>
        <w:trPr>
          <w:trHeight w:val="243"/>
        </w:trPr>
        <w:tc>
          <w:tcPr>
            <w:tcW w:w="10060" w:type="dxa"/>
            <w:vAlign w:val="bottom"/>
          </w:tcPr>
          <w:p>
            <w:pPr>
              <w:ind w:left="500"/>
              <w:spacing w:after="0"/>
              <w:rPr>
                <w:sz w:val="20"/>
                <w:szCs w:val="20"/>
                <w:color w:val="auto"/>
              </w:rPr>
            </w:pPr>
            <w:r>
              <w:rPr>
                <w:rFonts w:ascii="Arial" w:cs="Arial" w:eastAsia="Arial" w:hAnsi="Arial"/>
                <w:sz w:val="18"/>
                <w:szCs w:val="18"/>
                <w:color w:val="auto"/>
              </w:rPr>
              <w:t>Reclassification of losses to net income</w:t>
            </w: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195</w:t>
            </w:r>
          </w:p>
        </w:tc>
      </w:tr>
      <w:tr>
        <w:trPr>
          <w:trHeight w:val="27"/>
        </w:trPr>
        <w:tc>
          <w:tcPr>
            <w:tcW w:w="10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354,133</w:t>
            </w: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10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Comprehensive income attributable to noncontrolling interest in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100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OpCo</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314,022</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Comprehensive income attributable to Westlake Chemical Partners LP</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40,111</w:t>
            </w: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and combined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AND COMBINED STATEMENTS OF CHANGES IN EQUITY</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85"/>
              </w:rPr>
              <w:t>Predecessor</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9"/>
              </w:rPr>
              <w:t>Partnership</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14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Subordinated</w:t>
            </w: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General</w:t>
            </w:r>
          </w:p>
        </w:tc>
        <w:tc>
          <w:tcPr>
            <w:tcW w:w="1120" w:type="dxa"/>
            <w:vAlign w:val="bottom"/>
            <w:tcBorders>
              <w:top w:val="single" w:sz="8" w:color="auto"/>
            </w:tcBorders>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1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1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Unitholders -</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Unitholder -</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Unitholder -</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Partner -</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9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2"/>
                <w:szCs w:val="12"/>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0"/>
              </w:rPr>
              <w:t>Public</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8"/>
              </w:rPr>
              <w:t>Westlake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in OpCo</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5"/>
          </w:tcPr>
          <w:p>
            <w:pPr>
              <w:ind w:left="220"/>
              <w:spacing w:after="0"/>
              <w:rPr>
                <w:sz w:val="20"/>
                <w:szCs w:val="20"/>
                <w:color w:val="auto"/>
              </w:rPr>
            </w:pPr>
            <w:r>
              <w:rPr>
                <w:rFonts w:ascii="Arial" w:cs="Arial" w:eastAsia="Arial" w:hAnsi="Arial"/>
                <w:sz w:val="14"/>
                <w:szCs w:val="14"/>
                <w:b w:val="1"/>
                <w:bCs w:val="1"/>
                <w:color w:val="auto"/>
              </w:rPr>
              <w:t>(in thousands of dollars)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273,812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273,812</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Contribution of debt payable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0"/>
              <w:spacing w:after="0"/>
              <w:rPr>
                <w:sz w:val="20"/>
                <w:szCs w:val="20"/>
                <w:color w:val="auto"/>
              </w:rPr>
            </w:pPr>
            <w:r>
              <w:rPr>
                <w:rFonts w:ascii="Arial" w:cs="Arial" w:eastAsia="Arial" w:hAnsi="Arial"/>
                <w:sz w:val="18"/>
                <w:szCs w:val="18"/>
                <w:color w:val="auto"/>
              </w:rPr>
              <w:t>to Westlake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60"/>
              <w:spacing w:after="0"/>
              <w:rPr>
                <w:sz w:val="20"/>
                <w:szCs w:val="20"/>
                <w:color w:val="auto"/>
              </w:rPr>
            </w:pPr>
            <w:r>
              <w:rPr>
                <w:rFonts w:ascii="Arial" w:cs="Arial" w:eastAsia="Arial" w:hAnsi="Arial"/>
                <w:sz w:val="18"/>
                <w:szCs w:val="18"/>
                <w:color w:val="auto"/>
              </w:rPr>
              <w:t>into net investment</w:t>
            </w:r>
          </w:p>
        </w:tc>
        <w:tc>
          <w:tcPr>
            <w:tcW w:w="1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238,600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238,600</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546,546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546,546</w:t>
            </w: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Net distributions to Westlake</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(603,526)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(603,526)</w:t>
            </w: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4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Balances at December 31,</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455,432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455,432</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Net income from January 1,</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0"/>
              <w:spacing w:after="0"/>
              <w:rPr>
                <w:sz w:val="20"/>
                <w:szCs w:val="20"/>
                <w:color w:val="auto"/>
              </w:rPr>
            </w:pPr>
            <w:r>
              <w:rPr>
                <w:rFonts w:ascii="Arial" w:cs="Arial" w:eastAsia="Arial" w:hAnsi="Arial"/>
                <w:sz w:val="18"/>
                <w:szCs w:val="18"/>
                <w:color w:val="auto"/>
              </w:rPr>
              <w:t>2014 through</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60"/>
              <w:spacing w:after="0"/>
              <w:rPr>
                <w:sz w:val="20"/>
                <w:szCs w:val="20"/>
                <w:color w:val="auto"/>
              </w:rPr>
            </w:pPr>
            <w:r>
              <w:rPr>
                <w:rFonts w:ascii="Arial" w:cs="Arial" w:eastAsia="Arial" w:hAnsi="Arial"/>
                <w:sz w:val="18"/>
                <w:szCs w:val="18"/>
                <w:color w:val="auto"/>
              </w:rPr>
              <w:t>August 3, 2014</w:t>
            </w:r>
          </w:p>
        </w:tc>
        <w:tc>
          <w:tcPr>
            <w:tcW w:w="1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361,334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361,334</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distributions to Westlake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to</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initial public offering</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(448,101)</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Predecessor net liabilities not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0"/>
              <w:spacing w:after="0"/>
              <w:rPr>
                <w:sz w:val="20"/>
                <w:szCs w:val="20"/>
                <w:color w:val="auto"/>
              </w:rPr>
            </w:pPr>
            <w:r>
              <w:rPr>
                <w:rFonts w:ascii="Arial" w:cs="Arial" w:eastAsia="Arial" w:hAnsi="Arial"/>
                <w:sz w:val="18"/>
                <w:szCs w:val="18"/>
                <w:color w:val="auto"/>
              </w:rPr>
              <w:t>assumed by</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60"/>
              <w:spacing w:after="0"/>
              <w:rPr>
                <w:sz w:val="20"/>
                <w:szCs w:val="20"/>
                <w:color w:val="auto"/>
              </w:rPr>
            </w:pPr>
            <w:r>
              <w:rPr>
                <w:rFonts w:ascii="Arial" w:cs="Arial" w:eastAsia="Arial" w:hAnsi="Arial"/>
                <w:sz w:val="18"/>
                <w:szCs w:val="18"/>
                <w:color w:val="auto"/>
              </w:rPr>
              <w:t>OpCo</w:t>
            </w:r>
          </w:p>
        </w:tc>
        <w:tc>
          <w:tcPr>
            <w:tcW w:w="1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239,706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239,706</w:t>
            </w: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August 4, 2014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to</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initial public offering)</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608,371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608,371</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Allocation of net investment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to unitholders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(608,371)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31,479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573,329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initial public</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offering,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of finance and other offering</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286,088</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Distribution to the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60"/>
              <w:spacing w:after="0"/>
              <w:rPr>
                <w:sz w:val="20"/>
                <w:szCs w:val="20"/>
                <w:color w:val="auto"/>
              </w:rPr>
            </w:pPr>
            <w:r>
              <w:rPr>
                <w:rFonts w:ascii="Arial" w:cs="Arial" w:eastAsia="Arial" w:hAnsi="Arial"/>
                <w:sz w:val="18"/>
                <w:szCs w:val="18"/>
                <w:color w:val="auto"/>
              </w:rPr>
              <w:t>in OpCo</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(151,729)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(151,729)</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Purchase of additional interest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 OpCo</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242,572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6,364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134,909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148,486</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 to</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unitholders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Quarterly distribution to</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0"/>
              <w:spacing w:after="0"/>
              <w:rPr>
                <w:sz w:val="20"/>
                <w:szCs w:val="20"/>
                <w:color w:val="auto"/>
              </w:rPr>
            </w:pPr>
            <w:r>
              <w:rPr>
                <w:rFonts w:ascii="Arial" w:cs="Arial" w:eastAsia="Arial" w:hAnsi="Arial"/>
                <w:sz w:val="18"/>
                <w:szCs w:val="18"/>
                <w:color w:val="auto"/>
              </w:rPr>
              <w:t>noncontrolling</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60"/>
              <w:spacing w:after="0"/>
              <w:rPr>
                <w:sz w:val="20"/>
                <w:szCs w:val="20"/>
                <w:color w:val="auto"/>
              </w:rPr>
            </w:pPr>
            <w:r>
              <w:rPr>
                <w:rFonts w:ascii="Arial" w:cs="Arial" w:eastAsia="Arial" w:hAnsi="Arial"/>
                <w:sz w:val="18"/>
                <w:szCs w:val="18"/>
                <w:color w:val="auto"/>
                <w:w w:val="99"/>
              </w:rPr>
              <w:t>interest retained in OpCo by</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Westlake</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(51,655)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(51,655)</w:t>
            </w: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4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Balances at December 31,</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290,377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747,426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834,950</w:t>
            </w: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19,044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18,673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314,022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353,853</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effect of cash flow hedge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Quarterly distributions to</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unitholders</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(31,074)</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distributions to</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interest retained in OpCo by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Westlake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(310,842)</w:t>
            </w:r>
          </w:p>
        </w:tc>
        <w:tc>
          <w:tcPr>
            <w:tcW w:w="0" w:type="dxa"/>
            <w:vAlign w:val="bottom"/>
          </w:tcPr>
          <w:p>
            <w:pPr>
              <w:spacing w:after="0"/>
              <w:rPr>
                <w:sz w:val="1"/>
                <w:szCs w:val="1"/>
                <w:color w:val="auto"/>
              </w:rPr>
            </w:pPr>
          </w:p>
        </w:tc>
      </w:tr>
      <w:tr>
        <w:trPr>
          <w:trHeight w:val="205"/>
        </w:trPr>
        <w:tc>
          <w:tcPr>
            <w:tcW w:w="240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Balances at December 31,</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294,565</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39,786</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(242,572)</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750,606</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847,167</w:t>
            </w:r>
          </w:p>
        </w:tc>
        <w:tc>
          <w:tcPr>
            <w:tcW w:w="0" w:type="dxa"/>
            <w:vAlign w:val="bottom"/>
          </w:tcPr>
          <w:p>
            <w:pPr>
              <w:spacing w:after="0"/>
              <w:rPr>
                <w:sz w:val="1"/>
                <w:szCs w:val="1"/>
                <w:color w:val="auto"/>
              </w:rPr>
            </w:pPr>
          </w:p>
        </w:tc>
      </w:tr>
      <w:tr>
        <w:trPr>
          <w:trHeight w:val="246"/>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and combined financial statements.</w:t>
      </w:r>
    </w:p>
    <w:p>
      <w:pPr>
        <w:sectPr>
          <w:pgSz w:w="11900" w:h="16838" w:orient="portrait"/>
          <w:cols w:equalWidth="0" w:num="1">
            <w:col w:w="11400"/>
          </w:cols>
          <w:pgMar w:left="240" w:top="122" w:right="259" w:bottom="582"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122" w:right="259" w:bottom="582" w:gutter="0" w:footer="0" w:header="0"/>
          <w:type w:val="continuous"/>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17"/>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231"/>
              <w:spacing w:after="0"/>
              <w:rPr>
                <w:sz w:val="20"/>
                <w:szCs w:val="20"/>
                <w:color w:val="auto"/>
              </w:rPr>
            </w:pPr>
            <w:r>
              <w:rPr>
                <w:rFonts w:ascii="Arial" w:cs="Arial" w:eastAsia="Arial" w:hAnsi="Arial"/>
                <w:sz w:val="14"/>
                <w:szCs w:val="14"/>
                <w:b w:val="1"/>
                <w:bCs w:val="1"/>
                <w:i w:val="1"/>
                <w:iCs w:val="1"/>
                <w:color w:val="auto"/>
                <w:w w:val="95"/>
              </w:rPr>
              <w:t>Predecessor</w:t>
            </w:r>
          </w:p>
        </w:tc>
      </w:tr>
      <w:tr>
        <w:trPr>
          <w:trHeight w:val="438"/>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(in thousands of dollars)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353,853</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509,820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546,546</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81,210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77,611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73,463</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Loss from disposition of property, plant and equipment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1,905</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37,054</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Income from equity method investment, net of dividends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402</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Accounts receivable—third parties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25,424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14,352</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accounts receivable—Westlake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24,686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(6,057)</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7,362</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20,166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(20,852)</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8,588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(51,556)</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452,542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604,012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602,509</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(202,823)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(223,130)</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Settlements of derivative instruments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(6,920)</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(231,185)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(202,956)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(230,050)</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 payable to Westlake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291,709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181,642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231,067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Repayment of debt payable to Westlake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(135,341)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Quarterly distributions to noncontrolling interest retained in OpCo by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7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Westlake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(310,842)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(51,655)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Quarterly distributions to unitholders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Repayment of debt payable to Westlake with proceeds from the initial public</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(78,940)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proceeds from issuance of common units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286,088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initial public offering distributed to Westlake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(151,729)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distributions to Westlake prior to initial public offering</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(448,101)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(603,526)</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(185,548)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(267,306)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(372,459)</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35,809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133,750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the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133,750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100" w:type="dxa"/>
            <w:vAlign w:val="bottom"/>
          </w:tcPr>
          <w:p>
            <w:pPr>
              <w:ind w:left="40"/>
              <w:spacing w:after="0"/>
              <w:rPr>
                <w:sz w:val="20"/>
                <w:szCs w:val="20"/>
                <w:color w:val="auto"/>
              </w:rPr>
            </w:pPr>
            <w:r>
              <w:rPr>
                <w:rFonts w:ascii="Arial" w:cs="Arial" w:eastAsia="Arial" w:hAnsi="Arial"/>
                <w:sz w:val="18"/>
                <w:szCs w:val="18"/>
                <w:color w:val="auto"/>
              </w:rPr>
              <w:t>Cash and cash equivalents at end of the year</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169,559</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133,750</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and combined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CONSOLIDATED AND COMBINED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680" w:firstLine="8"/>
        <w:spacing w:after="0" w:line="346" w:lineRule="auto"/>
        <w:tabs>
          <w:tab w:leader="none" w:pos="1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Westlake Chemical Partners LP ("Westlake Chemical Partners LP" or the "Partnership") is a Delaware limited partnership formed in March 2014 to operate, acquire and develop facilities and related assets for the processing of natural gas liquids. On August 4, 2014, the Partnership completed an initial public offering (the "IPO") of 12,937,500 common units representing limited partner interests. In connection with the IPO, the Partnership acquired a 10.6% interest in Westlake Chemical OpCo LP ("OpCo") and a 100% interest in Westlake Chemical OpCo GP LLC ("OpCo GP"), which is the general partner of OpCo. On April 29, 2015, the Partnership purchased an additional 2.7% newly-issued limited partner interest in OpCo for approximately $135,341, resulting in an aggregate 13.3% limited partner interest in OpCo effective April 1, 2015. OpCo owns three natural gas liquids processing facilities and a common carrier ethylene pipeline (collectively, the "Contributed Assets").</w:t>
      </w:r>
    </w:p>
    <w:p>
      <w:pPr>
        <w:spacing w:after="0" w:line="12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References in these financial statements to the Partnership, OpCo and OpCo GP used in the present tense or prospectively refer to the period subsequent to the IPO. References in these financial statements to the "Predecessor" refer to Westlake Chemical Partners LP Predecessor, the Partnership's predecessor for accounting purposes and refer to the time periods prior to the IPO. References to "Westlake" refer collectively to Westlake Chemical Corporation and its subsidiaries, other than the Partnership, OpCo and OpCo GP.</w:t>
      </w:r>
    </w:p>
    <w:p>
      <w:pPr>
        <w:spacing w:after="0" w:line="133" w:lineRule="exact"/>
        <w:rPr>
          <w:sz w:val="20"/>
          <w:szCs w:val="20"/>
          <w:color w:val="auto"/>
        </w:rPr>
      </w:pPr>
    </w:p>
    <w:p>
      <w:pPr>
        <w:ind w:right="480" w:firstLine="405"/>
        <w:spacing w:after="0" w:line="342" w:lineRule="auto"/>
        <w:rPr>
          <w:sz w:val="20"/>
          <w:szCs w:val="20"/>
          <w:color w:val="auto"/>
        </w:rPr>
      </w:pPr>
      <w:r>
        <w:rPr>
          <w:rFonts w:ascii="Arial" w:cs="Arial" w:eastAsia="Arial" w:hAnsi="Arial"/>
          <w:sz w:val="16"/>
          <w:szCs w:val="16"/>
          <w:color w:val="auto"/>
        </w:rPr>
        <w:t>In connection with the IPO, OpCo and Westlake entered into an ethylene sales agreement (the "Ethylene Sales Agreement") pursuant to which the Partnership generates a substantial majority of its revenue. For more information, see Note 2 to the consolidated and combined financial statements.</w:t>
      </w:r>
    </w:p>
    <w:p>
      <w:pPr>
        <w:spacing w:after="0" w:line="70"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Partnership sells ethylene production in excess of volumes sold to Westlake, as well as all of the co-products resulting from the ethylene production, including propylene, crude butadiene, pyrolysis gasoline and hydrogen, directly to third parties on either a spot or contract basis. Co-products sold to third parties continue to be transported by rail or truck. Net proceeds (after transportation and other costs) from the sales of ethylene co-products that result from the production of ethylene purchased by Westlake are netted against the ethylene price charged to Westlake under the Ethylene Sales Agreement, thereby reducing the Partnership's exposure to fluctuations in the market prices of these co-products.</w:t>
      </w:r>
    </w:p>
    <w:p>
      <w:pPr>
        <w:spacing w:after="0" w:line="11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Partnership's operations consist of activities relating solely to the Contributed Assets. The Predecessor's operations consisted of the entire ethylene business of Westlake, including the activities of the Contributed Assets, as well as activities which were retained by Westlake. Ethylene business activities retained by Westlake include, but are not limited to, procuring feedstock, managing inventory and commodity risk and transporting ethylene from manufacturing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accompanying consolidated and combined financial statements have been prepared in conformity with the accounting principles generally accepted in the United States.</w:t>
      </w:r>
    </w:p>
    <w:p>
      <w:pPr>
        <w:spacing w:after="0" w:line="116"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Partnership holds a 13.3% limited partner interest and the entire non-economic general partner interest in OpCo. The remaining 86.7%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86.7% is recorded as noncontrolling interest in the Partnership's consolidated financial statements.</w:t>
      </w:r>
    </w:p>
    <w:p>
      <w:pPr>
        <w:spacing w:after="0" w:line="125" w:lineRule="exact"/>
        <w:rPr>
          <w:sz w:val="20"/>
          <w:szCs w:val="20"/>
          <w:color w:val="auto"/>
        </w:rPr>
      </w:pPr>
    </w:p>
    <w:p>
      <w:pPr>
        <w:jc w:val="both"/>
        <w:ind w:right="180" w:firstLine="405"/>
        <w:spacing w:after="0" w:line="312" w:lineRule="auto"/>
        <w:rPr>
          <w:sz w:val="20"/>
          <w:szCs w:val="20"/>
          <w:color w:val="auto"/>
        </w:rPr>
      </w:pPr>
      <w:r>
        <w:rPr>
          <w:rFonts w:ascii="Arial" w:cs="Arial" w:eastAsia="Arial" w:hAnsi="Arial"/>
          <w:sz w:val="16"/>
          <w:szCs w:val="16"/>
          <w:color w:val="auto"/>
        </w:rPr>
        <w:t>All financial information presented for the periods after the IPO represents the consolidated results of operations, financial position and cash flows of the Partnership. Financial information for the periods prior to the IPO represents the combined results of operations, financial position and cash flows of the Predecessor. The consolidated and combined financial statements for the years ended December 31, 2014 and 2013 were prepared as follows: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ind w:left="660" w:right="2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consolidated statement of operations for the year ended December 31, 2014 consists of the consolidated results of the Partnership for the period from August 4, 2014 through December 31, 2014 and the combined results of the Predecessor for the period from January 1, 2014 through August 3, 2014 and for the year ended December 31, 2013.</w:t>
      </w:r>
    </w:p>
    <w:p>
      <w:pPr>
        <w:spacing w:after="0" w:line="127"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consolidated statement of cash flows for the year ended December 31, 2014 consists of the consolidated results of the Partnership for the period from August 4, 2014 through December 31, 2014 and the combined results of the Predecessor for the period from January 1, 2014 through August 3, 2014 and for the year ended December 31, 2013.</w:t>
      </w:r>
    </w:p>
    <w:p>
      <w:pPr>
        <w:spacing w:after="0" w:line="127" w:lineRule="exact"/>
        <w:rPr>
          <w:rFonts w:ascii="Arial" w:cs="Arial" w:eastAsia="Arial" w:hAnsi="Arial"/>
          <w:sz w:val="18"/>
          <w:szCs w:val="18"/>
          <w:color w:val="auto"/>
        </w:rPr>
      </w:pPr>
    </w:p>
    <w:p>
      <w:pPr>
        <w:ind w:left="660" w:right="40" w:hanging="328"/>
        <w:spacing w:after="0" w:line="31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consolidated statement of changes in equity for the year ended December 31, 2014 consists of the combined activity for the Predecessor prior to August 4, 2014, and the consolidated activity for the Partnership at and subsequent to the IPO on August 4, 2014 through December 31, 2014. The combined statement of changes in equity for the year ended December 31, 2013 consists entirely of the combined activity of the Predecessor.</w:t>
      </w:r>
    </w:p>
    <w:p>
      <w:pPr>
        <w:spacing w:after="0" w:line="17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combined statements of operations for the periods before August 4, 2014 include expense allocations for certain functions historically performed by Westlake and allocated to the ethylene business, including allocations of general corporate expenses related to finance, legal, information technology, human resources, communications, ethics and compliance, shared services, employee benefits and incentives and stock-based compensation. These allocations were based primarily on direct usage, when identifiable, with the remainder allocated on the basis of fixed assets, headcount or other measures. Management believes the assumptions underlying the combined financial statements, including the assumptions regarding the allocation of expenses from Westlake, are reasonable and reflect all costs related to the operations of the Predecessor, including those incurred by Westlake on behalf of the Predecessor. Nevertheless, the combined financial statements may not include all of the expenses that would have been incurred had the Predecessor been a stand-alone company during the periods presented and may not reflect its results of operations, financial position and cash flows had the Predecessor been a stand-alone company during the periods presented.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Cash equivalents consist of highly liquid investments that are readily convertible into cash and have a maturity of three months or less at the date of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The determination of the allowance for doubtful accounts is based on estimation of the amount of accounts receivable that the Partnership believes are unlikely to be collected. Estimating this amount requires analysis of the financial strength of the Partnership's customers, the use of historical experience, the Partnership's accounts receivable aged trial balance and specific collectibility analysis. The allowance for doubtful accounts is reviewed quarterly. Past due balances over 90 days and high risk accounts, as determined by the analysis of financial strength of customers, are reviewed individually for collectibility.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Inventories primarily include product, material and supplies. Inventories are stated at the lower of cost or market. Cost is determined using the first-in, first-out ("FIFO") or average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Property, plant and equipment are carried at cost, net of accumulated depreciation. Cost includes expenditures for improvements and betterments that extend the useful lives of the assets and interest capitalized on significant capital projects.</w:t>
      </w:r>
    </w:p>
    <w:p>
      <w:pPr>
        <w:spacing w:after="0" w:line="116"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Interest expense is capitalized for qualifying assets under construction. Capitalized interest costs are included in property, plant and equipment and are depreciated over the useful life of the related asset. Capitalized interest was $5,116 for the year ended December 31, 2015 and $2,638 for the period from August 4, 2014 to December 31, 2014. Repair and maintenance costs are charged to operations as incurred. Gains and losses on the disposal or retirement of property, plant and equipment are reflected in the statement of operations when the assets are sold or retired.</w:t>
      </w:r>
    </w:p>
    <w:p>
      <w:pPr>
        <w:spacing w:after="0" w:line="11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accounting guidance for asset retirement obligations requires the recording of liabilities equal to the fair value of asset retirement obligations and corresponding additional asset costs, when there is a legal asset retirement obligation as a result of existing or enacted law, statute or contract. The Partnership has conditional asset retirement obligations for the removal and disposal of hazardous materials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have a material adverse effect on the Partnership's financial condition, results of operations or cash flows in any individual reporting period.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is provided by utilizing the straight-line method over the estimated useful lives of the assets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Classification</w:t>
            </w:r>
          </w:p>
        </w:tc>
        <w:tc>
          <w:tcPr>
            <w:tcW w:w="90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Years</w:t>
            </w:r>
          </w:p>
        </w:tc>
      </w:tr>
      <w:tr>
        <w:trPr>
          <w:trHeight w:val="371"/>
        </w:trPr>
        <w:tc>
          <w:tcPr>
            <w:tcW w:w="10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10380" w:type="dxa"/>
            <w:vAlign w:val="bottom"/>
            <w:gridSpan w:val="2"/>
          </w:tcPr>
          <w:p>
            <w:pPr>
              <w:ind w:left="40"/>
              <w:spacing w:after="0"/>
              <w:rPr>
                <w:sz w:val="20"/>
                <w:szCs w:val="20"/>
                <w:color w:val="auto"/>
              </w:rPr>
            </w:pPr>
            <w:r>
              <w:rPr>
                <w:rFonts w:ascii="Arial" w:cs="Arial" w:eastAsia="Arial" w:hAnsi="Arial"/>
                <w:sz w:val="18"/>
                <w:szCs w:val="18"/>
                <w:color w:val="auto"/>
              </w:rPr>
              <w:t>Plant and equipment</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138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0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Ethylene pipeline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103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3-10</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accounting guidance for the impairment or disposal of long-lived assets requires that the Partnership assess long-lived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United States and world economies and uncertainties associated with governmental actions. Long-lived assets assessed for impairment are grouped at the lowest level for which identifiable cash flows are largely independent of the cash flows of other assets and liabilities. Recoverability of assets to be held and used is measured by a comparison of the carrying amount of an asset to future net undiscounted cash flows expected to be generated by the asset. Assets are considered to be impaired if the carrying amount of an asset exceeds the future undiscounted cash flows. The impairment recognized is measured by the amount by which the carrying amount of the assets exceeds the fair value of the assets. Assets to be disposed of are reported at the lower of the carrying amount or estimated fair value less costs to sell.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90"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The accounting guidance for goodwill and intangible assets requires that goodwill and indefinite-lived intangible assets are tested for impairment at least annually. Other intangible assets with finite lives are amortized over their estimated useful life and reviewed for impairment in accordance with the provisions of the accounting guidance. As of December 31, 2015, the Partnership's recorded goodwill was $5,814. See Note 8 for more information on the Partnership's annual goodwill impairment test.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Turnaround Costs</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Partnership accounts for turnaround costs under the deferral method. Turnarounds are the scheduled and required shutdowns of specific operating units in order to perform planned major maintenance activities. The costs related to the significant overhaul and refurbishment activities include maintenance materials, parts and direct labor costs. The costs of the turnaround are deferred when incurred at the time of the turnaround and amortized (within depreciation and amortization) on a straight-line basis until the next planned turnaround, which ranges from three to six years. Deferred turnaround costs are presented as a component of other assets, net. The cash outflows related to these costs are included in operating activities in the consolidated statement of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Exchanges</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Partnership enters into inventory exchange transactions with respect to ethylene. These exchanges are settled in like-kind quantities and are valued at lower of cost or market. Cost is determined using the FIFO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Financial instruments which potentially subject the Partnership to concentration of risk consist principally of trade receivables from third-party customers who purchase ethylene and ethylene co-products. The Partnership performs periodic credit evaluations, as applicable, of the customers' financial condition and generally does not require collateral. The Partnership maintains allowances for potential losses, as applicable.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Revenue is recognized when persuasive evidence of an arrangement exists, products are delivered to the customer, the sales price is fixed or determinable, and collectibility is reasonably assured. Title and risk of loss passes to the customer upon delivery under executed customer purchase orders or contracts. Provisions for discounts, rebates and returns are provided for in the same period as the related sales are recorded.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Unit</w:t>
      </w:r>
    </w:p>
    <w:p>
      <w:pPr>
        <w:spacing w:after="0" w:line="9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accounting guidance for earnings per unit requires the Partnership to present basic earnings per unit and diluted earnings per unit. Net income per unit applicable to common limited partner units and to subordinated limited partner units is computed by dividing the respective limited partners' interest in net income by the weighted average number of common units, subordinated units and incentive distribution rights outstanding. Because the Partnership has more than one class of participating securities, it uses the two-class method when calculating the net income per unit applicable to limited partners. The classes of participating securities include common units and subordinated units. Diluted net income per limited partner unit is the same as basic net income per limited partner unit, as there were no potentially dilutive common or subordinated units outstanding as of December 31, 2015 and 2014. During the period presented prior to the IPO, the Predecessor was wholly owned by Westlake. Accordingly, the Predecessor has not presented net income per unit.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The accounting guidance for derivative instruments and hedging activities requires that the Partnership and the Predecessor recognize all derivative instruments on the balance sheet at fair value, and changes in the derivative's fair value must be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w:t>
      </w:r>
    </w:p>
    <w:p>
      <w:pPr>
        <w:spacing w:after="0" w:line="111"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The Predecessor utilized commodity derivative instruments to reduce price risks by purchasing or selling futures on established exchanges. The Predecessor took both fixed and variable positions, depending upon anticipated future physical purchases and sales of these commodities. The fair value of derivative financial instruments was estimated using quoted market prices in active markets and observable market-based inputs or unobservable inputs that were corroborated by market data when active markets were not available. The Predecessor assessed both counterparty as well as its own nonperformance risk when measuring the fair value of derivative liabilities. The Predecessor did not consider its nonperformance risk to be significant. The Partnership did not enter into any commodity derivative instruments since the date of the IPO on August 4, 2014. During 2015, the Partnership entered into an interest rate contract with Westlake designed to reduce the risks of variability of the interest rates under the MLP Revolver. The interest rate contract fixed the LIBOR component of the interest rate for a portion of the MLP Revolver balance and was designated as a cash flow hedge. During 2014 and 2013, the Predecessor had no cash flow hedges. See Note 15 for more information on the derivative instruments and Note 16 for a summary of the fair value of derivative instruments.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Costs</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Environmental costs relating to current operations are expensed or capitalized, as appropriate, depending on whether such costs provide future economic benefits. Remediation liabilities are recognized when the costs are considered probable and can be reasonably estimated. Measurement of liabilities is based on currently enacted laws and regulations, existing technology and undiscounted site-specific costs. Environmental liabilities in connection with properties that are sold or closed are realized upon such sale or closure, to the extent they are probable and estimable and not previously reserved. Recognition of any joint and several liabilities is based upon the Partnership's best estimate of its final pro rata share of the liability.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amounts reported in the consolidated balance sheets for cash and cash equivalents, accounts receivable, net and accounts payable approximate their fair value due to the short maturities of these instruments. The fair value of the Partnership's debt differs from the carrying value due to the long-term maturities of the debt. The fair value of the financial instruments is estimated using quoted market prices in active markets and observable market-based inputs or unobservable inputs that are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corroborated by market data when active markets are not available or unobservable inputs that are not corroborated by market data. See Note 16 for more information on the fair value of financial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Partnership is a limited partnership and is treated as a partnership for U.S. federal income tax purposes and, therefore, is not liable for entity-level federal income taxes. The Partnership is, however, subject to state and local income taxes. The Predecessor's operating results were included in Westlake's consolidated U.S. federal and state income tax returns. Amounts presented in the combined financial statements prior to the IPO relate to income taxes that have been determined on a separate tax return basis and the Predecessor's contribution to Westlake Chemical Corporation's net operating losses and tax credits have been included in the Predecessor's financial statements. The Predecessor utilized the liability method of accounting for deferred income taxes. Under the liability method, deferred tax assets or liabilities are recorded based upon temporary differences between the tax basis of assets and liabilities and their carrying values for financial reporting purposes. Deferred tax expense or benefit is the result of changes in the deferred tax assets and liabilities during the period. Valuation allowances were recorded against deferred tax assets when it was considered more likely than not that the deferred tax assets will not be realized on a separate tax return basis.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Partnership accounts for segment reporting in accordance with the Financial Accounting Standards Board guidance, which establishes standards for entities to report information about the operating segments and geographic areas in which they operate. The Partnership only operates one segment (natural gas liquids processing) and all of its operations are located in the United States.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revenues and expenses, and the disclosure of contingent assets and liabilities.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w:t>
      </w:r>
    </w:p>
    <w:p>
      <w:pPr>
        <w:spacing w:after="0" w:line="90"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In the consolidated and combined statements of changes in equity, net investment represents Westlake's historical investment in the Predecessor, its accumulated net earnings after taxes and the net effect of transactions with, and allocations from, Westlake.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other assets (see Note 8) are amortized over periods ranging from five to 15 years using the straight-line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The Partnership has reported no comprehensive income for the years ended December 31, 2014 and 2013 due to the absence of items of other comprehensive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Initial Public Offering and Purchase of Additional Interests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90" w:lineRule="exact"/>
        <w:rPr>
          <w:sz w:val="20"/>
          <w:szCs w:val="20"/>
          <w:color w:val="auto"/>
        </w:rPr>
      </w:pPr>
    </w:p>
    <w:p>
      <w:pPr>
        <w:ind w:right="400" w:firstLine="432"/>
        <w:spacing w:after="0" w:line="312" w:lineRule="auto"/>
        <w:rPr>
          <w:sz w:val="20"/>
          <w:szCs w:val="20"/>
          <w:color w:val="auto"/>
        </w:rPr>
      </w:pPr>
      <w:r>
        <w:rPr>
          <w:rFonts w:ascii="Arial" w:cs="Arial" w:eastAsia="Arial" w:hAnsi="Arial"/>
          <w:sz w:val="16"/>
          <w:szCs w:val="16"/>
          <w:color w:val="auto"/>
        </w:rPr>
        <w:t>On July 30, 2014, the Partnership's common units began trading on the New York Stock Exchange under the ticker symbol "WLKP." On August 4, 2014, the Partnership completed the IPO of 12,937,500 common units at a price to the public of $24.00 per unit ($22.53 per unit net of underwriting discount), including 1,687,500 common units that were issued pursuant to the exercise in full of the underwriters' over-allotment option.</w:t>
      </w:r>
    </w:p>
    <w:p>
      <w:pPr>
        <w:spacing w:after="0" w:line="93"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In connection with the IPO, in exchange for Westlake's contribution of a 5.8% limited partner interest in OpCo and OpCo's general partner interest to the Partnership, Westlake received:</w:t>
      </w:r>
    </w:p>
    <w:p>
      <w:pPr>
        <w:spacing w:after="0" w:line="3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1,436,115 common units and 12,686,115 subordinated units;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Partnership's general partner interest and its incentive distribution rights.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Partnership received net proceeds of $286,088 from the IPO, net of underwriting discounts, structuring fees and offering expenses of approximately $24,412. The Partnership used the net proceeds from the IPO to purchase an additional 4.8% limited partner interest in OpCo, resulting in the Partnership owning a 10.6% limited partner interest in OpCo. The Partnership recorded the incremental 4.8% limited partner interest in OpCo at its historical carrying value of $43,516 and the excess cash paid over historical carrying value of $242,572 as a decrease to the General partner—Westlake capital account.</w:t>
      </w:r>
    </w:p>
    <w:p>
      <w:pPr>
        <w:spacing w:after="0" w:line="10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From the period beginning August 4, 2012 to July 31, 2013, Westlake incurred approximately $151,729 in capital expenditures (the "Pre-August 2013 Capex") with respect to the assets contributed to OpCo. The portion of these capital expenditures incurred before January 1, 2013 was accounted for as an adjustment to Net investment, as it was funded through equity. The portion of the capital expenditures incurred from January 1, 2013 through July 31, 2013 was accounted for as a liability and is reflected as such on the Predecessor's combined financial statements, and the associated liability was retained by Westlake in connection with the IPO. During the period from August 1, 2013 through August 3, 2014, Westlake funded capital expenditures of $246,056 related to the Contributed Assets under the terms of the August 2013 Promissory Notes. At the close of the IPO, the outstanding balance of the August 2013 Promissory Notes was $246,056.</w:t>
      </w:r>
    </w:p>
    <w:p>
      <w:pPr>
        <w:spacing w:after="0" w:line="135"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OpCo used the $286,088 it received from the Partnership in exchange for a 4.8% limited partner interest in OpCo to (1) establish a $55,419 turnaround reserve, (2) reimburse Westlake $151,729 for the Pre-August 2013 Capex, and (3) repay $78,940 of the August 2013 Promissory Notes assumed by OpCo. Immediately after the repayment, the outstanding indebtedness payable to Westlake under the August 2013 Promissory Notes was $167,116.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Westlake and Related Parties</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agreements described below became effective on August 4, 2014, concurrent with the closing of the IPO.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OpCo entered into a 12-year ethylene sales agreement with Westlake (the "Ethylene Sales Agreement"). The Ethylene Sales Agreement requires Westlake to purchase a minimum volume of ethylene each year equal to 95% of OpCo's planned ethylene production per year (the "Minimum Commitment"), subject to certain exceptions and a maximum commitment of 3.8 billion pounds per year. So long as Westlake is not in default under the Ethylene Sales Agreement, if OpCo's actual production exceeds planned production, Westlake has the option to purchase up to 95% of the excess production (the "Excess Production Option").</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fee for each pound of ethylene purchased by Westlake from OpCo up to the Minimum Commitment in any calendar year will equal:</w:t>
      </w:r>
    </w:p>
    <w:p>
      <w:pPr>
        <w:spacing w:after="0" w:line="90" w:lineRule="exact"/>
        <w:rPr>
          <w:sz w:val="20"/>
          <w:szCs w:val="20"/>
          <w:color w:val="auto"/>
        </w:rPr>
      </w:pPr>
    </w:p>
    <w:p>
      <w:pPr>
        <w:ind w:left="660" w:right="440" w:hanging="328"/>
        <w:spacing w:after="0" w:line="334"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actual price OpCo pays Westlake to purchase ethane (or other feedstock, such as propane, if applicable) to produce each pound of ethylene, subject to a specified cap and a floor on the amount of feedstock that should be needed to produce each pound of ethylene; plus</w:t>
      </w:r>
    </w:p>
    <w:p>
      <w:pPr>
        <w:spacing w:after="0" w:line="1"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actual price OpCo pays Westlake to purchase natural gas to produce each pound of ethylene, subject to a specified cap and a floor on the amount of natural gas that should be needed to produce each pound of ethylene; plus</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OpCo's estimated operating costs (including selling, general and administrative expenses), divided by OpCo's planned ethylene production for the year (in pounds); plus</w:t>
      </w:r>
    </w:p>
    <w:p>
      <w:pPr>
        <w:spacing w:after="0" w:line="3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five-year average of OpCo's expected future maintenance capital expenditures and other turnaround expenditures, divided by OpCo's planned ethylene production capacity for the year (in pounds); less</w:t>
      </w:r>
    </w:p>
    <w:p>
      <w:pPr>
        <w:spacing w:after="0" w:line="35" w:lineRule="exact"/>
        <w:rPr>
          <w:rFonts w:ascii="Arial" w:cs="Arial" w:eastAsia="Arial" w:hAnsi="Arial"/>
          <w:sz w:val="18"/>
          <w:szCs w:val="18"/>
          <w:color w:val="auto"/>
        </w:rPr>
      </w:pPr>
    </w:p>
    <w:p>
      <w:pPr>
        <w:ind w:left="660" w:right="50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proceeds (on a per pound of ethylene basis) received by OpCo from the sale of co-products (including, but not limited to, propylene, crude butadiene, pyrolysis gasoline and hydrogen) associated with producing the ethylene purchased by Westlake; plus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$0.10 per pound margin.</w:t>
      </w:r>
    </w:p>
    <w:p>
      <w:pPr>
        <w:spacing w:after="0" w:line="17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fee for the Excess Production Option, if exercised, equals OpCo's estimated variable operating costs of producing the incremental ethylene, net of revenues from co-products sales plus a $0.10 per pound margin.</w:t>
      </w:r>
    </w:p>
    <w:p>
      <w:pPr>
        <w:spacing w:after="0" w:line="11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estimated operating costs and the expected future maintenance capital expenditures and other turnaround expenditures will be adjusted at the end of each year, to be applicable for the fee for the next calendar year, to reflect certain changes in forecasted costs.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2" w:right="25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result of the fee structure is that OpCo should recover the portion of its total operating costs and maintenance capital expenditures and other turnaround expenditures corresponding to the portion of OpCo's aggregate production that is purchased by Westlake. Any shortfall in recovery of such costs is recognized during the current year and is recoverable from Westlake in the subsequent year.</w:t>
      </w:r>
    </w:p>
    <w:p>
      <w:pPr>
        <w:spacing w:after="0" w:line="12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Ethylene Sales Agreement has an initial term extending until December 31, 2026 and automatically renews thereafter for successive 12-month terms unless terminated.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right="360" w:firstLine="432"/>
        <w:spacing w:after="0" w:line="297" w:lineRule="auto"/>
        <w:rPr>
          <w:sz w:val="20"/>
          <w:szCs w:val="20"/>
          <w:color w:val="auto"/>
        </w:rPr>
      </w:pPr>
      <w:r>
        <w:rPr>
          <w:rFonts w:ascii="Arial" w:cs="Arial" w:eastAsia="Arial" w:hAnsi="Arial"/>
          <w:sz w:val="16"/>
          <w:szCs w:val="16"/>
          <w:color w:val="auto"/>
        </w:rPr>
        <w:t>OpCo entered into a feedstock supply agreement with Westlake, pursuant to which Westlake agreed to sell to OpCo ethane and other feedstock in amounts sufficient for OpCo to produce the ethylene to be sold under the Ethylene Sales Agreement (the "Feedstock Supply Agreement"). The Feedstock Supply Agreement provides that OpCo may obtain feedstock from Westlake based on Westlake's total cost of purchasing and delivering the feedstock, including applicable transportation, storage and other costs. Title and risk of loss for all feedstock purchased by OpCo through the Feedstock Supply Agreement passes to OpCo upon delivery to one of three delivery points described in the Feedstock Supply Agreement.</w:t>
      </w:r>
    </w:p>
    <w:p>
      <w:pPr>
        <w:spacing w:after="0" w:line="104"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Feedstock Supply Agreement has an initial term extending until December 31, 2026 and automatically renews thereafter for successive 12-month terms unless terminated by either party; provided, however, that such agreement can only be renewed in the event the Ethylene Sales Agreement is renewed simultaneously. The Feedstock Supply Agreement may, in certain circumstances, terminate concurrently with the termination of the Ethylene Sales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OpCo entered into a Services and Secondment Agreement with Westlake, pursuant to which OpCo provides Westlake with certain services required for the operation of Westlake's facilities; and Westlake provides OpCo with comprehensive operating services for OpCo's facilities, ranging from services relating to the maintenance and operations of the common facilities necessary for the operation of OpCo's units, to making available certain shared utilities such as electricity and natural gas that are necessary for the operation of OpCo's units. Westlake also seconds employees to OpCo to allow OpCo to operate its facilities. Such seconded employees will be under the control of OpCo while they work on OpCo's facilities.</w:t>
      </w:r>
    </w:p>
    <w:p>
      <w:pPr>
        <w:spacing w:after="0" w:line="11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Services and Secondment Agreement has an initial 12-year term. The Services and Secondment Agreement may be renewed thereafter upon agreement of the parties and shall automatically terminate if the Ethylene Sales Agreement terminates under certain circumstances. Westlake and OpCo each can terminate the Services and Secondment Agreement under certain circumstances, including if the other party materially defaults on the performance of its obligations and such default continues for a 30-day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0"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OpCo entered into two site lease agreements with Westlake pursuant to which Westlake leases to OpCo the real property underlying Lake Charles Olefins and Calvert City Olefins, respectively, and grants OpCo rights to access and use certain other portions of Westlake's natural gas liquids processing facilities that are necessary to operate OpCo's production facilities. OpCo owes Westlake one dollar per site per year. The site lease agreements each have a term of 50 years. Each of the site lease agreements may be renewed if agreed by the parties.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Partnership entered into an Omnibus Agreement with Westlake that addresses (1) Westlake's indemnification of the Partnership for certain matters, including environmental and tax matters, (2) the provision by Westlake of certain management and other general and administrative services to the Partnership and its general partner and (3) the Partnership's reimbursement to Westlake for such services. The Omnibus Agreement also addresses Westlake's right of first refusal on any proposed transfer of the natural gas liquids processing facilities that serve Westlake's other facilities and Westlake's right of first refusal on any proposed transfer of the Partnership's equity interests in OpCo.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Additional Interests in OpCo</w:t>
      </w:r>
    </w:p>
    <w:p>
      <w:pPr>
        <w:spacing w:after="0" w:line="9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On April 29, 2015, the Partnership purchased an additional 2.7% newly-issued limited partner interest in OpCo for approximately $135.3 million, resulting in an aggregate 13.3% limited partner interest in OpCo effective April 1, 2015. In order to fund this purchase, the Partnership entered into a revolving credit facility with a total borrowing capacity of $300.0 million with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subsidiary of Westlake. Westlake owns the remaining 86.7% limited partner interest in OpCo, which is recorded as noncontrolling interest in the 2015 consolidated financial statements.</w:t>
      </w:r>
    </w:p>
    <w:p>
      <w:pPr>
        <w:spacing w:after="0" w:line="193" w:lineRule="exact"/>
        <w:rPr>
          <w:sz w:val="20"/>
          <w:szCs w:val="20"/>
          <w:color w:val="auto"/>
        </w:rPr>
      </w:pPr>
    </w:p>
    <w:p>
      <w:pPr>
        <w:jc w:val="both"/>
        <w:ind w:right="8400" w:firstLine="8"/>
        <w:spacing w:after="0" w:line="416" w:lineRule="auto"/>
        <w:tabs>
          <w:tab w:leader="none" w:pos="180"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Recent Accounting Pronouncements </w:t>
      </w:r>
      <w:r>
        <w:rPr>
          <w:rFonts w:ascii="Arial" w:cs="Arial" w:eastAsia="Arial" w:hAnsi="Arial"/>
          <w:sz w:val="15"/>
          <w:szCs w:val="15"/>
          <w:b w:val="1"/>
          <w:bCs w:val="1"/>
          <w:i w:val="1"/>
          <w:iCs w:val="1"/>
          <w:color w:val="auto"/>
        </w:rPr>
        <w:t>Revenue from Contracts with Customers</w:t>
      </w:r>
    </w:p>
    <w:p>
      <w:pPr>
        <w:ind w:right="40" w:firstLine="405"/>
        <w:spacing w:after="0" w:line="269" w:lineRule="auto"/>
        <w:rPr>
          <w:sz w:val="20"/>
          <w:szCs w:val="20"/>
          <w:color w:val="auto"/>
        </w:rPr>
      </w:pPr>
      <w:r>
        <w:rPr>
          <w:rFonts w:ascii="Arial" w:cs="Arial" w:eastAsia="Arial" w:hAnsi="Arial"/>
          <w:sz w:val="17"/>
          <w:szCs w:val="17"/>
          <w:color w:val="auto"/>
        </w:rPr>
        <w:t>In May 2014, the Financial Accounting Standards Board ("FASB") issued an accounting standards update on a comprehensive new revenue recognition standard that will supersede the existing revenue recognition guidance. The new accounting guidance creates a framework by which an entity will allocate the transaction price to separate performance obligations and recognize revenue when each performance obligation is satisfied. Under the new standard, entities will be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either "full retrospective" adoption, meaning that the standard is applied to all of the periods presented with a cumulative catch-up as of the earliest period presented, or "modified retrospective" adoption, meaning the standard is applied only to the most current period presented in the financial statements with a cumulative catch-up as of the current period. In July 2015, the FASB deferred the effective date for the revenue recognition standard. The accounting standard will now be effective for reporting periods beginning after December 15, 2017. The Partnership is in the process of evaluating the impact that the new accounting guidance will have on its consolidated financial position,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Simplifying Income Statement Presentation by Eliminating the Concept of Extraordinary Items</w:t>
      </w:r>
    </w:p>
    <w:p>
      <w:pPr>
        <w:spacing w:after="0" w:line="9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In January 2015, the FASB issued an accounting standards update to simplify income statement classification by removing the concept of extraordinary items from U.S. GAAP. Under the new standard, an unusual and infrequent event or transaction is no longer allowed to be separately disclosed as "extraordinary." The standard retains the existing requirement to separately present items that are of an unusual nature or occur infrequently on a pre-tax basis within income from continuing operations. The new guidance also requires similar separate presentation of items that are both unusual and infrequent on a pre-tax basis within income from continuing operations. The standard allows for either prospective or retrospective application. If adopted prospectively, both the nature and amount of any subsequent adjustments to previously reported extraordinary items must be disclosed. The accounting standard will be effective for reporting periods beginning after December 15, 2015 and is not expected to have an impact on the Partnership's consolidated financial position, results of operations and cash flows.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the Consolidation Analysis</w:t>
      </w:r>
    </w:p>
    <w:p>
      <w:pPr>
        <w:spacing w:after="0" w:line="90"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In February 2015, the FASB issued an accounting standards update making certain changes to the current consolidation guidance. The amendments affect both the variable interest entity and voting interest entity consolidation models. The new standard changes the consideration of substantive rights; related party interests and fees paid to the decision maker when applying the variable interest entity consolidation model and eliminate certain guidance for limited partnerships and similar entities under the voting interest consolidation model. The accounting standard will be effective for reporting periods beginning after December 15, 2015 and is not expected to have an impact on the Partnership's consolidated financial position, results of operations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on Historical Earnings per Unit of Master Limited Partnership Dropdown Transactions</w:t>
      </w:r>
    </w:p>
    <w:p>
      <w:pPr>
        <w:spacing w:after="0" w:line="90" w:lineRule="exact"/>
        <w:rPr>
          <w:sz w:val="20"/>
          <w:szCs w:val="20"/>
          <w:color w:val="auto"/>
        </w:rPr>
      </w:pPr>
    </w:p>
    <w:p>
      <w:pPr>
        <w:jc w:val="both"/>
        <w:ind w:right="180" w:firstLine="405"/>
        <w:spacing w:after="0" w:line="302" w:lineRule="auto"/>
        <w:rPr>
          <w:sz w:val="20"/>
          <w:szCs w:val="20"/>
          <w:color w:val="auto"/>
        </w:rPr>
      </w:pPr>
      <w:r>
        <w:rPr>
          <w:rFonts w:ascii="Arial" w:cs="Arial" w:eastAsia="Arial" w:hAnsi="Arial"/>
          <w:sz w:val="16"/>
          <w:szCs w:val="16"/>
          <w:color w:val="auto"/>
        </w:rPr>
        <w:t>In April 2015, the FASB issued an accounting standard update requiring that the earnings of transferred net assets from a general partner prior to the dropdown date of the net assets to a master limited partnership be allocated entirely to the general partner when calculating earnings per unit under the two class method. As a result, previously reported earnings per unit of the limited partners will not change as a result of a dropdown transaction. The accounting standard will be effective for reporting periods and interim periods within those reporting periods beginning after December 15,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Simplifying the Measurement of Inventory</w:t>
      </w:r>
    </w:p>
    <w:p>
      <w:pPr>
        <w:spacing w:after="0" w:line="90" w:lineRule="exact"/>
        <w:rPr>
          <w:sz w:val="20"/>
          <w:szCs w:val="20"/>
          <w:color w:val="auto"/>
        </w:rPr>
      </w:pPr>
    </w:p>
    <w:p>
      <w:pPr>
        <w:ind w:right="360" w:firstLine="405"/>
        <w:spacing w:after="0" w:line="257" w:lineRule="auto"/>
        <w:rPr>
          <w:sz w:val="20"/>
          <w:szCs w:val="20"/>
          <w:color w:val="auto"/>
        </w:rPr>
      </w:pPr>
      <w:r>
        <w:rPr>
          <w:rFonts w:ascii="Arial" w:cs="Arial" w:eastAsia="Arial" w:hAnsi="Arial"/>
          <w:sz w:val="18"/>
          <w:szCs w:val="18"/>
          <w:color w:val="auto"/>
        </w:rPr>
        <w:t>In July 2015, the FASB issued an accounting standards update that requires entities to measure inventory at the lower of cost or net realizable value rather than at the lower of cost or market. Net realizable value is the estimated selling price in the ordinary course of business, less reasonably predictable costs of completion, disposal and transportation. Under the new standard, entities will no longer need to calculate other measures of "market." The new accounting guidance applies only to inventories for which cost is determined by methods other than last-in first-out and the retail inventory method. The accounting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standard will be effective for reporting periods beginning after December 15, 2016 and is not expected to have a significant impact on the Partnership's consolidated financial position, results of operations and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Classification of Deferred Taxes</w:t>
      </w:r>
    </w:p>
    <w:p>
      <w:pPr>
        <w:spacing w:after="0" w:line="90"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In November 2015, the FASB issued an accounting standards update that requires that all deferred tax assets and liabilities, along with any related valuation allowance, be classified as noncurrent on the balance sheet. As a result, each jurisdiction will now only have one net noncurrent deferred tax asset or liability. The new guidance does not change the existing requirement that only permits offsetting within a jurisdiction. The accounting standard will be effective for reporting periods beginning after December 15, 2016 and is not expected to have an impact on the Partnership's consolidated financial position, results of operations and cash flows. Early adoption is permitted for all entities as of the beginning of an interim or annual reporting period.</w:t>
      </w:r>
    </w:p>
    <w:p>
      <w:pPr>
        <w:spacing w:after="0" w:line="181" w:lineRule="exact"/>
        <w:rPr>
          <w:sz w:val="20"/>
          <w:szCs w:val="20"/>
          <w:color w:val="auto"/>
        </w:rPr>
      </w:pPr>
    </w:p>
    <w:p>
      <w:pPr>
        <w:ind w:right="9520" w:firstLine="8"/>
        <w:spacing w:after="0" w:line="390" w:lineRule="auto"/>
        <w:tabs>
          <w:tab w:leader="none" w:pos="18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b w:val="1"/>
          <w:bCs w:val="1"/>
          <w:i w:val="1"/>
          <w:iCs w:val="1"/>
          <w:color w:val="auto"/>
        </w:rPr>
        <w:t>Cash Equivalents</w:t>
      </w:r>
    </w:p>
    <w:p>
      <w:pPr>
        <w:ind w:right="60" w:firstLine="405"/>
        <w:spacing w:after="0" w:line="264" w:lineRule="auto"/>
        <w:rPr>
          <w:sz w:val="20"/>
          <w:szCs w:val="20"/>
          <w:color w:val="auto"/>
        </w:rPr>
      </w:pPr>
      <w:r>
        <w:rPr>
          <w:rFonts w:ascii="Arial" w:cs="Arial" w:eastAsia="Arial" w:hAnsi="Arial"/>
          <w:sz w:val="18"/>
          <w:szCs w:val="18"/>
          <w:color w:val="auto"/>
        </w:rPr>
        <w:t>The Partnership had $150,031 and $40,003 of held-to-maturity securities with original maturities of three months or less, primarily consisting of corporate debt securities, classified as cash equivalents at December 31, 2015 and December 31, 2014, respectively. The Partnership's investments in held-to-maturity securities are held at amortized cost, which approximates fair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tcPr>
          <w:p>
            <w:pPr>
              <w:spacing w:after="0"/>
              <w:rPr>
                <w:sz w:val="22"/>
                <w:szCs w:val="22"/>
                <w:color w:val="auto"/>
              </w:rPr>
            </w:pPr>
          </w:p>
        </w:tc>
        <w:tc>
          <w:tcPr>
            <w:tcW w:w="40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4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12,097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37,514</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37,514</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Other</w:t>
            </w:r>
          </w:p>
        </w:tc>
        <w:tc>
          <w:tcPr>
            <w:tcW w:w="4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4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11,927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37,520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Inventories</w:t>
            </w:r>
          </w:p>
        </w:tc>
        <w:tc>
          <w:tcPr>
            <w:tcW w:w="4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40" w:type="dxa"/>
            <w:vAlign w:val="bottom"/>
            <w:vMerge w:val="continue"/>
          </w:tcPr>
          <w:p>
            <w:pPr>
              <w:spacing w:after="0"/>
              <w:rPr>
                <w:sz w:val="24"/>
                <w:szCs w:val="24"/>
                <w:color w:val="auto"/>
              </w:rPr>
            </w:pPr>
          </w:p>
        </w:tc>
        <w:tc>
          <w:tcPr>
            <w:tcW w:w="4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40" w:type="dxa"/>
            <w:vAlign w:val="bottom"/>
          </w:tcPr>
          <w:p>
            <w:pPr>
              <w:ind w:left="440"/>
              <w:spacing w:after="0"/>
              <w:rPr>
                <w:sz w:val="20"/>
                <w:szCs w:val="20"/>
                <w:color w:val="auto"/>
              </w:rPr>
            </w:pPr>
            <w:r>
              <w:rPr>
                <w:rFonts w:ascii="Arial" w:cs="Arial" w:eastAsia="Arial" w:hAnsi="Arial"/>
                <w:sz w:val="18"/>
                <w:szCs w:val="18"/>
                <w:color w:val="auto"/>
              </w:rPr>
              <w:t>Inventories consist of the following:</w:t>
            </w:r>
          </w:p>
        </w:tc>
        <w:tc>
          <w:tcPr>
            <w:tcW w:w="4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tcPr>
          <w:p>
            <w:pPr>
              <w:spacing w:after="0"/>
              <w:rPr>
                <w:sz w:val="22"/>
                <w:szCs w:val="22"/>
                <w:color w:val="auto"/>
              </w:rPr>
            </w:pPr>
          </w:p>
        </w:tc>
        <w:tc>
          <w:tcPr>
            <w:tcW w:w="40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4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6,257</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4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3,879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59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improvements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14,961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Plant and equipment</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1,231,684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1,151,091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67,353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61,533</w:t>
            </w:r>
          </w:p>
        </w:tc>
      </w:tr>
      <w:tr>
        <w:trPr>
          <w:trHeight w:val="237"/>
        </w:trPr>
        <w:tc>
          <w:tcPr>
            <w:tcW w:w="8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1,315,161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1,227,585</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(601,980)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(550,568)</w:t>
            </w:r>
          </w:p>
        </w:tc>
      </w:tr>
      <w:tr>
        <w:trPr>
          <w:trHeight w:val="237"/>
        </w:trPr>
        <w:tc>
          <w:tcPr>
            <w:tcW w:w="8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713,181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677,017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307,288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165,040</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1,020,469</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842,057</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Depreciation expense on property, plant and equipment of $64,369, $60,004 and $57,299 is included in cost of sales in the consolidated and combined statements of operations for the years ended December 31, 2015, 2014 and 2013,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Assets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assets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2015</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2014</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Asset—Goodwill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Deferred charges and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contract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380"/>
              <w:spacing w:after="0"/>
              <w:rPr>
                <w:sz w:val="20"/>
                <w:szCs w:val="20"/>
                <w:color w:val="auto"/>
              </w:rPr>
            </w:pPr>
            <w:r>
              <w:rPr>
                <w:rFonts w:ascii="Arial" w:cs="Arial" w:eastAsia="Arial" w:hAnsi="Arial"/>
                <w:sz w:val="18"/>
                <w:szCs w:val="18"/>
                <w:color w:val="auto"/>
              </w:rPr>
              <w:t>Turnaround costs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100,020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(67,767)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32,253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96,835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45,299</w:t>
            </w:r>
          </w:p>
        </w:tc>
        <w:tc>
          <w:tcPr>
            <w:tcW w:w="1020" w:type="dxa"/>
            <w:vAlign w:val="bottom"/>
            <w:gridSpan w:val="2"/>
          </w:tcPr>
          <w:p>
            <w:pPr>
              <w:jc w:val="right"/>
              <w:ind w:right="348"/>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6,620</w:t>
            </w:r>
          </w:p>
        </w:tc>
        <w:tc>
          <w:tcPr>
            <w:tcW w:w="102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deferred charges and</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109,166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(70,387)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38,779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105,497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51,919</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114,980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44,593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111,311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57,733</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Amortization expense on other assets of $16,841, $17,607 and $16,164 is included in the consolidated and combined statements of operations for the years ended December 31, 2015, 2014 and 2013,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20" w:firstLine="432"/>
        <w:spacing w:after="0" w:line="286" w:lineRule="auto"/>
        <w:rPr>
          <w:sz w:val="20"/>
          <w:szCs w:val="20"/>
          <w:color w:val="auto"/>
        </w:rPr>
      </w:pPr>
      <w:r>
        <w:rPr>
          <w:rFonts w:ascii="Arial" w:cs="Arial" w:eastAsia="Arial" w:hAnsi="Arial"/>
          <w:sz w:val="16"/>
          <w:szCs w:val="16"/>
          <w:color w:val="auto"/>
        </w:rPr>
        <w:t>The impairment test for the recorded goodwill was performed in October 2015 and did not indicate impairment of the goodwill. The fair value of the goodwill was calculated using both a discounted cash flow methodology and a market value methodology. The discounted cash flow projections were based on a nine-year forecast, from 2016 to 2024, to reflect the cyclicality of the Partnership's business. The forecast was based on (1) prices and spreads projected by IHS Chemical, a chemical industry organization offering market and business advisory services for the chemical market, for the same period, and</w:t>
      </w:r>
    </w:p>
    <w:p>
      <w:pPr>
        <w:spacing w:after="0" w:line="2" w:lineRule="exact"/>
        <w:rPr>
          <w:sz w:val="20"/>
          <w:szCs w:val="20"/>
          <w:color w:val="auto"/>
        </w:rPr>
      </w:pPr>
    </w:p>
    <w:p>
      <w:pPr>
        <w:ind w:right="200" w:firstLine="8"/>
        <w:spacing w:after="0" w:line="271" w:lineRule="auto"/>
        <w:tabs>
          <w:tab w:leader="none" w:pos="2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estimates by management, including their strategic and operational plans. Other significant assumptions used in the discounted cash flow projection included sales volumes based on current capacities. The future cash flows were discounted to present value using a discount rate of 8.8%. The significant assumptions used in determining the fair value of the reporting unit using the market value methodology include the determination of appropriate market comparables and the estimated multiples of EBITDA a willing buyer is likely to pay. Under the discounted cash flow methodology, even if the fair value of OpCo decreased by 10%, the carrying value of OpCo would not exceed its fair value.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2" w:right="25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1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August 2013 Promissory Notes (variable interest rate of prime plus 1.5%, original</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scheduled maturity of August 1, 2023)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31,775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167,116</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OpCo Revolver (variable interest rate of London Interbank Offered Rate ("LIBOR") plus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3.0%, original scheduled maturity of August 4, 2019)</w:t>
            </w:r>
          </w:p>
        </w:tc>
        <w:tc>
          <w:tcPr>
            <w:tcW w:w="36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216,890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60,522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Revolver (variable interest rate of LIBOR plus 2.0%, original scheduled maturity of</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April 29, 2018)</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135,341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 payable to Westlake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384,006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227,638</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2013, the August 2013 Promissory Notes were issued for capital expenditures incurred by Westlake on behalf of the Predecessor's operations. Proceeds drawn under the August 2013 Promissory Notes during 2014 were used to fund capital expenditures at the Predecessor's ethylene plants. In connection with the IPO, OpCo assumed the August 2013 Promissory Notes and used proceeds from the IPO to repay a portion of the balance it assumed. See Note 2 for a description of the August 2013 Promissory Notes and proceeds used to repay balances of such promissory notes assumed in connection with the IPO.</w:t>
      </w:r>
    </w:p>
    <w:p>
      <w:pPr>
        <w:spacing w:after="0" w:line="134"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In connection with the IPO on August 4, 2014, OpCo entered into a $600,000 senior unsecured revolving credit facility agreement with Westlake (the "OpCo Revolver"). The OpCo Revolver accrues interest quarterly at a rate of LIBOR plus 3.0%, which may be paid-in-kind as an addition to the principal at OpCo's option. Proceeds drawn under the OpCo Revolver during 2015 were used to fund capital expenditures at OpCo's ethylene plants.</w:t>
      </w:r>
    </w:p>
    <w:p>
      <w:pPr>
        <w:spacing w:after="0" w:line="111"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On April 29, 2015, the Partnership entered into a $300,000 revolving credit facility agreement with Westlake (the "MLP Revolver") to fund the Partnership's purchase of an additional 2.7% newly-issued, limited partner interest in OpCo for $135,341. Borrowings under the MLP Revolver bear interest at LIBOR plus a spread ranging from 2.0% to 3.0% (depending on the Partnership's consolidated leverage ratio), payable quarterly. The MLP Revolver provides that the Partnership may pay all or a portion of the interest on any borrowings in kind, in which case any such amounts would be added to the principal amount of the loan. The MLP Revolver requires that the Partnership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During August 2015, the Partnership entered into an interest rate contract with Westlake to fix the LIBOR component of the interest rate for a portion of the MLP Revolver balance. The interest rate contract terminates on the earlier of the MLP Revolver maturity date or in August 2018. See note 15 for additional information on the interest rate contract.</w:t>
      </w:r>
    </w:p>
    <w:p>
      <w:pPr>
        <w:spacing w:after="0" w:line="12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of December 31, 2015, the Partnership was in compliance with all of the covenants under the August 2013 Promissory Notes, the OpCo Revolver and the MLP Revolver.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interest rate on all long-term debt was 3.30% and 4.35% at December 31, 2015 and 2014, respectively.</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As of December 31, 2015, the Partnership had no maturities of long-term debt until 2018. The MLP Revolver matures on April 29, 2018, the OpCo Revolver matures on August 4, 2019, and the August 2013 Promissory Notes mature on August 1,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Per Limited Partner Unit</w:t>
      </w:r>
    </w:p>
    <w:p>
      <w:pPr>
        <w:spacing w:after="0" w:line="175" w:lineRule="exact"/>
        <w:rPr>
          <w:sz w:val="20"/>
          <w:szCs w:val="20"/>
          <w:color w:val="auto"/>
        </w:rPr>
      </w:pPr>
    </w:p>
    <w:p>
      <w:pPr>
        <w:ind w:right="160" w:firstLine="392"/>
        <w:spacing w:after="0" w:line="264" w:lineRule="auto"/>
        <w:rPr>
          <w:sz w:val="20"/>
          <w:szCs w:val="20"/>
          <w:color w:val="auto"/>
        </w:rPr>
      </w:pPr>
      <w:r>
        <w:rPr>
          <w:rFonts w:ascii="Arial" w:cs="Arial" w:eastAsia="Arial" w:hAnsi="Arial"/>
          <w:sz w:val="18"/>
          <w:szCs w:val="18"/>
          <w:color w:val="auto"/>
        </w:rPr>
        <w:t>On February 1, 2016, the board of directors of Westlake Chemical Partners GP LLC ("Westlake GP") announced a quarterly cash distribution for the period from October 1, 2015 to December 31, 2015 of $0.3080 per unit, or $8,335 in total. This distribution was paid on February 26, 2016 to unitholders of record on February 11, 2016.</w:t>
      </w:r>
    </w:p>
    <w:p>
      <w:pPr>
        <w:spacing w:after="0" w:line="127" w:lineRule="exact"/>
        <w:rPr>
          <w:sz w:val="20"/>
          <w:szCs w:val="20"/>
          <w:color w:val="auto"/>
        </w:rPr>
      </w:pPr>
    </w:p>
    <w:p>
      <w:pPr>
        <w:ind w:right="140" w:firstLine="392"/>
        <w:spacing w:after="0" w:line="277" w:lineRule="auto"/>
        <w:rPr>
          <w:sz w:val="20"/>
          <w:szCs w:val="20"/>
          <w:color w:val="auto"/>
        </w:rPr>
      </w:pPr>
      <w:r>
        <w:rPr>
          <w:rFonts w:ascii="Arial" w:cs="Arial" w:eastAsia="Arial" w:hAnsi="Arial"/>
          <w:sz w:val="18"/>
          <w:szCs w:val="18"/>
          <w:color w:val="auto"/>
        </w:rPr>
        <w:t>Our distributions are declared subsequent to quarter end; therefore, the table below represents total cash distributions and the related periods pertaining to such distributions.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39,831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13,577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Less limited partners' distribution:</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unitholders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Subordinated unitholders</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14,986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5,649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 excess of distribution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7,865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36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Cash distributions per unit to limited partners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1"/>
                <w:szCs w:val="11"/>
                <w:color w:val="auto"/>
              </w:rPr>
              <w:t>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3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2014 per unit amount represents cash distributions for the period since the IPO through December 31, 2014.</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Net income per unit applicable to common limited partner units and to subordinated limited partner units is computed by dividing the respective limited partners' interest in net income by the weighted-average number of common units and subordinated units outstanding for the period. Because the Partnership has more than one class of participating securities, Partnership uses the two-class method when calculating the net income per unit applicable to limited partners. The classes of participating securities include common units, subordinated units and incentive distribution rights. Basic and diluted net income per unit is the same because the Partnership does not have any potentially dilutive units outstanding for the periods presented. Net income per unit is only calculated for the periods subsequent to the IPO as no units were outstanding prior to August 4, 2014.</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the Partnership: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Distribution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income in excess of distribution</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income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units outstanding:</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per limited partner unit:</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the Partnership:</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3970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Limited Partners'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Incentive Distribution</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Common Units</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57"/>
              <w:spacing w:after="0"/>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16,980</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14,986</w:t>
            </w:r>
          </w:p>
        </w:tc>
        <w:tc>
          <w:tcPr>
            <w:tcW w:w="640" w:type="dxa"/>
            <w:vAlign w:val="bottom"/>
            <w:gridSpan w:val="3"/>
          </w:tcPr>
          <w:p>
            <w:pPr>
              <w:jc w:val="right"/>
              <w:ind w:right="348"/>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31,966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4,178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3,687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21,158</w:t>
            </w: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18,673</w:t>
            </w:r>
          </w:p>
        </w:tc>
        <w:tc>
          <w:tcPr>
            <w:tcW w:w="640" w:type="dxa"/>
            <w:vAlign w:val="bottom"/>
            <w:gridSpan w:val="3"/>
          </w:tcPr>
          <w:p>
            <w:pPr>
              <w:jc w:val="right"/>
              <w:ind w:right="348"/>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39,831</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14,373,615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12,686,115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2014</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19"/>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Incentive Distribution</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4"/>
              </w:rPr>
              <w:t>Subordinated Units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17"/>
              <w:spacing w:after="0"/>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-2066290</wp:posOffset>
            </wp:positionV>
            <wp:extent cx="722947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-1714500</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-1354455</wp:posOffset>
            </wp:positionV>
            <wp:extent cx="7229475"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-985520</wp:posOffset>
            </wp:positionV>
            <wp:extent cx="722947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-8255</wp:posOffset>
            </wp:positionV>
            <wp:extent cx="722947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4420" w:space="720"/>
            <w:col w:w="6280"/>
          </w:cols>
          <w:pgMar w:left="240" w:top="122" w:right="23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514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6,403</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5,649</w:t>
            </w:r>
          </w:p>
        </w:tc>
        <w:tc>
          <w:tcPr>
            <w:tcW w:w="76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12,052</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1,525</w:t>
            </w:r>
          </w:p>
        </w:tc>
      </w:tr>
      <w:tr>
        <w:trPr>
          <w:trHeight w:val="297"/>
        </w:trPr>
        <w:tc>
          <w:tcPr>
            <w:tcW w:w="51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7,213</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6,364</w:t>
            </w:r>
          </w:p>
        </w:tc>
        <w:tc>
          <w:tcPr>
            <w:tcW w:w="12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13,577</w:t>
            </w:r>
          </w:p>
        </w:tc>
      </w:tr>
      <w:tr>
        <w:trPr>
          <w:trHeight w:val="23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units 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304"/>
        </w:trPr>
        <w:tc>
          <w:tcPr>
            <w:tcW w:w="51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14,373,615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12,686,115</w:t>
            </w: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27,059,730</w:t>
            </w:r>
          </w:p>
        </w:tc>
      </w:tr>
      <w:tr>
        <w:trPr>
          <w:trHeight w:val="23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limited partner unit: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64"/>
        </w:trPr>
        <w:tc>
          <w:tcPr>
            <w:tcW w:w="51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0.50</w:t>
            </w:r>
          </w:p>
        </w:tc>
      </w:tr>
      <w:tr>
        <w:trPr>
          <w:trHeight w:val="20"/>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type w:val="continuous"/>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it charges Westlake a fee. Prior to the IPO, the Predecessor sold the majority of its ethylene to Westlake for use in Westlake's downstream operations.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2013</w:t>
            </w:r>
          </w:p>
        </w:tc>
      </w:tr>
      <w:tr>
        <w:trPr>
          <w:trHeight w:val="264"/>
        </w:trPr>
        <w:tc>
          <w:tcPr>
            <w:tcW w:w="6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center"/>
              <w:ind w:right="182"/>
              <w:spacing w:after="0"/>
              <w:rPr>
                <w:sz w:val="20"/>
                <w:szCs w:val="20"/>
                <w:color w:val="auto"/>
              </w:rPr>
            </w:pPr>
            <w:r>
              <w:rPr>
                <w:rFonts w:ascii="Arial" w:cs="Arial" w:eastAsia="Arial" w:hAnsi="Arial"/>
                <w:sz w:val="14"/>
                <w:szCs w:val="14"/>
                <w:b w:val="1"/>
                <w:bCs w:val="1"/>
                <w:i w:val="1"/>
                <w:iCs w:val="1"/>
                <w:color w:val="auto"/>
                <w:w w:val="85"/>
              </w:rPr>
              <w:t>Predecessor</w:t>
            </w: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834,918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1,292,089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1,603,043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 Prior to the IPO, services provided by Westlake and included in cost of sales related primarily to services provided by employees of Westlake Management Services, Inc., a subsidiary of Westlake. The cost of services provided by employees of Westlake Management Services, Inc. was allocated to the Predecessor's operations primarily on the basis of direct usage.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r>
      <w:tr>
        <w:trPr>
          <w:trHeight w:val="264"/>
        </w:trPr>
        <w:tc>
          <w:tcPr>
            <w:tcW w:w="6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97"/>
              <w:spacing w:after="0"/>
              <w:rPr>
                <w:sz w:val="20"/>
                <w:szCs w:val="20"/>
                <w:color w:val="auto"/>
              </w:rPr>
            </w:pPr>
            <w:r>
              <w:rPr>
                <w:rFonts w:ascii="Arial" w:cs="Arial" w:eastAsia="Arial" w:hAnsi="Arial"/>
                <w:sz w:val="14"/>
                <w:szCs w:val="14"/>
                <w:b w:val="1"/>
                <w:bCs w:val="1"/>
                <w:i w:val="1"/>
                <w:iCs w:val="1"/>
                <w:color w:val="auto"/>
                <w:w w:val="97"/>
              </w:rPr>
              <w:t>Predecessor</w:t>
            </w: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Feedstock purchased from Westlake and included in cost of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307,582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155,232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 sales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74,050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60,264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61,770</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381,632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215,496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61,770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 Prior to the IPO, the Predecessor was allocated costs incurred by Westlake on its behalf for similar functions. These allocations were based primarily on the basis of direct usage when identifiable, with the remainder allocated on the basis of fixed assets, headcount or other measure.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4"/>
        </w:trPr>
        <w:tc>
          <w:tcPr>
            <w:tcW w:w="6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center"/>
              <w:ind w:right="182"/>
              <w:spacing w:after="0"/>
              <w:rPr>
                <w:sz w:val="20"/>
                <w:szCs w:val="20"/>
                <w:color w:val="auto"/>
              </w:rPr>
            </w:pPr>
            <w:r>
              <w:rPr>
                <w:rFonts w:ascii="Arial" w:cs="Arial" w:eastAsia="Arial" w:hAnsi="Arial"/>
                <w:sz w:val="14"/>
                <w:szCs w:val="14"/>
                <w:b w:val="1"/>
                <w:bCs w:val="1"/>
                <w:i w:val="1"/>
                <w:iCs w:val="1"/>
                <w:color w:val="auto"/>
                <w:w w:val="85"/>
              </w:rPr>
              <w:t>Predecessor</w:t>
            </w:r>
          </w:p>
        </w:tc>
        <w:tc>
          <w:tcPr>
            <w:tcW w:w="0" w:type="dxa"/>
            <w:vAlign w:val="bottom"/>
          </w:tcPr>
          <w:p>
            <w:pPr>
              <w:spacing w:after="0"/>
              <w:rPr>
                <w:sz w:val="1"/>
                <w:szCs w:val="1"/>
                <w:color w:val="auto"/>
              </w:rPr>
            </w:pPr>
          </w:p>
        </w:tc>
      </w:tr>
      <w:tr>
        <w:trPr>
          <w:trHeight w:val="235"/>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received from Westlake and included in selling,</w:t>
            </w:r>
          </w:p>
        </w:tc>
        <w:tc>
          <w:tcPr>
            <w:tcW w:w="900" w:type="dxa"/>
            <w:vAlign w:val="bottom"/>
            <w:vMerge w:val="restart"/>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87"/>
              </w:rPr>
              <w:t>20,681</w:t>
            </w:r>
          </w:p>
        </w:tc>
        <w:tc>
          <w:tcPr>
            <w:tcW w:w="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21,302</w:t>
            </w:r>
          </w:p>
        </w:tc>
        <w:tc>
          <w:tcPr>
            <w:tcW w:w="10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24,054</w:t>
            </w:r>
          </w:p>
        </w:tc>
        <w:tc>
          <w:tcPr>
            <w:tcW w:w="0" w:type="dxa"/>
            <w:vAlign w:val="bottom"/>
          </w:tcPr>
          <w:p>
            <w:pPr>
              <w:spacing w:after="0"/>
              <w:rPr>
                <w:sz w:val="1"/>
                <w:szCs w:val="1"/>
                <w:color w:val="auto"/>
              </w:rPr>
            </w:pPr>
          </w:p>
        </w:tc>
      </w:tr>
      <w:tr>
        <w:trPr>
          <w:trHeight w:val="237"/>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vMerge w:val="continue"/>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 Prior to the IPO, salaries and benefits of Westlake Management Services, Inc. were allocated to the Predecessor primarily on the basis of direct usage.</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2" w:right="23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2013</w:t>
            </w:r>
          </w:p>
        </w:tc>
      </w:tr>
      <w:tr>
        <w:trPr>
          <w:trHeight w:val="264"/>
        </w:trPr>
        <w:tc>
          <w:tcPr>
            <w:tcW w:w="6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center"/>
              <w:ind w:right="182"/>
              <w:spacing w:after="0"/>
              <w:rPr>
                <w:sz w:val="20"/>
                <w:szCs w:val="20"/>
                <w:color w:val="auto"/>
              </w:rPr>
            </w:pPr>
            <w:r>
              <w:rPr>
                <w:rFonts w:ascii="Arial" w:cs="Arial" w:eastAsia="Arial" w:hAnsi="Arial"/>
                <w:sz w:val="14"/>
                <w:szCs w:val="14"/>
                <w:b w:val="1"/>
                <w:bCs w:val="1"/>
                <w:i w:val="1"/>
                <w:iCs w:val="1"/>
                <w:color w:val="auto"/>
                <w:w w:val="85"/>
              </w:rPr>
              <w:t>Predecessor</w:t>
            </w: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Goods and services purchased from Westlake and capitalized as assets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4,332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20,222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and Accounts Payable to Related Parties</w:t>
      </w:r>
    </w:p>
    <w:p>
      <w:pPr>
        <w:spacing w:after="0" w:line="9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Partnership's accounts receivable from Westlake result primarily from ethylene sales to Westlake under the Ethylene Sales Agreement. The Partnership's accounts payable to Westlake result primarily from feedstock purchases under the Feedstock Supply Agreement and services provided under the Services and Secondment Agreement and the Omnibus Agreement.</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related party accounts receivable and accounts payable balances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net—Westlake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39,655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18,529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Accounts payable—Westlake</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15,550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7,470</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OpCo assumed the August 2013 Promissory Notes and entered into a senior unsecured revolving credit facility with Westlake in connection with the IPO. Prior to the IPO, the Predecessor funded certain capital expenditures through the August 2013 Promissory Notes payable to Westlake which were assumed by the Partnership in connection with the IPO. See Note 9 for a description of related party debt payable balances. Interest on related party debt payable balances, net of capitalized interest, for the year ended December 31, 2015 and for the period from August 4, 2014 to December 31, 2014 were $4,967 and $10,499, respectively, and are reflected as a component of other income (expense) in the consolidated and combined statements of operations. Interest capitalized as a component of property, plant and equipment on related party debt was $5,116 for the year ended December 31, 2015 and was $2,638 for the period from August 4, 2014 to December 31, 2014. At December 31, 2015 and 2014, accrued interest on related party debt was $2,879 and $2,403, respectively, and is reflected as a component of accrued liabilities in the consolidated balance sheets. At December 31, 2014, accrued interest of $7,506 was included as a component of the outstanding debt payable to Westlake.</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230"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360" w:val="left"/>
          <w:tab w:leader="none" w:pos="9120" w:val="left"/>
          <w:tab w:leader="none" w:pos="9960" w:val="left"/>
          <w:tab w:leader="none" w:pos="10700" w:val="left"/>
        </w:tabs>
        <w:rPr>
          <w:sz w:val="20"/>
          <w:szCs w:val="20"/>
          <w:color w:val="auto"/>
        </w:rPr>
      </w:pPr>
      <w:r>
        <w:rPr>
          <w:rFonts w:ascii="Arial" w:cs="Arial" w:eastAsia="Arial" w:hAnsi="Arial"/>
          <w:sz w:val="18"/>
          <w:szCs w:val="18"/>
          <w:color w:val="auto"/>
        </w:rPr>
        <w:t>Long-term debt payable to 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384,006</w:t>
        <w:tab/>
        <w:t>$</w:t>
      </w:r>
      <w:r>
        <w:rPr>
          <w:sz w:val="20"/>
          <w:szCs w:val="20"/>
          <w:color w:val="auto"/>
        </w:rPr>
        <w:tab/>
      </w:r>
      <w:r>
        <w:rPr>
          <w:rFonts w:ascii="Arial" w:cs="Arial" w:eastAsia="Arial" w:hAnsi="Arial"/>
          <w:sz w:val="16"/>
          <w:szCs w:val="16"/>
          <w:color w:val="auto"/>
        </w:rPr>
        <w:t>227,638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40" w:firstLine="392"/>
        <w:spacing w:after="0" w:line="312" w:lineRule="auto"/>
        <w:rPr>
          <w:sz w:val="20"/>
          <w:szCs w:val="20"/>
          <w:color w:val="auto"/>
        </w:rPr>
      </w:pPr>
      <w:r>
        <w:rPr>
          <w:rFonts w:ascii="Arial" w:cs="Arial" w:eastAsia="Arial" w:hAnsi="Arial"/>
          <w:sz w:val="16"/>
          <w:szCs w:val="16"/>
          <w:color w:val="auto"/>
        </w:rPr>
        <w:t>OpCo, together with other subsidiaries of Westlake not included in these consolidated and combined financial statements, are guarantors under Westlake's revolving credit facility and the indentures governing its senior notes. As of December 31, 2015, Westlake had outstanding letters of credit totaling $30,098 under its revolving credit facility and $754,000 principal amount outstanding under its senior notes (less the unamortized discount of $774).</w:t>
      </w:r>
    </w:p>
    <w:p>
      <w:pPr>
        <w:spacing w:after="0" w:line="93" w:lineRule="exact"/>
        <w:rPr>
          <w:sz w:val="20"/>
          <w:szCs w:val="20"/>
          <w:color w:val="auto"/>
        </w:rPr>
      </w:pPr>
    </w:p>
    <w:p>
      <w:pPr>
        <w:ind w:right="520" w:firstLine="405"/>
        <w:spacing w:after="0" w:line="342" w:lineRule="auto"/>
        <w:rPr>
          <w:sz w:val="20"/>
          <w:szCs w:val="20"/>
          <w:color w:val="auto"/>
        </w:rPr>
      </w:pPr>
      <w:r>
        <w:rPr>
          <w:rFonts w:ascii="Arial" w:cs="Arial" w:eastAsia="Arial" w:hAnsi="Arial"/>
          <w:sz w:val="16"/>
          <w:szCs w:val="16"/>
          <w:color w:val="auto"/>
        </w:rPr>
        <w:t>The indentures governing Westlake's senior notes prevent OpCo from making distributions to the Partnership if any default or event of default (as defined in the indentures) exists. However, Westlake's credit facility does not prevent OpCo from making distributions to the Partnership.</w:t>
      </w:r>
    </w:p>
    <w:p>
      <w:pPr>
        <w:spacing w:after="0" w:line="70"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During August 2015, the Partnership entered into an interest rate contract with Westlake to fix the LIBOR component of the interest rate for a portion of the MLP Revolver balance. See note 15 for additional information on the interest rate contract.</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During the year ended December 31, 2015, the Partnership reimbursed $1,033 to Westlake for certain state tax payments.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OpCo has entered into two site lease agreements with Westlake in connection with the IPO, and each has a term of 50 years. Pursuant to the site lease agreements, OpCo pays Westlake one dollar per site per year.</w:t>
      </w:r>
    </w:p>
    <w:p>
      <w:pPr>
        <w:spacing w:after="0" w:line="193" w:lineRule="exact"/>
        <w:rPr>
          <w:sz w:val="20"/>
          <w:szCs w:val="20"/>
          <w:color w:val="auto"/>
        </w:rPr>
      </w:pPr>
    </w:p>
    <w:p>
      <w:pPr>
        <w:ind w:right="9840" w:firstLine="8"/>
        <w:spacing w:after="0" w:line="390" w:lineRule="auto"/>
        <w:tabs>
          <w:tab w:leader="none" w:pos="27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Partners' Equity </w:t>
      </w:r>
      <w:r>
        <w:rPr>
          <w:rFonts w:ascii="Arial" w:cs="Arial" w:eastAsia="Arial" w:hAnsi="Arial"/>
          <w:sz w:val="16"/>
          <w:szCs w:val="16"/>
          <w:b w:val="1"/>
          <w:bCs w:val="1"/>
          <w:i w:val="1"/>
          <w:iCs w:val="1"/>
          <w:color w:val="auto"/>
        </w:rPr>
        <w:t>Common Unit</w:t>
      </w:r>
    </w:p>
    <w:p>
      <w:pPr>
        <w:ind w:right="40" w:firstLine="432"/>
        <w:spacing w:after="0" w:line="259" w:lineRule="auto"/>
        <w:rPr>
          <w:sz w:val="20"/>
          <w:szCs w:val="20"/>
          <w:color w:val="auto"/>
        </w:rPr>
      </w:pPr>
      <w:r>
        <w:rPr>
          <w:rFonts w:ascii="Arial" w:cs="Arial" w:eastAsia="Arial" w:hAnsi="Arial"/>
          <w:sz w:val="18"/>
          <w:szCs w:val="18"/>
          <w:color w:val="auto"/>
        </w:rPr>
        <w:t>As described below, the common unitholders have preference over subordinated unitholders on receipt of distributions, including, in certain circumstances, cash distributions upon liquidation, as set out in the Partnership's agreement of limited partnership (the "Partnership Agreement"). The common unitholders have limited rights on matters affecting Partnership's business, limited voting rights and are not entitled to elect the general partner or its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Unit</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subordinated unitholders have similar rights as the common unitholders. However, during the subordination period, the subordinated unitholders are not entitled to receive quarterly distributions from operating surplus until the common unitholders have received the minimum quarterly distribution from operating surplus and, among other things, in certain circumstances, are subordinated in the receipt of cash distributions upon liquidation. The subordination period will end on the first business day after the Partnership has earned and paid an aggregate amount of at least the minimum quarterly distribution multiplied by the total number of outstanding common and subordinated units for each of three consecutive, non-overlapping four-quarter periods ending on or after June 30, 2017 and there are no outstanding arrearages on the Partnership's common units. Notwithstanding the foregoing, the subordination period will end on the first business day after the Partnership has paid an aggregate amount of at least 150.0% of the minimum quarterly distribution on an annualized basis multiplied by the total number of outstanding common and subordinated units and have earned that amount plus the related distribution on the incentive distribution rights, for any four-quarter period ending on or after June 30, 2015 and there are no outstanding arrearages on Partnership's common units.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Distribution Rights</w:t>
      </w:r>
    </w:p>
    <w:p>
      <w:pPr>
        <w:spacing w:after="0" w:line="90"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The Partnership Agreement generally provides that the Partnership will distribute cash each quarter during the subordination period in the following manner: first, to the holders of common units, until each common unit has received the minimum quarterly distribution of $0.2750, plus any arrearages from prior quarters; second, to the holders of subordinated units, until each subordinated unit has received the minimum quarterly distribution of $0.2750; and third, to the holders of common and subordinated units, pro rata, until each unit has received a distribution of $0.3163. If cash distributions to the Partnership's unitholders exceed $0.3163 per common unit and subordinated unit in any quarter, the Partnership's unitholders and Westlake, as the holder of the Partnership's incentive distribution rights, will receive distributions according to the following percentage allocations: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4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Above $0.3163 up to $0.3438</w:t>
            </w:r>
          </w:p>
        </w:tc>
        <w:tc>
          <w:tcPr>
            <w:tcW w:w="5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Above $0.3438 up to $0.4125</w:t>
            </w:r>
          </w:p>
        </w:tc>
        <w:tc>
          <w:tcPr>
            <w:tcW w:w="5760" w:type="dxa"/>
            <w:vAlign w:val="bottom"/>
            <w:gridSpan w:val="3"/>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39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Above $0.4125</w:t>
            </w:r>
          </w:p>
        </w:tc>
        <w:tc>
          <w:tcPr>
            <w:tcW w:w="5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459"/>
        </w:trPr>
        <w:tc>
          <w:tcPr>
            <w:tcW w:w="3980" w:type="dxa"/>
            <w:vAlign w:val="bottom"/>
          </w:tcPr>
          <w:p>
            <w:pPr>
              <w:spacing w:after="0"/>
              <w:rPr>
                <w:sz w:val="24"/>
                <w:szCs w:val="24"/>
                <w:color w:val="auto"/>
              </w:rPr>
            </w:pPr>
          </w:p>
        </w:tc>
        <w:tc>
          <w:tcPr>
            <w:tcW w:w="4100" w:type="dxa"/>
            <w:vAlign w:val="bottom"/>
          </w:tcPr>
          <w:p>
            <w:pPr>
              <w:jc w:val="right"/>
              <w:ind w:right="219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Income</w:t>
      </w:r>
    </w:p>
    <w:p>
      <w:pPr>
        <w:spacing w:after="0" w:line="94" w:lineRule="exact"/>
        <w:rPr>
          <w:sz w:val="20"/>
          <w:szCs w:val="20"/>
          <w:color w:val="auto"/>
        </w:rPr>
      </w:pPr>
    </w:p>
    <w:p>
      <w:pPr>
        <w:ind w:right="360" w:firstLine="405"/>
        <w:spacing w:after="0" w:line="302" w:lineRule="auto"/>
        <w:rPr>
          <w:sz w:val="20"/>
          <w:szCs w:val="20"/>
          <w:color w:val="auto"/>
        </w:rPr>
      </w:pPr>
      <w:r>
        <w:rPr>
          <w:rFonts w:ascii="Arial" w:cs="Arial" w:eastAsia="Arial" w:hAnsi="Arial"/>
          <w:sz w:val="16"/>
          <w:szCs w:val="16"/>
          <w:color w:val="auto"/>
        </w:rPr>
        <w:t>Accumulated other comprehensive income or loss primarily reflects the effective portion of the gain or loss on derivative instrument designated and qualified as a cash flow hedge. Gain or loss amounts related to a cash flow hedge recorded in accumulated other comprehensive income or loss are reclassified to income in the same period in which the underlying hedged forecasted transaction affects income. If it becomes probable that a forecasted transaction will not occur, the related net gain or loss in accumulated other comprehensive income or loss is immediately reclassified into income.</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accumulated other comprehensive income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Year Ended December</w:t>
            </w:r>
          </w:p>
        </w:tc>
      </w:tr>
      <w:tr>
        <w:trPr>
          <w:trHeight w:val="192"/>
        </w:trPr>
        <w:tc>
          <w:tcPr>
            <w:tcW w:w="99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31, 2015</w:t>
            </w: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Interest rate contract - Other comprehensive income before reclassifications</w:t>
            </w: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85</w:t>
            </w:r>
          </w:p>
        </w:tc>
      </w:tr>
      <w:tr>
        <w:trPr>
          <w:trHeight w:val="27"/>
        </w:trPr>
        <w:tc>
          <w:tcPr>
            <w:tcW w:w="9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 - Amounts reclassified to net income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w:t>
            </w:r>
          </w:p>
        </w:tc>
      </w:tr>
      <w:tr>
        <w:trPr>
          <w:trHeight w:val="257"/>
        </w:trPr>
        <w:tc>
          <w:tcPr>
            <w:tcW w:w="992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280</w:t>
            </w:r>
          </w:p>
        </w:tc>
      </w:tr>
      <w:tr>
        <w:trPr>
          <w:trHeight w:val="20"/>
        </w:trPr>
        <w:tc>
          <w:tcPr>
            <w:tcW w:w="9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Unit-based Compensation</w:t>
      </w:r>
    </w:p>
    <w:p>
      <w:pPr>
        <w:spacing w:after="0" w:line="9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Westlake Chemical Partners LP Long-Term Incentive Plan (the "Plan") was adopted on July 15, 2014 and provides for grants of unit options, restricted units, phantom units, unit awards, distribution equivalent rights ("DERs") and other unit-based awards. The purpose of the Plan is to attract and retain the services of individuals who are essential for the growth and profitability of the Partnership and to encourage such individuals to devote their best efforts to advancing the business of the Partnership and its affiliates. Awards under the Plan are determined by the board of directors of the Partnership's general partner or a committee thereof (the "Committee"). Under the Plan, DERs may be granted, which represent a contingent right to receive an amount in cash, units, restricted units and/or phantom units, as determined by the Committee at its sole discretion, equal in value to the cash distributions made by the Partnership with respect to a common unit during the period such award is outstanding. The terms and conditions of each award are determined by the Committee. The maximum number of common units of the Partnership that may be delivered with respect to awards under the Plan is 1,270,000. During the year ended December 31, 2015 and the period from August 4, 2014 through December 31, 2014, 16,963 phantom units along with a corresponding number of DERs were granted to certain non-employee directors of the general partner of the Partnership, which will vest on the third anniversary of the grant date. There were no forfeitures under the Plan during 2014 and 2015.</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Non-vested phantom unit awards as of December 31, 2015 and 2014 and awards granted during the respective periods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4"/>
              </w:rPr>
              <w:t>Average Grant Date</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balance at August 4, 2014</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4,404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balance at December 31, 2014</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12,559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balance at December 31, 2015</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16,963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Each phantom unit represents the right to receive, upon vesting, a cash payment equal to the fair market value of one Partnership common unit. Each DER has distribution rights only so long as the phantom units to which it relates to has not vested or been settled.</w:t>
      </w:r>
    </w:p>
    <w:p>
      <w:pPr>
        <w:spacing w:after="0" w:line="3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awards, which are classified as liability awards for financial accounting purposes, are re-measured at each reporting date until they vest. The total units available for grant at December 31, 2015 were 1,253,037. The total compensation cost recognized during the year ended December 31, 2015 was $75 and for the period from August 4, 2014 through December 31, 2014 was $15, and is included in selling, general and administrative expenses and classified as a liability in the consolidated financial statements of the Partnership. The unrecognized compensation cost associated with all grants under the Plan at December 31, 2015 was $286 and the weighted average remaining term of the units at December 31, 2015 was 2.29 years.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9240" w:firstLine="8"/>
        <w:spacing w:after="0" w:line="390" w:lineRule="auto"/>
        <w:tabs>
          <w:tab w:leader="none" w:pos="27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 Instruments </w:t>
      </w:r>
      <w:r>
        <w:rPr>
          <w:rFonts w:ascii="Arial" w:cs="Arial" w:eastAsia="Arial" w:hAnsi="Arial"/>
          <w:sz w:val="16"/>
          <w:szCs w:val="16"/>
          <w:i w:val="1"/>
          <w:iCs w:val="1"/>
          <w:color w:val="auto"/>
        </w:rPr>
        <w:t>Commodity Risk Management</w:t>
      </w:r>
    </w:p>
    <w:p>
      <w:pPr>
        <w:ind w:right="40" w:firstLine="405"/>
        <w:spacing w:after="0" w:line="273" w:lineRule="auto"/>
        <w:rPr>
          <w:sz w:val="20"/>
          <w:szCs w:val="20"/>
          <w:color w:val="auto"/>
        </w:rPr>
      </w:pPr>
      <w:r>
        <w:rPr>
          <w:rFonts w:ascii="Arial" w:cs="Arial" w:eastAsia="Arial" w:hAnsi="Arial"/>
          <w:sz w:val="17"/>
          <w:szCs w:val="17"/>
          <w:color w:val="auto"/>
        </w:rPr>
        <w:t>The Predecessor used derivative instruments to reduce price volatility risk on raw materials and products, as a substantial portion of its raw materials and products were commodities whose prices fluctuate as market supply and demand fundamentals change. The Predecessor employed strategies to protect against such instability, including ethylene product feedstock flexibility. The Predecessor did not use derivative instruments to engage in speculative activities. The Contributed Assets did not include the entity engaged in commodity risk management activities or any of its open derivative positions. The Partnership has not engaged in any hedging activity and did not use any derivative instruments related to the commodities in the period subsequent to the IPO through December 31, 2014 or during the year ended December 31, 2015.</w:t>
      </w:r>
    </w:p>
    <w:p>
      <w:pPr>
        <w:spacing w:after="0" w:line="12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For derivative instruments that are designated and qualify as fair value hedges, the gains or losses on the derivative instruments, as well as the offsetting losses or gains on the hedged items attributable to the hedged risk, are included in cost of sales in the consolidated and combined statements of operations. There were no derivative instruments that were designated as fair value hedges for the years ended December 31, 2015 and 2014. The following tables reflect the impact of derivative instruments designated as fair value hedges and the related hedged item on the combined statements of operations for the year ended December 31, 2013.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Location of Gain (Loss)</w:t>
            </w: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Year Ended December</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 in Fair Value Hedging Relationship</w:t>
            </w:r>
          </w:p>
        </w:tc>
        <w:tc>
          <w:tcPr>
            <w:tcW w:w="6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900" w:type="dxa"/>
            <w:vAlign w:val="bottom"/>
            <w:gridSpan w:val="2"/>
            <w:vMerge w:val="continue"/>
          </w:tcPr>
          <w:p>
            <w:pPr>
              <w:spacing w:after="0"/>
              <w:rPr>
                <w:sz w:val="16"/>
                <w:szCs w:val="16"/>
                <w:color w:val="auto"/>
              </w:rPr>
            </w:pPr>
          </w:p>
        </w:tc>
        <w:tc>
          <w:tcPr>
            <w:tcW w:w="6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Derivative</w:t>
            </w:r>
          </w:p>
        </w:tc>
        <w:tc>
          <w:tcPr>
            <w:tcW w:w="260" w:type="dxa"/>
            <w:vAlign w:val="bottom"/>
          </w:tcPr>
          <w:p>
            <w:pPr>
              <w:spacing w:after="0"/>
              <w:rPr>
                <w:sz w:val="16"/>
                <w:szCs w:val="16"/>
                <w:color w:val="auto"/>
              </w:rPr>
            </w:pPr>
          </w:p>
        </w:tc>
        <w:tc>
          <w:tcPr>
            <w:tcW w:w="122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31, 2013</w:t>
            </w:r>
          </w:p>
        </w:tc>
        <w:tc>
          <w:tcPr>
            <w:tcW w:w="0" w:type="dxa"/>
            <w:vAlign w:val="bottom"/>
          </w:tcPr>
          <w:p>
            <w:pPr>
              <w:spacing w:after="0"/>
              <w:rPr>
                <w:sz w:val="1"/>
                <w:szCs w:val="1"/>
                <w:color w:val="auto"/>
              </w:rPr>
            </w:pPr>
          </w:p>
        </w:tc>
      </w:tr>
      <w:tr>
        <w:trPr>
          <w:trHeight w:val="264"/>
        </w:trPr>
        <w:tc>
          <w:tcPr>
            <w:tcW w:w="3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center"/>
              <w:ind w:right="182"/>
              <w:spacing w:after="0"/>
              <w:rPr>
                <w:sz w:val="20"/>
                <w:szCs w:val="20"/>
                <w:color w:val="auto"/>
              </w:rPr>
            </w:pPr>
            <w:r>
              <w:rPr>
                <w:rFonts w:ascii="Arial" w:cs="Arial" w:eastAsia="Arial" w:hAnsi="Arial"/>
                <w:sz w:val="14"/>
                <w:szCs w:val="14"/>
                <w:b w:val="1"/>
                <w:bCs w:val="1"/>
                <w:i w:val="1"/>
                <w:iCs w:val="1"/>
                <w:color w:val="auto"/>
                <w:w w:val="85"/>
              </w:rPr>
              <w:t>Predecessor</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forward contracts</w:t>
            </w: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Location of Gain (Loss)</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Hedged Items in Fair Value Hedging</w:t>
            </w:r>
          </w:p>
        </w:tc>
        <w:tc>
          <w:tcPr>
            <w:tcW w:w="6040" w:type="dxa"/>
            <w:vAlign w:val="bottom"/>
            <w:gridSpan w:val="2"/>
            <w:vMerge w:val="continue"/>
          </w:tcPr>
          <w:p>
            <w:pPr>
              <w:spacing w:after="0"/>
              <w:rPr>
                <w:sz w:val="23"/>
                <w:szCs w:val="23"/>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Year Ended December</w:t>
            </w:r>
          </w:p>
        </w:tc>
        <w:tc>
          <w:tcPr>
            <w:tcW w:w="0" w:type="dxa"/>
            <w:vAlign w:val="bottom"/>
          </w:tcPr>
          <w:p>
            <w:pPr>
              <w:spacing w:after="0"/>
              <w:rPr>
                <w:sz w:val="1"/>
                <w:szCs w:val="1"/>
                <w:color w:val="auto"/>
              </w:rPr>
            </w:pPr>
          </w:p>
        </w:tc>
      </w:tr>
      <w:tr>
        <w:trPr>
          <w:trHeight w:val="149"/>
        </w:trPr>
        <w:tc>
          <w:tcPr>
            <w:tcW w:w="3900" w:type="dxa"/>
            <w:vAlign w:val="bottom"/>
            <w:gridSpan w:val="2"/>
            <w:vMerge w:val="continue"/>
          </w:tcPr>
          <w:p>
            <w:pPr>
              <w:spacing w:after="0"/>
              <w:rPr>
                <w:sz w:val="12"/>
                <w:szCs w:val="12"/>
                <w:color w:val="auto"/>
              </w:rPr>
            </w:pPr>
          </w:p>
        </w:tc>
        <w:tc>
          <w:tcPr>
            <w:tcW w:w="6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900" w:type="dxa"/>
            <w:vAlign w:val="bottom"/>
            <w:gridSpan w:val="2"/>
          </w:tcPr>
          <w:p>
            <w:pPr>
              <w:ind w:left="40"/>
              <w:spacing w:after="0"/>
              <w:rPr>
                <w:sz w:val="20"/>
                <w:szCs w:val="20"/>
                <w:color w:val="auto"/>
              </w:rPr>
            </w:pPr>
            <w:r>
              <w:rPr>
                <w:rFonts w:ascii="Arial" w:cs="Arial" w:eastAsia="Arial" w:hAnsi="Arial"/>
                <w:sz w:val="14"/>
                <w:szCs w:val="14"/>
                <w:b w:val="1"/>
                <w:bCs w:val="1"/>
                <w:color w:val="auto"/>
              </w:rPr>
              <w:t>Relationships</w:t>
            </w:r>
          </w:p>
        </w:tc>
        <w:tc>
          <w:tcPr>
            <w:tcW w:w="6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Hedged Items</w:t>
            </w:r>
          </w:p>
        </w:tc>
        <w:tc>
          <w:tcPr>
            <w:tcW w:w="260" w:type="dxa"/>
            <w:vAlign w:val="bottom"/>
          </w:tcPr>
          <w:p>
            <w:pPr>
              <w:spacing w:after="0"/>
              <w:rPr>
                <w:sz w:val="16"/>
                <w:szCs w:val="16"/>
                <w:color w:val="auto"/>
              </w:rPr>
            </w:pPr>
          </w:p>
        </w:tc>
        <w:tc>
          <w:tcPr>
            <w:tcW w:w="122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31, 2013</w:t>
            </w:r>
          </w:p>
        </w:tc>
        <w:tc>
          <w:tcPr>
            <w:tcW w:w="0" w:type="dxa"/>
            <w:vAlign w:val="bottom"/>
          </w:tcPr>
          <w:p>
            <w:pPr>
              <w:spacing w:after="0"/>
              <w:rPr>
                <w:sz w:val="1"/>
                <w:szCs w:val="1"/>
                <w:color w:val="auto"/>
              </w:rPr>
            </w:pPr>
          </w:p>
        </w:tc>
      </w:tr>
      <w:tr>
        <w:trPr>
          <w:trHeight w:val="264"/>
        </w:trPr>
        <w:tc>
          <w:tcPr>
            <w:tcW w:w="3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center"/>
              <w:ind w:right="182"/>
              <w:spacing w:after="0"/>
              <w:rPr>
                <w:sz w:val="20"/>
                <w:szCs w:val="20"/>
                <w:color w:val="auto"/>
              </w:rPr>
            </w:pPr>
            <w:r>
              <w:rPr>
                <w:rFonts w:ascii="Arial" w:cs="Arial" w:eastAsia="Arial" w:hAnsi="Arial"/>
                <w:sz w:val="14"/>
                <w:szCs w:val="14"/>
                <w:b w:val="1"/>
                <w:bCs w:val="1"/>
                <w:i w:val="1"/>
                <w:iCs w:val="1"/>
                <w:color w:val="auto"/>
                <w:w w:val="85"/>
              </w:rPr>
              <w:t>Predecessor</w:t>
            </w:r>
          </w:p>
        </w:tc>
        <w:tc>
          <w:tcPr>
            <w:tcW w:w="0" w:type="dxa"/>
            <w:vAlign w:val="bottom"/>
          </w:tcPr>
          <w:p>
            <w:pPr>
              <w:spacing w:after="0"/>
              <w:rPr>
                <w:sz w:val="1"/>
                <w:szCs w:val="1"/>
                <w:color w:val="auto"/>
              </w:rPr>
            </w:pPr>
          </w:p>
        </w:tc>
      </w:tr>
      <w:tr>
        <w:trPr>
          <w:trHeight w:val="235"/>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Firm commitment designated as the</w:t>
            </w:r>
          </w:p>
        </w:tc>
        <w:tc>
          <w:tcPr>
            <w:tcW w:w="5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hedged item</w:t>
            </w: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60" w:firstLine="405"/>
        <w:spacing w:after="0" w:line="257" w:lineRule="auto"/>
        <w:rPr>
          <w:sz w:val="20"/>
          <w:szCs w:val="20"/>
          <w:color w:val="auto"/>
        </w:rPr>
      </w:pPr>
      <w:r>
        <w:rPr>
          <w:rFonts w:ascii="Arial" w:cs="Arial" w:eastAsia="Arial" w:hAnsi="Arial"/>
          <w:sz w:val="18"/>
          <w:szCs w:val="18"/>
          <w:color w:val="auto"/>
        </w:rPr>
        <w:t>Gains and losses from changes in the fair value of derivative instruments that are not designated as hedging instruments were included in gross profit in the consolidated and combined statements of operations for the years ended December 31, 2014 and 2013. The Partnership had no derivative instruments that were not designated as hedging instruments subsequent to the IPO through December 31, 2014 or during the year ended December 31, 2015. The impact of derivative instruments that have not been designated as hedges in the consolidated and combined statements of operations for the years ended December 31, 2014 and 2013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w:t>
            </w:r>
          </w:p>
        </w:tc>
        <w:tc>
          <w:tcPr>
            <w:tcW w:w="4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 of Gain (Loss)</w:t>
            </w: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4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71"/>
        </w:trPr>
        <w:tc>
          <w:tcPr>
            <w:tcW w:w="3780" w:type="dxa"/>
            <w:vAlign w:val="bottom"/>
            <w:gridSpan w:val="2"/>
            <w:vMerge w:val="continue"/>
          </w:tcPr>
          <w:p>
            <w:pPr>
              <w:spacing w:after="0"/>
              <w:rPr>
                <w:sz w:val="6"/>
                <w:szCs w:val="6"/>
                <w:color w:val="auto"/>
              </w:rPr>
            </w:pPr>
          </w:p>
        </w:tc>
        <w:tc>
          <w:tcPr>
            <w:tcW w:w="45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2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vMerge w:val="restart"/>
          </w:tcPr>
          <w:p>
            <w:pPr>
              <w:jc w:val="right"/>
              <w:ind w:right="52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3780" w:type="dxa"/>
            <w:vAlign w:val="bottom"/>
            <w:gridSpan w:val="2"/>
          </w:tcPr>
          <w:p>
            <w:pPr>
              <w:ind w:left="140"/>
              <w:spacing w:after="0"/>
              <w:rPr>
                <w:sz w:val="20"/>
                <w:szCs w:val="20"/>
                <w:color w:val="auto"/>
              </w:rPr>
            </w:pPr>
            <w:r>
              <w:rPr>
                <w:rFonts w:ascii="Arial" w:cs="Arial" w:eastAsia="Arial" w:hAnsi="Arial"/>
                <w:sz w:val="14"/>
                <w:szCs w:val="14"/>
                <w:b w:val="1"/>
                <w:bCs w:val="1"/>
                <w:color w:val="auto"/>
              </w:rPr>
              <w:t>Hedging Instruments</w:t>
            </w:r>
          </w:p>
        </w:tc>
        <w:tc>
          <w:tcPr>
            <w:tcW w:w="4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Recognized in Income on Derivative</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center"/>
              <w:ind w:right="182"/>
              <w:spacing w:after="0"/>
              <w:rPr>
                <w:sz w:val="20"/>
                <w:szCs w:val="20"/>
                <w:color w:val="auto"/>
              </w:rPr>
            </w:pPr>
            <w:r>
              <w:rPr>
                <w:rFonts w:ascii="Arial" w:cs="Arial" w:eastAsia="Arial" w:hAnsi="Arial"/>
                <w:sz w:val="14"/>
                <w:szCs w:val="14"/>
                <w:b w:val="1"/>
                <w:bCs w:val="1"/>
                <w:i w:val="1"/>
                <w:iCs w:val="1"/>
                <w:color w:val="auto"/>
                <w:w w:val="85"/>
              </w:rPr>
              <w:t>Predecessor</w:t>
            </w: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forward contracts</w:t>
            </w:r>
          </w:p>
        </w:tc>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open derivative position related to commodities at December 31, 2014 or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w:t>
      </w:r>
    </w:p>
    <w:p>
      <w:pPr>
        <w:spacing w:after="0" w:line="9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During August 2015, the Partnership entered into an interest rate contract with Westlake designed to reduce the risks of variability of the interest rate under the MLP Revolver. The interest rate contract fixed the LIBOR component of the interest rate for a portion of the MLP Revolver balance. This contract was designated as a cash flow hedge. With the exception of this interest rate contract, the Partnership did not have any other derivative financial instruments during the year ended December 31, 2015. For the years ended December 31, 2014 and 2013, neither the Partnership nor the Predecessor had any interest rate contracts.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 of the derivative instrument on the Partnership's consolidated balance sheet as of December 31, 2015 was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60" w:type="dxa"/>
            <w:vAlign w:val="bottom"/>
            <w:tcBorders>
              <w:bottom w:val="single" w:sz="8" w:color="auto"/>
            </w:tcBorders>
            <w:gridSpan w:val="2"/>
          </w:tcPr>
          <w:p>
            <w:pPr>
              <w:ind w:left="2560"/>
              <w:spacing w:after="0"/>
              <w:rPr>
                <w:sz w:val="20"/>
                <w:szCs w:val="20"/>
                <w:color w:val="auto"/>
              </w:rPr>
            </w:pPr>
            <w:r>
              <w:rPr>
                <w:rFonts w:ascii="Arial" w:cs="Arial" w:eastAsia="Arial" w:hAnsi="Arial"/>
                <w:sz w:val="14"/>
                <w:szCs w:val="14"/>
                <w:b w:val="1"/>
                <w:bCs w:val="1"/>
                <w:color w:val="auto"/>
              </w:rPr>
              <w:t>Derivative Asset</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92"/>
              </w:rPr>
              <w:t>Fair Value as of</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 Cash Flow Hedging Relationship</w:t>
            </w:r>
          </w:p>
        </w:tc>
        <w:tc>
          <w:tcPr>
            <w:tcW w:w="120" w:type="dxa"/>
            <w:vAlign w:val="bottom"/>
            <w:vMerge w:val="restart"/>
          </w:tcPr>
          <w:p>
            <w:pPr>
              <w:spacing w:after="0"/>
              <w:rPr>
                <w:sz w:val="12"/>
                <w:szCs w:val="12"/>
                <w:color w:val="auto"/>
              </w:rPr>
            </w:pPr>
          </w:p>
        </w:tc>
        <w:tc>
          <w:tcPr>
            <w:tcW w:w="456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63"/>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w:t>
            </w: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tables present the effect of the derivative instrument designated as cash flow hedge on the consolidated statements of operations and the consolidated statements of comprehensive income for the year ended December 31, 2015:</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4320" w:type="dxa"/>
            <w:vAlign w:val="bottom"/>
          </w:tcPr>
          <w:p>
            <w:pPr>
              <w:jc w:val="center"/>
              <w:ind w:left="1048"/>
              <w:spacing w:after="0"/>
              <w:rPr>
                <w:sz w:val="20"/>
                <w:szCs w:val="20"/>
                <w:color w:val="auto"/>
              </w:rPr>
            </w:pPr>
            <w:r>
              <w:rPr>
                <w:rFonts w:ascii="Arial" w:cs="Arial" w:eastAsia="Arial" w:hAnsi="Arial"/>
                <w:sz w:val="14"/>
                <w:szCs w:val="14"/>
                <w:b w:val="1"/>
                <w:bCs w:val="1"/>
                <w:color w:val="auto"/>
                <w:w w:val="92"/>
              </w:rPr>
              <w:t>Location of Gain (Loss)</w:t>
            </w:r>
          </w:p>
        </w:tc>
        <w:tc>
          <w:tcPr>
            <w:tcW w:w="2220" w:type="dxa"/>
            <w:vAlign w:val="bottom"/>
            <w:vMerge w:val="restart"/>
          </w:tcPr>
          <w:p>
            <w:pPr>
              <w:jc w:val="center"/>
              <w:ind w:left="768"/>
              <w:spacing w:after="0"/>
              <w:rPr>
                <w:sz w:val="20"/>
                <w:szCs w:val="20"/>
                <w:color w:val="auto"/>
              </w:rPr>
            </w:pPr>
            <w:r>
              <w:rPr>
                <w:rFonts w:ascii="Arial" w:cs="Arial" w:eastAsia="Arial" w:hAnsi="Arial"/>
                <w:sz w:val="14"/>
                <w:szCs w:val="14"/>
                <w:b w:val="1"/>
                <w:bCs w:val="1"/>
                <w:color w:val="auto"/>
                <w:w w:val="92"/>
              </w:rPr>
              <w:t>Year Ended December</w:t>
            </w:r>
          </w:p>
        </w:tc>
        <w:tc>
          <w:tcPr>
            <w:tcW w:w="0" w:type="dxa"/>
            <w:vAlign w:val="bottom"/>
          </w:tcPr>
          <w:p>
            <w:pPr>
              <w:spacing w:after="0"/>
              <w:rPr>
                <w:sz w:val="1"/>
                <w:szCs w:val="1"/>
                <w:color w:val="auto"/>
              </w:rPr>
            </w:pPr>
          </w:p>
        </w:tc>
      </w:tr>
      <w:tr>
        <w:trPr>
          <w:trHeight w:val="149"/>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Derivative in Cash Flow Hedging Relationship</w:t>
            </w:r>
          </w:p>
        </w:tc>
        <w:tc>
          <w:tcPr>
            <w:tcW w:w="4320" w:type="dxa"/>
            <w:vAlign w:val="bottom"/>
          </w:tcPr>
          <w:p>
            <w:pPr>
              <w:jc w:val="center"/>
              <w:ind w:left="988"/>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800" w:type="dxa"/>
            <w:vAlign w:val="bottom"/>
            <w:vMerge w:val="continue"/>
          </w:tcPr>
          <w:p>
            <w:pPr>
              <w:spacing w:after="0"/>
              <w:rPr>
                <w:sz w:val="16"/>
                <w:szCs w:val="16"/>
                <w:color w:val="auto"/>
              </w:rPr>
            </w:pPr>
          </w:p>
        </w:tc>
        <w:tc>
          <w:tcPr>
            <w:tcW w:w="4320" w:type="dxa"/>
            <w:vAlign w:val="bottom"/>
          </w:tcPr>
          <w:p>
            <w:pPr>
              <w:jc w:val="center"/>
              <w:ind w:left="1028"/>
              <w:spacing w:after="0"/>
              <w:rPr>
                <w:sz w:val="20"/>
                <w:szCs w:val="20"/>
                <w:color w:val="auto"/>
              </w:rPr>
            </w:pPr>
            <w:r>
              <w:rPr>
                <w:rFonts w:ascii="Arial" w:cs="Arial" w:eastAsia="Arial" w:hAnsi="Arial"/>
                <w:sz w:val="14"/>
                <w:szCs w:val="14"/>
                <w:b w:val="1"/>
                <w:bCs w:val="1"/>
                <w:color w:val="auto"/>
                <w:w w:val="92"/>
              </w:rPr>
              <w:t>Statement of Operations</w:t>
            </w:r>
          </w:p>
        </w:tc>
        <w:tc>
          <w:tcPr>
            <w:tcW w:w="2220" w:type="dxa"/>
            <w:vAlign w:val="bottom"/>
          </w:tcPr>
          <w:p>
            <w:pPr>
              <w:jc w:val="right"/>
              <w:ind w:right="368"/>
              <w:spacing w:after="0"/>
              <w:rPr>
                <w:sz w:val="20"/>
                <w:szCs w:val="20"/>
                <w:color w:val="auto"/>
              </w:rPr>
            </w:pPr>
            <w:r>
              <w:rPr>
                <w:rFonts w:ascii="Arial" w:cs="Arial" w:eastAsia="Arial" w:hAnsi="Arial"/>
                <w:sz w:val="14"/>
                <w:szCs w:val="14"/>
                <w:b w:val="1"/>
                <w:bCs w:val="1"/>
                <w:color w:val="auto"/>
              </w:rPr>
              <w:t>31, 2015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contract—Loss reclassified from</w:t>
            </w:r>
          </w:p>
        </w:tc>
        <w:tc>
          <w:tcPr>
            <w:tcW w:w="120" w:type="dxa"/>
            <w:vAlign w:val="bottom"/>
            <w:tcBorders>
              <w:top w:val="single" w:sz="8" w:color="CCEEFF"/>
            </w:tcBorders>
            <w:shd w:val="clear" w:color="auto" w:fill="CCEEFF"/>
          </w:tcPr>
          <w:p>
            <w:pPr>
              <w:spacing w:after="0"/>
              <w:rPr>
                <w:sz w:val="20"/>
                <w:szCs w:val="20"/>
                <w:color w:val="auto"/>
              </w:rPr>
            </w:pPr>
          </w:p>
        </w:tc>
        <w:tc>
          <w:tcPr>
            <w:tcW w:w="45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 to net</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7"/>
        </w:trPr>
        <w:tc>
          <w:tcPr>
            <w:tcW w:w="6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income</w:t>
            </w: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60" w:type="dxa"/>
            <w:vAlign w:val="bottom"/>
          </w:tcPr>
          <w:p>
            <w:pPr>
              <w:spacing w:after="0"/>
              <w:rPr>
                <w:sz w:val="24"/>
                <w:szCs w:val="24"/>
                <w:color w:val="auto"/>
              </w:rPr>
            </w:pPr>
          </w:p>
        </w:tc>
        <w:tc>
          <w:tcPr>
            <w:tcW w:w="5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 in Cash Flow Hedging Relationship</w:t>
            </w: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Year Ended December</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220" w:type="dxa"/>
            <w:vAlign w:val="bottom"/>
            <w:tcBorders>
              <w:bottom w:val="single" w:sz="8" w:color="auto"/>
            </w:tcBorders>
            <w:gridSpan w:val="2"/>
            <w:vMerge w:val="continue"/>
          </w:tcPr>
          <w:p>
            <w:pPr>
              <w:spacing w:after="0"/>
              <w:rPr>
                <w:sz w:val="16"/>
                <w:szCs w:val="16"/>
                <w:color w:val="auto"/>
              </w:rPr>
            </w:pPr>
          </w:p>
        </w:tc>
        <w:tc>
          <w:tcPr>
            <w:tcW w:w="4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31, 2015</w:t>
            </w: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98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Interest rate contract—Adjustments to fair value recognized in other comprehensive income</w:t>
            </w: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There was no material ineffectiveness with regard to the Partnership and Predecessor's qualifying hedges for the years ended December 31, 2015, 2014, and 2013.</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16 for the fair value of derivative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There were no assets or liabilities accounted for at fair value on a recurring basis as of December 31, 2014. The following table summarizes, by level within the fair value hierarchy, the Partnership's asset under the interest rate contract that was accounted for at fair value on a recurring basis at December 31, 2015.</w:t>
      </w:r>
    </w:p>
    <w:p>
      <w:pPr>
        <w:spacing w:after="0" w:line="141"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37465</wp:posOffset>
            </wp:positionV>
            <wp:extent cx="1946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Arial" w:cs="Arial" w:eastAsia="Arial" w:hAnsi="Arial"/>
                <w:sz w:val="14"/>
                <w:szCs w:val="14"/>
                <w:b w:val="1"/>
                <w:bCs w:val="1"/>
                <w:color w:val="auto"/>
              </w:rPr>
              <w:t>Total</w:t>
            </w: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8"/>
                <w:szCs w:val="18"/>
                <w:color w:val="auto"/>
              </w:rPr>
              <w:t>Asset—Interest rate contract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436</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fair value of the Level 2 interest rate contract is determined using standard valuation methodologies which incorporate relevant contract terms along with readily available market data (i.e. the 3 month LIBOR forward curve). There were no transfers in and out of Levels 1 and 2 of the fair value hierarchy during 2015.</w:t>
      </w:r>
    </w:p>
    <w:p>
      <w:pPr>
        <w:spacing w:after="0" w:line="12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addition to the above, the Partnership has other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December 31, 2015 and December 31, 2014 are summarized in the table below. The Partnership's long-term debt includes the August 2013 Promissory Notes, the OpCo Revolver and the MLP Revolver.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w:t>
      </w:r>
    </w:p>
    <w:p>
      <w:pPr>
        <w:sectPr>
          <w:pgSz w:w="11900" w:h="16838" w:orient="portrait"/>
          <w:cols w:equalWidth="0" w:num="1">
            <w:col w:w="11420"/>
          </w:cols>
          <w:pgMar w:left="240" w:top="122"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2" w:right="239" w:bottom="1440" w:gutter="0" w:footer="0" w:header="0"/>
          <w:type w:val="continuous"/>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within the fair value hierarchy. Inputs used to estimate the fair values of the Partnership's long-term debt include the selection of an appropriate discount rate.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2014</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3"/>
                <w:szCs w:val="13"/>
                <w:color w:val="auto"/>
              </w:rPr>
            </w:pPr>
          </w:p>
        </w:tc>
        <w:tc>
          <w:tcPr>
            <w:tcW w:w="104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7"/>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Pr>
          <w:p>
            <w:pPr>
              <w:spacing w:after="0"/>
              <w:rPr>
                <w:sz w:val="16"/>
                <w:szCs w:val="16"/>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920" w:type="dxa"/>
            <w:vAlign w:val="bottom"/>
          </w:tcPr>
          <w:p>
            <w:pPr>
              <w:jc w:val="right"/>
              <w:ind w:right="477"/>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2013 Promissory Notes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167,116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167,116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OpCo Revolver</w:t>
            </w:r>
          </w:p>
        </w:tc>
        <w:tc>
          <w:tcPr>
            <w:tcW w:w="2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216,890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215,738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60,522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60,522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Revolver</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135,341</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130,439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 The Predecessor's operating results were included in Westlake's consolidated U.S. federal and state income tax returns. Amounts presented in the combined financial statements prior to the IPO relate to income taxes that have been determined on a separate tax return basis and the Predecessor's contribution to Westlake Chemical Corporation's net operating losses and tax credits have been included in the Predecessor's financial statements.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tax disaggregated between the Partnership and the Predecessor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i w:val="1"/>
                <w:iCs w:val="1"/>
                <w:color w:val="auto"/>
              </w:rPr>
              <w:t>Partnership</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i w:val="1"/>
                <w:iCs w:val="1"/>
                <w:color w:val="auto"/>
                <w:w w:val="90"/>
              </w:rPr>
              <w:t>Predecessor</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Period from August 4,</w:t>
            </w:r>
          </w:p>
        </w:tc>
        <w:tc>
          <w:tcPr>
            <w:tcW w:w="158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Period from January</w:t>
            </w: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4"/>
              </w:rPr>
              <w:t>Year Ended December</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2014 to December 31,</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1, 2014 to August 3,</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2015</w:t>
            </w:r>
          </w:p>
        </w:tc>
        <w:tc>
          <w:tcPr>
            <w:tcW w:w="480" w:type="dxa"/>
            <w:vAlign w:val="bottom"/>
          </w:tcPr>
          <w:p>
            <w:pPr>
              <w:spacing w:after="0"/>
              <w:rPr>
                <w:sz w:val="16"/>
                <w:szCs w:val="16"/>
                <w:color w:val="auto"/>
              </w:rPr>
            </w:pPr>
          </w:p>
        </w:tc>
        <w:tc>
          <w:tcPr>
            <w:tcW w:w="1000" w:type="dxa"/>
            <w:vAlign w:val="bottom"/>
          </w:tcPr>
          <w:p>
            <w:pPr>
              <w:jc w:val="center"/>
              <w:ind w:right="39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31, 2013</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168,773</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233,014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30,211</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189,980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263,225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Federal</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6,890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32,675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8,343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37,054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198,323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300,279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reconciliation of income tax expense at the U.S. statutory rate to the income tax expense disaggregated between the Partnership and the Predecessor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i w:val="1"/>
                <w:iCs w:val="1"/>
                <w:color w:val="auto"/>
              </w:rPr>
              <w:t>Partnership</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i w:val="1"/>
                <w:iCs w:val="1"/>
                <w:color w:val="auto"/>
              </w:rPr>
              <w:t>Predecessor</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Period from August</w:t>
            </w:r>
          </w:p>
        </w:tc>
        <w:tc>
          <w:tcPr>
            <w:tcW w:w="14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Period from January</w:t>
            </w:r>
          </w:p>
        </w:tc>
        <w:tc>
          <w:tcPr>
            <w:tcW w:w="200" w:type="dxa"/>
            <w:vAlign w:val="bottom"/>
          </w:tcPr>
          <w:p>
            <w:pPr>
              <w:spacing w:after="0"/>
              <w:rPr>
                <w:sz w:val="13"/>
                <w:szCs w:val="13"/>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6"/>
                <w:szCs w:val="16"/>
                <w:b w:val="1"/>
                <w:bCs w:val="1"/>
                <w:color w:val="auto"/>
                <w:w w:val="97"/>
              </w:rPr>
              <w:t>Year Ended</w:t>
            </w:r>
          </w:p>
        </w:tc>
        <w:tc>
          <w:tcPr>
            <w:tcW w:w="0" w:type="dxa"/>
            <w:vAlign w:val="bottom"/>
          </w:tcPr>
          <w:p>
            <w:pPr>
              <w:spacing w:after="0"/>
              <w:rPr>
                <w:sz w:val="1"/>
                <w:szCs w:val="1"/>
                <w:color w:val="auto"/>
              </w:rPr>
            </w:pPr>
          </w:p>
        </w:tc>
      </w:tr>
      <w:tr>
        <w:trPr>
          <w:trHeight w:val="103"/>
        </w:trPr>
        <w:tc>
          <w:tcPr>
            <w:tcW w:w="5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Year Ended</w:t>
            </w:r>
          </w:p>
        </w:tc>
        <w:tc>
          <w:tcPr>
            <w:tcW w:w="14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4, 2014 to December</w:t>
            </w:r>
          </w:p>
        </w:tc>
        <w:tc>
          <w:tcPr>
            <w:tcW w:w="148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1, 2014 to August 3,</w:t>
            </w:r>
          </w:p>
        </w:tc>
        <w:tc>
          <w:tcPr>
            <w:tcW w:w="2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5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1480" w:type="dxa"/>
            <w:vAlign w:val="bottom"/>
            <w:gridSpan w:val="3"/>
            <w:vMerge w:val="continue"/>
          </w:tcPr>
          <w:p>
            <w:pPr>
              <w:spacing w:after="0"/>
              <w:rPr>
                <w:sz w:val="3"/>
                <w:szCs w:val="3"/>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1"/>
              </w:rPr>
              <w:t>December 31, 2013</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2015</w:t>
            </w:r>
          </w:p>
        </w:tc>
        <w:tc>
          <w:tcPr>
            <w:tcW w:w="360" w:type="dxa"/>
            <w:vAlign w:val="bottom"/>
          </w:tcPr>
          <w:p>
            <w:pPr>
              <w:spacing w:after="0"/>
              <w:rPr>
                <w:sz w:val="16"/>
                <w:szCs w:val="16"/>
                <w:color w:val="auto"/>
              </w:rPr>
            </w:pPr>
          </w:p>
        </w:tc>
        <w:tc>
          <w:tcPr>
            <w:tcW w:w="1000" w:type="dxa"/>
            <w:vAlign w:val="bottom"/>
          </w:tcPr>
          <w:p>
            <w:pPr>
              <w:jc w:val="center"/>
              <w:ind w:right="293"/>
              <w:spacing w:after="0"/>
              <w:rPr>
                <w:sz w:val="20"/>
                <w:szCs w:val="20"/>
                <w:color w:val="auto"/>
              </w:rPr>
            </w:pPr>
            <w:r>
              <w:rPr>
                <w:rFonts w:ascii="Arial" w:cs="Arial" w:eastAsia="Arial" w:hAnsi="Arial"/>
                <w:sz w:val="14"/>
                <w:szCs w:val="14"/>
                <w:b w:val="1"/>
                <w:bCs w:val="1"/>
                <w:color w:val="auto"/>
                <w:w w:val="91"/>
              </w:rPr>
              <w:t>31, 2014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income tax, at statutory rate</w:t>
            </w: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124,083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195,880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296,389</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income tax</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effect</w:t>
            </w:r>
          </w:p>
        </w:tc>
        <w:tc>
          <w:tcPr>
            <w:tcW w:w="2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14,729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22,484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Partnership income not subject to entity-level federal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(124,083)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Manufacturing deduction</w:t>
            </w:r>
          </w:p>
        </w:tc>
        <w:tc>
          <w:tcPr>
            <w:tcW w:w="2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(18,270)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198,323</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300,279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69</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tax effects of the principal temporary differences between financial reporting and income tax reporting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Turnaround costs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(1,392)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84"/>
        </w:trPr>
        <w:tc>
          <w:tcPr>
            <w:tcW w:w="8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classifications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Noncurrent deferred tax liability</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(1,392)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(1,848)</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(1,392)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9100" w:firstLine="8"/>
        <w:spacing w:after="0" w:line="390" w:lineRule="auto"/>
        <w:tabs>
          <w:tab w:leader="none" w:pos="27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right="220" w:firstLine="432"/>
        <w:spacing w:after="0" w:line="286" w:lineRule="auto"/>
        <w:rPr>
          <w:sz w:val="20"/>
          <w:szCs w:val="20"/>
          <w:color w:val="auto"/>
        </w:rPr>
      </w:pPr>
      <w:r>
        <w:rPr>
          <w:rFonts w:ascii="Arial" w:cs="Arial" w:eastAsia="Arial" w:hAnsi="Arial"/>
          <w:sz w:val="17"/>
          <w:szCs w:val="17"/>
          <w:color w:val="auto"/>
        </w:rPr>
        <w:t>Accrued liabilities were $23,407 and $11,900 at December 31, 2015 and 2014, respectively. Accruals related to capital expenditures and maintenance expenses, which are components of accrued liabilities, were $14,745 and $2,949 at December 31, 2015, respectively, and were $5,026 and $1,535 at December 31, 2014, respectively. No other component of accrued liabilities was more than five percent of total current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Operating Activity</w:t>
      </w:r>
    </w:p>
    <w:p>
      <w:pPr>
        <w:spacing w:after="0" w:line="90"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The Predecessor settled $9,315 of its total interest expense incurred on long-term debt payable to Westlake as an addition to principal on debt outstanding in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change in capital expenditure accrual reducing additions to property, plant and equipment was $14,552, $418 and $7,937 for the years ended December 31, 2015, 2014 and 2013,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Financing Activity</w:t>
      </w:r>
    </w:p>
    <w:p>
      <w:pPr>
        <w:spacing w:after="0" w:line="90"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Related party notes payable to Westlake of $238,600 were deemed settled through net investment in 2014. The non-cash settlement was recorded as an increase in Westlake's net investment in the Predecessor. No cash was transferred in connection with the deemed settlement of these notes.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Income Taxes</w:t>
      </w:r>
    </w:p>
    <w:p>
      <w:pPr>
        <w:spacing w:after="0" w:line="90"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Interest paid by the Partnership, net of interest capitalized was $9,538 and $1,366 for the years ended December 31, 2015 and 2014, respectively. Income tax paid by the Partnership was $1,264 for the year ended December 31, 2015, of which $231 was paid directly to the tax authorities and $1,033 was paid to Westlake as reimbursement. No income tax payments were made in 2014 by the Partnership. Westlake uses a centralized cash management system to finance its operations. As such, interest, net of interest capitalized, and income taxes were paid directly by Westlake and charged to the Predecessor through related party accounts receivable, net prior to the IPO. Related party accounts receivable, net were settled immediately through net investment and, therefore, the Predecessor did not pay cash for interest expense or income tax expense during the year ended December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11"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i w:val="1"/>
          <w:iCs w:val="1"/>
          <w:color w:val="auto"/>
        </w:rPr>
        <w:t>Contract Disputes with Goodrich and PolyOne</w:t>
      </w:r>
      <w:r>
        <w:rPr>
          <w:rFonts w:ascii="Arial" w:cs="Arial" w:eastAsia="Arial" w:hAnsi="Arial"/>
          <w:sz w:val="16"/>
          <w:szCs w:val="16"/>
          <w:color w:val="auto"/>
        </w:rPr>
        <w:t>. In connection with the 1990 and 1997 acquisitions of the Goodrich Corporation ("Goodrich") 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facility in Calvert City, Kentucky, which is a portion of the B.F. Goodrich superfund site, Goodrich agreed to indemnify Westlake for any liabilities related to preexisting contamination at the site. Westlake agreed to indemnify Goodrich for post-closing contamination caused by Westlake's operations. The soil and groundwater at the site had been extensively contaminated under Goodrich's operations. In 1993, Goodrich spun off the predecessor of PolyOne Corporation ("PolyOne"), and that predecessor assumed Goodrich's indemnification obligations relating to preexisting contamination.</w:t>
      </w:r>
    </w:p>
    <w:p>
      <w:pPr>
        <w:spacing w:after="0" w:line="104"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In 2003, litigation arose among Westlake, Goodrich and PolyOne with respect to the allocation of the cost of remediating contamination at the site. The parties settled this litigation in December 2007, and the case was dismissed. In the settlement the parties agreed that, among other things: (1) PolyOne would pay 100% of the costs (with specified exceptions), net of recoveries or credits from third parties, incurred with respect to environmental issues at the Calvert City site from August 1, 2007 forward; (2) either Westlake or PolyOne might, from time to time in the future (but not more than once every five years), institute an arbitration proceeding to adjust that percentage; and (3) Westlake and PolyOne would negotiate a new environmental remediation utilities and Services and Secondment Agreement to cover Westlake's provision to or on behalf of PolyOne of certain environmental remediation services at the site. The current environmental remediation activities at the Calvert City site do not have a specified termination date but are expected to last for the foreseeable future. The costs incurred by Westlake that have been invoiced to PolyOne to provide the environmental remediation services were $2,210, $2,805 and $3,284 in 2015, 2014 and 2013, respectively. By letter dated March 16, 2010, PolyOne notified Westlake that it was initiating an arbitration proceeding under the settlement agreement. In this proceeding, PolyOne sought to readjust the percentage allocation of costs and to recover approximately $1,400 from Westlake in reimbursement of previously paid remediation costs. In December 2015, the arbitration panel dismissed the proceeding with prejudice. In a separate proceeding in Ohio state court, Westlake is seeking certain insurance documents from PolyOne.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Westlake will indemnify the Partnership for liabilities that occurred or existed prior to August 4, 2014.</w:t>
      </w:r>
    </w:p>
    <w:p>
      <w:pPr>
        <w:spacing w:after="0" w:line="171"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i w:val="1"/>
          <w:iCs w:val="1"/>
          <w:color w:val="auto"/>
        </w:rPr>
        <w:t>State Administrative Proceedings</w:t>
      </w:r>
      <w:r>
        <w:rPr>
          <w:rFonts w:ascii="Arial" w:cs="Arial" w:eastAsia="Arial" w:hAnsi="Arial"/>
          <w:sz w:val="17"/>
          <w:szCs w:val="17"/>
          <w:color w:val="auto"/>
        </w:rPr>
        <w:t>. There are several administrative proceedings in Kentucky involving Westlake, Goodrich and PolyOne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manufacturing site in Calvert City, which includes OpCo's natural gas liquids processing facility in Calvert City. In 2003, the Kentucky Environmental and Public Protection Cabinet (the "Cabinet") re-issued Goodrich's RCRA permit which requires Goodrich to remediate contamination at the Calvert City manufacturing site. Both Goodrich and PolyOne challenged various terms of the permit in an attempt to shift Goodrich's clean-up obligations under the permit to Westlake. Westlake intervened in the proceedings. The Cabinet has suspended all corrective action under the RCRA permit in deference to a remedial investigation and feasibility study ("RIFS") being conducted, under the auspices of the U.S. Environmental Protection Agency ("EPA") pursuant to an Administrative Settlement Agreement ("AOC"), which became effective on December 9, 2009. See "Federal Administrative Proceedings" below. Periodic status conferences will be held to evaluate whether additional proceedings will be required.</w:t>
      </w:r>
    </w:p>
    <w:p>
      <w:pPr>
        <w:spacing w:after="0" w:line="301"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i w:val="1"/>
          <w:iCs w:val="1"/>
          <w:color w:val="auto"/>
        </w:rPr>
        <w:t>Federal Administrative Proceedings</w:t>
      </w:r>
      <w:r>
        <w:rPr>
          <w:rFonts w:ascii="Arial" w:cs="Arial" w:eastAsia="Arial" w:hAnsi="Arial"/>
          <w:sz w:val="16"/>
          <w:szCs w:val="16"/>
          <w:color w:val="auto"/>
        </w:rPr>
        <w:t>. In May 2009, the Cabinet sent a letter to the EPA requesting the EPA's assistance in addressing contamination at</w:t>
      </w:r>
      <w:r>
        <w:rPr>
          <w:rFonts w:ascii="Arial" w:cs="Arial" w:eastAsia="Arial" w:hAnsi="Arial"/>
          <w:sz w:val="16"/>
          <w:szCs w:val="16"/>
          <w:i w:val="1"/>
          <w:iCs w:val="1"/>
          <w:color w:val="auto"/>
        </w:rPr>
        <w:t xml:space="preserve"> </w:t>
      </w:r>
      <w:r>
        <w:rPr>
          <w:rFonts w:ascii="Arial" w:cs="Arial" w:eastAsia="Arial" w:hAnsi="Arial"/>
          <w:sz w:val="16"/>
          <w:szCs w:val="16"/>
          <w:color w:val="auto"/>
        </w:rPr>
        <w:t>the Calvert City site under CERCLA. In its response to the Cabinet, the EPA stated that it concurred with the Cabinet's request and would incorporate work previously conducted under the Cabinet's RCRA authority into the EPA's cleanup efforts under CERCLA. Since 1983, the EPA has been addressing contamination at an abandoned landfill adjacent to the Partnership's plant which had been operated by Goodrich and which was being remediated pursuant to CERCLA. The EPA has directed Goodrich and PolyOne to conduct additional investigation activities at the landfill and at the Calvert City site. In June 2009, the EPA notified Westlake that Westlake may have potential liability under section 107(a) of CERCLA at its plant site. Liability under section 107(a) of CERCLA is strict and joint and several. The EPA also identified Goodrich and PolyOne, among others, as potentially responsible parties at the plant site. Westlake negotiated, in conjunction with the other potentially responsible parties, an AOC and an order to conduct an RIFS. Due to the Partnership's ownership and current operation of the property, the Partnership may be subject to additional requirements and liabilities under CERCLA.</w:t>
      </w:r>
    </w:p>
    <w:p>
      <w:pPr>
        <w:spacing w:after="0" w:line="11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Potential Flare Modifications</w:t>
      </w:r>
      <w:r>
        <w:rPr>
          <w:rFonts w:ascii="Arial" w:cs="Arial" w:eastAsia="Arial" w:hAnsi="Arial"/>
          <w:sz w:val="18"/>
          <w:szCs w:val="18"/>
          <w:color w:val="auto"/>
        </w:rPr>
        <w:t>. For several years, the EPA has been conducting an enforcement initiative against petroleum refineries and petrochemical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plants with respect to emissions from flares. A number of companies have entered into consent agreements with the EPA requiring both modifications to reduce flare emissions and the installation of additional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2" w:right="259" w:bottom="1440" w:gutter="0" w:footer="0" w:header="0"/>
        </w:sectPr>
      </w:pPr>
    </w:p>
    <w:bookmarkStart w:id="75" w:name="page76"/>
    <w:bookmarkEnd w:id="75"/>
    <w:p>
      <w:pPr>
        <w:spacing w:after="0" w:line="59"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equipment to better track flare operations and emissions. On April 21, 2014, Westlake received a Clean Air Act Section 114 Information Request from the EPA which sought information regarding flares at the Calvert City and Lake Charles facilities. Westlake submitted information pursuant to such request, including information regarding three flares that the Partnership owns. The EPA has informed Westlake that the information provided leads the EPA to believe that some of the flares are out of compliance with applicable standards. The EPA has demanded that Westlake conduct additional flare sampling and provide supplemental information. Westlake is currently in negotiations with the EPA regarding these demands, some of which are applicable to the Partnership's flares. The EPA has indicated that it is seeking a consent decree with that would obligate Westlake to take corrective actions relating to the alleged noncompliance. Westlake has not agreed that any flares are out of compliance or that any corrective actions are warranted. Depending on the outcome of Westlake's negotiations with the EPA, additional controls on emissions from the Partnership's flares may be required and these could result in increased capital and operating costs.</w:t>
      </w:r>
    </w:p>
    <w:p>
      <w:pPr>
        <w:spacing w:after="0" w:line="143" w:lineRule="exact"/>
        <w:rPr>
          <w:sz w:val="20"/>
          <w:szCs w:val="20"/>
          <w:color w:val="auto"/>
        </w:rPr>
      </w:pPr>
    </w:p>
    <w:p>
      <w:pPr>
        <w:ind w:right="60" w:firstLine="392"/>
        <w:spacing w:after="0" w:line="276" w:lineRule="auto"/>
        <w:rPr>
          <w:sz w:val="20"/>
          <w:szCs w:val="20"/>
          <w:color w:val="auto"/>
        </w:rPr>
      </w:pPr>
      <w:r>
        <w:rPr>
          <w:rFonts w:ascii="Arial" w:cs="Arial" w:eastAsia="Arial" w:hAnsi="Arial"/>
          <w:sz w:val="17"/>
          <w:szCs w:val="17"/>
          <w:i w:val="1"/>
          <w:iCs w:val="1"/>
          <w:color w:val="auto"/>
        </w:rPr>
        <w:t>Louisiana Notice of Violations</w:t>
      </w:r>
      <w:r>
        <w:rPr>
          <w:rFonts w:ascii="Arial" w:cs="Arial" w:eastAsia="Arial" w:hAnsi="Arial"/>
          <w:sz w:val="17"/>
          <w:szCs w:val="17"/>
          <w:color w:val="auto"/>
        </w:rPr>
        <w:t>. The Louisiana Department of Environmental Quality ("LDEQ") has issued notices of violations ("NOVs") regarding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Partnership's assets, and those of Westlake, for various air compliance issues. The Partnership and Westlake are working with LDEQ to settle these claims, and a global settlement of all claims is being discussed. While settlement may result in a total civil penalty in excess of $100, such a settlement will likely cover assets owned by the Partnership and Westlake, and to the extent it covers the Partnership's assets, Westlake has reached a verbal agreement with the LDEQ to settle various NOVs in two separate settlements for a combined $192 in civil penalties.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Westlake will indemnify the Partnership for liabilities that occurred or existed prior to August 4, 2014.</w:t>
      </w:r>
    </w:p>
    <w:p>
      <w:pPr>
        <w:spacing w:after="0" w:line="171"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Partnership is obligated under various long-term and short-term noncancelable operating leases, primarily related to rail car leases and land. Several of the leases provide for renewal terms. At December 31, 2015, future minimum lease commitments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1,056</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749</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994</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5,598</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Rental expense was approximately $3,125, $3,558 and $3,933 for the years ended December 31, 2015, 2014 and 2013, respectively.</w:t>
      </w:r>
    </w:p>
    <w:p>
      <w:pPr>
        <w:spacing w:after="0" w:line="17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Partnership has various purchase commitments for its capital projects and for materials, supplies and services incident to the ordinary conduct of business. Such commitments are at prices not in excess of market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Major Customer and Concentration of Credit Risk</w:t>
      </w:r>
    </w:p>
    <w:p>
      <w:pPr>
        <w:spacing w:after="0" w:line="94"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During the years ended December 31, 2015, 2014 and 2013, Westlake accounted for approximately 82.9%, 73.8% and 75.3%, respectively, of the Partnership's and the Predecessor's net sales.</w:t>
      </w:r>
    </w:p>
    <w:p>
      <w:pPr>
        <w:spacing w:after="0" w:line="193" w:lineRule="exact"/>
        <w:rPr>
          <w:sz w:val="20"/>
          <w:szCs w:val="20"/>
          <w:color w:val="auto"/>
        </w:rPr>
      </w:pPr>
    </w:p>
    <w:p>
      <w:pPr>
        <w:ind w:right="9680" w:firstLine="8"/>
        <w:spacing w:after="0" w:line="346" w:lineRule="auto"/>
        <w:tabs>
          <w:tab w:leader="none" w:pos="27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b w:val="1"/>
          <w:bCs w:val="1"/>
          <w:i w:val="1"/>
          <w:iCs w:val="1"/>
          <w:color w:val="auto"/>
        </w:rPr>
        <w:t>Distribution</w:t>
      </w:r>
    </w:p>
    <w:p>
      <w:pPr>
        <w:spacing w:after="0" w:line="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On February 1, 2016, the Board of Directors of the Partnership's general partner announced a quarterly distribution of $0.3080 per unit, or $8,335 in total, which was paid on February 26, 2016 to unitholders of record as of February 11,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financial statements of the Partnership are substantially comprised of the financial statements of OpCo, which issued its annual financial statements on February 24, 2016. Accordingly, the Partnership has evaluated transactions for consideration as recognized subsequent events in the annual financial statements through the date of February 24, 2016. Additionally, the Partnership has evaluated transactions that occurred as of the issuance of these financial statements, on March 8, 2016, for purposes of disclosure of unrecognized subsequent events.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Financial Information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258,391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251,705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248,619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248,506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96,227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94,528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94,145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97,982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90,227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88,533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88,314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92,258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88,389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87,243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87,046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91,175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Westlake Chemical Partners LP</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subsequent to the limited partners' interest in net income</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and diluted earnings per common unitholder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0.40</w:t>
            </w:r>
          </w:p>
        </w:tc>
      </w:tr>
    </w:tbl>
    <w:p>
      <w:pPr>
        <w:sectPr>
          <w:pgSz w:w="11900" w:h="16897" w:orient="portrait"/>
          <w:cols w:equalWidth="0" w:num="1">
            <w:col w:w="11420"/>
          </w:cols>
          <w:pgMar w:left="240" w:top="122" w:right="239" w:bottom="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earnings per subordinated unitholder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0.40</w:t>
            </w:r>
          </w:p>
        </w:tc>
      </w:tr>
      <w:tr>
        <w:trPr>
          <w:trHeight w:val="561"/>
        </w:trPr>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1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64"/>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3"/>
              </w:rPr>
              <w:t>Predecessor</w:t>
            </w:r>
          </w:p>
        </w:tc>
        <w:tc>
          <w:tcPr>
            <w:tcW w:w="220" w:type="dxa"/>
            <w:vAlign w:val="bottom"/>
          </w:tcPr>
          <w:p>
            <w:pPr>
              <w:spacing w:after="0"/>
              <w:rPr>
                <w:sz w:val="22"/>
                <w:szCs w:val="2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3"/>
              </w:rPr>
              <w:t>Predecessor</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560,014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524,135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392,008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273,543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232,314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246,546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164,993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101,959</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224,536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240,381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95,506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143,874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153,844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118,173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93,929</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Westlake Chemical Partners LP</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subsequent to the IPO and limited partners' interest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net income</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Basic and diluted earnings per common unitholder </w:t>
            </w:r>
            <w:r>
              <w:rPr>
                <w:rFonts w:ascii="Arial" w:cs="Arial" w:eastAsia="Arial" w:hAnsi="Arial"/>
                <w:sz w:val="25"/>
                <w:szCs w:val="25"/>
                <w:color w:val="auto"/>
                <w:vertAlign w:val="superscript"/>
              </w:rPr>
              <w:t>(1)(2)</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0.32</w:t>
            </w: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Basic and diluted earnings per subordinated unitholder </w:t>
            </w:r>
            <w:r>
              <w:rPr>
                <w:rFonts w:ascii="Arial" w:cs="Arial" w:eastAsia="Arial" w:hAnsi="Arial"/>
                <w:sz w:val="25"/>
                <w:szCs w:val="25"/>
                <w:color w:val="auto"/>
                <w:vertAlign w:val="superscript"/>
              </w:rPr>
              <w:t>(1)(2)</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0.32</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300" w:hanging="412"/>
        <w:spacing w:after="0" w:line="259" w:lineRule="auto"/>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Basic and diluted earnings per common and subordinated unit ("EPU") for each quarter is computed using the weighted average units outstanding during that quarter, while EPU for the period from August 4, 2014 through December 31, 2014 is computed using the weighted average units outstanding for the period. As a result, the sum of the EPU for each of the quarters subsequent to the IPO may not equal the EPU for the period from August 4, 2014 through December 31, 2014.</w:t>
      </w:r>
    </w:p>
    <w:p>
      <w:pPr>
        <w:spacing w:after="0" w:line="24" w:lineRule="exact"/>
        <w:rPr>
          <w:rFonts w:ascii="Arial" w:cs="Arial" w:eastAsia="Arial" w:hAnsi="Arial"/>
          <w:sz w:val="18"/>
          <w:szCs w:val="18"/>
          <w:color w:val="auto"/>
        </w:rPr>
      </w:pPr>
    </w:p>
    <w:p>
      <w:pPr>
        <w:ind w:left="420" w:right="40" w:hanging="412"/>
        <w:spacing w:after="0" w:line="277" w:lineRule="auto"/>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quarterly net income per common and subordinated unit since the completion of the Partnership's IPO on August 4, 2014. See Note 10 to the consolidated and combined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53"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Exchange Act, as of the end of the period covered by this Annual Report on Form 10-K. Based upon that evaluation, our President and Chief Executive Officer and our Senior Vice President and Chief Financial Officer concluded that our disclosure controls and procedures were effective as of December 31, 2015 to provide reasonable assurance that information required to be disclosed by us in the reports that we file or submit under the Exchange Act is recorded, processed, summarized and reported within the time periods specified in the SEC's rules and forms, and is accumulated and communicated to management as appropriate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Management's report on internal control over financial reporting appears on page 44 of this Annual Report on Form 10-K. In addition, PricewaterhouseCoopers LLP, the independent registered public accounting firm that audited the financial statements included in this Annual Report on Form 10-K, has also audited the effectiveness of internal control over financial reporting as of December 31, 2015, as stated in their report that appears on page 45 of this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There have been no change in our internal control over financial reporting that occurred during the quarter ended December 31, 2015,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121" w:right="27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are managed and operated by the board of directors and executive officers of our general partner, Westlake Chemical Partners GP LLC, a wholly owned subsidiary of Westlake. As a result of owning our general partner, Westlake has the right to appoint all members of the board of directors, including at least three directors meeting the independence standards established by the Exchange Act and the NYSE. Our unitholders are not entitled to elect our general partner or its directors or otherwise directly participate in our management or operations. Our general partner owes certain contractual duties to our unitholders as well as a fiduciary duty to its owner, Westlake.</w:t>
      </w:r>
    </w:p>
    <w:p>
      <w:pPr>
        <w:spacing w:after="0" w:line="134"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Our general partner has seven directors, three of whom are independent as defined under the standards established by the NYSE and the Exchange Act. The NYSE does not require a listed publicly traded partnership, such as ours, to have a majority of independent directors on the board of directors or to establish a compensation committee or a nominating committee. However, our general partner is required to have an audit committee of at least three members, and all its members are required to meet the independence and experience standards established by the NYSE and the Exchange Act.</w:t>
      </w:r>
    </w:p>
    <w:p>
      <w:pPr>
        <w:spacing w:after="0" w:line="100"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All of the executive officers of our general partner listed below allocate their time between managing our business and affairs and the business and affairs of Westlake. The amount of time that our executive officers devote to our business and the business of Westlake varies in any given period based on a variety of factors. We expect our general partner's executive officers to devote as much time as is necessary for the proper conduct of our business and affairs. However, their fiduciary duties to Westlake and other obligations may prevent them from devoting sufficient time to our business and affairs.</w:t>
      </w:r>
    </w:p>
    <w:p>
      <w:pPr>
        <w:spacing w:after="0" w:line="100"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We reimburse our general partner and its affiliates, including Westlake, for all expenses they incur and payments they make on our behalf. Our partnership agreement does not set a limit on the amount of expenses for which our general partner and its affiliates may be reimbursed. For the year ended December 31, 2015, we paid approximately $168.7 million for such expenses. These expenses include those we and OpCo incur under the Services and Secondment Agreement and the Omnibus Agreement, including salary, bonus, incentive compensation and other amounts paid to persons who perform services for us or on our behalf and expenses allocated to our general partner by Westlake.</w:t>
      </w:r>
    </w:p>
    <w:p>
      <w:pPr>
        <w:spacing w:after="0" w:line="119"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In evaluating director candidates for our general partner, Westlake will assess whether a candidate possesses the integrity, judgment, knowledge, experience, skill and expertise that are likely to enhance the board's ability to manage and direct our affairs and business, including, when applicable, to enhance the ability of committees of the board to fulfill their duties.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Our General Partner</w:t>
      </w:r>
    </w:p>
    <w:p>
      <w:pPr>
        <w:spacing w:after="0" w:line="94"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following table shows information for the executive officers and directors of our general partner as of December 31, 2015. Directors hold office until their successors have been elected or qualified or until the earlier of their death, resignation, removal or disqualification. Executive officers serve at the discretion of the board. The President, Chief Executive Officer and Director and the Chairman of the Board of Directors are brothers. Otherwise, there are no familial relationships among any of our general partner's directors or executive officers. Some of the directors and all of the executive officers of our general partner also serve as executive officers of Westlake. The directors and executive officers of our general partner have a fiduciary duty to manage our general partner in a manner beneficial to Westlake. Please read "Item 1A. Risk Factors—Risks Relating to Our Partnership Structure." Each director and executive officer of our general partner will be fully indemnified by us for actions associated with being a director or executive officer to the fullest extent permitted under Delaware law pursuant to our partnership agreement.</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121" w:right="27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(as of December 31,</w:t>
            </w:r>
          </w:p>
        </w:tc>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Position With Our General Partner</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5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Albert Chao</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66</w:t>
            </w:r>
          </w:p>
        </w:tc>
        <w:tc>
          <w:tcPr>
            <w:tcW w:w="120" w:type="dxa"/>
            <w:vAlign w:val="bottom"/>
            <w:tcBorders>
              <w:bottom w:val="single" w:sz="8" w:color="CCEEFF"/>
            </w:tcBorders>
            <w:shd w:val="clear" w:color="auto" w:fill="CCEEFF"/>
          </w:tcPr>
          <w:p>
            <w:pPr>
              <w:spacing w:after="0"/>
              <w:rPr>
                <w:sz w:val="20"/>
                <w:szCs w:val="20"/>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President, Chief Executive Officer and Director</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James Chao</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68</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Chairman of the Board of Directors</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 Steven Bender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59</w:t>
            </w:r>
          </w:p>
        </w:tc>
        <w:tc>
          <w:tcPr>
            <w:tcW w:w="1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Vice President, Chief Financial Officer, Treasurer and Director</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L. Benjamin Ederington</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Vice President, General Counsel and Director</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George Mangieri</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65</w:t>
            </w:r>
          </w:p>
        </w:tc>
        <w:tc>
          <w:tcPr>
            <w:tcW w:w="1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Vice President and Chief Accounting Officer</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Lawrence Teel</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57</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Senior Vice President, Olefins</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Gary K. Adams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65</w:t>
            </w:r>
          </w:p>
        </w:tc>
        <w:tc>
          <w:tcPr>
            <w:tcW w:w="1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Max L. Lukens</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67</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David Lumpkins</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120" w:type="dxa"/>
            <w:vAlign w:val="bottom"/>
            <w:shd w:val="clear" w:color="auto" w:fill="CCEEFF"/>
          </w:tcPr>
          <w:p>
            <w:pPr>
              <w:spacing w:after="0"/>
              <w:rPr>
                <w:sz w:val="20"/>
                <w:szCs w:val="20"/>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33"/>
        </w:trPr>
        <w:tc>
          <w:tcPr>
            <w:tcW w:w="3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b w:val="1"/>
          <w:bCs w:val="1"/>
          <w:i w:val="1"/>
          <w:iCs w:val="1"/>
          <w:color w:val="auto"/>
        </w:rPr>
        <w:t>Albert Chao</w:t>
      </w:r>
      <w:r>
        <w:rPr>
          <w:rFonts w:ascii="Arial" w:cs="Arial" w:eastAsia="Arial" w:hAnsi="Arial"/>
          <w:sz w:val="17"/>
          <w:szCs w:val="17"/>
          <w:color w:val="auto"/>
        </w:rPr>
        <w:t>. Mr. Chao has been our general partner's President and Chief Executive Officer and a director since our general partner's formation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2014 and a director of OpCo's general partner since its formation. Additionally, Mr. Chao has been Westlake's President since May 1996 and a director since June 2003. Mr. Chao became Westlake's Chief Executive Officer in July 2004. Mr. Chao has over 40 years of global experience in the chemical industry. In 1985, Mr. Chao assisted his father, T.T. Chao, and his brother, James Chao, in founding Westlake, where he served as Executive Vice President until he succeeded James Chao as President. He has held positions in the Controller's Group of Mobil Oil Corporation, in the Technical Department of Hercules Incorporated, in the Plastics Group of Gulf Oil Corporation and has served as Assistant to the Chairman of China General Plastics Group and Deputy Managing Director of a plastics fabrication business in Singapore. Mr. Chao is a trustee of Rice University. Mr. Chao received a bachelor's degree from Brandeis University and an M.B.A. from Columbia University.</w:t>
      </w:r>
    </w:p>
    <w:p>
      <w:pPr>
        <w:spacing w:after="0" w:line="12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b w:val="1"/>
          <w:bCs w:val="1"/>
          <w:i w:val="1"/>
          <w:iCs w:val="1"/>
          <w:color w:val="auto"/>
        </w:rPr>
        <w:t>James Chao</w:t>
      </w:r>
      <w:r>
        <w:rPr>
          <w:rFonts w:ascii="Arial" w:cs="Arial" w:eastAsia="Arial" w:hAnsi="Arial"/>
          <w:sz w:val="18"/>
          <w:szCs w:val="18"/>
          <w:color w:val="auto"/>
        </w:rPr>
        <w:t>. Mr. Chao has been a director since our general partner's formation in March 2014 and Chairman of the Board since July 2014 and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OpCo's general partner since January 2016. Mr. Chao has also been Westlake's Chairman of the Board since July 2004 and became a director in June 2003. From May 1996 to July 2004, he served as Westlake's Vice Chairman. Mr. Chao also has responsibility for the oversight of Westlake's Vinyls business. Mr. Chao has over 45 years of global experience in the chemical industry. From June 2003 until November 2010, Mr. Chao was the executive chairman of Titan Chemicals Corp. Bhd. He has served as a Special Assistant to the Chairman of China General Plastics Group and worked in various financial, managerial and technical positions at Mattel Incorporated, Developmental Bank of Singapore, Singapore Gulf Plastics Pte. Ltd. and Gulf Oil Corporation. Mr. Chao, along with his brother, Albert Chao, assisted their father, T.T. Chao, in founding Westlake. Mr. Chao is on the board of Baylor College of Medicine and KIPP (Knowledge is Power Program). Mr. Chao received his B.S. degree from Massachusetts Institute of Technology and an M.B.A. from Columbia University.</w:t>
      </w:r>
    </w:p>
    <w:p>
      <w:pPr>
        <w:spacing w:after="0" w:line="143"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b w:val="1"/>
          <w:bCs w:val="1"/>
          <w:i w:val="1"/>
          <w:iCs w:val="1"/>
          <w:color w:val="auto"/>
        </w:rPr>
        <w:t>M. Steven Bender</w:t>
      </w:r>
      <w:r>
        <w:rPr>
          <w:rFonts w:ascii="Arial" w:cs="Arial" w:eastAsia="Arial" w:hAnsi="Arial"/>
          <w:sz w:val="17"/>
          <w:szCs w:val="17"/>
          <w:color w:val="auto"/>
        </w:rPr>
        <w:t>. Mr. Bender has been our general partner's Senior Vice President, Chief Financial Officer and a director since our general partner's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formation in March 2014 and our general partner's treasurer since April 2015. Mr. Bender has also been Westlake's Senior Vice President and Chief Financial Officer since February 2008. In addition, Mr. Bender has served as its Treasurer since July 2011, a position he also held from February 2008 until December 2010. From February 2007 to February 2008, Mr. Bender served as Westlake's Vice President, Chief Financial Officer and Treasurer and from June 2005 to February 2007, he served as its Vice President and Treasurer. From June 2002 until June 2005, Mr. Bender served as Vice President and Treasurer of KBR, Inc. and from 1996 to 2002 he held the position of Assistant Treasurer for Halliburton Company. Prior to that, he held various financial positions within that company. Additionally, he was employed by Texas Eastern Corporation for over a decade in a variety of increasingly responsible audit, finance and treasury positions. Mr. Bender received a Bachelor of Business Administration from Texas A&amp;M University and an M.B.A. from Southern Methodist University. Mr. Bender is also a Certified Public Accountant.</w:t>
      </w:r>
    </w:p>
    <w:p>
      <w:pPr>
        <w:spacing w:after="0" w:line="128"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b w:val="1"/>
          <w:bCs w:val="1"/>
          <w:i w:val="1"/>
          <w:iCs w:val="1"/>
          <w:color w:val="auto"/>
        </w:rPr>
        <w:t>L. Benjamin Ederington</w:t>
      </w:r>
      <w:r>
        <w:rPr>
          <w:rFonts w:ascii="Arial" w:cs="Arial" w:eastAsia="Arial" w:hAnsi="Arial"/>
          <w:sz w:val="17"/>
          <w:szCs w:val="17"/>
          <w:color w:val="auto"/>
        </w:rPr>
        <w:t>. Mr. Ederington has been our general partner's Vice President, General Counsel and Secretary and a director since our general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formation in March 2014. He has also been Westlake's Vice President, General Counsel and Corporate Secretary since October 2013, and Westlake's Vice President, General Counsel, Chief Administrative Officer and Corporate Secretary since December 2015. Prior to joining Westlake, he held a variety of senior legal positions at LyondellBasell Industries, N.V. and its predecessor companies, LyondellBasell Industries AF SCA and Lyondell Chemical Company, including most recently as Associate General Counsel, Commercial &amp; Strategic Transactions from March 2010 to September 2013 and interim Director of Government Affairs from March 2010 to April 2011. He began his legal career more than 19 years ago at the law firm of Steptoe &amp; Johnson, LLP. Mr. Ederington holds a B.A. from Yale University and received his J.D. from Harvard University.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b w:val="1"/>
          <w:bCs w:val="1"/>
          <w:i w:val="1"/>
          <w:iCs w:val="1"/>
          <w:color w:val="auto"/>
        </w:rPr>
        <w:t>George J. Mangieri</w:t>
      </w:r>
      <w:r>
        <w:rPr>
          <w:rFonts w:ascii="Arial" w:cs="Arial" w:eastAsia="Arial" w:hAnsi="Arial"/>
          <w:sz w:val="16"/>
          <w:szCs w:val="16"/>
          <w:color w:val="auto"/>
        </w:rPr>
        <w:t>. Mr. Mangieri has been our general partner's Vice President and Chief Accounting Officer since our general partner's formation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2014. Mr. Mangieri has held those same positions for Westlake since February 2007. From April 2000 to February 2007, he was its Vice President and Controller. Prior to joining Westlake, Mr. Mangieri served as Vice President and Controller of Zurn Industries, Inc. from 1998 to 2000. He previously was employed as Vice President and Controller for Imo Industries, Inc. in New Jersey, and spent over 10 years in public accounting with Ernst &amp; Young LLP, where he served as Senior Manager. He received his Bachelor of Science degree from Monmouth College and is a Certified Public Accountant.</w:t>
      </w:r>
    </w:p>
    <w:p>
      <w:pPr>
        <w:spacing w:after="0" w:line="10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b w:val="1"/>
          <w:bCs w:val="1"/>
          <w:i w:val="1"/>
          <w:iCs w:val="1"/>
          <w:color w:val="auto"/>
        </w:rPr>
        <w:t>Lawrence (Skip) Teel</w:t>
      </w:r>
      <w:r>
        <w:rPr>
          <w:rFonts w:ascii="Arial" w:cs="Arial" w:eastAsia="Arial" w:hAnsi="Arial"/>
          <w:sz w:val="17"/>
          <w:szCs w:val="17"/>
          <w:color w:val="auto"/>
        </w:rPr>
        <w:t>. Mr. Teel has been our general partner's Senior Vice President, Olefins since July 2014. Mr. Teel has been Westlake's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Olefins since July 2014. From July 2012 to July 2014, he served as Westlake's Vice President, Olefins. Mr. Teel joined Westlake in September 2009 as Director, Olefins and Feedstock after a 23-year career with Lyondell Chemical Company where he served as the Vice President, Refining from August 2006 to May 2008. From 2001 to 2006, Mr. Teel held the position of Director, Corporate Planning and Business Development at Lyondell Chemical Company. During his career, he has held a variety of marketing, operations and general management assignments. Mr. Teel received a B.S. in Chemical Engineering from New Mexico State University and an M.S. in Finance from the University of Houston.</w:t>
      </w:r>
    </w:p>
    <w:p>
      <w:pPr>
        <w:spacing w:after="0" w:line="12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b w:val="1"/>
          <w:bCs w:val="1"/>
          <w:i w:val="1"/>
          <w:iCs w:val="1"/>
          <w:color w:val="auto"/>
        </w:rPr>
        <w:t>Gary K. Adams</w:t>
      </w:r>
      <w:r>
        <w:rPr>
          <w:rFonts w:ascii="Arial" w:cs="Arial" w:eastAsia="Arial" w:hAnsi="Arial"/>
          <w:sz w:val="17"/>
          <w:szCs w:val="17"/>
          <w:color w:val="auto"/>
        </w:rPr>
        <w:t>. Mr. Adams has been a director of our general partner since July 2014 and serves on the audit and conflicts committees. He has over 40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of experience in the hydrocarbon processing industry and started his career with Union Carbide Corporation, advancing through various manufacturing and commercial assignments over a 15-year period. Mr. Adams currently serves as chief advisor on chemicals to IHS Inc. ("IHS"). He previously served more than 20 years with Chemical Market Association Inc. ("CMAI"), during which he progressed to president, CEO and chairman of CMAI in 1997, serving in those roles until CMAI was acquired by IHS in 2011. He also serves as a director of Phillip 66 Partners GP LLC and is the lead director and chair of its conflicts committee and a member of its audit committee. He is also a director of Trecora Resources and a member of its compensation and nomination and governance committees. Mr. Adams holds a B.S. from the University of Arkansas.</w:t>
      </w:r>
    </w:p>
    <w:p>
      <w:pPr>
        <w:spacing w:after="0" w:line="124" w:lineRule="exact"/>
        <w:rPr>
          <w:sz w:val="20"/>
          <w:szCs w:val="20"/>
          <w:color w:val="auto"/>
        </w:rPr>
      </w:pPr>
    </w:p>
    <w:p>
      <w:pPr>
        <w:ind w:right="60" w:firstLine="392"/>
        <w:spacing w:after="0" w:line="270" w:lineRule="auto"/>
        <w:rPr>
          <w:sz w:val="20"/>
          <w:szCs w:val="20"/>
          <w:color w:val="auto"/>
        </w:rPr>
      </w:pPr>
      <w:r>
        <w:rPr>
          <w:rFonts w:ascii="Arial" w:cs="Arial" w:eastAsia="Arial" w:hAnsi="Arial"/>
          <w:sz w:val="17"/>
          <w:szCs w:val="17"/>
          <w:b w:val="1"/>
          <w:bCs w:val="1"/>
          <w:i w:val="1"/>
          <w:iCs w:val="1"/>
          <w:color w:val="auto"/>
        </w:rPr>
        <w:t>Max L. Lukens</w:t>
      </w:r>
      <w:r>
        <w:rPr>
          <w:rFonts w:ascii="Arial" w:cs="Arial" w:eastAsia="Arial" w:hAnsi="Arial"/>
          <w:sz w:val="17"/>
          <w:szCs w:val="17"/>
          <w:color w:val="auto"/>
        </w:rPr>
        <w:t>. Mr. Lukens has been a director of our general partner since June 2014 and is the Chairman of the audit committee. He has been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Westlake since August 2004. Since May 2006, Mr. Lukens has managed his personal investments. Mr. Lukens served as President and Chief Executive Officer of Stewart &amp; Stevenson Services, Inc. until May 2006 and prior to that served as its Chairman of the Board from December 2002 to March 2004, and Interim Chief Executive Officer and President from September 2003 to March 2004. He was also previously employed by Baker Hughes Incorporated from 1981 to January 2000, where he served as Baker Hughes' Chairman of the Board, President and Chief Executive Officer from 1997 to January 2000. Between 2003 and 2009, he served as a director of NCI Building Systems, Inc. He also served as a director of The Pep Boys-Manny, Moe &amp; Jack from August 2006 until October 2007 and again from June 2009 until September 2011. He was also Chairman of the Board of that company from June 2009 until he resigned in September 2011. Mr. Lukens was a Certified Public Accountant with Deloitte Haskins &amp; Sells for 10 years and received both his B.S. and M.B.A. degrees from Miami University.</w:t>
      </w:r>
    </w:p>
    <w:p>
      <w:pPr>
        <w:spacing w:after="0" w:line="12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b w:val="1"/>
          <w:bCs w:val="1"/>
          <w:i w:val="1"/>
          <w:iCs w:val="1"/>
          <w:color w:val="auto"/>
        </w:rPr>
        <w:t>David Lumpkins</w:t>
      </w:r>
      <w:r>
        <w:rPr>
          <w:rFonts w:ascii="Arial" w:cs="Arial" w:eastAsia="Arial" w:hAnsi="Arial"/>
          <w:sz w:val="18"/>
          <w:szCs w:val="18"/>
          <w:color w:val="auto"/>
        </w:rPr>
        <w:t>. Mr. Lumpkins has been a director of our general partner since January 2015 and serves on the audit and conflicts committees. He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co-founder, and Executive Chairman of the general partner, of PetroLogistics LP until it was acquired by Flint Hills Resources, LLC in July 2014. Previously, Mr. Lumpkins had been affiliated with the private equity firm Lindsay Goldberg, during which time he worked on a number of investment opportunities in the petrochemical and energy midstream industries, including PetroLogistics LP. Prior to his affiliation with Lindsay Goldberg, Mr. Lumpkins worked in the investment banking industry for 17 years, principally for Morgan Stanley and Credit Suisse. In 1995, Mr. Lumpkins opened Morgan Stanley's Houston office and served as head of the firm's southwest region. He is a graduate of the University of Texas where he also received his MBA. Mr. Lumpkins also serves as a director of Crestwood Midstream GP LLC.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accordance with the rules of the NYSE, the board of directors of our general partner currently has three independent directors. The board of directors of our general partner has determined that each of Messrs. Adams, Lukens and Lumpkins is independent as defined under the independence standards established by the NYSE and the Exchange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of our General Partner</w:t>
      </w:r>
    </w:p>
    <w:p>
      <w:pPr>
        <w:spacing w:after="0" w:line="9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board of directors of our general partner has one standing committee: the audit committee. The board of directors of our general partner may also form a conflicts committee from time to time.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 xml:space="preserve">The audit committee of our general partner's board of directors has been established in accordance with Section 3(a)(58)(A) of the Exchange Act, and consists of Messrs. Adams, Lukens and Lumpkins, all of whom are independent. Mr. Lukens is the current Chairman of the audit committee. The board of directors of our general partner has determined that each of Messrs. Adams, Lukens and Lumpkins is an "audit committee financial expert" within the meaning of the SEC rules and "financially literate" within the meaning of the NYSE regulations. The audit committee operates pursuant to a written charter, an electronic copy of which is available on our website at </w:t>
      </w:r>
      <w:r>
        <w:rPr>
          <w:rFonts w:ascii="Arial" w:cs="Arial" w:eastAsia="Arial" w:hAnsi="Arial"/>
          <w:sz w:val="18"/>
          <w:szCs w:val="18"/>
          <w:i w:val="1"/>
          <w:iCs w:val="1"/>
          <w:color w:val="auto"/>
        </w:rPr>
        <w:t>www.wlkpartners.com</w:t>
      </w:r>
      <w:r>
        <w:rPr>
          <w:rFonts w:ascii="Arial" w:cs="Arial" w:eastAsia="Arial" w:hAnsi="Arial"/>
          <w:sz w:val="18"/>
          <w:szCs w:val="18"/>
          <w:color w:val="auto"/>
        </w:rPr>
        <w:t>.</w:t>
      </w:r>
    </w:p>
    <w:p>
      <w:pPr>
        <w:spacing w:after="0" w:line="134"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The audit committee assists the board of directors of our general partner in its oversight of the integrity of our consolidated and combined financial statements and our compliance with legal and regulatory requirements and partnership policies and controls. The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is given unrestricted access to the audit committee and our management, as necessary.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90"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As set forth in the limited liability company agreement of our general partner, our general partner's board of directors may, from time to time, form a conflicts committee to which the board of directors of our general partner will appoint independent directors and which may be asked to review specific matters that the board believes may involve conflicts of interest between us, our limited partners and Westlake. The conflicts committee will determine the resolution of the conflict of interest in any manner referred to it in good faith. The members of the conflicts committee may not be officers or employees of our general partner or directors, officers or employees of its affiliates, including Westlake, and must meet the independence standards established by the NYSE and the Exchange Act to serve on an audit committee of a board of directors, along with other requirements in our partnership agreement. Messrs. Adams and Lumpkins currently serve on the conflicts committee. Any matters approved by the conflicts committee in good faith will be conclusively deemed to be fair and reasonable to us, approved by all of our partners and not a breach by our general partner of any duties it may owe us or our unitholders.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w:t>
      </w:r>
    </w:p>
    <w:p>
      <w:pPr>
        <w:spacing w:after="0" w:line="9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During the last fiscal year, our general partner's board of directors had ten meetings, our general partner's audit committee had seven meetings and our general partner's conflicts committee had nine meetings. None of the directors attended fewer than 75% of the aggregate number of meetings of the board of directors and committees of the board on which the director served.</w:t>
      </w:r>
    </w:p>
    <w:p>
      <w:pPr>
        <w:spacing w:after="0" w:line="12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board of directors holds regular executive sessions in which the independent directors meet without any non-independent directors or members of management. The purpose of these executive sessions is to promote open and candid discussion among the independent directors. The rules of the NYSE require that one of the independent directors must preside over each executive session, and the role of presiding director is rotated among each of the independent directors.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 of Directors</w:t>
      </w:r>
    </w:p>
    <w:p>
      <w:pPr>
        <w:spacing w:after="0" w:line="94"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A holder of our units or other interested party who wishes to communicate with the non-management directors may do so by contacting our corporate secretary at the address or phone number appearing on the front page of this report. Communications will be relayed to the intended recipient of the board of directors except in instances where it is deemed unnecessary or inappropriate to do so pursuant to the procedures established by the audit committee. Any communications withheld under those guidelines will nonetheless be recorded and available for any director who wishes to review them.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 and Code of Ethics</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 xml:space="preserve">We have a Code of Ethics for the Principal Executive Officer, Principal Financial Officer and Principal Accounting Officer (the "Code of Ethics") that applies to each of the Principal Executive, Financial and Accounting Officers of our general partner, as required by Section 406 of the Sarbanes-Oxley Act of 2002. Furthermore, we have Principles of Corporate Governance and a charter for our audit committee. Each of the foregoing is available on our website at </w:t>
      </w:r>
      <w:r>
        <w:rPr>
          <w:rFonts w:ascii="Arial" w:cs="Arial" w:eastAsia="Arial" w:hAnsi="Arial"/>
          <w:sz w:val="17"/>
          <w:szCs w:val="17"/>
          <w:i w:val="1"/>
          <w:iCs w:val="1"/>
          <w:color w:val="auto"/>
        </w:rPr>
        <w:t xml:space="preserve">www.wlkpartners.com </w:t>
      </w:r>
      <w:r>
        <w:rPr>
          <w:rFonts w:ascii="Arial" w:cs="Arial" w:eastAsia="Arial" w:hAnsi="Arial"/>
          <w:sz w:val="17"/>
          <w:szCs w:val="17"/>
          <w:color w:val="auto"/>
        </w:rPr>
        <w:t>in the "Corporate Governance" section of our Investor Relations tab. We provide copies, free of charge, of any of the foregoing upon</w:t>
      </w:r>
      <w:r>
        <w:rPr>
          <w:rFonts w:ascii="Arial" w:cs="Arial" w:eastAsia="Arial" w:hAnsi="Arial"/>
          <w:sz w:val="17"/>
          <w:szCs w:val="17"/>
          <w:i w:val="1"/>
          <w:iCs w:val="1"/>
          <w:color w:val="auto"/>
        </w:rPr>
        <w:t xml:space="preserve"> </w:t>
      </w:r>
      <w:r>
        <w:rPr>
          <w:rFonts w:ascii="Arial" w:cs="Arial" w:eastAsia="Arial" w:hAnsi="Arial"/>
          <w:sz w:val="17"/>
          <w:szCs w:val="17"/>
          <w:color w:val="auto"/>
        </w:rPr>
        <w:t>receipt of a written request. We disclose amendments and director and executive officer waivers with regard to the Code of Ethics, if any, on our website or by filing a Current Report on Form 8-K to the extent required. Furthermore, the certifications of our general partner's Chief Executive Officer and Chief Financial Officer, as required by Section 302 of the Sarbanes-Oxley Act, have been included as exhibits to this report.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Corporate Governance Listing Standards</w:t>
      </w:r>
    </w:p>
    <w:p>
      <w:pPr>
        <w:spacing w:after="0" w:line="94"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NYSE requires the chief executive officer of each listed company to certify annually that he is not aware of any violation by the company of the NYSE corporate governance listing standards as of the date of the certification, qualifying the certification to the extent necessary. The Chief Executive Officer of our general partner provided such certification to the NYSE in 2015 without qualification. You can also find information about us at the offices of the NYSE, 20 Broad Street, New York, New York 10005 or at the NYSE's Internet site (</w:t>
      </w:r>
      <w:r>
        <w:rPr>
          <w:rFonts w:ascii="Arial" w:cs="Arial" w:eastAsia="Arial" w:hAnsi="Arial"/>
          <w:sz w:val="17"/>
          <w:szCs w:val="17"/>
          <w:i w:val="1"/>
          <w:iCs w:val="1"/>
          <w:color w:val="auto"/>
        </w:rPr>
        <w:t>www.nyse.com</w:t>
      </w:r>
      <w:r>
        <w:rPr>
          <w:rFonts w:ascii="Arial" w:cs="Arial" w:eastAsia="Arial" w:hAnsi="Arial"/>
          <w:sz w:val="17"/>
          <w:szCs w:val="17"/>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Section 16(a) of the Exchange Act requires the executive officers and directors of our general partner and persons who beneficially own more than 10% of our common units to file reports of securities ownership and changes in such ownership with the SEC. Officers, directors and greater than 10% beneficial owners also are required by rules promulgated by the SEC to furnish us with copies of all Section 16(a) forms they file. Based solely upon a review of all Forms 3, 4 and 5, including any amendments, filed with the SEC in 2015, all required report filings by the directors and executive officers and greater than 10% affiliated beneficial owners were timely made.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20" w:firstLine="392"/>
        <w:spacing w:after="0" w:line="255" w:lineRule="auto"/>
        <w:rPr>
          <w:sz w:val="20"/>
          <w:szCs w:val="20"/>
          <w:color w:val="auto"/>
        </w:rPr>
      </w:pPr>
      <w:r>
        <w:rPr>
          <w:rFonts w:ascii="Arial" w:cs="Arial" w:eastAsia="Arial" w:hAnsi="Arial"/>
          <w:sz w:val="18"/>
          <w:szCs w:val="18"/>
          <w:color w:val="auto"/>
        </w:rPr>
        <w:t>Neither we nor our general partner directly employ any of the persons responsible for managing our business. All of our general partner's executive officers are employees of Westlake. In accordance with the terms of the Omnibus Agreement, we reimburse Westlake for compensation-related expenses attributable to the portion of our executive officers' time dedicated to providing services to us. During 2015, Mr. Albert Chao devoted approximately 10% of his total business time to our general partner and us and Mr. Steve Bender devoted approximately 12.5% of his total business time to our general partner and us. The allocation of the executive officers' time in future years and, in turn, future compensation allocations may differ from the time and compensation allocated for each executive officer in 2015.</w:t>
      </w:r>
    </w:p>
    <w:p>
      <w:pPr>
        <w:spacing w:after="0" w:line="139"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Westlake has determined that only the base salary of each of the Westlake executive officers shall be allocated to us based on the percentages of business time set forth above. This is because Westlake's other compensation components such as equity awards of Westlake stock and annual and quarterly cash incentive plans are geared toward specific performance goals of Westlake's business, and not our business. Westlake has significant assets and holdings outside of us and our general partner.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90" w:lineRule="exact"/>
        <w:rPr>
          <w:sz w:val="20"/>
          <w:szCs w:val="20"/>
          <w:color w:val="auto"/>
        </w:rPr>
      </w:pPr>
    </w:p>
    <w:p>
      <w:pPr>
        <w:jc w:val="both"/>
        <w:ind w:right="160" w:firstLine="392"/>
        <w:spacing w:after="0" w:line="264" w:lineRule="auto"/>
        <w:rPr>
          <w:sz w:val="20"/>
          <w:szCs w:val="20"/>
          <w:color w:val="auto"/>
        </w:rPr>
      </w:pPr>
      <w:r>
        <w:rPr>
          <w:rFonts w:ascii="Arial" w:cs="Arial" w:eastAsia="Arial" w:hAnsi="Arial"/>
          <w:sz w:val="18"/>
          <w:szCs w:val="18"/>
          <w:color w:val="auto"/>
        </w:rPr>
        <w:t>For 2015, our named executive officers ("NEOs") consisted of our principal executive officer, Mr. Albert Chao, and our principal financial officer, Mr. Steven Bender. The compensation allocated to us in 2015 for each of the other executive officers of our general partner did not exceed $100,000. Therefore, none of the other executive officers are considered NEOs for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Decisions</w:t>
      </w:r>
    </w:p>
    <w:p>
      <w:pPr>
        <w:spacing w:after="0" w:line="90"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Westlake has ultimate decision-making authority with respect to the total compensation of our NEOs that are employed by Westlake. Any such compensation decisions will not be subject to any approvals by the board of directors of our general partner; provided, however, that any awards under the Westlake Chemical Partners LP Long-Term Incentive Plan (the "LTIP") must be approved by the board of directors of our general partner.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Compensation Committee Oversight</w:t>
      </w:r>
    </w:p>
    <w:p>
      <w:pPr>
        <w:spacing w:after="0" w:line="90" w:lineRule="exact"/>
        <w:rPr>
          <w:sz w:val="20"/>
          <w:szCs w:val="20"/>
          <w:color w:val="auto"/>
        </w:rPr>
      </w:pPr>
    </w:p>
    <w:p>
      <w:pPr>
        <w:ind w:right="340" w:firstLine="392"/>
        <w:spacing w:after="0" w:line="259" w:lineRule="auto"/>
        <w:rPr>
          <w:sz w:val="20"/>
          <w:szCs w:val="20"/>
          <w:color w:val="auto"/>
        </w:rPr>
      </w:pPr>
      <w:r>
        <w:rPr>
          <w:rFonts w:ascii="Arial" w:cs="Arial" w:eastAsia="Arial" w:hAnsi="Arial"/>
          <w:sz w:val="18"/>
          <w:szCs w:val="18"/>
          <w:color w:val="auto"/>
        </w:rPr>
        <w:t>The board of directors of Westlake has established a compensation committee (the "Westlake Compensation Committee") to review and provide oversight of the compensation programs of Westlake and the compensation of the principal executive officer of Westlake (the "Westlake PEO"), the other named executive officers of Westlake (together with the Westlake PEO, the "Westlake NEOs") and other employees designated as executive officers of Westlake (collectively, the "Westlake Executives").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Advisors</w:t>
      </w:r>
    </w:p>
    <w:p>
      <w:pPr>
        <w:spacing w:after="0" w:line="90"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color w:val="auto"/>
        </w:rPr>
        <w:t>To assist the Westlake Compensation Committee in respect of its oversight responsibilities, the Westlake Compensation Committee periodically utilizes the services of independent third-party compensation consultants to conduct compensation surveys and determine compensation trends, analyze and assess Westlake's compensation systems and programs (which includes the compensation of the Westlake Executives), review current legal, accounting and administrative matters associated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1" w:right="25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with executive compensation and offer opinions as to the effectiveness and competitiveness of the program. For 2015, the Westlake Compensation Committee directly engaged the services of Towers Watson as a compensation consultant to advise the Westlake Compensation Committee on executive compensation matters. Towers Watson assists the Westlake Compensation Committee by providing updated comparative market data on compensation programs and practices of peer competitors, the broader-based chemical industry and general industry. Towers Watson also assists Westlake with general compensation consultation regarding employees other than the Westlake NEOs. In 2015, Westlake paid Towers Watson approximately $99,000 for executive compensation advisory services and approximately $364,000 for other consulting services (primarily related to potential acquisition due diligence on behalf of Westlake). The decision to engage Towers Watson for the non-executive compensation consulting services was made by management and approved by the Westlake Compensation Committee. In November 2015, the Westlake Compensation Committee assessed whether the work of Towers Watson for Westlake during 2015 raised any conflict of interest and concluded that no conflict of interest exists.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Deliberative Process</w:t>
      </w:r>
    </w:p>
    <w:p>
      <w:pPr>
        <w:spacing w:after="0" w:line="9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establishing target executive compensation, the Westlake Compensation Committee has selected a set of peer group companies (the "Peer Group") that is used as one of the means in helping to establish executive compensation targets. The companies that comprise the Peer Group are selected annually from among companies within the chemical industry of relative comparable size to Westlake, with executive positions of similar scope and responsibility and from among companies with which Westlake may compete for executive talent. The following companies make up the Peer Group as adopted by the Westlake Compensation Committee in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 Products and Chemicals, Inc.</w:t>
            </w:r>
          </w:p>
        </w:tc>
        <w:tc>
          <w:tcPr>
            <w:tcW w:w="72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International Flavors &amp; Fragrances Inc.</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Albemarle Corporation</w:t>
            </w:r>
          </w:p>
        </w:tc>
        <w:tc>
          <w:tcPr>
            <w:tcW w:w="7280" w:type="dxa"/>
            <w:vAlign w:val="bottom"/>
          </w:tcPr>
          <w:p>
            <w:pPr>
              <w:ind w:left="1720"/>
              <w:spacing w:after="0"/>
              <w:rPr>
                <w:sz w:val="20"/>
                <w:szCs w:val="20"/>
                <w:color w:val="auto"/>
              </w:rPr>
            </w:pPr>
            <w:r>
              <w:rPr>
                <w:rFonts w:ascii="Arial" w:cs="Arial" w:eastAsia="Arial" w:hAnsi="Arial"/>
                <w:sz w:val="18"/>
                <w:szCs w:val="18"/>
                <w:color w:val="auto"/>
              </w:rPr>
              <w:t>The Mosaic Company</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Ashland Inc.</w:t>
            </w:r>
          </w:p>
        </w:tc>
        <w:tc>
          <w:tcPr>
            <w:tcW w:w="728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Olin Corporation</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Axiall Corporation</w:t>
            </w:r>
          </w:p>
        </w:tc>
        <w:tc>
          <w:tcPr>
            <w:tcW w:w="7280" w:type="dxa"/>
            <w:vAlign w:val="bottom"/>
          </w:tcPr>
          <w:p>
            <w:pPr>
              <w:ind w:left="1720"/>
              <w:spacing w:after="0"/>
              <w:rPr>
                <w:sz w:val="20"/>
                <w:szCs w:val="20"/>
                <w:color w:val="auto"/>
              </w:rPr>
            </w:pPr>
            <w:r>
              <w:rPr>
                <w:rFonts w:ascii="Arial" w:cs="Arial" w:eastAsia="Arial" w:hAnsi="Arial"/>
                <w:sz w:val="18"/>
                <w:szCs w:val="18"/>
                <w:color w:val="auto"/>
              </w:rPr>
              <w:t>PolyOne Corporation</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Cabot Corporation</w:t>
            </w:r>
          </w:p>
        </w:tc>
        <w:tc>
          <w:tcPr>
            <w:tcW w:w="728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RPM International Inc</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Celanese Corporation</w:t>
            </w:r>
          </w:p>
        </w:tc>
        <w:tc>
          <w:tcPr>
            <w:tcW w:w="7280" w:type="dxa"/>
            <w:vAlign w:val="bottom"/>
          </w:tcPr>
          <w:p>
            <w:pPr>
              <w:ind w:left="1720"/>
              <w:spacing w:after="0"/>
              <w:rPr>
                <w:sz w:val="20"/>
                <w:szCs w:val="20"/>
                <w:color w:val="auto"/>
              </w:rPr>
            </w:pPr>
            <w:r>
              <w:rPr>
                <w:rFonts w:ascii="Arial" w:cs="Arial" w:eastAsia="Arial" w:hAnsi="Arial"/>
                <w:sz w:val="18"/>
                <w:szCs w:val="18"/>
                <w:color w:val="auto"/>
              </w:rPr>
              <w:t>Trinseo S.A.</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CF Industries Holdings, Inc.</w:t>
            </w:r>
          </w:p>
        </w:tc>
        <w:tc>
          <w:tcPr>
            <w:tcW w:w="728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The Valspar Corporation</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Eastman Chemical Company</w:t>
            </w:r>
          </w:p>
        </w:tc>
        <w:tc>
          <w:tcPr>
            <w:tcW w:w="7280" w:type="dxa"/>
            <w:vAlign w:val="bottom"/>
          </w:tcPr>
          <w:p>
            <w:pPr>
              <w:ind w:left="1720"/>
              <w:spacing w:after="0"/>
              <w:rPr>
                <w:sz w:val="20"/>
                <w:szCs w:val="20"/>
                <w:color w:val="auto"/>
              </w:rPr>
            </w:pPr>
            <w:r>
              <w:rPr>
                <w:rFonts w:ascii="Arial" w:cs="Arial" w:eastAsia="Arial" w:hAnsi="Arial"/>
                <w:sz w:val="18"/>
                <w:szCs w:val="18"/>
                <w:color w:val="auto"/>
              </w:rPr>
              <w:t>W.R. Grace &amp; Co.</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43"/>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FMC Corporation</w:t>
            </w:r>
          </w:p>
        </w:tc>
        <w:tc>
          <w:tcPr>
            <w:tcW w:w="7280" w:type="dxa"/>
            <w:vAlign w:val="bottom"/>
            <w:shd w:val="clear" w:color="auto" w:fill="CCEEFF"/>
          </w:tcPr>
          <w:p>
            <w:pPr>
              <w:spacing w:after="0"/>
              <w:rPr>
                <w:sz w:val="21"/>
                <w:szCs w:val="21"/>
                <w:color w:val="auto"/>
              </w:rPr>
            </w:pPr>
          </w:p>
        </w:tc>
      </w:tr>
      <w:tr>
        <w:trPr>
          <w:trHeight w:val="27"/>
        </w:trPr>
        <w:tc>
          <w:tcPr>
            <w:tcW w:w="4140" w:type="dxa"/>
            <w:vAlign w:val="bottom"/>
            <w:shd w:val="clear" w:color="auto" w:fill="CCEEFF"/>
          </w:tcPr>
          <w:p>
            <w:pPr>
              <w:spacing w:after="0"/>
              <w:rPr>
                <w:sz w:val="2"/>
                <w:szCs w:val="2"/>
                <w:color w:val="auto"/>
              </w:rPr>
            </w:pPr>
          </w:p>
        </w:tc>
        <w:tc>
          <w:tcPr>
            <w:tcW w:w="7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As a result of changes in the Peer Group (including the pending acquisition of Airgas Inc. by Air Liquide S.A.) and in order to take into account the size and complexity of Westlake, the Peer Group was adjusted in November 2015 by adding International Flavors Fragrances Inc. and Trinseo S.A. to, and removing Airgas Inc., Chemtura Corporation and Huntsman Corporation from, the Peer Group.</w:t>
      </w:r>
    </w:p>
    <w:p>
      <w:pPr>
        <w:spacing w:after="0" w:line="12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The Westlake Compensation Committee may add or replace companies in the Peer Group as warranted to reflect changes in the size, business profile and publicly-listed status of the companies in the Peer Group to help ensure that companies more comparable in size and business profile to Westlake are included.</w:t>
      </w:r>
    </w:p>
    <w:p>
      <w:pPr>
        <w:spacing w:after="0" w:line="127" w:lineRule="exact"/>
        <w:rPr>
          <w:sz w:val="20"/>
          <w:szCs w:val="20"/>
          <w:color w:val="auto"/>
        </w:rPr>
      </w:pPr>
    </w:p>
    <w:p>
      <w:pPr>
        <w:ind w:right="120" w:firstLine="392"/>
        <w:spacing w:after="0" w:line="270" w:lineRule="auto"/>
        <w:rPr>
          <w:sz w:val="20"/>
          <w:szCs w:val="20"/>
          <w:color w:val="auto"/>
        </w:rPr>
      </w:pPr>
      <w:r>
        <w:rPr>
          <w:rFonts w:ascii="Arial" w:cs="Arial" w:eastAsia="Arial" w:hAnsi="Arial"/>
          <w:sz w:val="17"/>
          <w:szCs w:val="17"/>
          <w:color w:val="auto"/>
        </w:rPr>
        <w:t>In addition to referring to the Peer Group, Towers Watson utilizes survey data from its proprietary general industry and chemical industry databases, including, but not limited to, the Towers Watson CDB Executive Survey as well as the Hay Group Chemicals Industry survey and other relevant market information, that compare the compensation of executives at numerous companies in similar positions as the Westlake NEOs (the "Market Survey"). The Market Survey is used in conjunction with the Peer Group data (collectively, the "Reference Points") to help validate the market findings and more specifically establish market compensation rates for positions for which there are limited Peer Group data and/or for positions that are not industry-specific and for which Westlake would need to recruit on a broader basis (for instance, Chief Financial Officer). Finally, in establishing the target executive compensation, the Westlake Compensation Committee takes a total compensation view to include base pay, cash bonuses and long-term incentive and equity awards, so that as long as the composite total compensation of a Westlake NEO is competitive with the Reference Points, individual components may fall below or above the median of the Reference Points. In conducting its surveys for the Reference Points, Towers Watson reports directly to the Westlake Compensation Committee on each component and on a composite total compensation basis.</w:t>
      </w:r>
    </w:p>
    <w:p>
      <w:pPr>
        <w:spacing w:after="0" w:line="124"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Westlake Compensation Committee meets annually in February to specifically address the compensation of the Westlake NEOs and other Westlake Executives. During this meeting, the Westlake Compensation Committee reviews the achievement of Westlake's goals and objectives, including Westlake's performance relative to its competitors within the commodity chemical industry, including those direct competitors within the Peer Group, and the Westlake Compensation Committee reviews the Reference Points as well as other relevant factors established by the Westlake Compensation Committee for the Westlake PEO and the factors established by the Westlake PEO in setting and approving the other Westlake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NEOs' compensation. During this deliberation, the Westlake PEO is excused from the meeting to allow the other members of the Westlake Compensation Committee to deliberate independently regarding the Westlake PEO's compensation. During this annual review meeting the Westlake PEO also presents his recommendations to the Westlake Compensation Committee regarding the compensation to be provided to the other Westlake NEOs and other Westlake Executives. The Westlake PEO and the Westlake Compensation Committee, after considering data from the Reference Points and other relevant factors, set the compensation for these Westlake Executives.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Program Objectives of Westlake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Westlake has designed and maintains a comprehensive executive compensation program as a means of:</w:t>
      </w:r>
    </w:p>
    <w:p>
      <w:pPr>
        <w:spacing w:after="0" w:line="9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attracting, rewarding and retaining top executive talent in support of Westlake's vision, mission and objectives;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maintaining market competitiveness with Westlake's peer group compensation programs and practices;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encouraging and rewarding the achievement of specific individual, business segment and corporate goals and objectives;</w:t>
      </w:r>
    </w:p>
    <w:p>
      <w:pPr>
        <w:spacing w:after="0" w:line="9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placing a significant portion of total compensation at risk through variable pay components, including upside potential where targeted objectives are exceeded, to promote management action to create added stockholder value;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aligning management interests with the interests of the stockholders;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balancing short-term objectives with long-term strategic initiatives and thinking through the design of both short-term and long-term pay programs.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Compensation Levels</w:t>
      </w:r>
    </w:p>
    <w:p>
      <w:pPr>
        <w:spacing w:after="0" w:line="90" w:lineRule="exact"/>
        <w:rPr>
          <w:sz w:val="20"/>
          <w:szCs w:val="20"/>
          <w:color w:val="auto"/>
        </w:rPr>
      </w:pPr>
    </w:p>
    <w:p>
      <w:pPr>
        <w:ind w:right="20" w:firstLine="392"/>
        <w:spacing w:after="0" w:line="290" w:lineRule="auto"/>
        <w:rPr>
          <w:sz w:val="20"/>
          <w:szCs w:val="20"/>
          <w:color w:val="auto"/>
        </w:rPr>
      </w:pPr>
      <w:r>
        <w:rPr>
          <w:rFonts w:ascii="Arial" w:cs="Arial" w:eastAsia="Arial" w:hAnsi="Arial"/>
          <w:sz w:val="16"/>
          <w:szCs w:val="16"/>
          <w:color w:val="auto"/>
        </w:rPr>
        <w:t>On an annual basis as the Westlake Compensation Committee meets to set the target compensation for the Westlake PEO, other Westlake NEOs and other Westlake Executives, the Westlake Compensation Committee considers the responsibility and scope of the individual job assignments as well as the Westlake Executive's job performance and achievements measured against a variety of goals and objectives. As a first step, the Westlake PEO provides his evaluation of each Westlake Executive based upon the achievement of goals and objectives unique to a business segment or a corporate assignment and an assessment of the Westlake Executive's individual contribution and effort and a variety of managerial success factors. Next, the Westlake Compensation Committee may make its own assessment of each Westlake Executive based upon the interaction Westlake Compensation Committee members have had with the Westlake Executive throughout the year. Lastly, once the Westlake Compensation Committee considers all of these factors in tandem with the Reference Points, the Westlake Compensation Committee establishes the compensation target for each element of the total compensation program.</w:t>
      </w:r>
    </w:p>
    <w:p>
      <w:pPr>
        <w:spacing w:after="0" w:line="108"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b w:val="1"/>
          <w:bCs w:val="1"/>
          <w:color w:val="auto"/>
        </w:rPr>
        <w:t>Base Pay—</w:t>
      </w:r>
      <w:r>
        <w:rPr>
          <w:rFonts w:ascii="Arial" w:cs="Arial" w:eastAsia="Arial" w:hAnsi="Arial"/>
          <w:sz w:val="16"/>
          <w:szCs w:val="16"/>
          <w:color w:val="auto"/>
        </w:rPr>
        <w:t>This element is the principal cash compensation component of Westlake's program and is designed to provide the Westlake Executive with a</w:t>
      </w:r>
      <w:r>
        <w:rPr>
          <w:rFonts w:ascii="Arial" w:cs="Arial" w:eastAsia="Arial" w:hAnsi="Arial"/>
          <w:sz w:val="16"/>
          <w:szCs w:val="16"/>
          <w:b w:val="1"/>
          <w:bCs w:val="1"/>
          <w:color w:val="auto"/>
        </w:rPr>
        <w:t xml:space="preserve"> </w:t>
      </w:r>
      <w:r>
        <w:rPr>
          <w:rFonts w:ascii="Arial" w:cs="Arial" w:eastAsia="Arial" w:hAnsi="Arial"/>
          <w:sz w:val="16"/>
          <w:szCs w:val="16"/>
          <w:color w:val="auto"/>
        </w:rPr>
        <w:t>market-competitive minimum level of compensation. In setting base pay rates for 2015, the Westlake Compensation Committee considered the Reference Points, the scope and range of responsibility, accountability and business impact of the position as well as current economic conditions to aid it in evaluating and matching the positions with the market and setting fair-market competitive base pay targets. In setting base pay rates for Westlake Executives, the Westlake Compensation Committee has determined that, based on advice of its independent consultant, Towers Watson, the base pay of the Westlake Executives can generally be considered as competitive if targeted to be within 90% to 110% of the 50th percentile of the market depending on the performance of the individual Westlake Executive, the magnitude of adjustments deemed necessary by the Westlake Compensation Committee to ensure retention of the Westlake Executive and the performance of Westlake. The Westlake Compensation Committee also recognizes that market pricing is an inexact science and that base pay above or below that range may be required to meet market demand or to recognize individual performance or experience levels. The Westlake Compensation Committee does not set a specific fixed target percentage for any of the Westlake NEOs but generally works to set the base pay of each Westlake NEO to be within the range at its discretion based upon market and performance factors. Base pay is evaluated on an annual basis using then current market information, and the Westlake Compensation Committee may authorize an adjustment to ensure that the Westlake Executive's current base pay is within the acceptable target level as determined by the Westlake Compensation Committee to:</w:t>
      </w:r>
    </w:p>
    <w:p>
      <w:pPr>
        <w:spacing w:after="0" w:line="3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ensure internal equity;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recognize individual performance and contributions;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recognize changes in responsibility or the scope of the Westlake Executive's position.</w:t>
      </w:r>
    </w:p>
    <w:p>
      <w:pPr>
        <w:spacing w:after="0" w:line="17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For further information regarding compensation decisions made by the Westlake Compensation Committee during 2015, see the proxy statement that is expected to be filed by Westlake in connection with its 2016 annual meeting of shareholders. In February 2016, the Westlake Compensation Committee set the base salaries for the Westlake NEOs as follows: $985,000 for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1" w:right="25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Mr. Albert Chao and $525,000 for Mr. Bender. The salaries of Mr. Albert Chao and Mr. Bender were increased from $953,000 and $500,000, respectively, after consideration of the Reference Points.</w:t>
      </w:r>
    </w:p>
    <w:p>
      <w:pPr>
        <w:spacing w:after="0" w:line="193"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b w:val="1"/>
          <w:bCs w:val="1"/>
          <w:color w:val="auto"/>
        </w:rPr>
        <w:t>Employment Agreements; Severance and Change-in-Control Arrangements</w:t>
      </w:r>
      <w:r>
        <w:rPr>
          <w:rFonts w:ascii="Arial" w:cs="Arial" w:eastAsia="Arial" w:hAnsi="Arial"/>
          <w:sz w:val="18"/>
          <w:szCs w:val="18"/>
          <w:color w:val="auto"/>
        </w:rPr>
        <w:t>—Westlake does not have employment agreements with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Westlake NEOs; however, each Westlake Executive, including each of the Westlake NEOs, is typically provided an offer letter of employment containing the principal elements of the employment arrangement, including compensation. None of these offer letters currently contains a provision for payments upon a change in control.</w:t>
      </w:r>
    </w:p>
    <w:p>
      <w:pPr>
        <w:spacing w:after="0" w:line="207" w:lineRule="exact"/>
        <w:rPr>
          <w:sz w:val="20"/>
          <w:szCs w:val="20"/>
          <w:color w:val="auto"/>
        </w:rPr>
      </w:pPr>
    </w:p>
    <w:p>
      <w:pPr>
        <w:ind w:right="20" w:firstLine="405"/>
        <w:spacing w:after="0" w:line="266" w:lineRule="auto"/>
        <w:rPr>
          <w:sz w:val="20"/>
          <w:szCs w:val="20"/>
          <w:color w:val="auto"/>
        </w:rPr>
      </w:pPr>
      <w:r>
        <w:rPr>
          <w:rFonts w:ascii="Arial" w:cs="Arial" w:eastAsia="Arial" w:hAnsi="Arial"/>
          <w:sz w:val="18"/>
          <w:szCs w:val="18"/>
          <w:b w:val="1"/>
          <w:bCs w:val="1"/>
          <w:color w:val="auto"/>
        </w:rPr>
        <w:t>Deferred Compensation Programs</w:t>
      </w:r>
      <w:r>
        <w:rPr>
          <w:rFonts w:ascii="Arial" w:cs="Arial" w:eastAsia="Arial" w:hAnsi="Arial"/>
          <w:sz w:val="18"/>
          <w:szCs w:val="18"/>
          <w:color w:val="auto"/>
        </w:rPr>
        <w:t>—Westlake has no deferred compensation programs except for the standard provisions of Westlake's 401(k) plan</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provisions of Section 125 of the Internal Revenue Code whereby salary is reduced for taxation since the 401(k) contributions are made by employees on a pre-tax basis, thereby reducing their salary and taxable income.</w:t>
      </w:r>
    </w:p>
    <w:p>
      <w:pPr>
        <w:spacing w:after="0" w:line="20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ind w:right="340" w:firstLine="405"/>
        <w:spacing w:after="0" w:line="308" w:lineRule="auto"/>
        <w:rPr>
          <w:sz w:val="20"/>
          <w:szCs w:val="20"/>
          <w:color w:val="auto"/>
        </w:rPr>
      </w:pPr>
      <w:r>
        <w:rPr>
          <w:rFonts w:ascii="Arial" w:cs="Arial" w:eastAsia="Arial" w:hAnsi="Arial"/>
          <w:sz w:val="17"/>
          <w:szCs w:val="17"/>
          <w:color w:val="auto"/>
        </w:rPr>
        <w:t>Neither we nor our general partner has a compensation committee. The board of directors has reviewed and discussed the Company's Compensation Discussion and Analysis with management and, based upon this review, has approved it for inclusion in this report.</w:t>
      </w:r>
    </w:p>
    <w:p>
      <w:pPr>
        <w:spacing w:after="0" w:line="9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w:t>
      </w:r>
    </w:p>
    <w:p>
      <w:pPr>
        <w:spacing w:after="0" w:line="20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THE BOARD OF DIRECTORS OF</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WESTLAKE CHEMICAL PARTNERS GP LLC</w:t>
      </w:r>
    </w:p>
    <w:p>
      <w:pPr>
        <w:spacing w:after="0" w:line="292"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Albert Chao</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James Chao</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Gary K. Adams</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Max L. Lukens</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David Lumpkins</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M. Steven Bender</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L. Benjamin Ederington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provide information regarding the compensation awarded to or earned during 2015 by the NEOs.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Summary Compensation Table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 xml:space="preserve">Portion Allocation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8"/>
                <w:szCs w:val="8"/>
                <w:b w:val="1"/>
                <w:bCs w:val="1"/>
                <w:color w:val="auto"/>
              </w:rPr>
              <w:t>(3)</w:t>
            </w:r>
          </w:p>
        </w:tc>
      </w:tr>
      <w:tr>
        <w:trPr>
          <w:trHeight w:val="228"/>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Albert Chao</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5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953,000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95,300</w:t>
            </w:r>
          </w:p>
        </w:tc>
      </w:tr>
      <w:tr>
        <w:trPr>
          <w:trHeight w:val="229"/>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M. Steven Bender</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Senior Vice President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and Treasurer</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62,500</w:t>
            </w:r>
          </w:p>
        </w:tc>
      </w:tr>
    </w:tbl>
    <w:p>
      <w:pPr>
        <w:spacing w:after="0" w:line="4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26" w:lineRule="exact"/>
        <w:rPr>
          <w:sz w:val="20"/>
          <w:szCs w:val="20"/>
          <w:color w:val="auto"/>
        </w:rPr>
      </w:pPr>
    </w:p>
    <w:p>
      <w:pPr>
        <w:ind w:left="420" w:hanging="412"/>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 "Compensation Discussion and Analysis—Establishing Compensation Levels—Base Pay" for more information on base salary.</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 "Compensation Discussion and Analysis—Overview" for more information on the portion of base salary allocated to us by Westlake.</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the portion of base salary allocated to us by Westlake for the period from January 1, 2015 through December 31,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4"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Officers or employees of Westlake or its affiliates who also serve as directors do not receive additional compensation for such service. The directors who are not also officers or employees of Westlake or its affiliates receive compensation for service on our board of directors and committees thereof. Our general partner implemented an annual retainer compensation package for the non-employee directors valued at approximately $130,000, of which approximately $65,000 is paid in the form of an annual cash retainer and the remaining $65,000 retainer fee is paid in a grant of phantom unit awards under the LTIP. In addition, our general partner pays the audit committee chairman an additional annual amount of $15,000 and each of the members of our general partner's conflicts committee received an additional amount of $15,000 for their service on that committee in 2015.</w:t>
      </w:r>
    </w:p>
    <w:p>
      <w:pPr>
        <w:spacing w:after="0" w:line="12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In addition, each non-employee director is reimbursed for out-of-pocket expenses in connection with attending board and committee meetings. Each director is fully indemnified by us for actions associated with being a director to the fullest extent permitted under Delaware law pursuant to our partnership agreement.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 summary of the compensation we paid to our non-employee directors in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Fees Earned or Paid in</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Phantom Unit Awards</w:t>
            </w:r>
          </w:p>
        </w:tc>
        <w:tc>
          <w:tcPr>
            <w:tcW w:w="180" w:type="dxa"/>
            <w:vAlign w:val="bottom"/>
          </w:tcPr>
          <w:p>
            <w:pPr>
              <w:spacing w:after="0"/>
              <w:rPr>
                <w:sz w:val="16"/>
                <w:szCs w:val="16"/>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All Other</w:t>
            </w:r>
          </w:p>
        </w:tc>
        <w:tc>
          <w:tcPr>
            <w:tcW w:w="380" w:type="dxa"/>
            <w:vAlign w:val="bottom"/>
          </w:tcPr>
          <w:p>
            <w:pPr>
              <w:spacing w:after="0"/>
              <w:rPr>
                <w:sz w:val="16"/>
                <w:szCs w:val="16"/>
                <w:color w:val="auto"/>
              </w:rPr>
            </w:pPr>
          </w:p>
        </w:tc>
        <w:tc>
          <w:tcPr>
            <w:tcW w:w="11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0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Cash</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01"/>
              <w:spacing w:after="0"/>
              <w:rPr>
                <w:sz w:val="20"/>
                <w:szCs w:val="20"/>
                <w:color w:val="auto"/>
              </w:rPr>
            </w:pP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5"/>
              </w:rPr>
              <w:t xml:space="preserve">Compensation </w:t>
            </w:r>
            <w:r>
              <w:rPr>
                <w:rFonts w:ascii="Arial" w:cs="Arial" w:eastAsia="Arial" w:hAnsi="Arial"/>
                <w:sz w:val="8"/>
                <w:szCs w:val="8"/>
                <w:b w:val="1"/>
                <w:bCs w:val="1"/>
                <w:color w:val="auto"/>
                <w:w w:val="95"/>
              </w:rPr>
              <w:t>(2)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Gary K. Adams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148,529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Max L. Lukens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3,529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148,529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David Lumpkins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76,593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130,000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210,505</w:t>
            </w:r>
          </w:p>
        </w:tc>
        <w:tc>
          <w:tcPr>
            <w:tcW w:w="0" w:type="dxa"/>
            <w:vAlign w:val="bottom"/>
          </w:tcPr>
          <w:p>
            <w:pPr>
              <w:spacing w:after="0"/>
              <w:rPr>
                <w:sz w:val="1"/>
                <w:szCs w:val="1"/>
                <w:color w:val="auto"/>
              </w:rPr>
            </w:pPr>
          </w:p>
        </w:tc>
      </w:tr>
      <w:tr>
        <w:trPr>
          <w:trHeight w:val="154"/>
        </w:trPr>
        <w:tc>
          <w:tcPr>
            <w:tcW w:w="504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right="20" w:hanging="332"/>
        <w:spacing w:after="0" w:line="272"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amounts reflected in this column represent the grant date fair value of restricted phantom unit awards granted to the non-employee directors, computed in accordance with FASB ASC Topic 718, as the product of (i) the number of phantom units granted and (ii) the average of the high and low prices of our common units reported on the New York Stock Exchange on the grant date. As of December 31, 2015, Messrs. Adams, Lukens and Lumpkins each held 3,341 phantom units, which will become fully vested on August 19, 2018. In addition, as of December 31, 2015, Messrs. Adams and Lukens each held 2,202 phantom units, which will become fully vested on August 20, 2017 and Mr. Lumpkins held 2,536 phantom units, which will become fully vested on January 30, 2018. In all cases, for vesting to occur, the applicable non-employee director needs to continue to serve on our general partner's board of directors through the applicable date.</w:t>
      </w:r>
    </w:p>
    <w:p>
      <w:pPr>
        <w:spacing w:after="0" w:line="123" w:lineRule="exact"/>
        <w:rPr>
          <w:rFonts w:ascii="Arial" w:cs="Arial" w:eastAsia="Arial" w:hAnsi="Arial"/>
          <w:sz w:val="17"/>
          <w:szCs w:val="17"/>
          <w:color w:val="auto"/>
        </w:rPr>
      </w:pPr>
    </w:p>
    <w:p>
      <w:pPr>
        <w:ind w:left="340" w:right="6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amounts reflected in this column represent the amount of cash paid with respect to distribution equivalent rights granted in tandem with the phantom unit awards.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beneficial ownership of our outstanding common units and subordinated units held by:</w:t>
      </w:r>
    </w:p>
    <w:p>
      <w:pPr>
        <w:spacing w:after="0" w:line="9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Westlake;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director and named executive officer of our general partner;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of the directors and executive officers of our general partner as a group.</w:t>
      </w:r>
    </w:p>
    <w:p>
      <w:pPr>
        <w:spacing w:after="0" w:line="171"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We report the amounts and percentage of units beneficially owned on the basis of regulations of the SEC governing the determination of beneficial ownership of securities. The rules of the SEC deem a person a "beneficial owner" of a security if that person has or shares "voting power" that includes the power to vote or to direct the voting of the security, or "investment power" that includes the power to dispose of or to direct the disposition of the security. In computing the number of common units beneficially owned by a person and the percentage ownership of that person, common units subject to options or warrants held by that person that are currently exercisable or exercisable within 60 days of March 1, 2016, if any, are deemed outstanding, but are not deemed outstanding for computing the percentage ownership of any other person. Unless otherwise noted, the address for each beneficial owner listed below is 2801 Post Oak Boulevard, Suite 600, Houston, Texas 77056. None of the units beneficially owned as set forth below is pledged as security.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2"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404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4"/>
        </w:trPr>
        <w:tc>
          <w:tcPr>
            <w:tcW w:w="1020" w:type="dxa"/>
            <w:vAlign w:val="bottom"/>
            <w:tcBorders>
              <w:top w:val="single" w:sz="8" w:color="0000EE"/>
            </w:tcBorders>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Percentage of</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Percentage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Common Units</w:t>
            </w:r>
          </w:p>
        </w:tc>
        <w:tc>
          <w:tcPr>
            <w:tcW w:w="1540" w:type="dxa"/>
            <w:vAlign w:val="bottom"/>
            <w:gridSpan w:val="2"/>
            <w:vMerge w:val="continue"/>
          </w:tcPr>
          <w:p>
            <w:pPr>
              <w:spacing w:after="0"/>
              <w:rPr>
                <w:sz w:val="12"/>
                <w:szCs w:val="12"/>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Subordinated Units</w:t>
            </w:r>
          </w:p>
        </w:tc>
        <w:tc>
          <w:tcPr>
            <w:tcW w:w="146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Common and</w:t>
            </w: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vMerge w:val="restart"/>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 Units</w:t>
            </w:r>
          </w:p>
        </w:tc>
        <w:tc>
          <w:tcPr>
            <w:tcW w:w="148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Subordinated Units</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Subordinated Units</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Beneficially Owned</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Beneficially Owned</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Westlake Chemical Corporation</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1,436,115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12,686,115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Westlake Chemical Partners GP LLC</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Albert Chao</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James Chao</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1"/>
                <w:szCs w:val="21"/>
                <w:color w:val="auto"/>
              </w:rPr>
            </w:pP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 Steven Bender</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L. Benjamin Ederington</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Gary K. Adams</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Max L. Lukens</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David Lumpkins</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All directors and executive officers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ind w:left="180"/>
              <w:spacing w:after="0"/>
              <w:rPr>
                <w:sz w:val="20"/>
                <w:szCs w:val="20"/>
                <w:color w:val="auto"/>
              </w:rPr>
            </w:pPr>
            <w:r>
              <w:rPr>
                <w:rFonts w:ascii="Arial" w:cs="Arial" w:eastAsia="Arial" w:hAnsi="Arial"/>
                <w:sz w:val="18"/>
                <w:szCs w:val="18"/>
                <w:color w:val="auto"/>
              </w:rPr>
              <w:t>as a group (9 persons)</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257,500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Less than 1% of the outstanding common units.</w:t>
      </w:r>
    </w:p>
    <w:p>
      <w:pPr>
        <w:spacing w:after="0" w:line="171"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The following table sets forth, as of March 1, 2016, the number of shares of common stock of Westlake Chemical Corporation beneficially owned by each director and named executive officer of our general partner and by all directors and executive officers of our general partner as a group:</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Amount and Nature of</w:t>
            </w:r>
          </w:p>
        </w:tc>
        <w:tc>
          <w:tcPr>
            <w:tcW w:w="1360" w:type="dxa"/>
            <w:vAlign w:val="bottom"/>
          </w:tcPr>
          <w:p>
            <w:pPr>
              <w:spacing w:after="0"/>
              <w:rPr>
                <w:sz w:val="14"/>
                <w:szCs w:val="14"/>
                <w:color w:val="auto"/>
              </w:rPr>
            </w:pPr>
          </w:p>
        </w:tc>
      </w:tr>
      <w:tr>
        <w:trPr>
          <w:trHeight w:val="192"/>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2"/>
              </w:rPr>
              <w:t xml:space="preserve">Beneficial Ownership of Common Stock </w:t>
            </w:r>
            <w:r>
              <w:rPr>
                <w:rFonts w:ascii="Arial" w:cs="Arial" w:eastAsia="Arial" w:hAnsi="Arial"/>
                <w:sz w:val="8"/>
                <w:szCs w:val="8"/>
                <w:b w:val="1"/>
                <w:bCs w:val="1"/>
                <w:color w:val="auto"/>
                <w:w w:val="92"/>
              </w:rPr>
              <w:t>(1)</w:t>
            </w:r>
          </w:p>
        </w:tc>
        <w:tc>
          <w:tcPr>
            <w:tcW w:w="136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Directors and Named Executive Officers of Our General Partner</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 xml:space="preserve">Direct </w:t>
            </w:r>
            <w:r>
              <w:rPr>
                <w:rFonts w:ascii="Arial" w:cs="Arial" w:eastAsia="Arial" w:hAnsi="Arial"/>
                <w:sz w:val="8"/>
                <w:szCs w:val="8"/>
                <w:b w:val="1"/>
                <w:bCs w:val="1"/>
                <w:color w:val="auto"/>
              </w:rPr>
              <w:t>(2)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Other</w:t>
            </w:r>
          </w:p>
        </w:tc>
        <w:tc>
          <w:tcPr>
            <w:tcW w:w="8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Percent of Class</w:t>
            </w: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Albert Chao</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922,471</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92,010,554</w:t>
            </w:r>
          </w:p>
        </w:tc>
        <w:tc>
          <w:tcPr>
            <w:tcW w:w="88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3"/>
                <w:szCs w:val="13"/>
                <w:color w:val="auto"/>
              </w:rPr>
              <w:t>(3)(4)</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James Chao</w:t>
            </w:r>
          </w:p>
        </w:tc>
        <w:tc>
          <w:tcPr>
            <w:tcW w:w="1420" w:type="dxa"/>
            <w:vAlign w:val="bottom"/>
          </w:tcPr>
          <w:p>
            <w:pPr>
              <w:jc w:val="right"/>
              <w:spacing w:after="0"/>
              <w:rPr>
                <w:sz w:val="20"/>
                <w:szCs w:val="20"/>
                <w:color w:val="auto"/>
              </w:rPr>
            </w:pPr>
            <w:r>
              <w:rPr>
                <w:rFonts w:ascii="Arial" w:cs="Arial" w:eastAsia="Arial" w:hAnsi="Arial"/>
                <w:sz w:val="18"/>
                <w:szCs w:val="18"/>
                <w:color w:val="auto"/>
              </w:rPr>
              <w:t>181,581</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92,010,554</w:t>
            </w:r>
          </w:p>
        </w:tc>
        <w:tc>
          <w:tcPr>
            <w:tcW w:w="880" w:type="dxa"/>
            <w:vAlign w:val="bottom"/>
          </w:tcPr>
          <w:p>
            <w:pPr>
              <w:jc w:val="right"/>
              <w:ind w:right="397"/>
              <w:spacing w:after="0"/>
              <w:rPr>
                <w:sz w:val="20"/>
                <w:szCs w:val="20"/>
                <w:color w:val="auto"/>
              </w:rPr>
            </w:pPr>
            <w:r>
              <w:rPr>
                <w:rFonts w:ascii="Arial" w:cs="Arial" w:eastAsia="Arial" w:hAnsi="Arial"/>
                <w:sz w:val="13"/>
                <w:szCs w:val="13"/>
                <w:color w:val="auto"/>
              </w:rPr>
              <w:t>(4)(5)</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7"/>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 Steven Bender</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136,405</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L. Benjamin Ederington</w:t>
            </w:r>
          </w:p>
        </w:tc>
        <w:tc>
          <w:tcPr>
            <w:tcW w:w="1420" w:type="dxa"/>
            <w:vAlign w:val="bottom"/>
          </w:tcPr>
          <w:p>
            <w:pPr>
              <w:jc w:val="right"/>
              <w:spacing w:after="0"/>
              <w:rPr>
                <w:sz w:val="20"/>
                <w:szCs w:val="20"/>
                <w:color w:val="auto"/>
              </w:rPr>
            </w:pPr>
            <w:r>
              <w:rPr>
                <w:rFonts w:ascii="Arial" w:cs="Arial" w:eastAsia="Arial" w:hAnsi="Arial"/>
                <w:sz w:val="18"/>
                <w:szCs w:val="18"/>
                <w:color w:val="auto"/>
              </w:rPr>
              <w:t>4,582</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Gary K. Adams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Max L. Lukens</w:t>
            </w:r>
          </w:p>
        </w:tc>
        <w:tc>
          <w:tcPr>
            <w:tcW w:w="1420" w:type="dxa"/>
            <w:vAlign w:val="bottom"/>
          </w:tcPr>
          <w:p>
            <w:pPr>
              <w:jc w:val="right"/>
              <w:spacing w:after="0"/>
              <w:rPr>
                <w:sz w:val="20"/>
                <w:szCs w:val="20"/>
                <w:color w:val="auto"/>
              </w:rPr>
            </w:pPr>
            <w:r>
              <w:rPr>
                <w:rFonts w:ascii="Arial" w:cs="Arial" w:eastAsia="Arial" w:hAnsi="Arial"/>
                <w:sz w:val="18"/>
                <w:szCs w:val="18"/>
                <w:color w:val="auto"/>
              </w:rPr>
              <w:t>17,327</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David Lumpkins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All directors and executive officers as a group (9 persons)</w:t>
            </w:r>
          </w:p>
        </w:tc>
        <w:tc>
          <w:tcPr>
            <w:tcW w:w="1420" w:type="dxa"/>
            <w:vAlign w:val="bottom"/>
          </w:tcPr>
          <w:p>
            <w:pPr>
              <w:jc w:val="right"/>
              <w:spacing w:after="0"/>
              <w:rPr>
                <w:sz w:val="20"/>
                <w:szCs w:val="20"/>
                <w:color w:val="auto"/>
              </w:rPr>
            </w:pPr>
            <w:r>
              <w:rPr>
                <w:rFonts w:ascii="Arial" w:cs="Arial" w:eastAsia="Arial" w:hAnsi="Arial"/>
                <w:sz w:val="18"/>
                <w:szCs w:val="18"/>
                <w:color w:val="auto"/>
              </w:rPr>
              <w:t>1,298,698</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92,010,554</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8"/>
          <w:szCs w:val="18"/>
          <w:color w:val="auto"/>
        </w:rPr>
        <w:t>Less than 1% of the outstanding shares of common stock.</w:t>
      </w:r>
    </w:p>
    <w:p>
      <w:pPr>
        <w:spacing w:after="0" w:line="185"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None of the shares beneficially owned by the directors or officers are pledged as security.</w:t>
      </w:r>
    </w:p>
    <w:p>
      <w:pPr>
        <w:spacing w:after="0" w:line="90" w:lineRule="exact"/>
        <w:rPr>
          <w:rFonts w:ascii="Arial" w:cs="Arial" w:eastAsia="Arial" w:hAnsi="Arial"/>
          <w:sz w:val="18"/>
          <w:szCs w:val="18"/>
          <w:color w:val="auto"/>
        </w:rPr>
      </w:pPr>
    </w:p>
    <w:p>
      <w:pPr>
        <w:ind w:left="340" w:right="160" w:hanging="332"/>
        <w:spacing w:after="0" w:line="293"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amounts include shares of common stock that may be acquired within 60 days from March 1, 2016 through the exercise of options held by Mr. Albert Chao (657,769), Mr. James Chao (70,049), Mr. Bender (92,370), Mr. Ederington (2,668) and all directors and executive officers as a group (834,423). The amounts also include unvested shares of restricted stock held by Mr. Bender (15,818), and all directors and executive officers as a group (31,636), over which such persons have sole voting power but no dispositive power. The amounts also include shares of common stock that may be acquired within 60 days from March 1, 2016 through the vesting of restricted stock units held by Mr. Albert Chao (10,315), Mr. James Chao (11,406), Mr. Bender (2,868), Mr. Ederington (1,914), Mr. Lukens (1,529) and all directors and executive officers as a group (29,460).</w:t>
      </w:r>
    </w:p>
    <w:p>
      <w:pPr>
        <w:spacing w:after="0" w:line="29" w:lineRule="exact"/>
        <w:rPr>
          <w:rFonts w:ascii="Arial" w:cs="Arial" w:eastAsia="Arial" w:hAnsi="Arial"/>
          <w:sz w:val="16"/>
          <w:szCs w:val="16"/>
          <w:color w:val="auto"/>
        </w:rPr>
      </w:pPr>
    </w:p>
    <w:p>
      <w:pPr>
        <w:ind w:left="340" w:right="32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Does not include common stock of Westlake Chemical Corporation owned directly by James Chao and 40,000 shares of common stock owned by the estate of Albert Chao's mother. Albert Chao disclaims beneficial ownership of these shares.</w:t>
      </w:r>
    </w:p>
    <w:p>
      <w:pPr>
        <w:spacing w:after="0" w:line="35" w:lineRule="exact"/>
        <w:rPr>
          <w:rFonts w:ascii="Arial" w:cs="Arial" w:eastAsia="Arial" w:hAnsi="Arial"/>
          <w:sz w:val="18"/>
          <w:szCs w:val="18"/>
          <w:color w:val="auto"/>
        </w:rPr>
      </w:pPr>
    </w:p>
    <w:p>
      <w:pPr>
        <w:ind w:left="340" w:right="100" w:hanging="332"/>
        <w:spacing w:after="0" w:line="276"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Two trusts for the benefit of members of the Chao family, including James Chao and Albert Chao, are the managers of TTWFGP LLC, a Delaware limited liability company, which is the general partner of TTWF LP. The limited partners of TTWF LP are five trusts principally for the benefit of members of the Chao family, including James Chao and Albert Chao and two corporations owned, indirectly or directly, by certain of these trusts and by other entities owned by members of the Chao family, including James Chao and Albert Chao. James Chao, Albert Chao, TTWF LP and TTWFGP LLC share voting and dispositive power with respect to the shares of Westlake's common stock beneficially owned by TTWF LP.</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14"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40" w:right="60"/>
        <w:spacing w:after="0" w:line="324" w:lineRule="auto"/>
        <w:rPr>
          <w:sz w:val="20"/>
          <w:szCs w:val="20"/>
          <w:color w:val="auto"/>
        </w:rPr>
      </w:pPr>
      <w:r>
        <w:rPr>
          <w:rFonts w:ascii="Arial" w:cs="Arial" w:eastAsia="Arial" w:hAnsi="Arial"/>
          <w:sz w:val="18"/>
          <w:szCs w:val="18"/>
          <w:color w:val="auto"/>
        </w:rPr>
        <w:t>James Chao and Albert Chao disclaim beneficial ownership of the 92,010,554 shares held by TTWF LP except to the extent of their respective pecuniary interest therein.</w:t>
      </w:r>
    </w:p>
    <w:p>
      <w:pPr>
        <w:spacing w:after="0" w:line="8" w:lineRule="exact"/>
        <w:rPr>
          <w:sz w:val="20"/>
          <w:szCs w:val="20"/>
          <w:color w:val="auto"/>
        </w:rPr>
      </w:pPr>
    </w:p>
    <w:p>
      <w:pPr>
        <w:ind w:left="340" w:right="30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Does not include common stock of Westlake Chemical Corporation owned directly by Albert Chao and 40,000 shares of common stock owned by the estate of James Chao's mother. James Chao disclaims beneficial ownership of these shares.</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each person known to us who is the beneficial owner of 5% or more of our outstanding common units, other than Westlake, the holdings of which are listed in the first table of this Item 12.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Common Units</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 of Common</w:t>
            </w:r>
          </w:p>
        </w:tc>
        <w:tc>
          <w:tcPr>
            <w:tcW w:w="15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Subordinated Units</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 Common</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20" w:type="dxa"/>
            <w:vAlign w:val="bottom"/>
            <w:vMerge w:val="restart"/>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Units Beneficially</w:t>
            </w:r>
          </w:p>
        </w:tc>
        <w:tc>
          <w:tcPr>
            <w:tcW w:w="1580" w:type="dxa"/>
            <w:vAlign w:val="bottom"/>
            <w:gridSpan w:val="2"/>
            <w:vMerge w:val="continue"/>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Subordinated Units</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Subordinated Units</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Beneficially Owned</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Beneficially Owned</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228"/>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Oppenheimer Funds, Inc. and</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Oppenheimer SteelPath MLP</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Alpha Fund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 World Financial Center</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225 Liberty Street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York, New York 10282</w:t>
            </w:r>
          </w:p>
        </w:tc>
        <w:tc>
          <w:tcPr>
            <w:tcW w:w="1460" w:type="dxa"/>
            <w:vAlign w:val="bottom"/>
            <w:shd w:val="clear" w:color="auto" w:fill="CCEEFF"/>
          </w:tcPr>
          <w:p>
            <w:pPr>
              <w:jc w:val="right"/>
              <w:spacing w:after="0" w:line="257" w:lineRule="exact"/>
              <w:rPr>
                <w:sz w:val="20"/>
                <w:szCs w:val="20"/>
                <w:color w:val="auto"/>
              </w:rPr>
            </w:pPr>
            <w:r>
              <w:rPr>
                <w:rFonts w:ascii="Arial" w:cs="Arial" w:eastAsia="Arial" w:hAnsi="Arial"/>
                <w:sz w:val="18"/>
                <w:szCs w:val="18"/>
                <w:color w:val="auto"/>
              </w:rPr>
              <w:t xml:space="preserve">3,042,683 </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Harvest Fund Advisors LLC</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100 W. Lancaster Avenue, Suite 200</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460" w:type="dxa"/>
            <w:vAlign w:val="bottom"/>
            <w:gridSpan w:val="2"/>
          </w:tcPr>
          <w:p>
            <w:pPr>
              <w:ind w:left="160"/>
              <w:spacing w:after="0"/>
              <w:rPr>
                <w:sz w:val="20"/>
                <w:szCs w:val="20"/>
                <w:color w:val="auto"/>
              </w:rPr>
            </w:pPr>
            <w:r>
              <w:rPr>
                <w:rFonts w:ascii="Arial" w:cs="Arial" w:eastAsia="Arial" w:hAnsi="Arial"/>
                <w:sz w:val="18"/>
                <w:szCs w:val="18"/>
                <w:color w:val="auto"/>
              </w:rPr>
              <w:t>Wayne, PA 19087</w:t>
            </w:r>
          </w:p>
        </w:tc>
        <w:tc>
          <w:tcPr>
            <w:tcW w:w="1460" w:type="dxa"/>
            <w:vAlign w:val="bottom"/>
          </w:tcPr>
          <w:p>
            <w:pPr>
              <w:jc w:val="right"/>
              <w:spacing w:after="0" w:line="275" w:lineRule="exact"/>
              <w:rPr>
                <w:sz w:val="20"/>
                <w:szCs w:val="20"/>
                <w:color w:val="auto"/>
              </w:rPr>
            </w:pPr>
            <w:r>
              <w:rPr>
                <w:rFonts w:ascii="Arial" w:cs="Arial" w:eastAsia="Arial" w:hAnsi="Arial"/>
                <w:sz w:val="18"/>
                <w:szCs w:val="18"/>
                <w:color w:val="auto"/>
              </w:rPr>
              <w:t xml:space="preserve">2,099,098 </w:t>
            </w:r>
            <w:r>
              <w:rPr>
                <w:rFonts w:ascii="Arial" w:cs="Arial" w:eastAsia="Arial" w:hAnsi="Arial"/>
                <w:sz w:val="25"/>
                <w:szCs w:val="25"/>
                <w:color w:val="auto"/>
                <w:vertAlign w:val="superscript"/>
              </w:rPr>
              <w:t>(2)</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36"/>
        </w:trPr>
        <w:tc>
          <w:tcPr>
            <w:tcW w:w="334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340" w:hanging="332"/>
        <w:spacing w:after="0" w:line="26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an Amendment No. 1 to a Schedule 13G filed on February 9, 2016. According to the filing, Oppenheimer Funds, Inc. had shared voting and shared dispositive power over 3,042,683 common units, and Oppenheimer SteelPath MLP Alpha Fund had shared voting and shared dispositive power over 2,690,933 common units.</w:t>
      </w:r>
    </w:p>
    <w:p>
      <w:pPr>
        <w:spacing w:after="0" w:line="46" w:lineRule="exact"/>
        <w:rPr>
          <w:sz w:val="20"/>
          <w:szCs w:val="20"/>
          <w:color w:val="auto"/>
        </w:rPr>
      </w:pPr>
    </w:p>
    <w:p>
      <w:pPr>
        <w:ind w:left="34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a Schedule 13G filed on February 5, 2016. According to the filing, Harvest Fund Advisors LLC had sole voting and dispositive power over 2,099,098 common units.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Units authorized for issuance under the Partnership's Long-Term Incentive Plan (the "LTIP") are summarized in the following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Number of units</w:t>
            </w:r>
          </w:p>
        </w:tc>
        <w:tc>
          <w:tcPr>
            <w:tcW w:w="2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 under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exercise of outstanding</w:t>
            </w:r>
          </w:p>
        </w:tc>
        <w:tc>
          <w:tcPr>
            <w:tcW w:w="240" w:type="dxa"/>
            <w:vAlign w:val="bottom"/>
          </w:tcPr>
          <w:p>
            <w:pPr>
              <w:spacing w:after="0"/>
              <w:rPr>
                <w:sz w:val="12"/>
                <w:szCs w:val="12"/>
                <w:color w:val="auto"/>
              </w:rPr>
            </w:pPr>
          </w:p>
        </w:tc>
        <w:tc>
          <w:tcPr>
            <w:tcW w:w="1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options, warrants and rights</w:t>
            </w: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and rights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70"/>
        </w:trPr>
        <w:tc>
          <w:tcPr>
            <w:tcW w:w="57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Equity compensation plan approved by security holders </w:t>
            </w:r>
            <w:r>
              <w:rPr>
                <w:rFonts w:ascii="Arial" w:cs="Arial" w:eastAsia="Arial" w:hAnsi="Arial"/>
                <w:sz w:val="25"/>
                <w:szCs w:val="25"/>
                <w:color w:val="auto"/>
                <w:vertAlign w:val="superscript"/>
              </w:rPr>
              <w:t>(1)</w:t>
            </w:r>
          </w:p>
        </w:tc>
        <w:tc>
          <w:tcPr>
            <w:tcW w:w="18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16,963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1,253,037</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 not approved by security holders</w:t>
            </w:r>
          </w:p>
        </w:tc>
        <w:tc>
          <w:tcPr>
            <w:tcW w:w="1840" w:type="dxa"/>
            <w:vAlign w:val="bottom"/>
          </w:tcPr>
          <w:p>
            <w:pPr>
              <w:jc w:val="right"/>
              <w:ind w:right="61"/>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ind w:left="1160"/>
              <w:spacing w:after="0"/>
              <w:rPr>
                <w:sz w:val="20"/>
                <w:szCs w:val="20"/>
                <w:color w:val="auto"/>
              </w:rPr>
            </w:pPr>
            <w:r>
              <w:rPr>
                <w:rFonts w:ascii="Arial" w:cs="Arial" w:eastAsia="Arial" w:hAnsi="Arial"/>
                <w:sz w:val="18"/>
                <w:szCs w:val="18"/>
                <w:color w:val="auto"/>
              </w:rPr>
              <w:t>N/A</w:t>
            </w:r>
          </w:p>
        </w:tc>
        <w:tc>
          <w:tcPr>
            <w:tcW w:w="1800" w:type="dxa"/>
            <w:vAlign w:val="bottom"/>
          </w:tcPr>
          <w:p>
            <w:pPr>
              <w:jc w:val="right"/>
              <w:ind w:right="2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16,963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1,253,037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20" w:right="340" w:hanging="412"/>
        <w:spacing w:after="0" w:line="277"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Adopted by our Board of Directors in connection with our IPO. Only phantom unit awards have been granted under the LTIP. There is no weighted-average exercise price associated with these awards.</w:t>
      </w:r>
    </w:p>
    <w:p>
      <w:pPr>
        <w:spacing w:after="0" w:line="116"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For more information about the plan, please see Note 14 to our consolidated and combined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4"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Westlake owns (1) 1,436,115 common units and 12,686,115 subordinated units, representing an aggregate approximate 52.2% limited partner interest in us; (2) a 100% interest in our general partner; and (3) our incentive distribution rights. Transactions with Westlake and its affiliated entities are considered to be related party transactions because Westlake and its affiliates own more than 5% of our equity interests; in addition, certain of Westlake's directors and executive officers serve as directors and executive officers of both Westlake and our general partner.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Whenever a conflict arises between our general partner or its owners, on the one hand, and us or our limited partners, on the other hand, the resolution, course of action or transaction in respect of such conflict of interest shall be conclusively deemed approved by us and all our limited partners and shall not constitute a breach of our partnership agreement, of any agreement contemplated thereby or of any duty, if the resolution, course of action or transaction in respect of such conflict of interest is:</w:t>
      </w:r>
    </w:p>
    <w:p>
      <w:pPr>
        <w:spacing w:after="0" w:line="52"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approved by the conflicts committee of our general partner; or</w:t>
      </w:r>
    </w:p>
    <w:p>
      <w:pPr>
        <w:spacing w:after="0" w:line="90"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approved by the holders of a majority of our outstanding common units, excluding any such units owned by our general partner or any of its affiliates.</w:t>
      </w:r>
    </w:p>
    <w:p>
      <w:pPr>
        <w:spacing w:after="0" w:line="116"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Our general partner may, but is not required to, seek the approval of such resolutions or courses of action from the conflicts committee of its board of directors or from the holders of a majority of the outstanding common units as described above. If our general partner does not seek approval from the conflicts committee or from holders of common units as described above and the board of directors approves the resolution or course of action taken with respect to the conflict of interest, then it will be presumed that, in making its decision, the board of directors acted in good faith, and in any proceeding brought by or on behalf of us or any of our unitholders, the person bringing or prosecuting such proceeding will have the burden of overcoming such presumption and proving that such decision was not in good faith. Unless the resolution of a conflict is specifically provided for in our partnership agreement, the board of directors or its conflicts committee, as applicable, may consider any factors it determines in good faith to consider when resolving a conflict. An independent third party is not required to evaluate the resolution. Under our partnership agreement, all determinations, other actions or failures to act by our general partner, the board of directors or any committee thereof (including the conflicts committee) will be presumed to be "in good faith," and in any proceeding brought by or on behalf of us or any of our unitholders, the person bringing or prosecuting such proceeding will have the burden of overcoming such presumption and proving that such determination was not in good faith.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Approval and Ratification of Transactions with Related Persons</w:t>
      </w:r>
    </w:p>
    <w:p>
      <w:pPr>
        <w:spacing w:after="0" w:line="94"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If a conflict or potential conflict of interest arises between our general partner or its affiliates, on the one hand, and us or our unitholders, on the other hand, the resolution of any such conflict or potential conflict should be addressed by the board of directors in accordance with the provisions of our partnership agreement. At the discretion of the board in light of the circumstances, the resolution may be determined by the board in its entirety or by a conflicts committee meeting the definitional requirements for such a committee under our partnership agreement. In April 2015, in connection with our purchase of an additional 2.7% limited partner interest in OpCo with proceeds from the MLP Revolver, the Conflicts Committee had nine meetings. It also engaged its own legal counsel and financial advisor for these transactions.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and Payments to our General Partner and its Affiliates</w:t>
      </w:r>
    </w:p>
    <w:p>
      <w:pPr>
        <w:spacing w:after="0" w:line="9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will generally make cash distributions to our unitholders, including Westlake, pro rata. In addition, if distributions exceed the minimum quarterly distribution and other higher target distribution levels, Westlake, as the holder of our incentive distribution rights, will be entitled to increasing percentages of the distributions, up to 50% of the distributions above the highest target distribution level.</w:t>
      </w:r>
    </w:p>
    <w:p>
      <w:pPr>
        <w:spacing w:after="0" w:line="127"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Assuming we have sufficient available cash to pay the full minimum quarterly distribution on all of our outstanding units for four quarters, Westlake would receive an annual distribution of approximately $15.5 million on its common and subordinated units. During 2015, we made a $1.1483 per unit distribution to all of our unitholders, resulting in Westlake receiving approximately $16.2 million.</w:t>
      </w:r>
    </w:p>
    <w:p>
      <w:pPr>
        <w:spacing w:after="0" w:line="12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Our general partner and its affiliates are entitled to reimbursement for all expenses they incur on our behalf, including salaries and employee benefit costs for employees who provide services to us, and all other necessary or appropriate expenses allocable to us or reasonably incurred by our general partner and its affiliates in connection with operating our business. Except to the extent specified in the omnibus agreement or services agreement, our general partner will determine the expenses that are allocable to us in good faith, but there is no limit on the amount of expenses for which our general partner and its affiliates will be reimbursed. For the year ended December 31, 2015, we paid approximately $168.7 million for such expenses.</w:t>
      </w:r>
    </w:p>
    <w:p>
      <w:pPr>
        <w:spacing w:after="0" w:line="10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If our general partner withdraws or is removed, its incentive distribution rights will either be sold to the new general partner for cash or converted into common units, in each case for an amount equal to the fair market value of those interests.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we are ever liquidated, the partners, including Westlake, will be entitled to receive liquidating distributions according to their respective capital account balances.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1" w:right="25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Westlake</w:t>
      </w:r>
    </w:p>
    <w:p>
      <w:pPr>
        <w:spacing w:after="0" w:line="94"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agreements described below became effective on August 4, 2014, concurrent with the closing of the IPO. For amounts paid by us or Westlake, as applicable, under the agreements described below, see Note 2 to our consolidated and combined financial statements included in "Item 8. Financial Statements and Supplementary Data."</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required by Item 407(a) of Regulation S-K is included in "Item 10. Directors, Executive Officers and Corporate Governance."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OpCo and Westlake entered into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Under specified circumstances, cost underrecoveries may be carried forward for recovery in subsequent years. Variable costs not incurred by OpCo due to a deficiency in takes are rebated to Westlake.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OpCo and Westlake entered into the Feedstock Supply Agreement, which has an initial term through December 31, 2026 and automatic 12-month renewal periods until terminated at the end of the initial term or any renewal term on 12-months' notice. Under the Feedstock Supply Agreement, Westlake agreed to sell OpCo ethane and other feedstock in amounts sufficient for OpCo to produce the ethylene to be sold under the Ethylene Sales Agreement. The Feedstock Supply Agreement provides that OpCo may obtain feedstock from Westlake based on Westlake's total cost of purchasing and delivering the feedstock, including applicable transportation, storage and other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0"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OpCo and Westlake entered into the Services and Secondment Agreement, pursuant to which OpCo will provide Westlake with various utilities and utility services and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OpCo and Westlake entered into two 50-year site lease agreements (the "Site Leases"). Under the Site Leases, OpCo leases the real property underlying Calvert City Olefins and Lake Charles Olefins and is granted certain use and access rights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 the foregoing repurchase right, OpCo may remove its natural gas liquids processing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0"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entered into the Omnibus Agreement with Westlake and OpCo, pursuant to which we granted Westlake, among other things, a right of first refusal on any proposed transfer of (1) our equity interests in OpCo, (2) the natural gas liquids processing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1" w:right="25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environmental and other losses for which Westlake is not otherwise obligated to indemnify us and certain other losses and liabilities to the extent resulting from the provision of services by Westlake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0"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We, OpCo GP and Westlake entered into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Additional Interests in OpCo; MLP Revolver</w:t>
      </w:r>
    </w:p>
    <w:p>
      <w:pPr>
        <w:spacing w:after="0" w:line="90" w:lineRule="exact"/>
        <w:rPr>
          <w:sz w:val="20"/>
          <w:szCs w:val="20"/>
          <w:color w:val="auto"/>
        </w:rPr>
      </w:pPr>
    </w:p>
    <w:p>
      <w:pPr>
        <w:ind w:right="140" w:firstLine="405"/>
        <w:spacing w:after="0" w:line="288" w:lineRule="auto"/>
        <w:rPr>
          <w:sz w:val="20"/>
          <w:szCs w:val="20"/>
          <w:color w:val="auto"/>
        </w:rPr>
      </w:pPr>
      <w:r>
        <w:rPr>
          <w:rFonts w:ascii="Arial" w:cs="Arial" w:eastAsia="Arial" w:hAnsi="Arial"/>
          <w:sz w:val="16"/>
          <w:szCs w:val="16"/>
          <w:color w:val="auto"/>
        </w:rPr>
        <w:t>On April 29, 2015, we purchased an additional 2.7% newly-issued limited partner interest in OpCo for approximately $135.3 million, resulting in an aggregate 13.3% limited partner interest in OpCo, utilizing proceeds from the MLP Revolver. For more information, please see "Item 5. Market for Registrant's Common Equity, Related Stockholder Matters and Issuer Purchases of Equity Securities—Purchase of Additional Interests in OpCo", and "Item</w:t>
      </w:r>
    </w:p>
    <w:p>
      <w:pPr>
        <w:ind w:right="620" w:firstLine="8"/>
        <w:spacing w:after="0" w:line="261" w:lineRule="auto"/>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Operations—Liquidity and Capital Resources—Indebtedness—MLP Revolver.”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PricewaterhouseCoopers LLP serves as our independent registered public accounting firm.</w:t>
      </w:r>
    </w:p>
    <w:p>
      <w:pPr>
        <w:spacing w:after="0" w:line="171"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The following table presents fees for professional services rendered by PricewaterhouseCoopers LLP in connection with the 2015 and 2014 audits and fees billed by PricewaterhouseCoopers LLP for other services rendered in the years ended December 31, 2014 and December 31, 2015:</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For the year</w:t>
            </w:r>
          </w:p>
        </w:tc>
        <w:tc>
          <w:tcPr>
            <w:tcW w:w="140" w:type="dxa"/>
            <w:vAlign w:val="bottom"/>
          </w:tcPr>
          <w:p>
            <w:pPr>
              <w:spacing w:after="0"/>
              <w:rPr>
                <w:sz w:val="14"/>
                <w:szCs w:val="14"/>
                <w:color w:val="auto"/>
              </w:rPr>
            </w:pPr>
          </w:p>
        </w:tc>
        <w:tc>
          <w:tcPr>
            <w:tcW w:w="112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From August 4,</w:t>
            </w:r>
          </w:p>
        </w:tc>
      </w:tr>
      <w:tr>
        <w:trPr>
          <w:trHeight w:val="149"/>
        </w:trPr>
        <w:tc>
          <w:tcPr>
            <w:tcW w:w="8920" w:type="dxa"/>
            <w:vAlign w:val="bottom"/>
          </w:tcPr>
          <w:p>
            <w:pPr>
              <w:spacing w:after="0"/>
              <w:rPr>
                <w:sz w:val="12"/>
                <w:szCs w:val="12"/>
                <w:color w:val="auto"/>
              </w:rPr>
            </w:pP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ended December</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2014 to December</w:t>
            </w:r>
          </w:p>
        </w:tc>
      </w:tr>
      <w:tr>
        <w:trPr>
          <w:trHeight w:val="192"/>
        </w:trPr>
        <w:tc>
          <w:tcPr>
            <w:tcW w:w="89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31, 2015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31, 2014</w:t>
            </w:r>
          </w:p>
        </w:tc>
      </w:tr>
      <w:tr>
        <w:trPr>
          <w:trHeight w:val="270"/>
        </w:trPr>
        <w:tc>
          <w:tcPr>
            <w:tcW w:w="8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756,190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653,000</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176,647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All other fees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8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932,837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653,000</w:t>
            </w:r>
          </w:p>
        </w:tc>
      </w:tr>
      <w:tr>
        <w:trPr>
          <w:trHeight w:val="20"/>
        </w:trPr>
        <w:tc>
          <w:tcPr>
            <w:tcW w:w="8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line="264"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the aggregate fees for professional services rendered for the audit of the Partnership's financial statements for the year-ended December 31, 2015 and consultations on financial accounting and reporting matters arising during the course of the audit for fiscal year 2015. Also includes the review of the consolidated financial statements included in the Partnership's quarterly reports on Form 10-Q.</w:t>
      </w:r>
    </w:p>
    <w:p>
      <w:pPr>
        <w:spacing w:after="0" w:line="19" w:lineRule="exact"/>
        <w:rPr>
          <w:rFonts w:ascii="Arial" w:cs="Arial" w:eastAsia="Arial" w:hAnsi="Arial"/>
          <w:sz w:val="18"/>
          <w:szCs w:val="18"/>
          <w:color w:val="auto"/>
        </w:rPr>
      </w:pPr>
    </w:p>
    <w:p>
      <w:pPr>
        <w:ind w:left="420" w:hanging="412"/>
        <w:spacing w:after="0"/>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tax services with respect to the preparation of the Partnership's 2014 K-1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Pre-Approval Policy</w:t>
      </w:r>
    </w:p>
    <w:p>
      <w:pPr>
        <w:spacing w:after="0" w:line="9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 xml:space="preserve">The charter of the Audit Committee of the Board of Directors of our general partner, which is available on our website at </w:t>
      </w:r>
      <w:r>
        <w:rPr>
          <w:rFonts w:ascii="Arial" w:cs="Arial" w:eastAsia="Arial" w:hAnsi="Arial"/>
          <w:sz w:val="18"/>
          <w:szCs w:val="18"/>
          <w:i w:val="1"/>
          <w:iCs w:val="1"/>
          <w:color w:val="auto"/>
        </w:rPr>
        <w:t>www.wlkpartners.com</w:t>
      </w:r>
      <w:r>
        <w:rPr>
          <w:rFonts w:ascii="Arial" w:cs="Arial" w:eastAsia="Arial" w:hAnsi="Arial"/>
          <w:sz w:val="18"/>
          <w:szCs w:val="18"/>
          <w:color w:val="auto"/>
        </w:rPr>
        <w:t>, requires the Audit Committee to pre-approve all audit services and non-audit services (other than de minimis non-audit services as defined by the Sarbanes-Oxley Act of 2002) to be provided by our independent registered public accounting firm. The Audit Committee has adopted a pre-approval policy with respect to services that may be performed by the independent registered public accounting firm. Our Audit Committee pre-approved all services provided by PricewaterhouseCoopers during the fiscal year ended December 31, 2015.</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"Item 8. Financial Statements and Supplementary Data" contained elsewhere in this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9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All schedules other than Schedule 2—Valuation and Qualifying Accounts below have been omitted because they are not required under the relevant instructions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Balance at</w:t>
            </w: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Charged to</w:t>
            </w:r>
          </w:p>
        </w:tc>
        <w:tc>
          <w:tcPr>
            <w:tcW w:w="160" w:type="dxa"/>
            <w:vAlign w:val="bottom"/>
          </w:tcPr>
          <w:p>
            <w:pPr>
              <w:spacing w:after="0"/>
              <w:rPr>
                <w:sz w:val="14"/>
                <w:szCs w:val="14"/>
                <w:color w:val="auto"/>
              </w:rPr>
            </w:pPr>
          </w:p>
        </w:tc>
        <w:tc>
          <w:tcPr>
            <w:tcW w:w="15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Additions/</w:t>
            </w:r>
          </w:p>
        </w:tc>
        <w:tc>
          <w:tcPr>
            <w:tcW w:w="112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Accounts Receivable Allowance for Doubtful Accounts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1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of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4"/>
              </w:rPr>
              <w:t xml:space="preserve">(Deductions) </w:t>
            </w:r>
            <w:r>
              <w:rPr>
                <w:rFonts w:ascii="Arial" w:cs="Arial" w:eastAsia="Arial" w:hAnsi="Arial"/>
                <w:sz w:val="12"/>
                <w:szCs w:val="12"/>
                <w:b w:val="1"/>
                <w:bCs w:val="1"/>
                <w:color w:val="auto"/>
                <w:w w:val="94"/>
              </w:rPr>
              <w:t>(1)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2,105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2,065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5620" w:right="3140" w:hanging="5612"/>
        <w:spacing w:after="0" w:line="559" w:lineRule="auto"/>
        <w:tabs>
          <w:tab w:leader="none" w:pos="409" w:val="left"/>
        </w:tabs>
        <w:numPr>
          <w:ilvl w:val="0"/>
          <w:numId w:val="57"/>
        </w:numPr>
        <w:rPr>
          <w:rFonts w:ascii="Arial" w:cs="Arial" w:eastAsia="Arial" w:hAnsi="Arial"/>
          <w:sz w:val="18"/>
          <w:szCs w:val="18"/>
          <w:color w:val="auto"/>
        </w:rPr>
      </w:pPr>
      <w:r>
        <w:rPr>
          <w:rFonts w:ascii="Arial" w:cs="Arial" w:eastAsia="Arial" w:hAnsi="Arial"/>
          <w:sz w:val="18"/>
          <w:szCs w:val="18"/>
          <w:color w:val="auto"/>
        </w:rPr>
        <w:t>2014 deduction represents adjustment for assets retained by Westlake pursuant to the IPO on August 4, 2014. 88</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1006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397"/>
        </w:trPr>
        <w:tc>
          <w:tcPr>
            <w:tcW w:w="1260" w:type="dxa"/>
            <w:vAlign w:val="bottom"/>
          </w:tcPr>
          <w:p>
            <w:pPr>
              <w:spacing w:after="0"/>
              <w:rPr>
                <w:sz w:val="20"/>
                <w:szCs w:val="20"/>
                <w:color w:val="auto"/>
              </w:rPr>
            </w:pPr>
            <w:r>
              <w:rPr>
                <w:rFonts w:ascii="Arial" w:cs="Arial" w:eastAsia="Arial" w:hAnsi="Arial"/>
                <w:sz w:val="18"/>
                <w:szCs w:val="18"/>
                <w:color w:val="auto"/>
              </w:rPr>
              <w:t>2.1</w:t>
            </w:r>
          </w:p>
        </w:tc>
        <w:tc>
          <w:tcPr>
            <w:tcW w:w="10060" w:type="dxa"/>
            <w:vAlign w:val="bottom"/>
          </w:tcPr>
          <w:p>
            <w:pPr>
              <w:ind w:left="220"/>
              <w:spacing w:after="0"/>
              <w:rPr>
                <w:sz w:val="20"/>
                <w:szCs w:val="20"/>
                <w:color w:val="auto"/>
              </w:rPr>
            </w:pPr>
            <w:r>
              <w:rPr>
                <w:rFonts w:ascii="Arial" w:cs="Arial" w:eastAsia="Arial" w:hAnsi="Arial"/>
                <w:sz w:val="18"/>
                <w:szCs w:val="18"/>
                <w:color w:val="auto"/>
                <w:w w:val="92"/>
              </w:rPr>
              <w:t>Equity Purchase Agreement by and among Westlake Chemical Partners LP, Westlake Chemical OpCo LP and WPT LLC, dated as of</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2"/>
              </w:rPr>
              <w:t>April 29, 2015 (incorporated by reference to Exhibit 2.1 to Westlake Chemical Partners LP's Current Report on Form 8-K, filed on April</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30, 2015, File No 001-36567).</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3.1</w:t>
            </w:r>
          </w:p>
        </w:tc>
        <w:tc>
          <w:tcPr>
            <w:tcW w:w="10060" w:type="dxa"/>
            <w:vAlign w:val="bottom"/>
          </w:tcPr>
          <w:p>
            <w:pPr>
              <w:ind w:left="220"/>
              <w:spacing w:after="0"/>
              <w:rPr>
                <w:sz w:val="20"/>
                <w:szCs w:val="20"/>
                <w:color w:val="auto"/>
              </w:rPr>
            </w:pPr>
            <w:r>
              <w:rPr>
                <w:rFonts w:ascii="Arial" w:cs="Arial" w:eastAsia="Arial" w:hAnsi="Arial"/>
                <w:sz w:val="18"/>
                <w:szCs w:val="18"/>
                <w:color w:val="auto"/>
                <w:w w:val="94"/>
              </w:rPr>
              <w:t>Certificate of Limited Partnership of Westlake Chemical Partners LP (incorporated by reference to Exhibit 3.1 to Westlake Chemical</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Partners LP's Registration Statement on Form S-1 (File No. 333-195551), filed on April 29,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10060" w:type="dxa"/>
            <w:vAlign w:val="bottom"/>
          </w:tcPr>
          <w:p>
            <w:pPr>
              <w:ind w:left="220"/>
              <w:spacing w:after="0"/>
              <w:rPr>
                <w:sz w:val="20"/>
                <w:szCs w:val="20"/>
                <w:color w:val="auto"/>
              </w:rPr>
            </w:pPr>
            <w:r>
              <w:rPr>
                <w:rFonts w:ascii="Arial" w:cs="Arial" w:eastAsia="Arial" w:hAnsi="Arial"/>
                <w:sz w:val="18"/>
                <w:szCs w:val="18"/>
                <w:color w:val="auto"/>
                <w:w w:val="91"/>
              </w:rPr>
              <w:t>First Amended and Restated Agreement of Limited Partnership of Westlake Chemical Partners LP (incorporated by reference to Exhibit</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3.1 to 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w:t>
            </w:r>
          </w:p>
        </w:tc>
        <w:tc>
          <w:tcPr>
            <w:tcW w:w="10060" w:type="dxa"/>
            <w:vAlign w:val="bottom"/>
          </w:tcPr>
          <w:p>
            <w:pPr>
              <w:ind w:left="220"/>
              <w:spacing w:after="0"/>
              <w:rPr>
                <w:sz w:val="20"/>
                <w:szCs w:val="20"/>
                <w:color w:val="auto"/>
              </w:rPr>
            </w:pPr>
            <w:r>
              <w:rPr>
                <w:rFonts w:ascii="Arial" w:cs="Arial" w:eastAsia="Arial" w:hAnsi="Arial"/>
                <w:sz w:val="18"/>
                <w:szCs w:val="18"/>
                <w:color w:val="auto"/>
                <w:w w:val="91"/>
              </w:rPr>
              <w:t>Indenture dated as of January 1, 2006 by and among Westlake Chemical Corporation, the potential subsidiary guarantors listed therein</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9"/>
              </w:rPr>
              <w:t>and JPMorgan Chase Bank, National Association, as trustee (incorporated by reference to Exhibit 4.1 to Westlake Chemical</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Corporation's Current Report on Form 8-K, filed on January 13, 2006,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4.2</w:t>
            </w:r>
          </w:p>
        </w:tc>
        <w:tc>
          <w:tcPr>
            <w:tcW w:w="10060" w:type="dxa"/>
            <w:vAlign w:val="bottom"/>
          </w:tcPr>
          <w:p>
            <w:pPr>
              <w:ind w:left="220"/>
              <w:spacing w:after="0"/>
              <w:rPr>
                <w:sz w:val="20"/>
                <w:szCs w:val="20"/>
                <w:color w:val="auto"/>
              </w:rPr>
            </w:pPr>
            <w:r>
              <w:rPr>
                <w:rFonts w:ascii="Arial" w:cs="Arial" w:eastAsia="Arial" w:hAnsi="Arial"/>
                <w:sz w:val="18"/>
                <w:szCs w:val="18"/>
                <w:color w:val="auto"/>
                <w:w w:val="92"/>
              </w:rPr>
              <w:t>First Supplemental Indenture dated as of January 13, 2006 by and among Westlake Chemical Corporation, the subsidiary guarantors</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6"/>
              </w:rPr>
              <w:t>party thereto and JPMorgan Chase Bank, National Association, as trustee (incorporated by reference to Exhibit 4.2 to Westlake</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January 13, 2006,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4.3</w:t>
            </w:r>
          </w:p>
        </w:tc>
        <w:tc>
          <w:tcPr>
            <w:tcW w:w="10060" w:type="dxa"/>
            <w:vAlign w:val="bottom"/>
          </w:tcPr>
          <w:p>
            <w:pPr>
              <w:ind w:left="220"/>
              <w:spacing w:after="0"/>
              <w:rPr>
                <w:sz w:val="20"/>
                <w:szCs w:val="20"/>
                <w:color w:val="auto"/>
              </w:rPr>
            </w:pPr>
            <w:r>
              <w:rPr>
                <w:rFonts w:ascii="Arial" w:cs="Arial" w:eastAsia="Arial" w:hAnsi="Arial"/>
                <w:sz w:val="18"/>
                <w:szCs w:val="18"/>
                <w:color w:val="auto"/>
                <w:w w:val="90"/>
              </w:rPr>
              <w:t>Second Supplemental Indenture, dated as of November 1, 2007, among Westlake Chemical Corporation, the Subsidiary Guarantors (as</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5"/>
              </w:rPr>
              <w:t>defined therein) and The Bank of New York Trust Company, N.A., as trustee (incorporated by reference to Exhibit 4.2 to Westlake</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December 18, 2007,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4.4</w:t>
            </w:r>
          </w:p>
        </w:tc>
        <w:tc>
          <w:tcPr>
            <w:tcW w:w="10060" w:type="dxa"/>
            <w:vAlign w:val="bottom"/>
          </w:tcPr>
          <w:p>
            <w:pPr>
              <w:ind w:left="220"/>
              <w:spacing w:after="0"/>
              <w:rPr>
                <w:sz w:val="20"/>
                <w:szCs w:val="20"/>
                <w:color w:val="auto"/>
              </w:rPr>
            </w:pPr>
            <w:r>
              <w:rPr>
                <w:rFonts w:ascii="Arial" w:cs="Arial" w:eastAsia="Arial" w:hAnsi="Arial"/>
                <w:sz w:val="18"/>
                <w:szCs w:val="18"/>
                <w:color w:val="auto"/>
                <w:w w:val="91"/>
              </w:rPr>
              <w:t>Third Supplemental Indenture, dated as of July 2, 2010, among Westlake Chemical Corporation, the Subsidiary Guarantors (as defined</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5"/>
              </w:rPr>
              <w:t>therein) and The Bank of New York Mellon Trust Company, N.A., as trustee (incorporated by reference to Exhibit 4.2 to Westlake</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July 8, 2010,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4.5</w:t>
            </w:r>
          </w:p>
        </w:tc>
        <w:tc>
          <w:tcPr>
            <w:tcW w:w="10060" w:type="dxa"/>
            <w:vAlign w:val="bottom"/>
          </w:tcPr>
          <w:p>
            <w:pPr>
              <w:ind w:left="220"/>
              <w:spacing w:after="0"/>
              <w:rPr>
                <w:sz w:val="20"/>
                <w:szCs w:val="20"/>
                <w:color w:val="auto"/>
              </w:rPr>
            </w:pPr>
            <w:r>
              <w:rPr>
                <w:rFonts w:ascii="Arial" w:cs="Arial" w:eastAsia="Arial" w:hAnsi="Arial"/>
                <w:sz w:val="18"/>
                <w:szCs w:val="18"/>
                <w:color w:val="auto"/>
                <w:w w:val="91"/>
              </w:rPr>
              <w:t>Fourth Supplemental Indenture, dated as of December 2, 2010, among Westlake Chemical Corporation, the Subsidiary Guarantors (as</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7"/>
              </w:rPr>
              <w:t>defined therein) and The Bank of New York Mellon Trust Company, N.A., as trustee (incorporated by reference to Exhibit 4.2 to</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Westlake Chemical Corporation's Current Report on Form 8-K, filed on December 8, 2010,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4.6</w:t>
            </w:r>
          </w:p>
        </w:tc>
        <w:tc>
          <w:tcPr>
            <w:tcW w:w="10060" w:type="dxa"/>
            <w:vAlign w:val="bottom"/>
          </w:tcPr>
          <w:p>
            <w:pPr>
              <w:ind w:left="220"/>
              <w:spacing w:after="0"/>
              <w:rPr>
                <w:sz w:val="20"/>
                <w:szCs w:val="20"/>
                <w:color w:val="auto"/>
              </w:rPr>
            </w:pPr>
            <w:r>
              <w:rPr>
                <w:rFonts w:ascii="Arial" w:cs="Arial" w:eastAsia="Arial" w:hAnsi="Arial"/>
                <w:sz w:val="18"/>
                <w:szCs w:val="18"/>
                <w:color w:val="auto"/>
                <w:w w:val="93"/>
              </w:rPr>
              <w:t>Fifth Supplemental Indenture, dated as of December 2, 2010, among Westlake Chemical Corporation, the Subsidiary Guarantors (as</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7"/>
              </w:rPr>
              <w:t>defined therein) and The Bank of New York Mellon Trust Company, N.A., as trustee (incorporated by reference to Exhibit 4.3 to</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Westlake Chemical Corporation's Current Report on Form 8-K, filed on December 8, 2010,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4.7</w:t>
            </w:r>
          </w:p>
        </w:tc>
        <w:tc>
          <w:tcPr>
            <w:tcW w:w="10060" w:type="dxa"/>
            <w:vAlign w:val="bottom"/>
          </w:tcPr>
          <w:p>
            <w:pPr>
              <w:ind w:left="220"/>
              <w:spacing w:after="0"/>
              <w:rPr>
                <w:sz w:val="20"/>
                <w:szCs w:val="20"/>
                <w:color w:val="auto"/>
              </w:rPr>
            </w:pPr>
            <w:r>
              <w:rPr>
                <w:rFonts w:ascii="Arial" w:cs="Arial" w:eastAsia="Arial" w:hAnsi="Arial"/>
                <w:sz w:val="18"/>
                <w:szCs w:val="18"/>
                <w:color w:val="auto"/>
                <w:w w:val="91"/>
              </w:rPr>
              <w:t>Supplemental Indenture, dated as of December 31, 2007, among Westlake Chemical Corporation, WPT LLC, Westlake Polymers LLC,</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2"/>
              </w:rPr>
              <w:t>Westlake Petrochemicals LLC, Westlake Styrene LLC, the other subsidiary guarantors party thereto and The Bank of New York Trust</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1"/>
              </w:rPr>
              <w:t>Company, N.A. related to the 6 5/8% senior notes (incorporated by reference to Exhibit 4.6 to Westlake Chemical Corporation's Annual</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Report on Form 10-K for the year ended December 31, 2007, filed on February 20, 2008,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4.8</w:t>
            </w:r>
          </w:p>
        </w:tc>
        <w:tc>
          <w:tcPr>
            <w:tcW w:w="10060" w:type="dxa"/>
            <w:vAlign w:val="bottom"/>
          </w:tcPr>
          <w:p>
            <w:pPr>
              <w:ind w:left="220"/>
              <w:spacing w:after="0"/>
              <w:rPr>
                <w:sz w:val="20"/>
                <w:szCs w:val="20"/>
                <w:color w:val="auto"/>
              </w:rPr>
            </w:pPr>
            <w:r>
              <w:rPr>
                <w:rFonts w:ascii="Arial" w:cs="Arial" w:eastAsia="Arial" w:hAnsi="Arial"/>
                <w:sz w:val="18"/>
                <w:szCs w:val="18"/>
                <w:color w:val="auto"/>
                <w:w w:val="91"/>
              </w:rPr>
              <w:t>Supplemental Indenture, dated as of December 31, 2007, among Westlake Chemical Corporation, WPT LLC, Westlake Polymers LLC,</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2"/>
              </w:rPr>
              <w:t>Westlake Petrochemicals LLC, Westlake Styrene LLC, the other subsidiary guarantors party thereto and The Bank of New York Trust</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2"/>
              </w:rPr>
              <w:t>Company, N.A. related to the 6 ¾% senior notes (incorporated by reference to Exhibit 4.7 to Westlake Chemical Corporation's Annual</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Report on Form 10-K for the year ended December 31, 2007, filed on February 20, 2008,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4.9</w:t>
            </w:r>
          </w:p>
        </w:tc>
        <w:tc>
          <w:tcPr>
            <w:tcW w:w="10060" w:type="dxa"/>
            <w:vAlign w:val="bottom"/>
          </w:tcPr>
          <w:p>
            <w:pPr>
              <w:ind w:left="220"/>
              <w:spacing w:after="0"/>
              <w:rPr>
                <w:sz w:val="20"/>
                <w:szCs w:val="20"/>
                <w:color w:val="auto"/>
              </w:rPr>
            </w:pPr>
            <w:r>
              <w:rPr>
                <w:rFonts w:ascii="Arial" w:cs="Arial" w:eastAsia="Arial" w:hAnsi="Arial"/>
                <w:sz w:val="18"/>
                <w:szCs w:val="18"/>
                <w:color w:val="auto"/>
                <w:w w:val="90"/>
              </w:rPr>
              <w:t>Sixth Supplemental Indenture, dated as of July 17, 2012, among Westlake Chemical Corporation, the Subsidiary Guarantors (as defined</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5"/>
              </w:rPr>
              <w:t>therein) and The Bank of New York Mellon Trust Company, N.A., as trustee (incorporated by reference to Exhibit 4.2 to Westlake</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July 16, 2012,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4.10</w:t>
            </w:r>
          </w:p>
        </w:tc>
        <w:tc>
          <w:tcPr>
            <w:tcW w:w="10060" w:type="dxa"/>
            <w:vAlign w:val="bottom"/>
          </w:tcPr>
          <w:p>
            <w:pPr>
              <w:ind w:left="220"/>
              <w:spacing w:after="0"/>
              <w:rPr>
                <w:sz w:val="20"/>
                <w:szCs w:val="20"/>
                <w:color w:val="auto"/>
              </w:rPr>
            </w:pPr>
            <w:r>
              <w:rPr>
                <w:rFonts w:ascii="Arial" w:cs="Arial" w:eastAsia="Arial" w:hAnsi="Arial"/>
                <w:sz w:val="18"/>
                <w:szCs w:val="18"/>
                <w:color w:val="auto"/>
                <w:w w:val="90"/>
              </w:rPr>
              <w:t>Seventh Supplemental Indenture, dated as of February 12, 2013, among Westlake Chemical Corporation, the Subsidiary Guarantors (as</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6"/>
              </w:rPr>
              <w:t>defined therein) and The Bank of New York Mellon Trust Company, N.A., as trustee (incorporated by reference to Exhibit 4.16 to</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1"/>
              </w:rPr>
              <w:t>Westlake Chemical Corporation's Annual Report on Form 10-K for the year ended December 31, 2012, filed on February 22, 2013, File</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No. 1-32260).</w:t>
            </w:r>
          </w:p>
        </w:tc>
      </w:tr>
      <w:tr>
        <w:trPr>
          <w:trHeight w:val="608"/>
        </w:trPr>
        <w:tc>
          <w:tcPr>
            <w:tcW w:w="1260" w:type="dxa"/>
            <w:vAlign w:val="bottom"/>
          </w:tcPr>
          <w:p>
            <w:pPr>
              <w:spacing w:after="0"/>
              <w:rPr>
                <w:sz w:val="24"/>
                <w:szCs w:val="24"/>
                <w:color w:val="auto"/>
              </w:rPr>
            </w:pPr>
          </w:p>
        </w:tc>
        <w:tc>
          <w:tcPr>
            <w:tcW w:w="10060" w:type="dxa"/>
            <w:vAlign w:val="bottom"/>
          </w:tcPr>
          <w:p>
            <w:pPr>
              <w:ind w:left="4320"/>
              <w:spacing w:after="0"/>
              <w:rPr>
                <w:sz w:val="20"/>
                <w:szCs w:val="20"/>
                <w:color w:val="auto"/>
              </w:rPr>
            </w:pPr>
            <w:r>
              <w:rPr>
                <w:rFonts w:ascii="Arial" w:cs="Arial" w:eastAsia="Arial" w:hAnsi="Arial"/>
                <w:sz w:val="18"/>
                <w:szCs w:val="18"/>
                <w:color w:val="auto"/>
              </w:rPr>
              <w:t>89</w:t>
            </w:r>
          </w:p>
        </w:tc>
      </w:tr>
    </w:tbl>
    <w:p>
      <w:pPr>
        <w:sectPr>
          <w:pgSz w:w="11900" w:h="16838" w:orient="portrait"/>
          <w:cols w:equalWidth="0" w:num="1">
            <w:col w:w="11360"/>
          </w:cols>
          <w:pgMar w:left="240" w:top="121" w:right="29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1008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275"/>
        </w:trPr>
        <w:tc>
          <w:tcPr>
            <w:tcW w:w="1260" w:type="dxa"/>
            <w:vAlign w:val="bottom"/>
          </w:tcPr>
          <w:p>
            <w:pPr>
              <w:spacing w:after="0"/>
              <w:rPr>
                <w:sz w:val="20"/>
                <w:szCs w:val="20"/>
                <w:color w:val="auto"/>
              </w:rPr>
            </w:pPr>
            <w:r>
              <w:rPr>
                <w:rFonts w:ascii="Arial" w:cs="Arial" w:eastAsia="Arial" w:hAnsi="Arial"/>
                <w:sz w:val="18"/>
                <w:szCs w:val="18"/>
                <w:color w:val="auto"/>
              </w:rPr>
              <w:t>4.11</w:t>
            </w:r>
          </w:p>
        </w:tc>
        <w:tc>
          <w:tcPr>
            <w:tcW w:w="10080" w:type="dxa"/>
            <w:vAlign w:val="bottom"/>
          </w:tcPr>
          <w:p>
            <w:pPr>
              <w:ind w:left="220"/>
              <w:spacing w:after="0"/>
              <w:rPr>
                <w:sz w:val="20"/>
                <w:szCs w:val="20"/>
                <w:color w:val="auto"/>
              </w:rPr>
            </w:pPr>
            <w:r>
              <w:rPr>
                <w:rFonts w:ascii="Arial" w:cs="Arial" w:eastAsia="Arial" w:hAnsi="Arial"/>
                <w:sz w:val="18"/>
                <w:szCs w:val="18"/>
                <w:color w:val="auto"/>
                <w:w w:val="98"/>
              </w:rPr>
              <w:t>Supplemental Indenture, dated as of May 1, 2013, among North American Specialty Products LLC, a Delaware limited liability</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company, Westlake Chemical Corporation, the other Subsidiary Guarantors (as defined therein) and The Bank of New York Mellon</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0"/>
              </w:rPr>
              <w:t>Trust Company, N.A., as trustee (incorporated by reference to Exhibit 4.2 to Westlake Chemical Corporation's Quarterly Report on Form</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10-K, filed on July 31, 2013,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4.12</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Supplemental Indenture, dated as of June 1, 2013, among Westlake Pipeline Investments LLC, a Delaware limited liability company,</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8"/>
              </w:rPr>
              <w:t>Westlake Chemical Corporation, the other Subsidiary Guarantors (as defined therein) and The Bank of New York Mellon Trust</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Company, N.A., as trustee (incorporated by reference to Exhibit 4.3 to Westlake Chemical Corporation's Quarterly Report on Form 10-</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K, filed on July 31, 2013,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4.13</w:t>
            </w: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Supplemental Indenture, dated as of June 1, 2013, among Westlake NG IV Corporation, a Delaware corporation, and Westlake NG V</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Corporation, a Delaware corporation, Westlake Chemical Corporation, the other Subsidiary Guarantors (as defined therein) and The</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Bank of New York Mellon Trust Company, N.A., as trustee (incorporated by reference to Exhibit 4.4 to Westlake Chemical</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Corporation's Quarterly Report on Form 10-K, filed on July 31, 2013,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4.14</w:t>
            </w: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Supplemental Indenture dated as of July 17, 2014 among Westlake Chemical OpCo LP, Westlake Chemical Corporation, the other</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6"/>
              </w:rPr>
              <w:t>Subsidiary Guarantors (as defined therein) and The Bank of New York Mellon Trust Company, N.A., as trustee (incorporated by</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9"/>
              </w:rPr>
              <w:t>reference to Westlake Chemical Corporation's Quarterly Report on Form 10-Q, filed on August 6, 2014, File No. 001-32260).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Omnibus Agreement among Westlake Management Services, Inc., Westlake Vinyls Corporation, Westlake Chemical Partners GP LLC,</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Westlake Chemical Partners LP, WPT LLC, Westlake Petrochemicals LLC, Westlake Vinyls, Inc., Westlake Longview Corporation,</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Westlake Chemical OpCo GP LLC, Westlake Chemical OpCo LP, Westlake PVC Corporation, Westlake Styrene LLC and Westlake</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Polymers LLC (incorporated by reference to Exhibit 10.1 to Westlake Chemical Partners LP's Current Report on Form 8-K (File No.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10.2</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Services and Secondment Agreement by and among Westlake Chemical OpCo LP, Westlake Management Services, Inc., Westlake</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Vinyls, Inc., WPT LLC and Westlake Petrochemicals LLC (incorporated by reference to Exhibit 10.2 to Westlake Chemical Partners</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10.3</w:t>
            </w: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Feedstock Supply Agreement between Westlake Petrochemicals LLC and Westlake Chemical OpCo LP (incorporated by reference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9"/>
              </w:rPr>
              <w:t>Exhibit 10.3 to 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Ethylene Sales Agreement between Westlake Chemical OpCo LP, WPT LLC, Westlake Vinyls, Inc. and Westlake Petrochemicals LLC</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(incorporated by reference to Exhibit 10.4 to Westlake Chemical Partners LP's Current Report on Form 8-K (File No. 001-36567) filed</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10.5</w:t>
            </w: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Site Lease Agreement (Calvert City) between Westlake Vinyls, Inc. and Westlake Chemical OpCo LP (incorporated by reference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9"/>
              </w:rPr>
              <w:t>Exhibit 10.5 to 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10.6</w:t>
            </w:r>
          </w:p>
        </w:tc>
        <w:tc>
          <w:tcPr>
            <w:tcW w:w="10080" w:type="dxa"/>
            <w:vAlign w:val="bottom"/>
          </w:tcPr>
          <w:p>
            <w:pPr>
              <w:ind w:left="220"/>
              <w:spacing w:after="0"/>
              <w:rPr>
                <w:sz w:val="20"/>
                <w:szCs w:val="20"/>
                <w:color w:val="auto"/>
              </w:rPr>
            </w:pPr>
            <w:r>
              <w:rPr>
                <w:rFonts w:ascii="Arial" w:cs="Arial" w:eastAsia="Arial" w:hAnsi="Arial"/>
                <w:sz w:val="18"/>
                <w:szCs w:val="18"/>
                <w:color w:val="auto"/>
                <w:w w:val="96"/>
              </w:rPr>
              <w:t>Site Lease Agreement (Lake Charles) between Westlake Petrochemical LLC and Westlake Chemical OpCo LP (incorporated by</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5"/>
              </w:rPr>
              <w:t>reference to Exhibit 10.6 to Westlake Chemical Partners LP's Current Report on Form 8-K (File No. 001-36567) filed on August 8,</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Amended and Restated Limited Partnership Agreement of Westlake Chemical OpCo LP (incorporated by reference to Exhibit 10.7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Westlake Chemical Partners LP Long-Term Incentive Plan (incorporated by reference to Exhibit 10.8 to Westlake Chemical Partners</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Form of Phantom Unit Agreement under the Westlake Chemical Partners LP Long-Term Incentive Plan (incorporated by reference to</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Exhibit 10.14 to Amendment 4 to Westlake Chemical Partner LP's Registration Statement on Form S-1 (File No. 333-195551) filed on</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July 15,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10080" w:type="dxa"/>
            <w:vAlign w:val="bottom"/>
          </w:tcPr>
          <w:p>
            <w:pPr>
              <w:ind w:left="220"/>
              <w:spacing w:after="0"/>
              <w:rPr>
                <w:sz w:val="20"/>
                <w:szCs w:val="20"/>
                <w:color w:val="auto"/>
              </w:rPr>
            </w:pPr>
            <w:r>
              <w:rPr>
                <w:rFonts w:ascii="Arial" w:cs="Arial" w:eastAsia="Arial" w:hAnsi="Arial"/>
                <w:sz w:val="18"/>
                <w:szCs w:val="18"/>
                <w:color w:val="auto"/>
              </w:rPr>
              <w:t>Intercompany Revolving Credit Agreement between Westlake Chemical OpCo LP and Westlake Development Corporation</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(incorporated by reference to Exhibit 10.9 to Westlake Chemical Partners LP's Current Report on Form 8-K (File No. 001-36567) filed</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on August 8, 2014).</w:t>
            </w:r>
          </w:p>
        </w:tc>
      </w:tr>
      <w:tr>
        <w:trPr>
          <w:trHeight w:val="608"/>
        </w:trPr>
        <w:tc>
          <w:tcPr>
            <w:tcW w:w="1260" w:type="dxa"/>
            <w:vAlign w:val="bottom"/>
          </w:tcPr>
          <w:p>
            <w:pPr>
              <w:spacing w:after="0"/>
              <w:rPr>
                <w:sz w:val="24"/>
                <w:szCs w:val="24"/>
                <w:color w:val="auto"/>
              </w:rPr>
            </w:pPr>
          </w:p>
        </w:tc>
        <w:tc>
          <w:tcPr>
            <w:tcW w:w="10080" w:type="dxa"/>
            <w:vAlign w:val="bottom"/>
          </w:tcPr>
          <w:p>
            <w:pPr>
              <w:ind w:left="4320"/>
              <w:spacing w:after="0"/>
              <w:rPr>
                <w:sz w:val="20"/>
                <w:szCs w:val="20"/>
                <w:color w:val="auto"/>
              </w:rPr>
            </w:pPr>
            <w:r>
              <w:rPr>
                <w:rFonts w:ascii="Arial" w:cs="Arial" w:eastAsia="Arial" w:hAnsi="Arial"/>
                <w:sz w:val="18"/>
                <w:szCs w:val="18"/>
                <w:color w:val="auto"/>
              </w:rPr>
              <w:t>90</w:t>
            </w:r>
          </w:p>
        </w:tc>
      </w:tr>
    </w:tbl>
    <w:p>
      <w:pPr>
        <w:sectPr>
          <w:pgSz w:w="11900" w:h="16838" w:orient="portrait"/>
          <w:cols w:equalWidth="0" w:num="1">
            <w:col w:w="11380"/>
          </w:cols>
          <w:pgMar w:left="240" w:top="122" w:right="27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990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275"/>
        </w:trPr>
        <w:tc>
          <w:tcPr>
            <w:tcW w:w="1260" w:type="dxa"/>
            <w:vAlign w:val="bottom"/>
          </w:tcPr>
          <w:p>
            <w:pPr>
              <w:spacing w:after="0"/>
              <w:rPr>
                <w:sz w:val="20"/>
                <w:szCs w:val="20"/>
                <w:color w:val="auto"/>
              </w:rPr>
            </w:pPr>
            <w:r>
              <w:rPr>
                <w:rFonts w:ascii="Arial" w:cs="Arial" w:eastAsia="Arial" w:hAnsi="Arial"/>
                <w:sz w:val="18"/>
                <w:szCs w:val="18"/>
                <w:color w:val="auto"/>
              </w:rPr>
              <w:t>10.11</w:t>
            </w:r>
          </w:p>
        </w:tc>
        <w:tc>
          <w:tcPr>
            <w:tcW w:w="9900" w:type="dxa"/>
            <w:vAlign w:val="bottom"/>
          </w:tcPr>
          <w:p>
            <w:pPr>
              <w:ind w:left="220"/>
              <w:spacing w:after="0"/>
              <w:rPr>
                <w:sz w:val="20"/>
                <w:szCs w:val="20"/>
                <w:color w:val="auto"/>
              </w:rPr>
            </w:pPr>
            <w:r>
              <w:rPr>
                <w:rFonts w:ascii="Arial" w:cs="Arial" w:eastAsia="Arial" w:hAnsi="Arial"/>
                <w:sz w:val="18"/>
                <w:szCs w:val="18"/>
                <w:color w:val="auto"/>
                <w:w w:val="93"/>
              </w:rPr>
              <w:t>Third Amended and Restated Credit Agreement dated as of July 17, 2011 by and among the financial institutions party thereto, as</w:t>
            </w:r>
          </w:p>
        </w:tc>
      </w:tr>
      <w:tr>
        <w:trPr>
          <w:trHeight w:val="216"/>
        </w:trPr>
        <w:tc>
          <w:tcPr>
            <w:tcW w:w="1260" w:type="dxa"/>
            <w:vAlign w:val="bottom"/>
          </w:tcPr>
          <w:p>
            <w:pPr>
              <w:spacing w:after="0"/>
              <w:rPr>
                <w:sz w:val="18"/>
                <w:szCs w:val="18"/>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w w:val="94"/>
              </w:rPr>
              <w:t>lenders, Bank of America, N.A., as agent, and Westlake Chemical Corporation and certain of its North American subsidiaries, as</w:t>
            </w:r>
          </w:p>
        </w:tc>
      </w:tr>
      <w:tr>
        <w:trPr>
          <w:trHeight w:val="216"/>
        </w:trPr>
        <w:tc>
          <w:tcPr>
            <w:tcW w:w="1260" w:type="dxa"/>
            <w:vAlign w:val="bottom"/>
          </w:tcPr>
          <w:p>
            <w:pPr>
              <w:spacing w:after="0"/>
              <w:rPr>
                <w:sz w:val="18"/>
                <w:szCs w:val="18"/>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w w:val="93"/>
              </w:rPr>
              <w:t>borrowers, relating to a $400.0 million senior secured revolving credit facility (incorporated by reference to Exhibit 10.0 to Westlake</w:t>
            </w:r>
          </w:p>
        </w:tc>
      </w:tr>
      <w:tr>
        <w:trPr>
          <w:trHeight w:val="230"/>
        </w:trPr>
        <w:tc>
          <w:tcPr>
            <w:tcW w:w="1260" w:type="dxa"/>
            <w:vAlign w:val="bottom"/>
          </w:tcPr>
          <w:p>
            <w:pPr>
              <w:spacing w:after="0"/>
              <w:rPr>
                <w:sz w:val="20"/>
                <w:szCs w:val="20"/>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 No. 001-32260) filed on July 17,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9900" w:type="dxa"/>
            <w:vAlign w:val="bottom"/>
          </w:tcPr>
          <w:p>
            <w:pPr>
              <w:ind w:left="220"/>
              <w:spacing w:after="0"/>
              <w:rPr>
                <w:sz w:val="20"/>
                <w:szCs w:val="20"/>
                <w:color w:val="auto"/>
              </w:rPr>
            </w:pPr>
            <w:r>
              <w:rPr>
                <w:rFonts w:ascii="Arial" w:cs="Arial" w:eastAsia="Arial" w:hAnsi="Arial"/>
                <w:sz w:val="18"/>
                <w:szCs w:val="18"/>
                <w:color w:val="auto"/>
                <w:w w:val="91"/>
              </w:rPr>
              <w:t>Unsecured Promissory Note between WPT LLC and Westlake Development Corporation (incorporated by reference to Exhibit 10.8 to</w:t>
            </w:r>
          </w:p>
        </w:tc>
      </w:tr>
      <w:tr>
        <w:trPr>
          <w:trHeight w:val="230"/>
        </w:trPr>
        <w:tc>
          <w:tcPr>
            <w:tcW w:w="1260" w:type="dxa"/>
            <w:vAlign w:val="bottom"/>
          </w:tcPr>
          <w:p>
            <w:pPr>
              <w:spacing w:after="0"/>
              <w:rPr>
                <w:sz w:val="20"/>
                <w:szCs w:val="20"/>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Westlake Chemical Partners LP's Registration Statement on Form S-1 (File No. 333-195551), filed on June 30, 2014).</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9900" w:type="dxa"/>
            <w:vAlign w:val="bottom"/>
          </w:tcPr>
          <w:p>
            <w:pPr>
              <w:ind w:left="220"/>
              <w:spacing w:after="0"/>
              <w:rPr>
                <w:sz w:val="20"/>
                <w:szCs w:val="20"/>
                <w:color w:val="auto"/>
              </w:rPr>
            </w:pPr>
            <w:r>
              <w:rPr>
                <w:rFonts w:ascii="Arial" w:cs="Arial" w:eastAsia="Arial" w:hAnsi="Arial"/>
                <w:sz w:val="18"/>
                <w:szCs w:val="18"/>
                <w:color w:val="auto"/>
              </w:rPr>
              <w:t>Unsecured Promissory Note between Westlake Vinyls, Inc. and Westlake Development Corporation.</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9900" w:type="dxa"/>
            <w:vAlign w:val="bottom"/>
          </w:tcPr>
          <w:p>
            <w:pPr>
              <w:ind w:left="220"/>
              <w:spacing w:after="0"/>
              <w:rPr>
                <w:sz w:val="20"/>
                <w:szCs w:val="20"/>
                <w:color w:val="auto"/>
              </w:rPr>
            </w:pPr>
            <w:r>
              <w:rPr>
                <w:rFonts w:ascii="Arial" w:cs="Arial" w:eastAsia="Arial" w:hAnsi="Arial"/>
                <w:sz w:val="18"/>
                <w:szCs w:val="18"/>
                <w:color w:val="auto"/>
              </w:rPr>
              <w:t>Unsecured Promissory Note between Westlake Petrochemicals LLC and Westlake Development Corporation.</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9900" w:type="dxa"/>
            <w:vAlign w:val="bottom"/>
          </w:tcPr>
          <w:p>
            <w:pPr>
              <w:ind w:left="220"/>
              <w:spacing w:after="0"/>
              <w:rPr>
                <w:sz w:val="20"/>
                <w:szCs w:val="20"/>
                <w:color w:val="auto"/>
              </w:rPr>
            </w:pPr>
            <w:r>
              <w:rPr>
                <w:rFonts w:ascii="Arial" w:cs="Arial" w:eastAsia="Arial" w:hAnsi="Arial"/>
                <w:sz w:val="18"/>
                <w:szCs w:val="18"/>
                <w:color w:val="auto"/>
                <w:w w:val="91"/>
              </w:rPr>
              <w:t>Senior Unsecured Revolving Credit Agreement by and among Westlake Chemical Partners GP LLC and Westlake Chemical Finance</w:t>
            </w:r>
          </w:p>
        </w:tc>
      </w:tr>
      <w:tr>
        <w:trPr>
          <w:trHeight w:val="216"/>
        </w:trPr>
        <w:tc>
          <w:tcPr>
            <w:tcW w:w="1260" w:type="dxa"/>
            <w:vAlign w:val="bottom"/>
          </w:tcPr>
          <w:p>
            <w:pPr>
              <w:spacing w:after="0"/>
              <w:rPr>
                <w:sz w:val="18"/>
                <w:szCs w:val="18"/>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w w:val="91"/>
              </w:rPr>
              <w:t>Corporation, dated as of April 29, 2015 (incorporated by reference to Exhibit 10.1 to Westlake Chemical Partners LP's Current Report</w:t>
            </w:r>
          </w:p>
        </w:tc>
      </w:tr>
      <w:tr>
        <w:trPr>
          <w:trHeight w:val="230"/>
        </w:trPr>
        <w:tc>
          <w:tcPr>
            <w:tcW w:w="1260" w:type="dxa"/>
            <w:vAlign w:val="bottom"/>
          </w:tcPr>
          <w:p>
            <w:pPr>
              <w:spacing w:after="0"/>
              <w:rPr>
                <w:sz w:val="20"/>
                <w:szCs w:val="20"/>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on Form 8-K, filed on April 30, 2015, File No. 001-36567).</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21.1*</w:t>
            </w:r>
          </w:p>
        </w:tc>
        <w:tc>
          <w:tcPr>
            <w:tcW w:w="9900" w:type="dxa"/>
            <w:vAlign w:val="bottom"/>
          </w:tcPr>
          <w:p>
            <w:pPr>
              <w:ind w:left="220"/>
              <w:spacing w:after="0"/>
              <w:rPr>
                <w:sz w:val="20"/>
                <w:szCs w:val="20"/>
                <w:color w:val="auto"/>
              </w:rPr>
            </w:pPr>
            <w:r>
              <w:rPr>
                <w:rFonts w:ascii="Arial" w:cs="Arial" w:eastAsia="Arial" w:hAnsi="Arial"/>
                <w:sz w:val="18"/>
                <w:szCs w:val="18"/>
                <w:color w:val="auto"/>
              </w:rPr>
              <w:t>List of Subsidiaries of Westlake Chemical Partners LP.</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9900" w:type="dxa"/>
            <w:vAlign w:val="bottom"/>
          </w:tcPr>
          <w:p>
            <w:pPr>
              <w:ind w:left="220"/>
              <w:spacing w:after="0"/>
              <w:rPr>
                <w:sz w:val="20"/>
                <w:szCs w:val="20"/>
                <w:color w:val="auto"/>
              </w:rPr>
            </w:pPr>
            <w:r>
              <w:rPr>
                <w:rFonts w:ascii="Arial" w:cs="Arial" w:eastAsia="Arial" w:hAnsi="Arial"/>
                <w:sz w:val="18"/>
                <w:szCs w:val="18"/>
                <w:color w:val="auto"/>
              </w:rPr>
              <w:t>Consent of PricewaterhouseCoopers LLP.</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900" w:type="dxa"/>
            <w:vAlign w:val="bottom"/>
          </w:tcPr>
          <w:p>
            <w:pPr>
              <w:ind w:left="220"/>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900" w:type="dxa"/>
            <w:vAlign w:val="bottom"/>
          </w:tcPr>
          <w:p>
            <w:pPr>
              <w:ind w:left="220"/>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900" w:type="dxa"/>
            <w:vAlign w:val="bottom"/>
          </w:tcPr>
          <w:p>
            <w:pPr>
              <w:ind w:left="220"/>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990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58"/>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420" w:hanging="412"/>
        <w:spacing w:after="0"/>
        <w:tabs>
          <w:tab w:leader="none" w:pos="420" w:val="left"/>
        </w:tabs>
        <w:numPr>
          <w:ilvl w:val="0"/>
          <w:numId w:val="59"/>
        </w:numPr>
        <w:rPr>
          <w:rFonts w:ascii="Arial" w:cs="Arial" w:eastAsia="Arial" w:hAnsi="Arial"/>
          <w:sz w:val="16"/>
          <w:szCs w:val="16"/>
          <w:color w:val="auto"/>
        </w:rPr>
      </w:pPr>
      <w:r>
        <w:rPr>
          <w:rFonts w:ascii="Arial" w:cs="Arial" w:eastAsia="Arial" w:hAnsi="Arial"/>
          <w:sz w:val="18"/>
          <w:szCs w:val="18"/>
          <w:color w:val="auto"/>
        </w:rPr>
        <w:t>Furnished herewith.</w:t>
      </w:r>
    </w:p>
    <w:p>
      <w:pPr>
        <w:spacing w:after="0" w:line="63" w:lineRule="exact"/>
        <w:rPr>
          <w:rFonts w:ascii="Arial" w:cs="Arial" w:eastAsia="Arial" w:hAnsi="Arial"/>
          <w:sz w:val="16"/>
          <w:szCs w:val="16"/>
          <w:color w:val="auto"/>
        </w:rPr>
      </w:pPr>
    </w:p>
    <w:p>
      <w:pPr>
        <w:ind w:left="420" w:right="40" w:hanging="412"/>
        <w:spacing w:after="0" w:line="277" w:lineRule="auto"/>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Unsecured Promissory Notes between Westlake Development Corporation and each of Westlake Vinyls, Inc. and Westlake Petrochemicals LLC are not filed because they are identical to Exhibit 10.12 except for the identity of the borrower.</w:t>
      </w:r>
    </w:p>
    <w:p>
      <w:pPr>
        <w:spacing w:after="0" w:line="8" w:lineRule="exact"/>
        <w:rPr>
          <w:sz w:val="20"/>
          <w:szCs w:val="20"/>
          <w:color w:val="auto"/>
        </w:rPr>
      </w:pPr>
    </w:p>
    <w:p>
      <w:pPr>
        <w:ind w:left="420" w:hanging="412"/>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63" w:lineRule="exact"/>
        <w:rPr>
          <w:sz w:val="20"/>
          <w:szCs w:val="20"/>
          <w:color w:val="auto"/>
        </w:rPr>
      </w:pPr>
    </w:p>
    <w:p>
      <w:pPr>
        <w:ind w:left="420" w:hanging="412"/>
        <w:spacing w:after="0" w:line="277" w:lineRule="auto"/>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Confidential status has been granted for certain portions thereof pursuant to the Order Granting Confidential Treatment Under the Securities Act of 1933 issued by the Division of Corporation Finance of the Securities and Exchange Commission filed on August 1, 2014.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21" w:right="25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WESTLAKE CHEMICAL PARTNERS LP</w:t>
      </w:r>
    </w:p>
    <w:p>
      <w:pPr>
        <w:spacing w:after="0" w:line="360"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8, 2016</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Chief Executive Officer and Director of</w:t>
      </w:r>
    </w:p>
    <w:p>
      <w:pPr>
        <w:jc w:val="center"/>
        <w:ind w:left="652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39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11300"/>
          </w:cols>
          <w:pgMar w:left="240" w:top="121" w:right="359" w:bottom="1440" w:gutter="0" w:footer="0" w:header="0"/>
        </w:sectPr>
      </w:pPr>
    </w:p>
    <w:p>
      <w:pPr>
        <w:spacing w:after="0" w:line="351"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12" w:lineRule="exact"/>
        <w:rPr>
          <w:sz w:val="20"/>
          <w:szCs w:val="20"/>
          <w:color w:val="auto"/>
        </w:rPr>
      </w:pPr>
    </w:p>
    <w:p>
      <w:pPr>
        <w:jc w:val="center"/>
        <w:ind w:left="480"/>
        <w:spacing w:after="0"/>
        <w:tabs>
          <w:tab w:leader="none" w:pos="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Albert Chao</w:t>
      </w:r>
    </w:p>
    <w:p>
      <w:pPr>
        <w:spacing w:after="0" w:line="199" w:lineRule="exact"/>
        <w:rPr>
          <w:sz w:val="20"/>
          <w:szCs w:val="20"/>
          <w:color w:val="auto"/>
        </w:rPr>
      </w:pPr>
    </w:p>
    <w:p>
      <w:pPr>
        <w:jc w:val="center"/>
        <w:ind w:left="4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M. Steven Bender</w:t>
      </w:r>
    </w:p>
    <w:p>
      <w:pPr>
        <w:spacing w:after="0" w:line="199"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G</w:t>
      </w:r>
      <w:r>
        <w:rPr>
          <w:rFonts w:ascii="Arial" w:cs="Arial" w:eastAsia="Arial" w:hAnsi="Arial"/>
          <w:sz w:val="13"/>
          <w:szCs w:val="13"/>
          <w:color w:val="auto"/>
        </w:rPr>
        <w:t>EORGE</w:t>
      </w:r>
      <w:r>
        <w:rPr>
          <w:rFonts w:ascii="Arial" w:cs="Arial" w:eastAsia="Arial" w:hAnsi="Arial"/>
          <w:sz w:val="17"/>
          <w:szCs w:val="17"/>
          <w:color w:val="auto"/>
        </w:rPr>
        <w:t xml:space="preserve"> J. M</w:t>
      </w:r>
      <w:r>
        <w:rPr>
          <w:rFonts w:ascii="Arial" w:cs="Arial" w:eastAsia="Arial" w:hAnsi="Arial"/>
          <w:sz w:val="13"/>
          <w:szCs w:val="13"/>
          <w:color w:val="auto"/>
        </w:rPr>
        <w:t>ANGIERI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George J. Mangieri</w:t>
      </w:r>
    </w:p>
    <w:p>
      <w:pPr>
        <w:spacing w:after="0" w:line="199"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L. B</w:t>
      </w:r>
      <w:r>
        <w:rPr>
          <w:rFonts w:ascii="Arial" w:cs="Arial" w:eastAsia="Arial" w:hAnsi="Arial"/>
          <w:sz w:val="13"/>
          <w:szCs w:val="13"/>
          <w:color w:val="auto"/>
        </w:rPr>
        <w:t>ENJAMIN</w:t>
      </w:r>
      <w:r>
        <w:rPr>
          <w:rFonts w:ascii="Arial" w:cs="Arial" w:eastAsia="Arial" w:hAnsi="Arial"/>
          <w:sz w:val="17"/>
          <w:szCs w:val="17"/>
          <w:color w:val="auto"/>
        </w:rPr>
        <w:t xml:space="preserve"> E</w:t>
      </w:r>
      <w:r>
        <w:rPr>
          <w:rFonts w:ascii="Arial" w:cs="Arial" w:eastAsia="Arial" w:hAnsi="Arial"/>
          <w:sz w:val="13"/>
          <w:szCs w:val="13"/>
          <w:color w:val="auto"/>
        </w:rPr>
        <w:t>DERINGTON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8301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87"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L. Benjamin Ederington</w:t>
      </w:r>
    </w:p>
    <w:p>
      <w:pPr>
        <w:spacing w:after="0" w:line="199" w:lineRule="exact"/>
        <w:rPr>
          <w:sz w:val="20"/>
          <w:szCs w:val="20"/>
          <w:color w:val="auto"/>
        </w:rPr>
      </w:pPr>
    </w:p>
    <w:p>
      <w:pPr>
        <w:jc w:val="center"/>
        <w:ind w:left="4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James Chao</w:t>
      </w:r>
    </w:p>
    <w:p>
      <w:pPr>
        <w:spacing w:after="0" w:line="199"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ARY</w:t>
      </w:r>
      <w:r>
        <w:rPr>
          <w:rFonts w:ascii="Arial" w:cs="Arial" w:eastAsia="Arial" w:hAnsi="Arial"/>
          <w:sz w:val="18"/>
          <w:szCs w:val="18"/>
          <w:color w:val="auto"/>
        </w:rPr>
        <w:t xml:space="preserve"> K. A</w:t>
      </w:r>
      <w:r>
        <w:rPr>
          <w:rFonts w:ascii="Arial" w:cs="Arial" w:eastAsia="Arial" w:hAnsi="Arial"/>
          <w:sz w:val="14"/>
          <w:szCs w:val="14"/>
          <w:color w:val="auto"/>
        </w:rPr>
        <w:t>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Gary K. Adams</w:t>
      </w:r>
    </w:p>
    <w:p>
      <w:pPr>
        <w:spacing w:after="0" w:line="199"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AX</w:t>
      </w:r>
      <w:r>
        <w:rPr>
          <w:rFonts w:ascii="Arial" w:cs="Arial" w:eastAsia="Arial" w:hAnsi="Arial"/>
          <w:sz w:val="18"/>
          <w:szCs w:val="18"/>
          <w:color w:val="auto"/>
        </w:rPr>
        <w:t xml:space="preserve"> L. L</w:t>
      </w:r>
      <w:r>
        <w:rPr>
          <w:rFonts w:ascii="Arial" w:cs="Arial" w:eastAsia="Arial" w:hAnsi="Arial"/>
          <w:sz w:val="14"/>
          <w:szCs w:val="14"/>
          <w:color w:val="auto"/>
        </w:rPr>
        <w:t>UKENS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Max L. Lukens</w:t>
      </w:r>
    </w:p>
    <w:p>
      <w:pPr>
        <w:spacing w:after="0" w:line="199" w:lineRule="exact"/>
        <w:rPr>
          <w:sz w:val="20"/>
          <w:szCs w:val="20"/>
          <w:color w:val="auto"/>
        </w:rPr>
      </w:pPr>
    </w:p>
    <w:p>
      <w:pPr>
        <w:jc w:val="center"/>
        <w:ind w:left="4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AVID</w:t>
      </w:r>
      <w:r>
        <w:rPr>
          <w:rFonts w:ascii="Arial" w:cs="Arial" w:eastAsia="Arial" w:hAnsi="Arial"/>
          <w:sz w:val="18"/>
          <w:szCs w:val="18"/>
          <w:color w:val="auto"/>
        </w:rPr>
        <w:t xml:space="preserve"> L</w:t>
      </w:r>
      <w:r>
        <w:rPr>
          <w:rFonts w:ascii="Arial" w:cs="Arial" w:eastAsia="Arial" w:hAnsi="Arial"/>
          <w:sz w:val="14"/>
          <w:szCs w:val="14"/>
          <w:color w:val="auto"/>
        </w:rPr>
        <w:t>UMPKINS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David Lumpkins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2120"/>
        <w:spacing w:after="0"/>
        <w:rPr>
          <w:sz w:val="20"/>
          <w:szCs w:val="20"/>
          <w:color w:val="auto"/>
        </w:rPr>
      </w:pPr>
      <w:r>
        <w:rPr>
          <w:rFonts w:ascii="Arial" w:cs="Arial" w:eastAsia="Arial" w:hAnsi="Arial"/>
          <w:sz w:val="14"/>
          <w:szCs w:val="14"/>
          <w:b w:val="1"/>
          <w:bCs w:val="1"/>
          <w:u w:val="single" w:color="auto"/>
          <w:color w:val="auto"/>
        </w:rPr>
        <w:t>Title</w:t>
      </w:r>
    </w:p>
    <w:p>
      <w:pPr>
        <w:spacing w:after="0" w:line="239" w:lineRule="exact"/>
        <w:rPr>
          <w:sz w:val="20"/>
          <w:szCs w:val="20"/>
          <w:color w:val="auto"/>
        </w:rPr>
      </w:pPr>
    </w:p>
    <w:p>
      <w:pPr>
        <w:ind w:left="140" w:right="980" w:hanging="134"/>
        <w:spacing w:after="0" w:line="277"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184" w:lineRule="exact"/>
        <w:rPr>
          <w:sz w:val="20"/>
          <w:szCs w:val="20"/>
          <w:color w:val="auto"/>
        </w:rPr>
      </w:pPr>
    </w:p>
    <w:p>
      <w:pPr>
        <w:ind w:left="140" w:right="1060" w:hanging="134"/>
        <w:spacing w:after="0" w:line="342" w:lineRule="auto"/>
        <w:rPr>
          <w:sz w:val="20"/>
          <w:szCs w:val="20"/>
          <w:color w:val="auto"/>
        </w:rPr>
      </w:pPr>
      <w:r>
        <w:rPr>
          <w:rFonts w:ascii="Arial" w:cs="Arial" w:eastAsia="Arial" w:hAnsi="Arial"/>
          <w:sz w:val="16"/>
          <w:szCs w:val="16"/>
          <w:color w:val="auto"/>
        </w:rPr>
        <w:t>Senior Vice President, Chief Financial Officer, Director (Principal Financial Officer)</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and Chief Accounting Officer</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General Counsel, Secretary</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and Director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380"/>
        <w:spacing w:after="0"/>
        <w:rPr>
          <w:sz w:val="20"/>
          <w:szCs w:val="20"/>
          <w:color w:val="auto"/>
        </w:rPr>
      </w:pPr>
      <w:r>
        <w:rPr>
          <w:rFonts w:ascii="Arial" w:cs="Arial" w:eastAsia="Arial" w:hAnsi="Arial"/>
          <w:sz w:val="14"/>
          <w:szCs w:val="14"/>
          <w:b w:val="1"/>
          <w:bCs w:val="1"/>
          <w:u w:val="single" w:color="auto"/>
          <w:color w:val="auto"/>
        </w:rPr>
        <w:t>Date</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March 8, 2016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8, 2016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8, 2016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8, 2016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8, 2016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8, 2016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8, 2016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8, 2016</w:t>
      </w:r>
    </w:p>
    <w:p>
      <w:pPr>
        <w:spacing w:after="0" w:line="344" w:lineRule="exact"/>
        <w:rPr>
          <w:sz w:val="20"/>
          <w:szCs w:val="20"/>
          <w:color w:val="auto"/>
        </w:rPr>
      </w:pPr>
    </w:p>
    <w:p>
      <w:pPr>
        <w:sectPr>
          <w:pgSz w:w="11900" w:h="16838" w:orient="portrait"/>
          <w:cols w:equalWidth="0" w:num="3">
            <w:col w:w="4000" w:space="720"/>
            <w:col w:w="4420" w:space="720"/>
            <w:col w:w="1440"/>
          </w:cols>
          <w:pgMar w:left="240" w:top="121" w:right="359" w:bottom="1440" w:gutter="0" w:footer="0" w:header="0"/>
          <w:type w:val="continuous"/>
        </w:sectPr>
      </w:pP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300"/>
          </w:cols>
          <w:pgMar w:left="240" w:top="121" w:right="359" w:bottom="1440" w:gutter="0" w:footer="0" w:header="0"/>
          <w:type w:val="continuous"/>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006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534"/>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1006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397"/>
        </w:trPr>
        <w:tc>
          <w:tcPr>
            <w:tcW w:w="1260" w:type="dxa"/>
            <w:vAlign w:val="bottom"/>
          </w:tcPr>
          <w:p>
            <w:pPr>
              <w:spacing w:after="0"/>
              <w:rPr>
                <w:sz w:val="20"/>
                <w:szCs w:val="20"/>
                <w:color w:val="auto"/>
              </w:rPr>
            </w:pPr>
            <w:r>
              <w:rPr>
                <w:rFonts w:ascii="Arial" w:cs="Arial" w:eastAsia="Arial" w:hAnsi="Arial"/>
                <w:sz w:val="18"/>
                <w:szCs w:val="18"/>
                <w:color w:val="auto"/>
              </w:rPr>
              <w:t>2.1</w:t>
            </w:r>
          </w:p>
        </w:tc>
        <w:tc>
          <w:tcPr>
            <w:tcW w:w="10060" w:type="dxa"/>
            <w:vAlign w:val="bottom"/>
          </w:tcPr>
          <w:p>
            <w:pPr>
              <w:ind w:left="220"/>
              <w:spacing w:after="0"/>
              <w:rPr>
                <w:sz w:val="20"/>
                <w:szCs w:val="20"/>
                <w:color w:val="auto"/>
              </w:rPr>
            </w:pPr>
            <w:r>
              <w:rPr>
                <w:rFonts w:ascii="Arial" w:cs="Arial" w:eastAsia="Arial" w:hAnsi="Arial"/>
                <w:sz w:val="18"/>
                <w:szCs w:val="18"/>
                <w:color w:val="auto"/>
                <w:w w:val="92"/>
              </w:rPr>
              <w:t>Equity Purchase Agreement by and among Westlake Chemical Partners LP, Westlake Chemical OpCo LP and WPT LLC, dated as of</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2"/>
              </w:rPr>
              <w:t>April 29, 2015 (incorporated by reference to Exhibit 2.1 to Westlake Chemical Partners LP's Current Report on Form 8-K, filed on April</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30, 2015, File No 001-36567).</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3.1</w:t>
            </w:r>
          </w:p>
        </w:tc>
        <w:tc>
          <w:tcPr>
            <w:tcW w:w="10060" w:type="dxa"/>
            <w:vAlign w:val="bottom"/>
          </w:tcPr>
          <w:p>
            <w:pPr>
              <w:ind w:left="220"/>
              <w:spacing w:after="0"/>
              <w:rPr>
                <w:sz w:val="20"/>
                <w:szCs w:val="20"/>
                <w:color w:val="auto"/>
              </w:rPr>
            </w:pPr>
            <w:r>
              <w:rPr>
                <w:rFonts w:ascii="Arial" w:cs="Arial" w:eastAsia="Arial" w:hAnsi="Arial"/>
                <w:sz w:val="18"/>
                <w:szCs w:val="18"/>
                <w:color w:val="auto"/>
                <w:w w:val="94"/>
              </w:rPr>
              <w:t>Certificate of Limited Partnership of Westlake Chemical Partners LP (incorporated by reference to Exhibit 3.1 to Westlake Chemical</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Partners LP's Registration Statement on Form S-1 (File No. 333-195551), filed on April 29,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10060" w:type="dxa"/>
            <w:vAlign w:val="bottom"/>
          </w:tcPr>
          <w:p>
            <w:pPr>
              <w:ind w:left="220"/>
              <w:spacing w:after="0"/>
              <w:rPr>
                <w:sz w:val="20"/>
                <w:szCs w:val="20"/>
                <w:color w:val="auto"/>
              </w:rPr>
            </w:pPr>
            <w:r>
              <w:rPr>
                <w:rFonts w:ascii="Arial" w:cs="Arial" w:eastAsia="Arial" w:hAnsi="Arial"/>
                <w:sz w:val="18"/>
                <w:szCs w:val="18"/>
                <w:color w:val="auto"/>
                <w:w w:val="91"/>
              </w:rPr>
              <w:t>First Amended and Restated Agreement of Limited Partnership of Westlake Chemical Partners LP (incorporated by reference to Exhibit</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3.1 to 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w:t>
            </w:r>
          </w:p>
        </w:tc>
        <w:tc>
          <w:tcPr>
            <w:tcW w:w="10060" w:type="dxa"/>
            <w:vAlign w:val="bottom"/>
          </w:tcPr>
          <w:p>
            <w:pPr>
              <w:ind w:left="220"/>
              <w:spacing w:after="0"/>
              <w:rPr>
                <w:sz w:val="20"/>
                <w:szCs w:val="20"/>
                <w:color w:val="auto"/>
              </w:rPr>
            </w:pPr>
            <w:r>
              <w:rPr>
                <w:rFonts w:ascii="Arial" w:cs="Arial" w:eastAsia="Arial" w:hAnsi="Arial"/>
                <w:sz w:val="18"/>
                <w:szCs w:val="18"/>
                <w:color w:val="auto"/>
                <w:w w:val="91"/>
              </w:rPr>
              <w:t>Indenture dated as of January 1, 2006 by and among Westlake Chemical Corporation, the potential subsidiary guarantors listed therein</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9"/>
              </w:rPr>
              <w:t>and JPMorgan Chase Bank, National Association, as trustee (incorporated by reference to Exhibit 4.1 to Westlake Chemical</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Corporation's Current Report on Form 8-K, filed on January 13, 2006,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4.2</w:t>
            </w:r>
          </w:p>
        </w:tc>
        <w:tc>
          <w:tcPr>
            <w:tcW w:w="10060" w:type="dxa"/>
            <w:vAlign w:val="bottom"/>
          </w:tcPr>
          <w:p>
            <w:pPr>
              <w:ind w:left="220"/>
              <w:spacing w:after="0"/>
              <w:rPr>
                <w:sz w:val="20"/>
                <w:szCs w:val="20"/>
                <w:color w:val="auto"/>
              </w:rPr>
            </w:pPr>
            <w:r>
              <w:rPr>
                <w:rFonts w:ascii="Arial" w:cs="Arial" w:eastAsia="Arial" w:hAnsi="Arial"/>
                <w:sz w:val="18"/>
                <w:szCs w:val="18"/>
                <w:color w:val="auto"/>
                <w:w w:val="92"/>
              </w:rPr>
              <w:t>First Supplemental Indenture dated as of January 13, 2006 by and among Westlake Chemical Corporation, the subsidiary guarantors</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6"/>
              </w:rPr>
              <w:t>party thereto and JPMorgan Chase Bank, National Association, as trustee (incorporated by reference to Exhibit 4.2 to Westlake</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January 13, 2006,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4.3</w:t>
            </w:r>
          </w:p>
        </w:tc>
        <w:tc>
          <w:tcPr>
            <w:tcW w:w="10060" w:type="dxa"/>
            <w:vAlign w:val="bottom"/>
          </w:tcPr>
          <w:p>
            <w:pPr>
              <w:ind w:left="220"/>
              <w:spacing w:after="0"/>
              <w:rPr>
                <w:sz w:val="20"/>
                <w:szCs w:val="20"/>
                <w:color w:val="auto"/>
              </w:rPr>
            </w:pPr>
            <w:r>
              <w:rPr>
                <w:rFonts w:ascii="Arial" w:cs="Arial" w:eastAsia="Arial" w:hAnsi="Arial"/>
                <w:sz w:val="18"/>
                <w:szCs w:val="18"/>
                <w:color w:val="auto"/>
                <w:w w:val="90"/>
              </w:rPr>
              <w:t>Second Supplemental Indenture, dated as of November 1, 2007, among Westlake Chemical Corporation, the Subsidiary Guarantors (as</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5"/>
              </w:rPr>
              <w:t>defined therein) and The Bank of New York Trust Company, N.A., as trustee (incorporated by reference to Exhibit 4.2 to Westlake</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December 18, 2007,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4.4</w:t>
            </w:r>
          </w:p>
        </w:tc>
        <w:tc>
          <w:tcPr>
            <w:tcW w:w="10060" w:type="dxa"/>
            <w:vAlign w:val="bottom"/>
          </w:tcPr>
          <w:p>
            <w:pPr>
              <w:ind w:left="220"/>
              <w:spacing w:after="0"/>
              <w:rPr>
                <w:sz w:val="20"/>
                <w:szCs w:val="20"/>
                <w:color w:val="auto"/>
              </w:rPr>
            </w:pPr>
            <w:r>
              <w:rPr>
                <w:rFonts w:ascii="Arial" w:cs="Arial" w:eastAsia="Arial" w:hAnsi="Arial"/>
                <w:sz w:val="18"/>
                <w:szCs w:val="18"/>
                <w:color w:val="auto"/>
                <w:w w:val="91"/>
              </w:rPr>
              <w:t>Third Supplemental Indenture, dated as of July 2, 2010, among Westlake Chemical Corporation, the Subsidiary Guarantors (as defined</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5"/>
              </w:rPr>
              <w:t>therein) and The Bank of New York Mellon Trust Company, N.A., as trustee (incorporated by reference to Exhibit 4.2 to Westlake</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July 8, 2010,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4.5</w:t>
            </w:r>
          </w:p>
        </w:tc>
        <w:tc>
          <w:tcPr>
            <w:tcW w:w="10060" w:type="dxa"/>
            <w:vAlign w:val="bottom"/>
          </w:tcPr>
          <w:p>
            <w:pPr>
              <w:ind w:left="220"/>
              <w:spacing w:after="0"/>
              <w:rPr>
                <w:sz w:val="20"/>
                <w:szCs w:val="20"/>
                <w:color w:val="auto"/>
              </w:rPr>
            </w:pPr>
            <w:r>
              <w:rPr>
                <w:rFonts w:ascii="Arial" w:cs="Arial" w:eastAsia="Arial" w:hAnsi="Arial"/>
                <w:sz w:val="18"/>
                <w:szCs w:val="18"/>
                <w:color w:val="auto"/>
                <w:w w:val="91"/>
              </w:rPr>
              <w:t>Fourth Supplemental Indenture, dated as of December 2, 2010, among Westlake Chemical Corporation, the Subsidiary Guarantors (as</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7"/>
              </w:rPr>
              <w:t>defined therein) and The Bank of New York Mellon Trust Company, N.A., as trustee (incorporated by reference to Exhibit 4.2 to</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Westlake Chemical Corporation's Current Report on Form 8-K, filed on December 8, 2010,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4.6</w:t>
            </w:r>
          </w:p>
        </w:tc>
        <w:tc>
          <w:tcPr>
            <w:tcW w:w="10060" w:type="dxa"/>
            <w:vAlign w:val="bottom"/>
          </w:tcPr>
          <w:p>
            <w:pPr>
              <w:ind w:left="220"/>
              <w:spacing w:after="0"/>
              <w:rPr>
                <w:sz w:val="20"/>
                <w:szCs w:val="20"/>
                <w:color w:val="auto"/>
              </w:rPr>
            </w:pPr>
            <w:r>
              <w:rPr>
                <w:rFonts w:ascii="Arial" w:cs="Arial" w:eastAsia="Arial" w:hAnsi="Arial"/>
                <w:sz w:val="18"/>
                <w:szCs w:val="18"/>
                <w:color w:val="auto"/>
                <w:w w:val="93"/>
              </w:rPr>
              <w:t>Fifth Supplemental Indenture, dated as of December 2, 2010, among Westlake Chemical Corporation, the Subsidiary Guarantors (as</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7"/>
              </w:rPr>
              <w:t>defined therein) and The Bank of New York Mellon Trust Company, N.A., as trustee (incorporated by reference to Exhibit 4.3 to</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Westlake Chemical Corporation's Current Report on Form 8-K, filed on December 8, 2010,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4.7</w:t>
            </w:r>
          </w:p>
        </w:tc>
        <w:tc>
          <w:tcPr>
            <w:tcW w:w="10060" w:type="dxa"/>
            <w:vAlign w:val="bottom"/>
          </w:tcPr>
          <w:p>
            <w:pPr>
              <w:ind w:left="220"/>
              <w:spacing w:after="0"/>
              <w:rPr>
                <w:sz w:val="20"/>
                <w:szCs w:val="20"/>
                <w:color w:val="auto"/>
              </w:rPr>
            </w:pPr>
            <w:r>
              <w:rPr>
                <w:rFonts w:ascii="Arial" w:cs="Arial" w:eastAsia="Arial" w:hAnsi="Arial"/>
                <w:sz w:val="18"/>
                <w:szCs w:val="18"/>
                <w:color w:val="auto"/>
                <w:w w:val="91"/>
              </w:rPr>
              <w:t>Supplemental Indenture, dated as of December 31, 2007, among Westlake Chemical Corporation, WPT LLC, Westlake Polymers LLC,</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2"/>
              </w:rPr>
              <w:t>Westlake Petrochemicals LLC, Westlake Styrene LLC, the other subsidiary guarantors party thereto and The Bank of New York Trust</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1"/>
              </w:rPr>
              <w:t>Company, N.A. related to the 6 5/8% senior notes (incorporated by reference to Exhibit 4.6 to Westlake Chemical Corporation's Annual</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Report on Form 10-K for the year ended December 31, 2007, filed on February 20, 2008,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4.8</w:t>
            </w:r>
          </w:p>
        </w:tc>
        <w:tc>
          <w:tcPr>
            <w:tcW w:w="10060" w:type="dxa"/>
            <w:vAlign w:val="bottom"/>
          </w:tcPr>
          <w:p>
            <w:pPr>
              <w:ind w:left="220"/>
              <w:spacing w:after="0"/>
              <w:rPr>
                <w:sz w:val="20"/>
                <w:szCs w:val="20"/>
                <w:color w:val="auto"/>
              </w:rPr>
            </w:pPr>
            <w:r>
              <w:rPr>
                <w:rFonts w:ascii="Arial" w:cs="Arial" w:eastAsia="Arial" w:hAnsi="Arial"/>
                <w:sz w:val="18"/>
                <w:szCs w:val="18"/>
                <w:color w:val="auto"/>
                <w:w w:val="91"/>
              </w:rPr>
              <w:t>Supplemental Indenture, dated as of December 31, 2007, among Westlake Chemical Corporation, WPT LLC, Westlake Polymers LLC,</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2"/>
              </w:rPr>
              <w:t>Westlake Petrochemicals LLC, Westlake Styrene LLC, the other subsidiary guarantors party thereto and The Bank of New York Trust</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2"/>
              </w:rPr>
              <w:t>Company, N.A. related to the 6 ¾% senior notes (incorporated by reference to Exhibit 4.7 to Westlake Chemical Corporation's Annual</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Report on Form 10-K for the year ended December 31, 2007, filed on February 20, 2008,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4.9</w:t>
            </w:r>
          </w:p>
        </w:tc>
        <w:tc>
          <w:tcPr>
            <w:tcW w:w="10060" w:type="dxa"/>
            <w:vAlign w:val="bottom"/>
          </w:tcPr>
          <w:p>
            <w:pPr>
              <w:ind w:left="220"/>
              <w:spacing w:after="0"/>
              <w:rPr>
                <w:sz w:val="20"/>
                <w:szCs w:val="20"/>
                <w:color w:val="auto"/>
              </w:rPr>
            </w:pPr>
            <w:r>
              <w:rPr>
                <w:rFonts w:ascii="Arial" w:cs="Arial" w:eastAsia="Arial" w:hAnsi="Arial"/>
                <w:sz w:val="18"/>
                <w:szCs w:val="18"/>
                <w:color w:val="auto"/>
                <w:w w:val="90"/>
              </w:rPr>
              <w:t>Sixth Supplemental Indenture, dated as of July 17, 2012, among Westlake Chemical Corporation, the Subsidiary Guarantors (as defined</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5"/>
              </w:rPr>
              <w:t>therein) and The Bank of New York Mellon Trust Company, N.A., as trustee (incorporated by reference to Exhibit 4.2 to Westlake</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July 16, 2012,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4.10</w:t>
            </w:r>
          </w:p>
        </w:tc>
        <w:tc>
          <w:tcPr>
            <w:tcW w:w="10060" w:type="dxa"/>
            <w:vAlign w:val="bottom"/>
          </w:tcPr>
          <w:p>
            <w:pPr>
              <w:ind w:left="220"/>
              <w:spacing w:after="0"/>
              <w:rPr>
                <w:sz w:val="20"/>
                <w:szCs w:val="20"/>
                <w:color w:val="auto"/>
              </w:rPr>
            </w:pPr>
            <w:r>
              <w:rPr>
                <w:rFonts w:ascii="Arial" w:cs="Arial" w:eastAsia="Arial" w:hAnsi="Arial"/>
                <w:sz w:val="18"/>
                <w:szCs w:val="18"/>
                <w:color w:val="auto"/>
                <w:w w:val="90"/>
              </w:rPr>
              <w:t>Seventh Supplemental Indenture, dated as of February 12, 2013, among Westlake Chemical Corporation, the Subsidiary Guarantors (as</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6"/>
              </w:rPr>
              <w:t>defined therein) and The Bank of New York Mellon Trust Company, N.A., as trustee (incorporated by reference to Exhibit 4.16 to</w:t>
            </w:r>
          </w:p>
        </w:tc>
      </w:tr>
      <w:tr>
        <w:trPr>
          <w:trHeight w:val="216"/>
        </w:trPr>
        <w:tc>
          <w:tcPr>
            <w:tcW w:w="1260" w:type="dxa"/>
            <w:vAlign w:val="bottom"/>
          </w:tcPr>
          <w:p>
            <w:pPr>
              <w:spacing w:after="0"/>
              <w:rPr>
                <w:sz w:val="18"/>
                <w:szCs w:val="18"/>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w w:val="91"/>
              </w:rPr>
              <w:t>Westlake Chemical Corporation's Annual Report on Form 10-K for the year ended December 31, 2012, filed on February 22, 2013, File</w:t>
            </w:r>
          </w:p>
        </w:tc>
      </w:tr>
      <w:tr>
        <w:trPr>
          <w:trHeight w:val="230"/>
        </w:trPr>
        <w:tc>
          <w:tcPr>
            <w:tcW w:w="126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No. 1-32260).</w:t>
            </w:r>
          </w:p>
        </w:tc>
      </w:tr>
      <w:tr>
        <w:trPr>
          <w:trHeight w:val="608"/>
        </w:trPr>
        <w:tc>
          <w:tcPr>
            <w:tcW w:w="1260" w:type="dxa"/>
            <w:vAlign w:val="bottom"/>
          </w:tcPr>
          <w:p>
            <w:pPr>
              <w:spacing w:after="0"/>
              <w:rPr>
                <w:sz w:val="24"/>
                <w:szCs w:val="24"/>
                <w:color w:val="auto"/>
              </w:rPr>
            </w:pPr>
          </w:p>
        </w:tc>
        <w:tc>
          <w:tcPr>
            <w:tcW w:w="10060" w:type="dxa"/>
            <w:vAlign w:val="bottom"/>
          </w:tcPr>
          <w:p>
            <w:pPr>
              <w:ind w:left="4320"/>
              <w:spacing w:after="0"/>
              <w:rPr>
                <w:sz w:val="20"/>
                <w:szCs w:val="20"/>
                <w:color w:val="auto"/>
              </w:rPr>
            </w:pPr>
            <w:r>
              <w:rPr>
                <w:rFonts w:ascii="Arial" w:cs="Arial" w:eastAsia="Arial" w:hAnsi="Arial"/>
                <w:sz w:val="18"/>
                <w:szCs w:val="18"/>
                <w:color w:val="auto"/>
              </w:rPr>
              <w:t>93</w:t>
            </w:r>
          </w:p>
        </w:tc>
      </w:tr>
    </w:tbl>
    <w:p>
      <w:pPr>
        <w:sectPr>
          <w:pgSz w:w="11900" w:h="16838" w:orient="portrait"/>
          <w:cols w:equalWidth="0" w:num="1">
            <w:col w:w="11360"/>
          </w:cols>
          <w:pgMar w:left="240" w:top="121" w:right="29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1008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275"/>
        </w:trPr>
        <w:tc>
          <w:tcPr>
            <w:tcW w:w="1260" w:type="dxa"/>
            <w:vAlign w:val="bottom"/>
          </w:tcPr>
          <w:p>
            <w:pPr>
              <w:spacing w:after="0"/>
              <w:rPr>
                <w:sz w:val="20"/>
                <w:szCs w:val="20"/>
                <w:color w:val="auto"/>
              </w:rPr>
            </w:pPr>
            <w:r>
              <w:rPr>
                <w:rFonts w:ascii="Arial" w:cs="Arial" w:eastAsia="Arial" w:hAnsi="Arial"/>
                <w:sz w:val="18"/>
                <w:szCs w:val="18"/>
                <w:color w:val="auto"/>
              </w:rPr>
              <w:t>4.11</w:t>
            </w:r>
          </w:p>
        </w:tc>
        <w:tc>
          <w:tcPr>
            <w:tcW w:w="10080" w:type="dxa"/>
            <w:vAlign w:val="bottom"/>
          </w:tcPr>
          <w:p>
            <w:pPr>
              <w:ind w:left="220"/>
              <w:spacing w:after="0"/>
              <w:rPr>
                <w:sz w:val="20"/>
                <w:szCs w:val="20"/>
                <w:color w:val="auto"/>
              </w:rPr>
            </w:pPr>
            <w:r>
              <w:rPr>
                <w:rFonts w:ascii="Arial" w:cs="Arial" w:eastAsia="Arial" w:hAnsi="Arial"/>
                <w:sz w:val="18"/>
                <w:szCs w:val="18"/>
                <w:color w:val="auto"/>
                <w:w w:val="98"/>
              </w:rPr>
              <w:t>Supplemental Indenture, dated as of May 1, 2013, among North American Specialty Products LLC, a Delaware limited liability</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company, Westlake Chemical Corporation, the other Subsidiary Guarantors (as defined therein) and The Bank of New York Mellon</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0"/>
              </w:rPr>
              <w:t>Trust Company, N.A., as trustee (incorporated by reference to Exhibit 4.2 to Westlake Chemical Corporation's Quarterly Report on Form</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10-K, filed on July 31, 2013,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4.12</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Supplemental Indenture, dated as of June 1, 2013, among Westlake Pipeline Investments LLC, a Delaware limited liability company,</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8"/>
              </w:rPr>
              <w:t>Westlake Chemical Corporation, the other Subsidiary Guarantors (as defined therein) and The Bank of New York Mellon Trust</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Company, N.A., as trustee (incorporated by reference to Exhibit 4.3 to Westlake Chemical Corporation's Quarterly Report on Form 10-</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K, filed on July 31, 2013,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4.13</w:t>
            </w: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Supplemental Indenture, dated as of June 1, 2013, among Westlake NG IV Corporation, a Delaware corporation, and Westlake NG V</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Corporation, a Delaware corporation, Westlake Chemical Corporation, the other Subsidiary Guarantors (as defined therein) and The</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Bank of New York Mellon Trust Company, N.A., as trustee (incorporated by reference to Exhibit 4.4 to Westlake Chemical</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Corporation's Quarterly Report on Form 10-K, filed on July 31, 2013,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4.14</w:t>
            </w: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Supplemental Indenture dated as of July 17, 2014 among Westlake Chemical OpCo LP, Westlake Chemical Corporation, the other</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6"/>
              </w:rPr>
              <w:t>Subsidiary Guarantors (as defined therein) and The Bank of New York Mellon Trust Company, N.A., as trustee (incorporated by</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9"/>
              </w:rPr>
              <w:t>reference to Westlake Chemical Corporation's Quarterly Report on Form 10-Q, filed on August 6, 2014, File No. 001-32260).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Omnibus Agreement among Westlake Management Services, Inc., Westlake Vinyls Corporation, Westlake Chemical Partners GP LLC,</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Westlake Chemical Partners LP, WPT LLC, Westlake Petrochemicals LLC, Westlake Vinyls, Inc., Westlake Longview Corporation,</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Westlake Chemical OpCo GP LLC, Westlake Chemical OpCo LP, Westlake PVC Corporation, Westlake Styrene LLC and Westlake</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Polymers LLC (incorporated by reference to Exhibit 10.1 to Westlake Chemical Partners LP's Current Report on Form 8-K (File No.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10.2</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Services and Secondment Agreement by and among Westlake Chemical OpCo LP, Westlake Management Services, Inc., Westlake</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Vinyls, Inc., WPT LLC and Westlake Petrochemicals LLC (incorporated by reference to Exhibit 10.2 to Westlake Chemical Partners</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10.3</w:t>
            </w: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Feedstock Supply Agreement between Westlake Petrochemicals LLC and Westlake Chemical OpCo LP (incorporated by reference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9"/>
              </w:rPr>
              <w:t>Exhibit 10.3 to 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Ethylene Sales Agreement between Westlake Chemical OpCo LP, WPT LLC, Westlake Vinyls, Inc. and Westlake Petrochemicals LLC</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(incorporated by reference to Exhibit 10.4 to Westlake Chemical Partners LP's Current Report on Form 8-K (File No. 001-36567) filed</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10.5</w:t>
            </w: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Site Lease Agreement (Calvert City) between Westlake Vinyls, Inc. and Westlake Chemical OpCo LP (incorporated by reference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9"/>
              </w:rPr>
              <w:t>Exhibit 10.5 to 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10.6</w:t>
            </w:r>
          </w:p>
        </w:tc>
        <w:tc>
          <w:tcPr>
            <w:tcW w:w="10080" w:type="dxa"/>
            <w:vAlign w:val="bottom"/>
          </w:tcPr>
          <w:p>
            <w:pPr>
              <w:ind w:left="220"/>
              <w:spacing w:after="0"/>
              <w:rPr>
                <w:sz w:val="20"/>
                <w:szCs w:val="20"/>
                <w:color w:val="auto"/>
              </w:rPr>
            </w:pPr>
            <w:r>
              <w:rPr>
                <w:rFonts w:ascii="Arial" w:cs="Arial" w:eastAsia="Arial" w:hAnsi="Arial"/>
                <w:sz w:val="18"/>
                <w:szCs w:val="18"/>
                <w:color w:val="auto"/>
                <w:w w:val="96"/>
              </w:rPr>
              <w:t>Site Lease Agreement (Lake Charles) between Westlake Petrochemical LLC and Westlake Chemical OpCo LP (incorporated by</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5"/>
              </w:rPr>
              <w:t>reference to Exhibit 10.6 to Westlake Chemical Partners LP's Current Report on Form 8-K (File No. 001-36567) filed on August 8,</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Amended and Restated Limited Partnership Agreement of Westlake Chemical OpCo LP (incorporated by reference to Exhibit 10.7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Westlake Chemical Partners LP Long-Term Incentive Plan (incorporated by reference to Exhibit 10.8 to Westlake Chemical Partners</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Form of Phantom Unit Agreement under the Westlake Chemical Partners LP Long-Term Incentive Plan (incorporated by reference to</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Exhibit 10.14 to Amendment 4 to Westlake Chemical Partner LP's Registration Statement on Form S-1 (File No. 333-195551) filed on</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July 15,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10080" w:type="dxa"/>
            <w:vAlign w:val="bottom"/>
          </w:tcPr>
          <w:p>
            <w:pPr>
              <w:ind w:left="220"/>
              <w:spacing w:after="0"/>
              <w:rPr>
                <w:sz w:val="20"/>
                <w:szCs w:val="20"/>
                <w:color w:val="auto"/>
              </w:rPr>
            </w:pPr>
            <w:r>
              <w:rPr>
                <w:rFonts w:ascii="Arial" w:cs="Arial" w:eastAsia="Arial" w:hAnsi="Arial"/>
                <w:sz w:val="18"/>
                <w:szCs w:val="18"/>
                <w:color w:val="auto"/>
              </w:rPr>
              <w:t>Intercompany Revolving Credit Agreement between Westlake Chemical OpCo LP and Westlake Development Corporation</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(incorporated by reference to Exhibit 10.9 to Westlake Chemical Partners LP's Current Report on Form 8-K (File No. 001-36567) filed</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on August 8, 2014).</w:t>
            </w:r>
          </w:p>
        </w:tc>
      </w:tr>
      <w:tr>
        <w:trPr>
          <w:trHeight w:val="608"/>
        </w:trPr>
        <w:tc>
          <w:tcPr>
            <w:tcW w:w="1260" w:type="dxa"/>
            <w:vAlign w:val="bottom"/>
          </w:tcPr>
          <w:p>
            <w:pPr>
              <w:spacing w:after="0"/>
              <w:rPr>
                <w:sz w:val="24"/>
                <w:szCs w:val="24"/>
                <w:color w:val="auto"/>
              </w:rPr>
            </w:pPr>
          </w:p>
        </w:tc>
        <w:tc>
          <w:tcPr>
            <w:tcW w:w="10080" w:type="dxa"/>
            <w:vAlign w:val="bottom"/>
          </w:tcPr>
          <w:p>
            <w:pPr>
              <w:ind w:left="4320"/>
              <w:spacing w:after="0"/>
              <w:rPr>
                <w:sz w:val="20"/>
                <w:szCs w:val="20"/>
                <w:color w:val="auto"/>
              </w:rPr>
            </w:pPr>
            <w:r>
              <w:rPr>
                <w:rFonts w:ascii="Arial" w:cs="Arial" w:eastAsia="Arial" w:hAnsi="Arial"/>
                <w:sz w:val="18"/>
                <w:szCs w:val="18"/>
                <w:color w:val="auto"/>
              </w:rPr>
              <w:t>94</w:t>
            </w:r>
          </w:p>
        </w:tc>
      </w:tr>
    </w:tbl>
    <w:p>
      <w:pPr>
        <w:sectPr>
          <w:pgSz w:w="11900" w:h="16838" w:orient="portrait"/>
          <w:cols w:equalWidth="0" w:num="1">
            <w:col w:w="11380"/>
          </w:cols>
          <w:pgMar w:left="240" w:top="121" w:right="27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990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275"/>
        </w:trPr>
        <w:tc>
          <w:tcPr>
            <w:tcW w:w="1260" w:type="dxa"/>
            <w:vAlign w:val="bottom"/>
          </w:tcPr>
          <w:p>
            <w:pPr>
              <w:spacing w:after="0"/>
              <w:rPr>
                <w:sz w:val="20"/>
                <w:szCs w:val="20"/>
                <w:color w:val="auto"/>
              </w:rPr>
            </w:pPr>
            <w:r>
              <w:rPr>
                <w:rFonts w:ascii="Arial" w:cs="Arial" w:eastAsia="Arial" w:hAnsi="Arial"/>
                <w:sz w:val="18"/>
                <w:szCs w:val="18"/>
                <w:color w:val="auto"/>
              </w:rPr>
              <w:t>10.11</w:t>
            </w:r>
          </w:p>
        </w:tc>
        <w:tc>
          <w:tcPr>
            <w:tcW w:w="9900" w:type="dxa"/>
            <w:vAlign w:val="bottom"/>
          </w:tcPr>
          <w:p>
            <w:pPr>
              <w:ind w:left="220"/>
              <w:spacing w:after="0"/>
              <w:rPr>
                <w:sz w:val="20"/>
                <w:szCs w:val="20"/>
                <w:color w:val="auto"/>
              </w:rPr>
            </w:pPr>
            <w:r>
              <w:rPr>
                <w:rFonts w:ascii="Arial" w:cs="Arial" w:eastAsia="Arial" w:hAnsi="Arial"/>
                <w:sz w:val="18"/>
                <w:szCs w:val="18"/>
                <w:color w:val="auto"/>
                <w:w w:val="93"/>
              </w:rPr>
              <w:t>Third Amended and Restated Credit Agreement dated as of July 17, 2011 by and among the financial institutions party thereto, as</w:t>
            </w:r>
          </w:p>
        </w:tc>
      </w:tr>
      <w:tr>
        <w:trPr>
          <w:trHeight w:val="216"/>
        </w:trPr>
        <w:tc>
          <w:tcPr>
            <w:tcW w:w="1260" w:type="dxa"/>
            <w:vAlign w:val="bottom"/>
          </w:tcPr>
          <w:p>
            <w:pPr>
              <w:spacing w:after="0"/>
              <w:rPr>
                <w:sz w:val="18"/>
                <w:szCs w:val="18"/>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w w:val="94"/>
              </w:rPr>
              <w:t>lenders, Bank of America, N.A., as agent, and Westlake Chemical Corporation and certain of its North American subsidiaries, as</w:t>
            </w:r>
          </w:p>
        </w:tc>
      </w:tr>
      <w:tr>
        <w:trPr>
          <w:trHeight w:val="216"/>
        </w:trPr>
        <w:tc>
          <w:tcPr>
            <w:tcW w:w="1260" w:type="dxa"/>
            <w:vAlign w:val="bottom"/>
          </w:tcPr>
          <w:p>
            <w:pPr>
              <w:spacing w:after="0"/>
              <w:rPr>
                <w:sz w:val="18"/>
                <w:szCs w:val="18"/>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w w:val="93"/>
              </w:rPr>
              <w:t>borrowers, relating to a $400.0 million senior secured revolving credit facility (incorporated by reference to Exhibit 10.0 to Westlake</w:t>
            </w:r>
          </w:p>
        </w:tc>
      </w:tr>
      <w:tr>
        <w:trPr>
          <w:trHeight w:val="230"/>
        </w:trPr>
        <w:tc>
          <w:tcPr>
            <w:tcW w:w="1260" w:type="dxa"/>
            <w:vAlign w:val="bottom"/>
          </w:tcPr>
          <w:p>
            <w:pPr>
              <w:spacing w:after="0"/>
              <w:rPr>
                <w:sz w:val="20"/>
                <w:szCs w:val="20"/>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 No. 001-32260) filed on July 17,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9900" w:type="dxa"/>
            <w:vAlign w:val="bottom"/>
          </w:tcPr>
          <w:p>
            <w:pPr>
              <w:ind w:left="220"/>
              <w:spacing w:after="0"/>
              <w:rPr>
                <w:sz w:val="20"/>
                <w:szCs w:val="20"/>
                <w:color w:val="auto"/>
              </w:rPr>
            </w:pPr>
            <w:r>
              <w:rPr>
                <w:rFonts w:ascii="Arial" w:cs="Arial" w:eastAsia="Arial" w:hAnsi="Arial"/>
                <w:sz w:val="18"/>
                <w:szCs w:val="18"/>
                <w:color w:val="auto"/>
                <w:w w:val="91"/>
              </w:rPr>
              <w:t>Unsecured Promissory Note between WPT LLC and Westlake Development Corporation (incorporated by reference to Exhibit 10.8 to</w:t>
            </w:r>
          </w:p>
        </w:tc>
      </w:tr>
      <w:tr>
        <w:trPr>
          <w:trHeight w:val="230"/>
        </w:trPr>
        <w:tc>
          <w:tcPr>
            <w:tcW w:w="1260" w:type="dxa"/>
            <w:vAlign w:val="bottom"/>
          </w:tcPr>
          <w:p>
            <w:pPr>
              <w:spacing w:after="0"/>
              <w:rPr>
                <w:sz w:val="20"/>
                <w:szCs w:val="20"/>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Westlake Chemical Partners LP's Registration Statement on Form S-1 (File No. 333-195551), filed on June 30, 2014).</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9900" w:type="dxa"/>
            <w:vAlign w:val="bottom"/>
          </w:tcPr>
          <w:p>
            <w:pPr>
              <w:ind w:left="220"/>
              <w:spacing w:after="0"/>
              <w:rPr>
                <w:sz w:val="20"/>
                <w:szCs w:val="20"/>
                <w:color w:val="auto"/>
              </w:rPr>
            </w:pPr>
            <w:r>
              <w:rPr>
                <w:rFonts w:ascii="Arial" w:cs="Arial" w:eastAsia="Arial" w:hAnsi="Arial"/>
                <w:sz w:val="18"/>
                <w:szCs w:val="18"/>
                <w:color w:val="auto"/>
              </w:rPr>
              <w:t>Unsecured Promissory Note between Westlake Vinyls, Inc. and Westlake Development Corporation.</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9900" w:type="dxa"/>
            <w:vAlign w:val="bottom"/>
          </w:tcPr>
          <w:p>
            <w:pPr>
              <w:ind w:left="220"/>
              <w:spacing w:after="0"/>
              <w:rPr>
                <w:sz w:val="20"/>
                <w:szCs w:val="20"/>
                <w:color w:val="auto"/>
              </w:rPr>
            </w:pPr>
            <w:r>
              <w:rPr>
                <w:rFonts w:ascii="Arial" w:cs="Arial" w:eastAsia="Arial" w:hAnsi="Arial"/>
                <w:sz w:val="18"/>
                <w:szCs w:val="18"/>
                <w:color w:val="auto"/>
              </w:rPr>
              <w:t>Unsecured Promissory Note between Westlake Petrochemicals LLC and Westlake Development Corporation.</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9900" w:type="dxa"/>
            <w:vAlign w:val="bottom"/>
          </w:tcPr>
          <w:p>
            <w:pPr>
              <w:ind w:left="220"/>
              <w:spacing w:after="0"/>
              <w:rPr>
                <w:sz w:val="20"/>
                <w:szCs w:val="20"/>
                <w:color w:val="auto"/>
              </w:rPr>
            </w:pPr>
            <w:r>
              <w:rPr>
                <w:rFonts w:ascii="Arial" w:cs="Arial" w:eastAsia="Arial" w:hAnsi="Arial"/>
                <w:sz w:val="18"/>
                <w:szCs w:val="18"/>
                <w:color w:val="auto"/>
                <w:w w:val="91"/>
              </w:rPr>
              <w:t>Senior Unsecured Revolving Credit Agreement by and among Westlake Chemical Partners GP LLC and Westlake Chemical Finance</w:t>
            </w:r>
          </w:p>
        </w:tc>
      </w:tr>
      <w:tr>
        <w:trPr>
          <w:trHeight w:val="216"/>
        </w:trPr>
        <w:tc>
          <w:tcPr>
            <w:tcW w:w="1260" w:type="dxa"/>
            <w:vAlign w:val="bottom"/>
          </w:tcPr>
          <w:p>
            <w:pPr>
              <w:spacing w:after="0"/>
              <w:rPr>
                <w:sz w:val="18"/>
                <w:szCs w:val="18"/>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w w:val="91"/>
              </w:rPr>
              <w:t>Corporation, dated as of April 29, 2015 (incorporated by reference to Exhibit 10.1 to Westlake Chemical Partners LP's Current Report</w:t>
            </w:r>
          </w:p>
        </w:tc>
      </w:tr>
      <w:tr>
        <w:trPr>
          <w:trHeight w:val="230"/>
        </w:trPr>
        <w:tc>
          <w:tcPr>
            <w:tcW w:w="1260" w:type="dxa"/>
            <w:vAlign w:val="bottom"/>
          </w:tcPr>
          <w:p>
            <w:pPr>
              <w:spacing w:after="0"/>
              <w:rPr>
                <w:sz w:val="20"/>
                <w:szCs w:val="20"/>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on Form 8-K, filed on April 30, 2015, File No. 001-36567).</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21.1*</w:t>
            </w:r>
          </w:p>
        </w:tc>
        <w:tc>
          <w:tcPr>
            <w:tcW w:w="9900" w:type="dxa"/>
            <w:vAlign w:val="bottom"/>
          </w:tcPr>
          <w:p>
            <w:pPr>
              <w:ind w:left="220"/>
              <w:spacing w:after="0"/>
              <w:rPr>
                <w:sz w:val="20"/>
                <w:szCs w:val="20"/>
                <w:color w:val="auto"/>
              </w:rPr>
            </w:pPr>
            <w:r>
              <w:rPr>
                <w:rFonts w:ascii="Arial" w:cs="Arial" w:eastAsia="Arial" w:hAnsi="Arial"/>
                <w:sz w:val="18"/>
                <w:szCs w:val="18"/>
                <w:color w:val="auto"/>
              </w:rPr>
              <w:t>List of Subsidiaries of Westlake Chemical Partners LP.</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9900" w:type="dxa"/>
            <w:vAlign w:val="bottom"/>
          </w:tcPr>
          <w:p>
            <w:pPr>
              <w:ind w:left="220"/>
              <w:spacing w:after="0"/>
              <w:rPr>
                <w:sz w:val="20"/>
                <w:szCs w:val="20"/>
                <w:color w:val="auto"/>
              </w:rPr>
            </w:pPr>
            <w:r>
              <w:rPr>
                <w:rFonts w:ascii="Arial" w:cs="Arial" w:eastAsia="Arial" w:hAnsi="Arial"/>
                <w:sz w:val="18"/>
                <w:szCs w:val="18"/>
                <w:color w:val="auto"/>
              </w:rPr>
              <w:t>Consent of PricewaterhouseCoopers LLP.</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900" w:type="dxa"/>
            <w:vAlign w:val="bottom"/>
          </w:tcPr>
          <w:p>
            <w:pPr>
              <w:ind w:left="220"/>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900" w:type="dxa"/>
            <w:vAlign w:val="bottom"/>
          </w:tcPr>
          <w:p>
            <w:pPr>
              <w:ind w:left="220"/>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900" w:type="dxa"/>
            <w:vAlign w:val="bottom"/>
          </w:tcPr>
          <w:p>
            <w:pPr>
              <w:ind w:left="220"/>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990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63"/>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420" w:hanging="412"/>
        <w:spacing w:after="0"/>
        <w:tabs>
          <w:tab w:leader="none" w:pos="420" w:val="left"/>
        </w:tabs>
        <w:numPr>
          <w:ilvl w:val="0"/>
          <w:numId w:val="64"/>
        </w:numPr>
        <w:rPr>
          <w:rFonts w:ascii="Arial" w:cs="Arial" w:eastAsia="Arial" w:hAnsi="Arial"/>
          <w:sz w:val="16"/>
          <w:szCs w:val="16"/>
          <w:color w:val="auto"/>
        </w:rPr>
      </w:pPr>
      <w:r>
        <w:rPr>
          <w:rFonts w:ascii="Arial" w:cs="Arial" w:eastAsia="Arial" w:hAnsi="Arial"/>
          <w:sz w:val="18"/>
          <w:szCs w:val="18"/>
          <w:color w:val="auto"/>
        </w:rPr>
        <w:t>Furnished herewith.</w:t>
      </w:r>
    </w:p>
    <w:p>
      <w:pPr>
        <w:spacing w:after="0" w:line="63" w:lineRule="exact"/>
        <w:rPr>
          <w:rFonts w:ascii="Arial" w:cs="Arial" w:eastAsia="Arial" w:hAnsi="Arial"/>
          <w:sz w:val="16"/>
          <w:szCs w:val="16"/>
          <w:color w:val="auto"/>
        </w:rPr>
      </w:pPr>
    </w:p>
    <w:p>
      <w:pPr>
        <w:ind w:left="420" w:right="40" w:hanging="412"/>
        <w:spacing w:after="0" w:line="277" w:lineRule="auto"/>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Unsecured Promissory Notes between Westlake Development Corporation and each of Westlake Vinyls, Inc. and Westlake Petrochemicals LLC are not filed because they are identical to Exhibit 10.12 except for the identity of the borrower.</w:t>
      </w:r>
    </w:p>
    <w:p>
      <w:pPr>
        <w:spacing w:after="0" w:line="8" w:lineRule="exact"/>
        <w:rPr>
          <w:sz w:val="20"/>
          <w:szCs w:val="20"/>
          <w:color w:val="auto"/>
        </w:rPr>
      </w:pPr>
    </w:p>
    <w:p>
      <w:pPr>
        <w:ind w:left="420" w:hanging="412"/>
        <w:spacing w:after="0"/>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63" w:lineRule="exact"/>
        <w:rPr>
          <w:sz w:val="20"/>
          <w:szCs w:val="20"/>
          <w:color w:val="auto"/>
        </w:rPr>
      </w:pPr>
    </w:p>
    <w:p>
      <w:pPr>
        <w:ind w:left="420" w:hanging="412"/>
        <w:spacing w:after="0" w:line="277" w:lineRule="auto"/>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Confidential status has been granted for certain portions thereof pursuant to the Order Granting Confidential Treatment Under the Securities Act of 1933 issued by the Division of Corporation Finance of the Securities and Exchange Commission filed on August 1, 2014.</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22" w:right="25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21.1</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852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SUBSIDIARIES OF WESTLAKE CHEMICAL PARTNERS LP</w:t>
            </w:r>
          </w:p>
        </w:tc>
      </w:tr>
      <w:tr>
        <w:trPr>
          <w:trHeight w:val="810"/>
        </w:trPr>
        <w:tc>
          <w:tcPr>
            <w:tcW w:w="2900" w:type="dxa"/>
            <w:vAlign w:val="bottom"/>
          </w:tcPr>
          <w:p>
            <w:pPr>
              <w:ind w:left="180"/>
              <w:spacing w:after="0"/>
              <w:rPr>
                <w:sz w:val="20"/>
                <w:szCs w:val="20"/>
                <w:color w:val="auto"/>
              </w:rPr>
            </w:pPr>
            <w:r>
              <w:rPr>
                <w:rFonts w:ascii="Arial" w:cs="Arial" w:eastAsia="Arial" w:hAnsi="Arial"/>
                <w:sz w:val="18"/>
                <w:szCs w:val="18"/>
                <w:b w:val="1"/>
                <w:bCs w:val="1"/>
                <w:color w:val="auto"/>
              </w:rPr>
              <w:t>Name of Subsidiary</w:t>
            </w: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290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358"/>
        </w:trPr>
        <w:tc>
          <w:tcPr>
            <w:tcW w:w="2900" w:type="dxa"/>
            <w:vAlign w:val="bottom"/>
          </w:tcPr>
          <w:p>
            <w:pPr>
              <w:ind w:left="40"/>
              <w:spacing w:after="0"/>
              <w:rPr>
                <w:sz w:val="20"/>
                <w:szCs w:val="20"/>
                <w:color w:val="auto"/>
              </w:rPr>
            </w:pPr>
            <w:r>
              <w:rPr>
                <w:rFonts w:ascii="Arial" w:cs="Arial" w:eastAsia="Arial" w:hAnsi="Arial"/>
                <w:sz w:val="18"/>
                <w:szCs w:val="18"/>
                <w:color w:val="auto"/>
              </w:rPr>
              <w:t>Westlake Chemical OpCo GP LLC</w:t>
            </w: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92"/>
        </w:trPr>
        <w:tc>
          <w:tcPr>
            <w:tcW w:w="2900" w:type="dxa"/>
            <w:vAlign w:val="bottom"/>
          </w:tcPr>
          <w:p>
            <w:pPr>
              <w:ind w:left="40"/>
              <w:spacing w:after="0"/>
              <w:rPr>
                <w:sz w:val="20"/>
                <w:szCs w:val="20"/>
                <w:color w:val="auto"/>
              </w:rPr>
            </w:pPr>
            <w:r>
              <w:rPr>
                <w:rFonts w:ascii="Arial" w:cs="Arial" w:eastAsia="Arial" w:hAnsi="Arial"/>
                <w:sz w:val="18"/>
                <w:szCs w:val="18"/>
                <w:color w:val="auto"/>
              </w:rPr>
              <w:t>Westlake Chemical OpCo LP</w:t>
            </w: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23.1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333-198233) of Westlake Chemical Partners LP of our report dated March 8, 2016 relating to the financial statements, financial statement schedule, and the effectiveness of internal controls over financial reporting, which appears in this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2016</w:t>
      </w:r>
    </w:p>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225"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Partners LP (the "registrant");</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56"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300" w:right="120" w:hanging="644"/>
        <w:spacing w:after="0" w:line="250"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220" w:hanging="644"/>
        <w:spacing w:after="0" w:line="250"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right="380" w:hanging="644"/>
        <w:spacing w:after="0" w:line="281"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00" w:hanging="644"/>
        <w:spacing w:after="0" w:line="255"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60" w:hanging="652"/>
        <w:spacing w:after="0" w:line="274"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644"/>
        <w:spacing w:after="0" w:line="281"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40" w:hanging="644"/>
        <w:spacing w:after="0" w:line="261"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8, 2016</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Chief Executive Officer and Director of</w:t>
      </w:r>
    </w:p>
    <w:p>
      <w:pPr>
        <w:jc w:val="center"/>
        <w:ind w:left="652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225"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Partners LP (the "registrant");</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20" w:hanging="652"/>
        <w:spacing w:after="0" w:line="25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300" w:right="120" w:hanging="644"/>
        <w:spacing w:after="0" w:line="250"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220" w:hanging="644"/>
        <w:spacing w:after="0" w:line="250"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right="380" w:hanging="644"/>
        <w:spacing w:after="0" w:line="281"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00" w:hanging="644"/>
        <w:spacing w:after="0" w:line="255"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60" w:hanging="652"/>
        <w:spacing w:after="0" w:line="274"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644"/>
        <w:spacing w:after="0" w:line="281"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40" w:hanging="644"/>
        <w:spacing w:after="0" w:line="261"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70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8, 2016</w:t>
      </w:r>
      <w:r>
        <w:rPr>
          <w:sz w:val="20"/>
          <w:szCs w:val="20"/>
          <w:color w:val="auto"/>
        </w:rPr>
        <w:tab/>
      </w:r>
      <w:r>
        <w:rPr>
          <w:rFonts w:ascii="Arial" w:cs="Arial" w:eastAsia="Arial" w:hAnsi="Arial"/>
          <w:sz w:val="17"/>
          <w:szCs w:val="17"/>
          <w:color w:val="auto"/>
        </w:rPr>
        <w:t>/s/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M. Steven Bender</w:t>
      </w:r>
    </w:p>
    <w:p>
      <w:pPr>
        <w:jc w:val="center"/>
        <w:ind w:left="6520"/>
        <w:spacing w:after="0" w:line="226" w:lineRule="auto"/>
        <w:rPr>
          <w:sz w:val="20"/>
          <w:szCs w:val="20"/>
          <w:color w:val="auto"/>
        </w:rPr>
      </w:pPr>
      <w:r>
        <w:rPr>
          <w:rFonts w:ascii="Arial" w:cs="Arial" w:eastAsia="Arial" w:hAnsi="Arial"/>
          <w:sz w:val="14"/>
          <w:szCs w:val="14"/>
          <w:b w:val="1"/>
          <w:bCs w:val="1"/>
          <w:color w:val="auto"/>
        </w:rPr>
        <w:t>Senior Vice President, Chief Financial Officer</w:t>
      </w:r>
    </w:p>
    <w:p>
      <w:pPr>
        <w:jc w:val="center"/>
        <w:ind w:left="6520"/>
        <w:spacing w:after="0" w:line="222" w:lineRule="auto"/>
        <w:rPr>
          <w:sz w:val="20"/>
          <w:szCs w:val="20"/>
          <w:color w:val="auto"/>
        </w:rPr>
      </w:pPr>
      <w:r>
        <w:rPr>
          <w:rFonts w:ascii="Arial" w:cs="Arial" w:eastAsia="Arial" w:hAnsi="Arial"/>
          <w:sz w:val="14"/>
          <w:szCs w:val="14"/>
          <w:b w:val="1"/>
          <w:bCs w:val="1"/>
          <w:color w:val="auto"/>
        </w:rPr>
        <w:t>Treasurer and Director of</w:t>
      </w:r>
    </w:p>
    <w:p>
      <w:pPr>
        <w:jc w:val="center"/>
        <w:ind w:left="6520"/>
        <w:spacing w:after="0" w:line="221"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connection with the Annual Report on Form 10-K of Westlake Chemical Partners LP (the "Partnership"), as filed with the Securities and Exchange Commission on the date hereof (the "Report"), Albert Chao, President, Chief Executive Officer and Director of the general partner of the Partnership, and M. Steven Bender, Senior Vice President, Chief Financial Officer, Treasurer and Director of the general partner of the Partnership, each certify, pursuant to 18 U.S.C. Section 1350, as adopted pursuant to Section 906 of the Sarbanes-Oxley Act of 2002, that, to his knowledge:</w:t>
      </w:r>
    </w:p>
    <w:p>
      <w:pPr>
        <w:spacing w:after="0" w:line="171"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500" w:hanging="644"/>
        <w:spacing w:after="0" w:line="27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8, 2016</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Chief Executive Officer and Director of</w:t>
      </w:r>
    </w:p>
    <w:p>
      <w:pPr>
        <w:jc w:val="center"/>
        <w:ind w:left="652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70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8, 2016</w:t>
      </w:r>
      <w:r>
        <w:rPr>
          <w:sz w:val="20"/>
          <w:szCs w:val="20"/>
          <w:color w:val="auto"/>
        </w:rPr>
        <w:tab/>
      </w:r>
      <w:r>
        <w:rPr>
          <w:rFonts w:ascii="Arial" w:cs="Arial" w:eastAsia="Arial" w:hAnsi="Arial"/>
          <w:sz w:val="17"/>
          <w:szCs w:val="17"/>
          <w:color w:val="auto"/>
        </w:rPr>
        <w:t>/s/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M. Steven Bender</w:t>
      </w:r>
    </w:p>
    <w:p>
      <w:pPr>
        <w:jc w:val="center"/>
        <w:ind w:left="6520"/>
        <w:spacing w:after="0" w:line="226" w:lineRule="auto"/>
        <w:rPr>
          <w:sz w:val="20"/>
          <w:szCs w:val="20"/>
          <w:color w:val="auto"/>
        </w:rPr>
      </w:pPr>
      <w:r>
        <w:rPr>
          <w:rFonts w:ascii="Arial" w:cs="Arial" w:eastAsia="Arial" w:hAnsi="Arial"/>
          <w:sz w:val="14"/>
          <w:szCs w:val="14"/>
          <w:b w:val="1"/>
          <w:bCs w:val="1"/>
          <w:color w:val="auto"/>
        </w:rPr>
        <w:t>Senior Vice President, Chief Financial Officer,</w:t>
      </w:r>
    </w:p>
    <w:p>
      <w:pPr>
        <w:jc w:val="center"/>
        <w:ind w:left="6520"/>
        <w:spacing w:after="0" w:line="222" w:lineRule="auto"/>
        <w:rPr>
          <w:sz w:val="20"/>
          <w:szCs w:val="20"/>
          <w:color w:val="auto"/>
        </w:rPr>
      </w:pPr>
      <w:r>
        <w:rPr>
          <w:rFonts w:ascii="Arial" w:cs="Arial" w:eastAsia="Arial" w:hAnsi="Arial"/>
          <w:sz w:val="14"/>
          <w:szCs w:val="14"/>
          <w:b w:val="1"/>
          <w:bCs w:val="1"/>
          <w:color w:val="auto"/>
        </w:rPr>
        <w:t>Treasurer and Director of</w:t>
      </w:r>
    </w:p>
    <w:p>
      <w:pPr>
        <w:jc w:val="center"/>
        <w:ind w:left="6520"/>
        <w:spacing w:after="0" w:line="221"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lvl w:ilvl="1">
      <w:lvlJc w:val="left"/>
      <w:lvlText w:val="(%2)"/>
      <w:numFmt w:val="decimal"/>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1)"/>
      <w:numFmt w:val="decimal"/>
      <w:start w:val="1"/>
    </w:lvl>
  </w:abstractNum>
  <w:abstractNum w:abstractNumId="21">
    <w:nsid w:val="4B588F54"/>
    <w:multiLevelType w:val="hybridMultilevel"/>
    <w:lvl w:ilvl="0">
      <w:lvlJc w:val="left"/>
      <w:lvlText w:val="(%1)"/>
      <w:numFmt w:val="decimal"/>
      <w:start w:val="1"/>
    </w:lvl>
  </w:abstractNum>
  <w:abstractNum w:abstractNumId="22">
    <w:nsid w:val="542289EC"/>
    <w:multiLevelType w:val="hybridMultilevel"/>
    <w:lvl w:ilvl="0">
      <w:lvlJc w:val="left"/>
      <w:lvlText w:val="%1"/>
      <w:numFmt w:val="decimal"/>
      <w:start w:val="1"/>
    </w:lvl>
    <w:lvl w:ilvl="1">
      <w:lvlJc w:val="left"/>
      <w:lvlText w:val="%2)"/>
      <w:numFmt w:val="decimal"/>
      <w:start w:val="1"/>
    </w:lvl>
  </w:abstractNum>
  <w:abstractNum w:abstractNumId="23">
    <w:nsid w:val="6DE91B18"/>
    <w:multiLevelType w:val="hybridMultilevel"/>
    <w:lvl w:ilvl="0">
      <w:lvlJc w:val="left"/>
      <w:lvlText w:val="(%1)"/>
      <w:numFmt w:val="decimal"/>
      <w:start w:val="6"/>
    </w:lvl>
    <w:lvl w:ilvl="1">
      <w:lvlJc w:val="left"/>
      <w:lvlText w:val="%2"/>
      <w:numFmt w:val="decimal"/>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1)"/>
      <w:numFmt w:val="decimal"/>
      <w:start w:val="1"/>
    </w:lvl>
  </w:abstractNum>
  <w:abstractNum w:abstractNumId="27">
    <w:nsid w:val="684A481A"/>
    <w:multiLevelType w:val="hybridMultilevel"/>
    <w:lvl w:ilvl="0">
      <w:lvlJc w:val="left"/>
      <w:lvlText w:val="(%1)"/>
      <w:numFmt w:val="decimal"/>
      <w:start w:val="1"/>
    </w:lvl>
  </w:abstractNum>
  <w:abstractNum w:abstractNumId="28">
    <w:nsid w:val="579478FE"/>
    <w:multiLevelType w:val="hybridMultilevel"/>
    <w:lvl w:ilvl="0">
      <w:lvlJc w:val="left"/>
      <w:lvlText w:val="(%1)"/>
      <w:numFmt w:val="decimal"/>
      <w:start w:val="2"/>
    </w:lvl>
  </w:abstractNum>
  <w:abstractNum w:abstractNumId="29">
    <w:nsid w:val="749ABB43"/>
    <w:multiLevelType w:val="hybridMultilevel"/>
    <w:lvl w:ilvl="0">
      <w:lvlJc w:val="left"/>
      <w:lvlText w:val="%1."/>
      <w:numFmt w:val="decimal"/>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1."/>
      <w:numFmt w:val="decimal"/>
      <w:start w:val="3"/>
    </w:lvl>
  </w:abstractNum>
  <w:abstractNum w:abstractNumId="34">
    <w:nsid w:val="12E685FB"/>
    <w:multiLevelType w:val="hybridMultilevel"/>
    <w:lvl w:ilvl="0">
      <w:lvlJc w:val="left"/>
      <w:lvlText w:val="%1."/>
      <w:numFmt w:val="decimal"/>
      <w:start w:val="4"/>
    </w:lvl>
  </w:abstractNum>
  <w:abstractNum w:abstractNumId="35">
    <w:nsid w:val="70C6A529"/>
    <w:multiLevelType w:val="hybridMultilevel"/>
    <w:lvl w:ilvl="0">
      <w:lvlJc w:val="left"/>
      <w:lvlText w:val="(%1)"/>
      <w:numFmt w:val="decimal"/>
      <w:start w:val="2"/>
    </w:lvl>
  </w:abstractNum>
  <w:abstractNum w:abstractNumId="36">
    <w:nsid w:val="520EEDD1"/>
    <w:multiLevelType w:val="hybridMultilevel"/>
    <w:lvl w:ilvl="0">
      <w:lvlJc w:val="left"/>
      <w:lvlText w:val="(%1)"/>
      <w:numFmt w:val="decimal"/>
      <w:start w:val="1"/>
    </w:lvl>
  </w:abstractNum>
  <w:abstractNum w:abstractNumId="37">
    <w:nsid w:val="374A3FE6"/>
    <w:multiLevelType w:val="hybridMultilevel"/>
    <w:lvl w:ilvl="0">
      <w:lvlJc w:val="left"/>
      <w:lvlText w:val="%1."/>
      <w:numFmt w:val="decimal"/>
      <w:start w:val="12"/>
    </w:lvl>
  </w:abstractNum>
  <w:abstractNum w:abstractNumId="38">
    <w:nsid w:val="4F4EF005"/>
    <w:multiLevelType w:val="hybridMultilevel"/>
    <w:lvl w:ilvl="0">
      <w:lvlJc w:val="left"/>
      <w:lvlText w:val="%1."/>
      <w:numFmt w:val="decimal"/>
      <w:start w:val="15"/>
    </w:lvl>
  </w:abstractNum>
  <w:abstractNum w:abstractNumId="39">
    <w:nsid w:val="23F9C13C"/>
    <w:multiLevelType w:val="hybridMultilevel"/>
    <w:lvl w:ilvl="0">
      <w:lvlJc w:val="left"/>
      <w:lvlText w:val="%1."/>
      <w:numFmt w:val="decimal"/>
      <w:start w:val="18"/>
    </w:lvl>
  </w:abstractNum>
  <w:abstractNum w:abstractNumId="40">
    <w:nsid w:val="649BB77C"/>
    <w:multiLevelType w:val="hybridMultilevel"/>
    <w:lvl w:ilvl="0">
      <w:lvlJc w:val="left"/>
      <w:lvlText w:val="%1."/>
      <w:numFmt w:val="decimal"/>
      <w:start w:val="21"/>
    </w:lvl>
  </w:abstractNum>
  <w:abstractNum w:abstractNumId="41">
    <w:nsid w:val="275AC794"/>
    <w:multiLevelType w:val="hybridMultilevel"/>
    <w:lvl w:ilvl="0">
      <w:lvlJc w:val="left"/>
      <w:lvlText w:val="(%1)"/>
      <w:numFmt w:val="decimal"/>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1)"/>
      <w:numFmt w:val="decimal"/>
      <w:start w:val="1"/>
    </w:lvl>
  </w:abstractNum>
  <w:abstractNum w:abstractNumId="45">
    <w:nsid w:val="235BA861"/>
    <w:multiLevelType w:val="hybridMultilevel"/>
    <w:lvl w:ilvl="0">
      <w:lvlJc w:val="left"/>
      <w:lvlText w:val="(%1)"/>
      <w:numFmt w:val="decimal"/>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1)"/>
      <w:numFmt w:val="decimal"/>
      <w:start w:val="1"/>
    </w:lvl>
  </w:abstractNum>
  <w:abstractNum w:abstractNumId="49">
    <w:nsid w:val="741226BB"/>
    <w:multiLevelType w:val="hybridMultilevel"/>
    <w:lvl w:ilvl="0">
      <w:lvlJc w:val="left"/>
      <w:lvlText w:val="(%1)"/>
      <w:numFmt w:val="decimal"/>
      <w:start w:val="5"/>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1)"/>
      <w:numFmt w:val="decimal"/>
      <w:start w:val="2"/>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1."/>
      <w:numFmt w:val="decimal"/>
      <w:start w:val="7"/>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2020-01-19T20:23:00Z</dcterms:created>
  <dcterms:modified xsi:type="dcterms:W3CDTF">2020-01-19T20:23:00Z</dcterms:modified>
</cp:coreProperties>
</file>