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193040</wp:posOffset>
            </wp:positionV>
            <wp:extent cx="3310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5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144145</wp:posOffset>
            </wp:positionV>
            <wp:extent cx="3310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720" w:right="16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40" w:right="140" w:hanging="691"/>
        <w:spacing w:after="0" w:line="256" w:lineRule="auto"/>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740"/>
        <w:spacing w:after="0"/>
        <w:tabs>
          <w:tab w:leader="none" w:pos="4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214630</wp:posOffset>
            </wp:positionV>
            <wp:extent cx="3310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Westlake Chemical Partners LP</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125095</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32-0436529</w:t>
      </w:r>
    </w:p>
    <w:p>
      <w:pPr>
        <w:spacing w:after="0" w:line="82" w:lineRule="exact"/>
        <w:rPr>
          <w:sz w:val="24"/>
          <w:szCs w:val="24"/>
          <w:color w:val="auto"/>
        </w:rPr>
      </w:pPr>
    </w:p>
    <w:p>
      <w:pPr>
        <w:sectPr>
          <w:pgSz w:w="11900" w:h="16838" w:orient="portrait"/>
          <w:cols w:equalWidth="0" w:num="2">
            <w:col w:w="7520" w:space="720"/>
            <w:col w:w="3140"/>
          </w:cols>
          <w:pgMar w:left="240" w:top="517" w:right="27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000"/>
        <w:spacing w:after="0"/>
        <w:rPr>
          <w:sz w:val="20"/>
          <w:szCs w:val="20"/>
          <w:color w:val="auto"/>
        </w:rPr>
      </w:pPr>
      <w:r>
        <w:rPr>
          <w:rFonts w:ascii="Arial" w:cs="Arial" w:eastAsia="Arial" w:hAnsi="Arial"/>
          <w:sz w:val="13"/>
          <w:szCs w:val="13"/>
          <w:b w:val="1"/>
          <w:bCs w:val="1"/>
          <w:color w:val="auto"/>
        </w:rPr>
        <w:t>Identification Number)</w:t>
      </w:r>
    </w:p>
    <w:p>
      <w:pPr>
        <w:spacing w:after="0" w:line="177" w:lineRule="exact"/>
        <w:rPr>
          <w:sz w:val="24"/>
          <w:szCs w:val="24"/>
          <w:color w:val="auto"/>
        </w:rPr>
      </w:pPr>
    </w:p>
    <w:p>
      <w:pPr>
        <w:sectPr>
          <w:pgSz w:w="11900" w:h="16838" w:orient="portrait"/>
          <w:cols w:equalWidth="0" w:num="2">
            <w:col w:w="7240" w:space="720"/>
            <w:col w:w="3420"/>
          </w:cols>
          <w:pgMar w:left="240" w:top="517"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2801 Post Oak Boulevard, Suite 600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77056</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7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 585-2900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ectPr>
          <w:pgSz w:w="11900" w:h="16838" w:orient="portrait"/>
          <w:cols w:equalWidth="0" w:num="1">
            <w:col w:w="11380"/>
          </w:cols>
          <w:pgMar w:left="240" w:top="517" w:right="279" w:bottom="1440" w:gutter="0" w:footer="0" w:header="0"/>
          <w:type w:val="continuous"/>
        </w:sectPr>
      </w:pPr>
    </w:p>
    <w:p>
      <w:pPr>
        <w:spacing w:after="0" w:line="74"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smaller reporting company, or an emerging growth company. See definitions of "large accelerated filer," "accelerated filer", "smaller reporting company" and "emerging growth company" in Rule 12b-2 of the Exchange Act (Check one):</w:t>
      </w:r>
    </w:p>
    <w:p>
      <w:pPr>
        <w:spacing w:after="0" w:line="257"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36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47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620"/>
              <w:spacing w:after="0"/>
              <w:rPr>
                <w:sz w:val="20"/>
                <w:szCs w:val="20"/>
                <w:color w:val="auto"/>
              </w:rPr>
            </w:pPr>
            <w:r>
              <w:rPr>
                <w:rFonts w:ascii="Arial" w:cs="Arial" w:eastAsia="Arial" w:hAnsi="Arial"/>
                <w:sz w:val="18"/>
                <w:szCs w:val="18"/>
                <w:b w:val="1"/>
                <w:bCs w:val="1"/>
                <w:color w:val="auto"/>
              </w:rPr>
              <w:t>Accelerated filer</w:t>
            </w:r>
          </w:p>
        </w:tc>
        <w:tc>
          <w:tcPr>
            <w:tcW w:w="700" w:type="dxa"/>
            <w:vAlign w:val="bottom"/>
          </w:tcPr>
          <w:p>
            <w:pPr>
              <w:ind w:left="540"/>
              <w:spacing w:after="0"/>
              <w:rPr>
                <w:sz w:val="20"/>
                <w:szCs w:val="20"/>
                <w:color w:val="auto"/>
              </w:rPr>
            </w:pPr>
            <w:r>
              <w:rPr>
                <w:rFonts w:ascii="Arial" w:cs="Arial" w:eastAsia="Arial" w:hAnsi="Arial"/>
                <w:sz w:val="18"/>
                <w:szCs w:val="18"/>
                <w:color w:val="auto"/>
              </w:rPr>
              <w:t>x</w:t>
            </w:r>
          </w:p>
        </w:tc>
      </w:tr>
      <w:tr>
        <w:trPr>
          <w:trHeight w:val="419"/>
        </w:trPr>
        <w:tc>
          <w:tcPr>
            <w:tcW w:w="236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4780" w:type="dxa"/>
            <w:vAlign w:val="bottom"/>
          </w:tcPr>
          <w:p>
            <w:pPr>
              <w:ind w:left="6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260" w:type="dxa"/>
            <w:vAlign w:val="bottom"/>
          </w:tcPr>
          <w:p>
            <w:pPr>
              <w:ind w:left="620"/>
              <w:spacing w:after="0"/>
              <w:rPr>
                <w:sz w:val="20"/>
                <w:szCs w:val="20"/>
                <w:color w:val="auto"/>
              </w:rPr>
            </w:pPr>
            <w:r>
              <w:rPr>
                <w:rFonts w:ascii="Arial" w:cs="Arial" w:eastAsia="Arial" w:hAnsi="Arial"/>
                <w:sz w:val="18"/>
                <w:szCs w:val="18"/>
                <w:b w:val="1"/>
                <w:bCs w:val="1"/>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260" w:type="dxa"/>
            <w:vAlign w:val="bottom"/>
          </w:tcPr>
          <w:p>
            <w:pPr>
              <w:ind w:left="620"/>
              <w:spacing w:after="0"/>
              <w:rPr>
                <w:sz w:val="20"/>
                <w:szCs w:val="20"/>
                <w:color w:val="auto"/>
              </w:rPr>
            </w:pPr>
            <w:r>
              <w:rPr>
                <w:rFonts w:ascii="Arial" w:cs="Arial" w:eastAsia="Arial" w:hAnsi="Arial"/>
                <w:sz w:val="18"/>
                <w:szCs w:val="18"/>
                <w:b w:val="1"/>
                <w:bCs w:val="1"/>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178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x The registrant had 32,234,730 common units outstanding as of October 31, 2017.</w:t>
      </w:r>
    </w:p>
    <w:p>
      <w:pPr>
        <w:sectPr>
          <w:pgSz w:w="11900" w:h="16838" w:orient="portrait"/>
          <w:cols w:equalWidth="0" w:num="1">
            <w:col w:w="11380"/>
          </w:cols>
          <w:pgMar w:left="240" w:top="517"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10060" w:type="dxa"/>
            <w:vAlign w:val="bottom"/>
          </w:tcPr>
          <w:p>
            <w:pPr>
              <w:spacing w:after="0"/>
              <w:rPr>
                <w:sz w:val="14"/>
                <w:szCs w:val="14"/>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0580" w:type="dxa"/>
            <w:vAlign w:val="bottom"/>
            <w:gridSpan w:val="3"/>
            <w:vMerge w:val="restart"/>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0580" w:type="dxa"/>
            <w:vAlign w:val="bottom"/>
            <w:gridSpan w:val="3"/>
            <w:vMerge w:val="continue"/>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
              <w:r>
                <w:rPr>
                  <w:rFonts w:ascii="Arial" w:cs="Arial" w:eastAsia="Arial" w:hAnsi="Arial"/>
                  <w:sz w:val="18"/>
                  <w:szCs w:val="18"/>
                  <w:color w:val="auto"/>
                  <w:w w:val="99"/>
                </w:rPr>
                <w:t>1)</w:t>
              </w:r>
            </w:hyperlink>
          </w:p>
        </w:tc>
        <w:tc>
          <w:tcPr>
            <w:tcW w:w="10060" w:type="dxa"/>
            <w:vAlign w:val="bottom"/>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80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21">
              <w:r>
                <w:rPr>
                  <w:rFonts w:ascii="Arial" w:cs="Arial" w:eastAsia="Arial" w:hAnsi="Arial"/>
                  <w:sz w:val="18"/>
                  <w:szCs w:val="18"/>
                  <w:color w:val="auto"/>
                  <w:w w:val="99"/>
                </w:rPr>
                <w:t>2)</w:t>
              </w:r>
            </w:hyperlink>
          </w:p>
        </w:tc>
        <w:tc>
          <w:tcPr>
            <w:tcW w:w="10060" w:type="dxa"/>
            <w:vAlign w:val="bottom"/>
          </w:tcPr>
          <w:p>
            <w:pPr>
              <w:ind w:left="20"/>
              <w:spacing w:after="0"/>
              <w:rPr>
                <w:rFonts w:ascii="Arial" w:cs="Arial" w:eastAsia="Arial" w:hAnsi="Arial"/>
                <w:sz w:val="18"/>
                <w:szCs w:val="18"/>
                <w:color w:val="auto"/>
              </w:rPr>
            </w:pPr>
            <w:hyperlink w:anchor="page21">
              <w:r>
                <w:rPr>
                  <w:rFonts w:ascii="Arial" w:cs="Arial" w:eastAsia="Arial" w:hAnsi="Arial"/>
                  <w:sz w:val="18"/>
                  <w:szCs w:val="18"/>
                  <w:color w:val="auto"/>
                </w:rPr>
                <w:t>Management's Discussion and Analysis of Financial Condition and Results of Operations</w:t>
              </w:r>
            </w:hyperlink>
          </w:p>
        </w:tc>
        <w:tc>
          <w:tcPr>
            <w:tcW w:w="80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19</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1">
              <w:r>
                <w:rPr>
                  <w:rFonts w:ascii="Arial" w:cs="Arial" w:eastAsia="Arial" w:hAnsi="Arial"/>
                  <w:sz w:val="18"/>
                  <w:szCs w:val="18"/>
                  <w:color w:val="auto"/>
                  <w:w w:val="99"/>
                </w:rPr>
                <w:t>3)</w:t>
              </w:r>
            </w:hyperlink>
          </w:p>
        </w:tc>
        <w:tc>
          <w:tcPr>
            <w:tcW w:w="10060" w:type="dxa"/>
            <w:vAlign w:val="bottom"/>
          </w:tcPr>
          <w:p>
            <w:pPr>
              <w:ind w:left="20"/>
              <w:spacing w:after="0"/>
              <w:rPr>
                <w:rFonts w:ascii="Arial" w:cs="Arial" w:eastAsia="Arial" w:hAnsi="Arial"/>
                <w:sz w:val="18"/>
                <w:szCs w:val="18"/>
                <w:color w:val="auto"/>
              </w:rPr>
            </w:pPr>
            <w:hyperlink w:anchor="page31">
              <w:r>
                <w:rPr>
                  <w:rFonts w:ascii="Arial" w:cs="Arial" w:eastAsia="Arial" w:hAnsi="Arial"/>
                  <w:sz w:val="18"/>
                  <w:szCs w:val="18"/>
                  <w:color w:val="auto"/>
                </w:rPr>
                <w:t>Quantitative and Qualitative Disclosures about Market Risk</w:t>
              </w:r>
            </w:hyperlink>
          </w:p>
        </w:tc>
        <w:tc>
          <w:tcPr>
            <w:tcW w:w="80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2">
              <w:r>
                <w:rPr>
                  <w:rFonts w:ascii="Arial" w:cs="Arial" w:eastAsia="Arial" w:hAnsi="Arial"/>
                  <w:sz w:val="18"/>
                  <w:szCs w:val="18"/>
                  <w:color w:val="auto"/>
                  <w:w w:val="99"/>
                </w:rPr>
                <w:t>4)</w:t>
              </w:r>
            </w:hyperlink>
          </w:p>
        </w:tc>
        <w:tc>
          <w:tcPr>
            <w:tcW w:w="10060" w:type="dxa"/>
            <w:vAlign w:val="bottom"/>
          </w:tcPr>
          <w:p>
            <w:pPr>
              <w:ind w:left="20"/>
              <w:spacing w:after="0"/>
              <w:rPr>
                <w:rFonts w:ascii="Arial" w:cs="Arial" w:eastAsia="Arial" w:hAnsi="Arial"/>
                <w:sz w:val="18"/>
                <w:szCs w:val="18"/>
                <w:color w:val="auto"/>
              </w:rPr>
            </w:pPr>
            <w:hyperlink w:anchor="page32">
              <w:r>
                <w:rPr>
                  <w:rFonts w:ascii="Arial" w:cs="Arial" w:eastAsia="Arial" w:hAnsi="Arial"/>
                  <w:sz w:val="18"/>
                  <w:szCs w:val="18"/>
                  <w:color w:val="auto"/>
                </w:rPr>
                <w:t>Controls and Procedures</w:t>
              </w:r>
            </w:hyperlink>
          </w:p>
        </w:tc>
        <w:tc>
          <w:tcPr>
            <w:tcW w:w="80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c>
          <w:tcPr>
            <w:tcW w:w="0" w:type="dxa"/>
            <w:vAlign w:val="bottom"/>
          </w:tcPr>
          <w:p>
            <w:pPr>
              <w:spacing w:after="0"/>
              <w:rPr>
                <w:sz w:val="1"/>
                <w:szCs w:val="1"/>
                <w:color w:val="auto"/>
              </w:rPr>
            </w:pPr>
          </w:p>
        </w:tc>
      </w:tr>
      <w:tr>
        <w:trPr>
          <w:trHeight w:val="594"/>
        </w:trPr>
        <w:tc>
          <w:tcPr>
            <w:tcW w:w="10580" w:type="dxa"/>
            <w:vAlign w:val="bottom"/>
            <w:gridSpan w:val="3"/>
          </w:tcPr>
          <w:p>
            <w:pPr>
              <w:spacing w:after="0"/>
              <w:rPr>
                <w:rFonts w:ascii="Arial" w:cs="Arial" w:eastAsia="Arial" w:hAnsi="Arial"/>
                <w:sz w:val="18"/>
                <w:szCs w:val="18"/>
                <w:b w:val="1"/>
                <w:bCs w:val="1"/>
                <w:color w:val="auto"/>
              </w:rPr>
            </w:pPr>
            <w:hyperlink w:anchor="page33">
              <w:r>
                <w:rPr>
                  <w:rFonts w:ascii="Arial" w:cs="Arial" w:eastAsia="Arial" w:hAnsi="Arial"/>
                  <w:sz w:val="18"/>
                  <w:szCs w:val="18"/>
                  <w:b w:val="1"/>
                  <w:bCs w:val="1"/>
                  <w:color w:val="auto"/>
                </w:rPr>
                <w:t>PART II. 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3">
              <w:r>
                <w:rPr>
                  <w:rFonts w:ascii="Arial" w:cs="Arial" w:eastAsia="Arial" w:hAnsi="Arial"/>
                  <w:sz w:val="18"/>
                  <w:szCs w:val="18"/>
                  <w:color w:val="auto"/>
                  <w:w w:val="99"/>
                </w:rPr>
                <w:t>1)</w:t>
              </w:r>
            </w:hyperlink>
          </w:p>
        </w:tc>
        <w:tc>
          <w:tcPr>
            <w:tcW w:w="10060" w:type="dxa"/>
            <w:vAlign w:val="bottom"/>
          </w:tcPr>
          <w:p>
            <w:pPr>
              <w:ind w:left="20"/>
              <w:spacing w:after="0"/>
              <w:rPr>
                <w:rFonts w:ascii="Arial" w:cs="Arial" w:eastAsia="Arial" w:hAnsi="Arial"/>
                <w:sz w:val="18"/>
                <w:szCs w:val="18"/>
                <w:color w:val="auto"/>
              </w:rPr>
            </w:pPr>
            <w:hyperlink w:anchor="page33">
              <w:r>
                <w:rPr>
                  <w:rFonts w:ascii="Arial" w:cs="Arial" w:eastAsia="Arial" w:hAnsi="Arial"/>
                  <w:sz w:val="18"/>
                  <w:szCs w:val="18"/>
                  <w:color w:val="auto"/>
                </w:rPr>
                <w:t>Legal Proceedings</w:t>
              </w:r>
            </w:hyperlink>
          </w:p>
        </w:tc>
        <w:tc>
          <w:tcPr>
            <w:tcW w:w="80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10300" w:type="dxa"/>
            <w:vAlign w:val="bottom"/>
            <w:gridSpan w:val="2"/>
          </w:tcPr>
          <w:p>
            <w:pPr>
              <w:ind w:left="60"/>
              <w:spacing w:after="0"/>
              <w:rPr>
                <w:rFonts w:ascii="Arial" w:cs="Arial" w:eastAsia="Arial" w:hAnsi="Arial"/>
                <w:sz w:val="18"/>
                <w:szCs w:val="18"/>
                <w:color w:val="auto"/>
              </w:rPr>
            </w:pPr>
            <w:hyperlink w:anchor="page33">
              <w:r>
                <w:rPr>
                  <w:rFonts w:ascii="Arial" w:cs="Arial" w:eastAsia="Arial" w:hAnsi="Arial"/>
                  <w:sz w:val="18"/>
                  <w:szCs w:val="18"/>
                  <w:color w:val="auto"/>
                </w:rPr>
                <w:t>1A) Risk Factors</w:t>
              </w:r>
            </w:hyperlink>
          </w:p>
        </w:tc>
        <w:tc>
          <w:tcPr>
            <w:tcW w:w="80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r>
        <w:trPr>
          <w:trHeight w:val="270"/>
        </w:trPr>
        <w:tc>
          <w:tcPr>
            <w:tcW w:w="520" w:type="dxa"/>
            <w:vAlign w:val="bottom"/>
            <w:gridSpan w:val="2"/>
          </w:tcPr>
          <w:p>
            <w:pPr>
              <w:ind w:left="340"/>
              <w:spacing w:after="0"/>
              <w:rPr>
                <w:rFonts w:ascii="Arial" w:cs="Arial" w:eastAsia="Arial" w:hAnsi="Arial"/>
                <w:sz w:val="18"/>
                <w:szCs w:val="18"/>
                <w:color w:val="auto"/>
                <w:w w:val="99"/>
              </w:rPr>
            </w:pPr>
            <w:hyperlink w:anchor="page33">
              <w:r>
                <w:rPr>
                  <w:rFonts w:ascii="Arial" w:cs="Arial" w:eastAsia="Arial" w:hAnsi="Arial"/>
                  <w:sz w:val="18"/>
                  <w:szCs w:val="18"/>
                  <w:color w:val="auto"/>
                  <w:w w:val="99"/>
                </w:rPr>
                <w:t>6)</w:t>
              </w:r>
            </w:hyperlink>
          </w:p>
        </w:tc>
        <w:tc>
          <w:tcPr>
            <w:tcW w:w="10060" w:type="dxa"/>
            <w:vAlign w:val="bottom"/>
          </w:tcPr>
          <w:p>
            <w:pPr>
              <w:ind w:left="20"/>
              <w:spacing w:after="0"/>
              <w:rPr>
                <w:rFonts w:ascii="Arial" w:cs="Arial" w:eastAsia="Arial" w:hAnsi="Arial"/>
                <w:sz w:val="18"/>
                <w:szCs w:val="18"/>
                <w:color w:val="auto"/>
              </w:rPr>
            </w:pPr>
            <w:hyperlink w:anchor="page33">
              <w:r>
                <w:rPr>
                  <w:rFonts w:ascii="Arial" w:cs="Arial" w:eastAsia="Arial" w:hAnsi="Arial"/>
                  <w:sz w:val="18"/>
                  <w:szCs w:val="18"/>
                  <w:color w:val="auto"/>
                </w:rPr>
                <w:t>Exhibits</w:t>
              </w:r>
            </w:hyperlink>
          </w:p>
        </w:tc>
        <w:tc>
          <w:tcPr>
            <w:tcW w:w="80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4"/>
        </w:trPr>
        <w:tc>
          <w:tcPr>
            <w:tcW w:w="8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6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(in thousands of dollars,</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except unit amounts)</w:t>
            </w: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4"/>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88,900</w:t>
            </w:r>
          </w:p>
        </w:tc>
        <w:tc>
          <w:tcPr>
            <w:tcW w:w="0" w:type="dxa"/>
            <w:vAlign w:val="bottom"/>
          </w:tcPr>
          <w:p>
            <w:pPr>
              <w:spacing w:after="0"/>
              <w:rPr>
                <w:sz w:val="1"/>
                <w:szCs w:val="1"/>
                <w:color w:val="auto"/>
              </w:rPr>
            </w:pPr>
          </w:p>
        </w:tc>
      </w:tr>
      <w:tr>
        <w:trPr>
          <w:trHeight w:val="229"/>
        </w:trPr>
        <w:tc>
          <w:tcPr>
            <w:tcW w:w="8360" w:type="dxa"/>
            <w:vAlign w:val="bottom"/>
          </w:tcPr>
          <w:p>
            <w:pPr>
              <w:ind w:left="380"/>
              <w:spacing w:after="0"/>
              <w:rPr>
                <w:sz w:val="20"/>
                <w:szCs w:val="20"/>
                <w:color w:val="auto"/>
              </w:rPr>
            </w:pPr>
            <w:r>
              <w:rPr>
                <w:rFonts w:ascii="Arial" w:cs="Arial" w:eastAsia="Arial" w:hAnsi="Arial"/>
                <w:sz w:val="18"/>
                <w:szCs w:val="18"/>
                <w:color w:val="auto"/>
              </w:rPr>
              <w:t>Receivable under the Investment Management Agreement—Westlake Chemical</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520"/>
              <w:spacing w:after="0"/>
              <w:rPr>
                <w:sz w:val="20"/>
                <w:szCs w:val="20"/>
                <w:color w:val="auto"/>
              </w:rPr>
            </w:pPr>
            <w:r>
              <w:rPr>
                <w:rFonts w:ascii="Arial" w:cs="Arial" w:eastAsia="Arial" w:hAnsi="Arial"/>
                <w:sz w:val="18"/>
                <w:szCs w:val="18"/>
                <w:color w:val="auto"/>
              </w:rPr>
              <w:t>Corporation ("Westlake")</w:t>
            </w:r>
          </w:p>
        </w:tc>
        <w:tc>
          <w:tcPr>
            <w:tcW w:w="20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119,009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net—Westlake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126,977</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 net—third parties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16,651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12,085</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217,608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232,165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1,206,246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1,222,238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5,814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charges and other assets, net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88,030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95,011</w:t>
            </w:r>
          </w:p>
        </w:tc>
        <w:tc>
          <w:tcPr>
            <w:tcW w:w="0" w:type="dxa"/>
            <w:vAlign w:val="bottom"/>
          </w:tcPr>
          <w:p>
            <w:pPr>
              <w:spacing w:after="0"/>
              <w:rPr>
                <w:sz w:val="1"/>
                <w:szCs w:val="1"/>
                <w:color w:val="auto"/>
              </w:rPr>
            </w:pP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Total other assets, net</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93,844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100,825</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1,517,698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1,555,228</w:t>
            </w: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payable—Westlake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14,123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12,130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payable—third parties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9,930</w:t>
            </w:r>
          </w:p>
        </w:tc>
        <w:tc>
          <w:tcPr>
            <w:tcW w:w="0" w:type="dxa"/>
            <w:vAlign w:val="bottom"/>
          </w:tcPr>
          <w:p>
            <w:pPr>
              <w:spacing w:after="0"/>
              <w:rPr>
                <w:sz w:val="1"/>
                <w:szCs w:val="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20,724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15,717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37,777</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Long-term debt payable to Westlake</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477,121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594,629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524,219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634,265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Commitments and contingencies (Note 15)</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3"/>
              </w:rPr>
              <w:t>Common unitholders—public (18,112,500 and 12,937,500 units issued and outstanding at September 30, 2017</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and December 31, 2016, respectively)</w:t>
            </w:r>
          </w:p>
        </w:tc>
        <w:tc>
          <w:tcPr>
            <w:tcW w:w="20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409,684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297,367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Common unitholder—Westlake (14,122,230 and 1,436,115 units issued and outstanding at September 30, 2017</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December 31, 2016,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4,813</w:t>
            </w:r>
          </w:p>
        </w:tc>
        <w:tc>
          <w:tcPr>
            <w:tcW w:w="0" w:type="dxa"/>
            <w:vAlign w:val="bottom"/>
          </w:tcPr>
          <w:p>
            <w:pPr>
              <w:spacing w:after="0"/>
              <w:rPr>
                <w:sz w:val="1"/>
                <w:szCs w:val="1"/>
                <w:color w:val="auto"/>
              </w:rPr>
            </w:pP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w w:val="93"/>
              </w:rPr>
              <w:t>Subordinated unitholder—Westlake (0 and 12,686,115 units issued and outstanding at September 30, 2017 and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40"/>
              <w:spacing w:after="0"/>
              <w:rPr>
                <w:sz w:val="20"/>
                <w:szCs w:val="20"/>
                <w:color w:val="auto"/>
              </w:rPr>
            </w:pPr>
            <w:r>
              <w:rPr>
                <w:rFonts w:ascii="Arial" w:cs="Arial" w:eastAsia="Arial" w:hAnsi="Arial"/>
                <w:sz w:val="18"/>
                <w:szCs w:val="18"/>
                <w:color w:val="auto"/>
              </w:rPr>
              <w:t>December 31, 2016, respectively)</w:t>
            </w: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42,534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partner—Westlake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(242,430)</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Westlake Chemical Partners LP partners' capital</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216,861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102,484</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Noncontrolling interest in Westlake Chemical OpCo LP ("OpCo")</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776,618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818,479</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993,479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920,963</w:t>
            </w:r>
          </w:p>
        </w:tc>
        <w:tc>
          <w:tcPr>
            <w:tcW w:w="0" w:type="dxa"/>
            <w:vAlign w:val="bottom"/>
          </w:tcPr>
          <w:p>
            <w:pPr>
              <w:spacing w:after="0"/>
              <w:rPr>
                <w:sz w:val="1"/>
                <w:szCs w:val="1"/>
                <w:color w:val="auto"/>
              </w:rPr>
            </w:pPr>
          </w:p>
        </w:tc>
      </w:tr>
      <w:tr>
        <w:trPr>
          <w:trHeight w:val="257"/>
        </w:trPr>
        <w:tc>
          <w:tcPr>
            <w:tcW w:w="836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1,517,698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1,555,228</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385"/>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40" w:type="dxa"/>
            <w:vAlign w:val="bottom"/>
            <w:gridSpan w:val="9"/>
          </w:tcPr>
          <w:p>
            <w:pPr>
              <w:jc w:val="right"/>
              <w:ind w:right="30"/>
              <w:spacing w:after="0"/>
              <w:rPr>
                <w:sz w:val="20"/>
                <w:szCs w:val="20"/>
                <w:color w:val="auto"/>
              </w:rPr>
            </w:pPr>
            <w:r>
              <w:rPr>
                <w:rFonts w:ascii="Arial" w:cs="Arial" w:eastAsia="Arial" w:hAnsi="Arial"/>
                <w:sz w:val="14"/>
                <w:szCs w:val="14"/>
                <w:b w:val="1"/>
                <w:bCs w:val="1"/>
                <w:color w:val="auto"/>
              </w:rPr>
              <w:t>(in thousands of dollars, except unit amounts and per unit data)</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258,049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193,964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711,968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606,859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co-product, ethylene and other sales—third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parties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38,726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152,368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85,940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296,775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229,354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864,336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692,799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201,372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142,553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571,401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407,203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95,403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86,801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292,935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285,596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6,805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21,519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17,733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88,598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81,013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271,416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267,863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(17,592)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(7,381)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82,570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76,053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255,668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260,712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82,245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75,859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254,743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259,822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interest in OpCo</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68,860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221,619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229,733</w:t>
            </w:r>
          </w:p>
        </w:tc>
        <w:tc>
          <w:tcPr>
            <w:tcW w:w="0" w:type="dxa"/>
            <w:vAlign w:val="bottom"/>
          </w:tcPr>
          <w:p>
            <w:pPr>
              <w:spacing w:after="0"/>
              <w:rPr>
                <w:sz w:val="1"/>
                <w:szCs w:val="1"/>
                <w:color w:val="auto"/>
              </w:rPr>
            </w:pPr>
          </w:p>
        </w:tc>
      </w:tr>
      <w:tr>
        <w:trPr>
          <w:trHeight w:val="205"/>
        </w:trPr>
        <w:tc>
          <w:tcPr>
            <w:tcW w:w="51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Westlake Chemical</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b w:val="1"/>
                <w:bCs w:val="1"/>
                <w:color w:val="auto"/>
              </w:rPr>
              <w:t>13,385</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b w:val="1"/>
                <w:bCs w:val="1"/>
                <w:color w:val="auto"/>
              </w:rPr>
              <w:t>8,661</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b w:val="1"/>
                <w:bCs w:val="1"/>
                <w:color w:val="auto"/>
              </w:rPr>
              <w:t>33,124</w:t>
            </w:r>
          </w:p>
        </w:tc>
        <w:tc>
          <w:tcPr>
            <w:tcW w:w="100" w:type="dxa"/>
            <w:vAlign w:val="bottom"/>
          </w:tcPr>
          <w:p>
            <w:pPr>
              <w:spacing w:after="0"/>
              <w:rPr>
                <w:sz w:val="17"/>
                <w:szCs w:val="17"/>
                <w:color w:val="auto"/>
              </w:rPr>
            </w:pPr>
          </w:p>
        </w:tc>
        <w:tc>
          <w:tcPr>
            <w:tcW w:w="44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b w:val="1"/>
                <w:bCs w:val="1"/>
                <w:color w:val="auto"/>
              </w:rPr>
              <w:t>30,089</w:t>
            </w: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Partners LP</w:t>
            </w:r>
          </w:p>
        </w:tc>
        <w:tc>
          <w:tcPr>
            <w:tcW w:w="2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income per limited partner unit attributable to</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Westlake Chemical Partners LP (basic and diluted)</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Common units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Subordinated units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limited partner units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units—public</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13,050,000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12,937,500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12,975,412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12,937,500</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Common units—Westlake</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14,122,230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1,436,115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5,711,289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1,436,115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Subordinated units—Westlake</w:t>
            </w:r>
          </w:p>
        </w:tc>
        <w:tc>
          <w:tcPr>
            <w:tcW w:w="2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12,686,115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8,410,941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12,686,115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Distributions per common unit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0.3650</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0.3259</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1.0649</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0.9507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385"/>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5"/>
          </w:tcPr>
          <w:p>
            <w:pPr>
              <w:ind w:left="420"/>
              <w:spacing w:after="0"/>
              <w:rPr>
                <w:sz w:val="20"/>
                <w:szCs w:val="20"/>
                <w:color w:val="auto"/>
              </w:rPr>
            </w:pPr>
            <w:r>
              <w:rPr>
                <w:rFonts w:ascii="Arial" w:cs="Arial" w:eastAsia="Arial" w:hAnsi="Arial"/>
                <w:sz w:val="14"/>
                <w:szCs w:val="14"/>
                <w:b w:val="1"/>
                <w:bCs w:val="1"/>
                <w:color w:val="auto"/>
              </w:rPr>
              <w:t>(in thousands of dollars)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82,245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75,859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254,743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259,822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flow hedge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rate contract</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Change in fair value of cash flow hedge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43"/>
        </w:trPr>
        <w:tc>
          <w:tcPr>
            <w:tcW w:w="5160" w:type="dxa"/>
            <w:vAlign w:val="bottom"/>
          </w:tcPr>
          <w:p>
            <w:pPr>
              <w:jc w:val="center"/>
              <w:ind w:right="690"/>
              <w:spacing w:after="0"/>
              <w:rPr>
                <w:sz w:val="20"/>
                <w:szCs w:val="20"/>
                <w:color w:val="auto"/>
              </w:rPr>
            </w:pPr>
            <w:r>
              <w:rPr>
                <w:rFonts w:ascii="Arial" w:cs="Arial" w:eastAsia="Arial" w:hAnsi="Arial"/>
                <w:sz w:val="18"/>
                <w:szCs w:val="18"/>
                <w:color w:val="auto"/>
                <w:w w:val="91"/>
              </w:rPr>
              <w:t>Reclassification of (income) loss to net income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jc w:val="center"/>
              <w:ind w:right="710"/>
              <w:spacing w:after="0"/>
              <w:rPr>
                <w:sz w:val="20"/>
                <w:szCs w:val="20"/>
                <w:color w:val="auto"/>
              </w:rPr>
            </w:pPr>
            <w:r>
              <w:rPr>
                <w:rFonts w:ascii="Arial" w:cs="Arial" w:eastAsia="Arial" w:hAnsi="Arial"/>
                <w:sz w:val="18"/>
                <w:szCs w:val="18"/>
                <w:color w:val="auto"/>
                <w:w w:val="89"/>
              </w:rPr>
              <w:t>Total 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82,228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76,259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254,769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259,318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jc w:val="center"/>
              <w:ind w:right="650"/>
              <w:spacing w:after="0"/>
              <w:rPr>
                <w:sz w:val="20"/>
                <w:szCs w:val="20"/>
                <w:color w:val="auto"/>
              </w:rPr>
            </w:pPr>
            <w:r>
              <w:rPr>
                <w:rFonts w:ascii="Arial" w:cs="Arial" w:eastAsia="Arial" w:hAnsi="Arial"/>
                <w:sz w:val="18"/>
                <w:szCs w:val="18"/>
                <w:color w:val="auto"/>
                <w:w w:val="91"/>
              </w:rPr>
              <w:t>Comprehensive income attributable to noncontrolling</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interest in OpCo</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68,860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67,198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221,619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229,733</w:t>
            </w:r>
          </w:p>
        </w:tc>
        <w:tc>
          <w:tcPr>
            <w:tcW w:w="0" w:type="dxa"/>
            <w:vAlign w:val="bottom"/>
          </w:tcPr>
          <w:p>
            <w:pPr>
              <w:spacing w:after="0"/>
              <w:rPr>
                <w:sz w:val="1"/>
                <w:szCs w:val="1"/>
                <w:color w:val="auto"/>
              </w:rPr>
            </w:pPr>
          </w:p>
        </w:tc>
      </w:tr>
      <w:tr>
        <w:trPr>
          <w:trHeight w:val="209"/>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attributable to Westlake</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13,368</w:t>
            </w:r>
          </w:p>
        </w:tc>
        <w:tc>
          <w:tcPr>
            <w:tcW w:w="12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9,061</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33,150</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29,585</w:t>
            </w:r>
          </w:p>
        </w:tc>
        <w:tc>
          <w:tcPr>
            <w:tcW w:w="0" w:type="dxa"/>
            <w:vAlign w:val="bottom"/>
          </w:tcPr>
          <w:p>
            <w:pPr>
              <w:spacing w:after="0"/>
              <w:rPr>
                <w:sz w:val="1"/>
                <w:szCs w:val="1"/>
                <w:color w:val="auto"/>
              </w:rPr>
            </w:pPr>
          </w:p>
        </w:tc>
      </w:tr>
      <w:tr>
        <w:trPr>
          <w:trHeight w:val="242"/>
        </w:trPr>
        <w:tc>
          <w:tcPr>
            <w:tcW w:w="5160" w:type="dxa"/>
            <w:vAlign w:val="bottom"/>
          </w:tcPr>
          <w:p>
            <w:pPr>
              <w:ind w:left="180"/>
              <w:spacing w:after="0"/>
              <w:rPr>
                <w:sz w:val="20"/>
                <w:szCs w:val="20"/>
                <w:color w:val="auto"/>
              </w:rPr>
            </w:pPr>
            <w:r>
              <w:rPr>
                <w:rFonts w:ascii="Arial" w:cs="Arial" w:eastAsia="Arial" w:hAnsi="Arial"/>
                <w:sz w:val="18"/>
                <w:szCs w:val="18"/>
                <w:color w:val="auto"/>
              </w:rPr>
              <w:t>Chemical Partners LP</w:t>
            </w:r>
          </w:p>
        </w:tc>
        <w:tc>
          <w:tcPr>
            <w:tcW w:w="2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Subordinated</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General</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Noncontrolling</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1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Unitholders</w:t>
            </w:r>
            <w:r>
              <w:rPr>
                <w:rFonts w:ascii="Arial" w:cs="Arial" w:eastAsia="Arial" w:hAnsi="Arial"/>
                <w:sz w:val="14"/>
                <w:szCs w:val="14"/>
                <w:color w:val="auto"/>
                <w:w w:val="93"/>
              </w:rPr>
              <w:t>—</w:t>
            </w: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Unitholder</w:t>
            </w:r>
            <w:r>
              <w:rPr>
                <w:rFonts w:ascii="Arial" w:cs="Arial" w:eastAsia="Arial" w:hAnsi="Arial"/>
                <w:sz w:val="14"/>
                <w:szCs w:val="14"/>
                <w:color w:val="auto"/>
                <w:w w:val="97"/>
              </w:rPr>
              <w:t>—</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Unitholder</w:t>
            </w:r>
            <w:r>
              <w:rPr>
                <w:rFonts w:ascii="Arial" w:cs="Arial" w:eastAsia="Arial" w:hAnsi="Arial"/>
                <w:sz w:val="14"/>
                <w:szCs w:val="14"/>
                <w:color w:val="auto"/>
                <w:w w:val="95"/>
              </w:rPr>
              <w:t>—</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Partner</w:t>
            </w:r>
            <w:r>
              <w:rPr>
                <w:rFonts w:ascii="Arial" w:cs="Arial" w:eastAsia="Arial" w:hAnsi="Arial"/>
                <w:sz w:val="14"/>
                <w:szCs w:val="14"/>
                <w:color w:val="auto"/>
                <w:w w:val="98"/>
              </w:rPr>
              <w:t>—</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Interests</w:t>
            </w:r>
          </w:p>
        </w:tc>
        <w:tc>
          <w:tcPr>
            <w:tcW w:w="200" w:type="dxa"/>
            <w:vAlign w:val="bottom"/>
          </w:tcPr>
          <w:p>
            <w:pPr>
              <w:spacing w:after="0"/>
              <w:rPr>
                <w:sz w:val="12"/>
                <w:szCs w:val="12"/>
                <w:color w:val="auto"/>
              </w:rPr>
            </w:pPr>
          </w:p>
        </w:tc>
        <w:tc>
          <w:tcPr>
            <w:tcW w:w="8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0"/>
              </w:rPr>
              <w:t>Public</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Westlake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2"/>
              </w:rPr>
              <w:t>Westlake</w:t>
            </w:r>
          </w:p>
        </w:tc>
        <w:tc>
          <w:tcPr>
            <w:tcW w:w="12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5"/>
              </w:rPr>
              <w:t>in OpCo</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6"/>
          </w:tcPr>
          <w:p>
            <w:pPr>
              <w:ind w:left="680"/>
              <w:spacing w:after="0"/>
              <w:rPr>
                <w:sz w:val="20"/>
                <w:szCs w:val="20"/>
                <w:color w:val="auto"/>
              </w:rPr>
            </w:pPr>
            <w:r>
              <w:rPr>
                <w:rFonts w:ascii="Arial" w:cs="Arial" w:eastAsia="Arial" w:hAnsi="Arial"/>
                <w:sz w:val="14"/>
                <w:szCs w:val="14"/>
                <w:b w:val="1"/>
                <w:bCs w:val="1"/>
                <w:color w:val="auto"/>
                <w:w w:val="99"/>
              </w:rPr>
              <w:t>(in thousands of dollars)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294,565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39,786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750,606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847,167</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14,320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14,041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229,733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259,822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effect of cash flow hedge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Quarterly distributions to unitholders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(25,774)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distribution to noncontrolling</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retained in</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OpCo by Westlake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(188,736)</w:t>
            </w:r>
          </w:p>
        </w:tc>
        <w:tc>
          <w:tcPr>
            <w:tcW w:w="0" w:type="dxa"/>
            <w:vAlign w:val="bottom"/>
          </w:tcPr>
          <w:p>
            <w:pPr>
              <w:spacing w:after="0"/>
              <w:rPr>
                <w:sz w:val="1"/>
                <w:szCs w:val="1"/>
                <w:color w:val="auto"/>
              </w:rPr>
            </w:pPr>
          </w:p>
        </w:tc>
      </w:tr>
      <w:tr>
        <w:trPr>
          <w:trHeight w:val="257"/>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Balances at September 30, 2016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296,585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4,726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41,766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(242,481)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791,603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891,975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297,367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818,479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920,963</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15,355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3,389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221,619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254,743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effect of cash flow hedge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w w:val="97"/>
              </w:rPr>
              <w:t>Proceeds from secondary public offering, net</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8"/>
                <w:szCs w:val="18"/>
                <w:color w:val="auto"/>
              </w:rPr>
              <w:t>of finance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60"/>
              <w:spacing w:after="0"/>
              <w:rPr>
                <w:sz w:val="20"/>
                <w:szCs w:val="20"/>
                <w:color w:val="auto"/>
              </w:rPr>
            </w:pPr>
            <w:r>
              <w:rPr>
                <w:rFonts w:ascii="Arial" w:cs="Arial" w:eastAsia="Arial" w:hAnsi="Arial"/>
                <w:sz w:val="18"/>
                <w:szCs w:val="18"/>
                <w:color w:val="auto"/>
              </w:rPr>
              <w:t>and other offering costs</w:t>
            </w:r>
          </w:p>
        </w:tc>
        <w:tc>
          <w:tcPr>
            <w:tcW w:w="180" w:type="dxa"/>
            <w:vAlign w:val="bottom"/>
          </w:tcPr>
          <w:p>
            <w:pPr>
              <w:spacing w:after="0"/>
              <w:rPr>
                <w:sz w:val="20"/>
                <w:szCs w:val="20"/>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110,739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110,739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Subordinated unit conversion</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Quarterly distributions to unitholders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(29,512)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distribution to noncontrolling</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retained in</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OpCo by Westlake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(263,480)</w:t>
            </w:r>
          </w:p>
        </w:tc>
        <w:tc>
          <w:tcPr>
            <w:tcW w:w="0" w:type="dxa"/>
            <w:vAlign w:val="bottom"/>
          </w:tcPr>
          <w:p>
            <w:pPr>
              <w:spacing w:after="0"/>
              <w:rPr>
                <w:sz w:val="1"/>
                <w:szCs w:val="1"/>
                <w:color w:val="auto"/>
              </w:rPr>
            </w:pPr>
          </w:p>
        </w:tc>
      </w:tr>
      <w:tr>
        <w:trPr>
          <w:trHeight w:val="257"/>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Balances at September 30, 2017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409,684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49,025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(242,074)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776,618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993,479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3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385"/>
        </w:trPr>
        <w:tc>
          <w:tcPr>
            <w:tcW w:w="8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(in thousands of dollars)</w:t>
            </w: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254,743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259,822</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86,502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67,472</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Loss from disposition of property, plant and equipment</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2,408</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involuntary conversion of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389</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receivable—third parties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accounts receivable—Westlake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68,556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(87,032)</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451</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6,026</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and 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7,831</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(76,492)</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401,916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177,370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to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(268,647)</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Proceeds from disposition of assets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157</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involuntary conversion of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Receivable under the Investment Management Agreement—Westlake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(268,490)</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from common units offering</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110,739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Proceeds from debt payable to Westlake</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155,257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212,175</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 of debt payable to Westlake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(272,765)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Quarterly distributions to noncontrolling interest retained in OpCo by Westlake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(263,480)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(188,736)</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distributions to unitholders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(25,774)</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(299,761)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(3,433)</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(94,553)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88,900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169,559</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17,249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75,006</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742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Basis of Presentation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 On September 29, 2017, the Partnership completed its secondary offering of 5,175,000 common units at a price of $22.00 per unit. Net proceeds to Westlake Partners from the sale of the units was $110,739, net of underwriting discounts, structuring fees and estimated offering expenses of approximately $3,111.</w:t>
      </w:r>
    </w:p>
    <w:p>
      <w:pPr>
        <w:spacing w:after="0" w:line="5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In connection with the IPO, the Partnership acquired a 10.6% interest in Westlake Chemical OpCo LP ("OpCo") and a 100% interest in Westlake Chemical OpCo GP LLC ("OpCo GP"), which is the general partner of OpCo. On April 29, 2015, the Partnership purchased an additional 2.7% newly-issued limited partner interest in OpCo for approximately $135,341, resulting in an aggregate 13.3% limited partner interest in OpCo effective April 1, 2015. On September 29, 2017, the Partnership purchased an additional 5.0% newly-issued limited partner interest in OpCo for approximately $229,207, resulting in an aggregate 18.3% limited partner interest in OpCo, effective as of July 1, 2017. The remaining 81.7% limited partner interest in OpCo is owned by Westlake Chemical Corporation.</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OpCo owns three ethylene production facilities and a common carrier ethylene pipeline.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392"/>
        <w:spacing w:after="0" w:line="272" w:lineRule="auto"/>
        <w:rPr>
          <w:sz w:val="20"/>
          <w:szCs w:val="20"/>
          <w:color w:val="auto"/>
        </w:rPr>
      </w:pPr>
      <w:r>
        <w:rPr>
          <w:rFonts w:ascii="Arial" w:cs="Arial" w:eastAsia="Arial" w:hAnsi="Arial"/>
          <w:sz w:val="17"/>
          <w:szCs w:val="17"/>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December 31, 2016 combined and consolidated financial statements and notes thereto of the Partnership included in the annual report on Form 10-K for the fiscal year ended December 31, 2016 (the "2016 Form 10-K"), filed with the SEC on March 7, 2017. These financial statements have been prepared in conformity with the accounting principles and practices as disclosed in the notes to the combined and consolidated financial statements of the Partnership for the fiscal year ended December 31, 2016.</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References to "Westlake" refer collectively to Westlake Chemical Corporation and its subsidiaries, other than the Partnership, OpCo and OpCo GP.</w:t>
      </w:r>
    </w:p>
    <w:p>
      <w:pPr>
        <w:spacing w:after="0" w:line="183" w:lineRule="exact"/>
        <w:rPr>
          <w:sz w:val="20"/>
          <w:szCs w:val="20"/>
          <w:color w:val="auto"/>
        </w:rPr>
      </w:pPr>
    </w:p>
    <w:p>
      <w:pPr>
        <w:ind w:right="40" w:firstLine="392"/>
        <w:spacing w:after="0" w:line="271" w:lineRule="auto"/>
        <w:rPr>
          <w:sz w:val="20"/>
          <w:szCs w:val="20"/>
          <w:color w:val="auto"/>
        </w:rPr>
      </w:pPr>
      <w:r>
        <w:rPr>
          <w:rFonts w:ascii="Arial" w:cs="Arial" w:eastAsia="Arial" w:hAnsi="Arial"/>
          <w:sz w:val="17"/>
          <w:szCs w:val="17"/>
          <w:color w:val="auto"/>
        </w:rPr>
        <w:t>The Partnership holds a 18.3% limited partner interest and the entire non-economic general partner interest in OpCo. The remaining 81.7% limited partner interest in OpCo is owned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81.7% is recorded as noncontrolling interest in the Partnership's consolidated financial statements.</w:t>
      </w:r>
    </w:p>
    <w:p>
      <w:pPr>
        <w:spacing w:after="0" w:line="125"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September 30, 2017, its results of operations for the three and nine months ended September 30, 2017 and 2016 and the changes in its cash position for the nine months ended September 30, 2017 and 2016.</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Results of operations and changes in cash position for the interim periods presented are not necessarily indicative of the results that will be realized for the fiscal year ending December 31, 2017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 (ASU No. 2014-09)</w:t>
      </w:r>
    </w:p>
    <w:p>
      <w:pPr>
        <w:spacing w:after="0" w:line="9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May 2014, the Financial Accounting Standards Board ("FASB") issued an accounting standards update on a comprehensive new revenue recognition standard that will supersede the existing revenue recognition guidance. The new accounting guidance creates a framework by which an entity will allocate the transaction price to separate performance obligations and recognize revenue when each performance obligation is satisfied. Under the new standard, entities will be required to use judgment and make estimates, including identifying performance obligations in a contract, estimating the amount of variable consideration to include in the transaction price, allocating the transaction price to each separate performance obligation and determining when an entity satisfies its performance obligations. The standard allows for either "full retrospective" adoption, meaning that the standard is applied to all of the periods presented with a cumulative catch-up as of the earliest period presented, or "modified retrospective" adoption, meaning the standard is applied only to the most current period presented in the financial statements with a cumulative catch-up as of the current period. In 2016, the FASB issued various additional authoritative guidance for the new revenue recognition standard. The accounting standard will be effective for reporting periods beginning after December 15, 2017. The Partnership is in the process of performing a detailed analysis of its contracts with customer to evaluate the potential impact that the new accounting standard will have on its consolidated financial position, results of operations and cash flows. The Partnership intends to elect the modified retrospective method of adoption.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(ASU No. 2016-02)</w:t>
      </w:r>
    </w:p>
    <w:p>
      <w:pPr>
        <w:spacing w:after="0" w:line="90"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In February 2016, the FASB issued an accounting standards update on a new lease standard that will supersede the existing lease guidance. The standard requires a lessee to recognize assets and liabilities related to long-term leases that are classified as operating leases under current guidance on its balance sheet. An asset would be recognized related to the right to use the underlying asset and a liability would be recognized related to the obligation to make lease payments over the term of the lease. The standard also requires expanded disclosures related to leases. The accounting standard will be effective for reporting periods beginning after December 15, 2018. The Partnership is in the process of evaluating the impact that the new accounting guidance will have on its consolidated financial position,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No. 2016-13)</w:t>
      </w:r>
    </w:p>
    <w:p>
      <w:pPr>
        <w:spacing w:after="0" w:line="90"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In June 2016, the FASB issued an accounting standards update providing new guidance for the accounting for credit losses on loans and other financial instruments. The new guidance introduces an approach based on expected losses to estimate credit losses on certain types of financial instruments. The standard also modifies the impairment model for available-for-sale debt securities and provides for a simplified accounting model for purchased financial assets with credit deterioration since their origination. The accounting standard will be effective for reporting periods beginning after December 15, 2019 and is not expected to have a material impact on the Partnership's consolidated financial position, results of operations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(ASU No. 2016-15)</w:t>
      </w:r>
    </w:p>
    <w:p>
      <w:pPr>
        <w:spacing w:after="0" w:line="90"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In August 2016, the FASB issued an accounting standards update providing new guidance on the classification of certain cash receipts and payments including debt extinguishment costs, debt prepayment costs, settlement of zero-coupon debt instruments, contingent consideration payments, proceeds from the settlement of insurance claims and life insurance policies and distributions received from equity method investees in the statement of cash flows. This update is required to be applied using the retrospective transition method to each period presented unless it is impracticable to be applied retrospectively. In such situation, this guidance is to be applied prospectively. The accounting standard will be effective for reporting periods beginning after December 15, 2017 and is not expected to have an impact on the Partnership's consolidated financial position, results of operations and cash flows.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(ASU No. 2017-01)</w:t>
      </w:r>
    </w:p>
    <w:p>
      <w:pPr>
        <w:spacing w:after="0" w:line="90"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In January 2017, the FASB issued an accounting standards update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so, the set of transferred assets and activities is not a business. The guidance also requires a business to include at least one substantive process and narrows the definition of outputs by more closely aligning it with how outputs are described in the FASB ASC Topic 606, Revenue from contracts with customers. The accounting standard will be effective for reporting periods beginning after December 15, 2017 and is not expected to have an impact on the Partnership's consolidated financial position, results of operations and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 Gains and Losses from the Derecognition of Nonfinancial Assets (ASU No. 2017-05)</w:t>
      </w:r>
    </w:p>
    <w:p>
      <w:pPr>
        <w:spacing w:after="0" w:line="9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February 2017, the FASB issued an accounting standards update to clarify the scope of guidance related to other income—gains and losses from the derecognition of nonfinancial assets, and to add guidance for partial sales of nonfinancial assets. The new guidance clarifies that an in substance nonfinancial asset is an asset or group of assets for which substantially all of the fair value consists of nonfinancial assets and the group or subsidiary is not a business. The guidance also outlines that when an entity transfers its controlling interest in a nonfinancial asset, but retains a noncontrolling interest, it will measure the retained interest at fair value resulting in full gain or loss recognition upon sale of the controlling interest. The accounting standard will be effective for reporting periods beginning after December 15, 2017 and is not expected to have an impact on the Partnership's consolidated financial position, results of operations and cash flows.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the Consolidation Analysis (ASU No. 2016-17)</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October 2016, the FASB issued an accounting standards update making certain changes to the current consolidation guidance. The amendments affect reporting entities that are required to evaluate whether they should consolidate a variable interest entity in certain situations involving entities under common control. Specifically, the amendments change the evaluation of whether a reporting entity is the primary beneficiary of a variable interest entity by changing how a reporting entity that is a single decision maker of a variable interest entity treats indirect interests in the entity held through related parties that are under common control with the reporting entity. The amendments became effective for annual periods beginning after December 15, 2016. The Partnership adopted this accounting standard effective January 1, 2017, and the adoption did not have any impact on the Partnership's consolidated financial position, results of operations and cash flow.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Receivable—Third Parties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customers</w:t>
            </w:r>
          </w:p>
        </w:tc>
        <w:tc>
          <w:tcPr>
            <w:tcW w:w="4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11,913</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4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16,651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11,349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Other</w:t>
            </w:r>
          </w:p>
        </w:tc>
        <w:tc>
          <w:tcPr>
            <w:tcW w:w="4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 net—third parties</w:t>
            </w:r>
          </w:p>
        </w:tc>
        <w:tc>
          <w:tcPr>
            <w:tcW w:w="4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16,651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12,085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4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60" w:type="dxa"/>
            <w:vAlign w:val="bottom"/>
            <w:vMerge w:val="continue"/>
          </w:tcPr>
          <w:p>
            <w:pPr>
              <w:spacing w:after="0"/>
              <w:rPr>
                <w:sz w:val="24"/>
                <w:szCs w:val="24"/>
                <w:color w:val="auto"/>
              </w:rPr>
            </w:pPr>
          </w:p>
        </w:tc>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60" w:type="dxa"/>
            <w:vAlign w:val="bottom"/>
          </w:tcPr>
          <w:p>
            <w:pPr>
              <w:ind w:left="440"/>
              <w:spacing w:after="0"/>
              <w:rPr>
                <w:sz w:val="20"/>
                <w:szCs w:val="20"/>
                <w:color w:val="auto"/>
              </w:rPr>
            </w:pPr>
            <w:r>
              <w:rPr>
                <w:rFonts w:ascii="Arial" w:cs="Arial" w:eastAsia="Arial" w:hAnsi="Arial"/>
                <w:sz w:val="18"/>
                <w:szCs w:val="18"/>
                <w:color w:val="auto"/>
              </w:rPr>
              <w:t>Inventories consist of the following:</w:t>
            </w:r>
          </w:p>
        </w:tc>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3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60" w:type="dxa"/>
            <w:vAlign w:val="bottom"/>
          </w:tcPr>
          <w:p>
            <w:pPr>
              <w:jc w:val="center"/>
              <w:ind w:right="1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4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Feedstock, additives and chemicals</w:t>
            </w:r>
          </w:p>
        </w:tc>
        <w:tc>
          <w:tcPr>
            <w:tcW w:w="4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3,881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jc w:val="right"/>
              <w:ind w:right="2510"/>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6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94" w:lineRule="exact"/>
        <w:rPr>
          <w:sz w:val="20"/>
          <w:szCs w:val="20"/>
          <w:color w:val="auto"/>
        </w:rPr>
      </w:pPr>
    </w:p>
    <w:p>
      <w:pPr>
        <w:ind w:right="320" w:firstLine="432"/>
        <w:spacing w:after="0" w:line="291" w:lineRule="auto"/>
        <w:rPr>
          <w:sz w:val="20"/>
          <w:szCs w:val="20"/>
          <w:color w:val="auto"/>
        </w:rPr>
      </w:pPr>
      <w:r>
        <w:rPr>
          <w:rFonts w:ascii="Arial" w:cs="Arial" w:eastAsia="Arial" w:hAnsi="Arial"/>
          <w:sz w:val="16"/>
          <w:szCs w:val="16"/>
          <w:color w:val="auto"/>
        </w:rPr>
        <w:t>As of September 30, 2017, the Partnership had property, plant and equipment, net totaling $1,206,246. The Partnership assesses these assets for impairment whenever events or changes in circumstances indicate that the carrying amount of an asset may not be recoverable, including when negative conditions such as significant current or projected operating losses exist. Other factors considered by the Partnership when determining if an impairment assessment is necessary include, but are not limited to,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U.S. and world economies and uncertainties associated with governmental actions. Long-lived assets assessed for impairment are grouped at the lowest level for which identifiable cash flows are largely independent of the cash flows of other assets and liabilities.</w:t>
      </w:r>
    </w:p>
    <w:p>
      <w:pPr>
        <w:spacing w:after="0" w:line="113"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Depreciation expense on property, plant and equipment of $23,525 and $19,773 is included in cost of sales in the consolidated statements of operations for the three months ended September 30, 2017 and 2016, respectively. Depreciation expense on property, plant and equipment of $69,189 and $53,420 is included in cost of sales in the consolidated statements of operations for the nine months ended September 30,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Assets</w:t>
      </w:r>
    </w:p>
    <w:p>
      <w:pPr>
        <w:spacing w:after="0" w:line="17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Amortization expense on other assets of $5,528 and $6,517 is included in costs of sales in the consolidated statements of operations for the three months ended September 30, 2017 and 2016, respectively. Amortization expense on other assets of $17,313 and $14,052 is included in costs of sales in the consolidated statements of operations for the nine months ended September 30, 2017 and 2016,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Distributions and Net Income Per Limited Partner Unit</w:t>
      </w:r>
    </w:p>
    <w:p>
      <w:pPr>
        <w:spacing w:after="0" w:line="175" w:lineRule="exact"/>
        <w:rPr>
          <w:sz w:val="20"/>
          <w:szCs w:val="20"/>
          <w:color w:val="auto"/>
        </w:rPr>
      </w:pPr>
    </w:p>
    <w:p>
      <w:pPr>
        <w:ind w:right="360" w:firstLine="392"/>
        <w:spacing w:after="0" w:line="259" w:lineRule="auto"/>
        <w:rPr>
          <w:sz w:val="20"/>
          <w:szCs w:val="20"/>
          <w:color w:val="auto"/>
        </w:rPr>
      </w:pPr>
      <w:r>
        <w:rPr>
          <w:rFonts w:ascii="Arial" w:cs="Arial" w:eastAsia="Arial" w:hAnsi="Arial"/>
          <w:sz w:val="18"/>
          <w:szCs w:val="18"/>
          <w:color w:val="auto"/>
        </w:rPr>
        <w:t>On November 1, 2017, the board of directors of Westlake Chemical Partners GP LLC ("Westlake GP"), the Partnership's general partner, declared a quarterly cash distribution for the period from July 1, 2017 through September 30, 2017 of $0.3756 per unit and of $498 to the holder of the Partnership's incentive distribution rights ("IDR Holder"). This distribution is payable on November 29, 2017 to the unitholders and IDR Holder of record as of November 14, 2017.</w:t>
      </w:r>
    </w:p>
    <w:p>
      <w:pPr>
        <w:spacing w:after="0" w:line="5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Partnership Agreement provides that the Partnership will distribute cash each quarter in the following manner: first, to all the unitholders, until each unit has received the minimum quarterly distribution of $0.2750, plus any arrearages from prior quarters; and second, to all the unitholders, pro-rata, until each unit has received a distribution of $0.3163. If cash distributions to the Partnership's unitholders exceed $0.3163 per unit in any quarter, the Partnership's unitholders and Westlake, as the holder of the Partnership's incentive distribution rights, will receive distributions according to the following percentage allocations: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Marginal Percentage Interest in Distributions</w:t>
            </w:r>
          </w:p>
        </w:tc>
      </w:tr>
      <w:tr>
        <w:trPr>
          <w:trHeight w:val="264"/>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Quarterly Distribution Per Unit</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Unitholders</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IDR Holders</w:t>
            </w:r>
          </w:p>
        </w:tc>
      </w:tr>
      <w:tr>
        <w:trPr>
          <w:trHeight w:val="250"/>
        </w:trPr>
        <w:tc>
          <w:tcPr>
            <w:tcW w:w="8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Above $0.3163 up to $0.3438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8200" w:type="dxa"/>
            <w:vAlign w:val="bottom"/>
            <w:gridSpan w:val="2"/>
          </w:tcPr>
          <w:p>
            <w:pPr>
              <w:ind w:left="40"/>
              <w:spacing w:after="0"/>
              <w:rPr>
                <w:sz w:val="20"/>
                <w:szCs w:val="20"/>
                <w:color w:val="auto"/>
              </w:rPr>
            </w:pPr>
            <w:r>
              <w:rPr>
                <w:rFonts w:ascii="Arial" w:cs="Arial" w:eastAsia="Arial" w:hAnsi="Arial"/>
                <w:sz w:val="18"/>
                <w:szCs w:val="18"/>
                <w:color w:val="auto"/>
              </w:rPr>
              <w:t>Above $0.3438 up to $0.4125</w:t>
            </w:r>
          </w:p>
        </w:tc>
        <w:tc>
          <w:tcPr>
            <w:tcW w:w="156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8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Above $0.4125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8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For the three months ended September 30, 2017, the Partnership's distribution exceeded the $0.3163 per common and unit target, which resulted in distributions to the IDR Holder.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right="260" w:firstLine="392"/>
        <w:spacing w:after="0" w:line="277" w:lineRule="auto"/>
        <w:rPr>
          <w:sz w:val="20"/>
          <w:szCs w:val="20"/>
          <w:color w:val="auto"/>
        </w:rPr>
      </w:pPr>
      <w:r>
        <w:rPr>
          <w:rFonts w:ascii="Arial" w:cs="Arial" w:eastAsia="Arial" w:hAnsi="Arial"/>
          <w:sz w:val="18"/>
          <w:szCs w:val="18"/>
          <w:color w:val="auto"/>
        </w:rPr>
        <w:t>The distributions are declared subsequent to quarter end; therefore, the table below represents total distributions declared from earnings of the related periods pertaining to such distributions.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13,385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33,124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30,089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Limited partners' distribution declared on common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units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12,107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22,454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14,057</w:t>
            </w:r>
          </w:p>
        </w:tc>
        <w:tc>
          <w:tcPr>
            <w:tcW w:w="0" w:type="dxa"/>
            <w:vAlign w:val="bottom"/>
          </w:tcPr>
          <w:p>
            <w:pPr>
              <w:spacing w:after="0"/>
              <w:rPr>
                <w:sz w:val="1"/>
                <w:szCs w:val="1"/>
                <w:color w:val="auto"/>
              </w:rPr>
            </w:pP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rPr>
              <w:t>Limited partners' distribution declared on</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520"/>
              <w:spacing w:after="0"/>
              <w:rPr>
                <w:sz w:val="20"/>
                <w:szCs w:val="20"/>
                <w:color w:val="auto"/>
              </w:rPr>
            </w:pPr>
            <w:r>
              <w:rPr>
                <w:rFonts w:ascii="Arial" w:cs="Arial" w:eastAsia="Arial" w:hAnsi="Arial"/>
                <w:sz w:val="18"/>
                <w:szCs w:val="18"/>
                <w:color w:val="auto"/>
              </w:rPr>
              <w:t>subordinated units</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4,254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9,133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12,407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Distribution declared with respect to the incentive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distribution rights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9"/>
        </w:trPr>
        <w:tc>
          <w:tcPr>
            <w:tcW w:w="5160" w:type="dxa"/>
            <w:vAlign w:val="bottom"/>
          </w:tcPr>
          <w:p>
            <w:pPr>
              <w:ind w:left="40"/>
              <w:spacing w:after="0"/>
              <w:rPr>
                <w:sz w:val="20"/>
                <w:szCs w:val="20"/>
                <w:color w:val="auto"/>
              </w:rPr>
            </w:pPr>
            <w:r>
              <w:rPr>
                <w:rFonts w:ascii="Arial" w:cs="Arial" w:eastAsia="Arial" w:hAnsi="Arial"/>
                <w:sz w:val="18"/>
                <w:szCs w:val="18"/>
                <w:color w:val="auto"/>
              </w:rPr>
              <w:t>Net income in excess of distribution (distribution in</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42"/>
        </w:trPr>
        <w:tc>
          <w:tcPr>
            <w:tcW w:w="5160" w:type="dxa"/>
            <w:vAlign w:val="bottom"/>
          </w:tcPr>
          <w:p>
            <w:pPr>
              <w:ind w:left="180"/>
              <w:spacing w:after="0"/>
              <w:rPr>
                <w:sz w:val="20"/>
                <w:szCs w:val="20"/>
                <w:color w:val="auto"/>
              </w:rPr>
            </w:pPr>
            <w:r>
              <w:rPr>
                <w:rFonts w:ascii="Arial" w:cs="Arial" w:eastAsia="Arial" w:hAnsi="Arial"/>
                <w:sz w:val="18"/>
                <w:szCs w:val="18"/>
                <w:color w:val="auto"/>
              </w:rPr>
              <w:t>excess of net income)</w:t>
            </w:r>
          </w:p>
        </w:tc>
        <w:tc>
          <w:tcPr>
            <w:tcW w:w="2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Net income per unit applicable to common limited partner units and to subordinated limited partner units is computed by dividing the respective limited partners' interest in net income by the weighted-average number of common units and subordinated units outstanding for the period. Because the Partnership has more than one class of participating securities, it uses the two-class method when calculating the net income per unit applicable to limited partners. The classes of participating securities include common units, subordinated units and incentive distribution rights. Net income attributable to the Partnership is allocated to the unitholders in accordance with their respective ownership percentages in preparation of the consolidated statement of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31" w:lineRule="exact"/>
        <w:rPr>
          <w:sz w:val="20"/>
          <w:szCs w:val="20"/>
          <w:color w:val="auto"/>
        </w:rPr>
      </w:pPr>
    </w:p>
    <w:p>
      <w:pPr>
        <w:jc w:val="both"/>
        <w:ind w:right="100" w:firstLine="405"/>
        <w:spacing w:after="0" w:line="302" w:lineRule="auto"/>
        <w:rPr>
          <w:sz w:val="20"/>
          <w:szCs w:val="20"/>
          <w:color w:val="auto"/>
        </w:rPr>
      </w:pPr>
      <w:r>
        <w:rPr>
          <w:rFonts w:ascii="Arial" w:cs="Arial" w:eastAsia="Arial" w:hAnsi="Arial"/>
          <w:sz w:val="16"/>
          <w:szCs w:val="16"/>
          <w:color w:val="auto"/>
        </w:rPr>
        <w:t>As discussed further in Note 7, the 12,686,115 subordinated units, all of which were owned by Westlake, were converted into common units during the third quarter of 2017. For purposes of calculating net income per unit, the subordinated units were treated as if they had been converted to common units on July 1, 2017. Therefore, the subordinated units did not share in the distribution of cash generated during the three months ended September 30, 2017, and the Partnership did not allocate any earnings to the subordinated unitholders for that period for the determination of net income per unit.</w:t>
      </w:r>
    </w:p>
    <w:p>
      <w:pPr>
        <w:spacing w:after="0" w:line="159"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Three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Limited Partners'</w:t>
            </w:r>
          </w:p>
        </w:tc>
        <w:tc>
          <w:tcPr>
            <w:tcW w:w="140" w:type="dxa"/>
            <w:vAlign w:val="bottom"/>
          </w:tcPr>
          <w:p>
            <w:pPr>
              <w:spacing w:after="0"/>
              <w:rPr>
                <w:sz w:val="14"/>
                <w:szCs w:val="14"/>
                <w:color w:val="auto"/>
              </w:rPr>
            </w:pPr>
          </w:p>
        </w:tc>
        <w:tc>
          <w:tcPr>
            <w:tcW w:w="1340" w:type="dxa"/>
            <w:vAlign w:val="bottom"/>
          </w:tcPr>
          <w:p>
            <w:pPr>
              <w:ind w:left="60"/>
              <w:spacing w:after="0"/>
              <w:rPr>
                <w:sz w:val="20"/>
                <w:szCs w:val="20"/>
                <w:color w:val="auto"/>
              </w:rPr>
            </w:pPr>
            <w:r>
              <w:rPr>
                <w:rFonts w:ascii="Arial" w:cs="Arial" w:eastAsia="Arial" w:hAnsi="Arial"/>
                <w:sz w:val="14"/>
                <w:szCs w:val="14"/>
                <w:b w:val="1"/>
                <w:bCs w:val="1"/>
                <w:color w:val="auto"/>
              </w:rPr>
              <w:t>Limited Partners'</w:t>
            </w:r>
          </w:p>
        </w:tc>
        <w:tc>
          <w:tcPr>
            <w:tcW w:w="10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Incentive Distribution</w:t>
            </w:r>
          </w:p>
        </w:tc>
        <w:tc>
          <w:tcPr>
            <w:tcW w:w="340" w:type="dxa"/>
            <w:vAlign w:val="bottom"/>
          </w:tcPr>
          <w:p>
            <w:pPr>
              <w:spacing w:after="0"/>
              <w:rPr>
                <w:sz w:val="14"/>
                <w:szCs w:val="14"/>
                <w:color w:val="auto"/>
              </w:rPr>
            </w:pPr>
          </w:p>
        </w:tc>
        <w:tc>
          <w:tcPr>
            <w:tcW w:w="114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Common Units</w:t>
            </w:r>
          </w:p>
        </w:tc>
        <w:tc>
          <w:tcPr>
            <w:tcW w:w="140" w:type="dxa"/>
            <w:vAlign w:val="bottom"/>
          </w:tcPr>
          <w:p>
            <w:pPr>
              <w:spacing w:after="0"/>
              <w:rPr>
                <w:sz w:val="16"/>
                <w:szCs w:val="16"/>
                <w:color w:val="auto"/>
              </w:rPr>
            </w:pPr>
          </w:p>
        </w:tc>
        <w:tc>
          <w:tcPr>
            <w:tcW w:w="1340" w:type="dxa"/>
            <w:vAlign w:val="bottom"/>
          </w:tcPr>
          <w:p>
            <w:pPr>
              <w:spacing w:after="0"/>
              <w:rPr>
                <w:sz w:val="20"/>
                <w:szCs w:val="20"/>
                <w:color w:val="auto"/>
              </w:rPr>
            </w:pPr>
            <w:r>
              <w:rPr>
                <w:rFonts w:ascii="Arial" w:cs="Arial" w:eastAsia="Arial" w:hAnsi="Arial"/>
                <w:sz w:val="14"/>
                <w:szCs w:val="14"/>
                <w:b w:val="1"/>
                <w:bCs w:val="1"/>
                <w:color w:val="auto"/>
              </w:rPr>
              <w:t>Subordinated Units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Rights</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Distribution declared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12,107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12,605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in excess of distribution</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12,887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13,385</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27,172,230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27,172,230</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77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r>
        <w:rPr>
          <w:rFonts w:ascii="Arial" w:cs="Arial" w:eastAsia="Arial" w:hAnsi="Arial"/>
          <w:sz w:val="17"/>
          <w:szCs w:val="17"/>
          <w:color w:val="auto"/>
        </w:rPr>
        <w:t>—</w:t>
      </w:r>
      <w:r>
        <w:rPr>
          <w:rFonts w:ascii="Arial" w:cs="Arial" w:eastAsia="Arial" w:hAnsi="Arial"/>
          <w:sz w:val="17"/>
          <w:szCs w:val="17"/>
          <w:b w:val="1"/>
          <w:bCs w:val="1"/>
          <w:color w:val="auto"/>
        </w:rPr>
        <w:t>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the Partnership:</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Distribution declared</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Distribution in excess of net income</w:t>
      </w:r>
    </w:p>
    <w:p>
      <w:pPr>
        <w:spacing w:after="0" w:line="1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Net income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units outstanding:</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 and diluted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per limited partner unit:</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Basic and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the Partnership: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Three Months Ended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3978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Limited Partners'</w:t>
            </w:r>
          </w:p>
        </w:tc>
        <w:tc>
          <w:tcPr>
            <w:tcW w:w="140" w:type="dxa"/>
            <w:vAlign w:val="bottom"/>
          </w:tcPr>
          <w:p>
            <w:pPr>
              <w:spacing w:after="0"/>
              <w:rPr>
                <w:sz w:val="14"/>
                <w:szCs w:val="14"/>
                <w:color w:val="auto"/>
              </w:rPr>
            </w:pPr>
          </w:p>
        </w:tc>
        <w:tc>
          <w:tcPr>
            <w:tcW w:w="134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Incentive Distribution</w:t>
            </w:r>
          </w:p>
        </w:tc>
        <w:tc>
          <w:tcPr>
            <w:tcW w:w="340" w:type="dxa"/>
            <w:vAlign w:val="bottom"/>
          </w:tcPr>
          <w:p>
            <w:pPr>
              <w:spacing w:after="0"/>
              <w:rPr>
                <w:sz w:val="14"/>
                <w:szCs w:val="14"/>
                <w:color w:val="auto"/>
              </w:rPr>
            </w:pPr>
          </w:p>
        </w:tc>
        <w:tc>
          <w:tcPr>
            <w:tcW w:w="114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Common Units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Subordinated Units</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1"/>
              </w:rPr>
              <w:t>Rights</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4,819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4,254</w:t>
            </w:r>
          </w:p>
        </w:tc>
        <w:tc>
          <w:tcPr>
            <w:tcW w:w="1280" w:type="dxa"/>
            <w:vAlign w:val="bottom"/>
            <w:gridSpan w:val="2"/>
          </w:tcPr>
          <w:p>
            <w:pPr>
              <w:jc w:val="right"/>
              <w:ind w:right="988"/>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91</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9,164</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4,552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4,018</w:t>
            </w:r>
          </w:p>
        </w:tc>
        <w:tc>
          <w:tcPr>
            <w:tcW w:w="1280" w:type="dxa"/>
            <w:vAlign w:val="bottom"/>
            <w:gridSpan w:val="2"/>
          </w:tcPr>
          <w:p>
            <w:pPr>
              <w:jc w:val="right"/>
              <w:ind w:right="988"/>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91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8,661</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60" w:type="dxa"/>
            <w:vAlign w:val="bottom"/>
          </w:tcPr>
          <w:p>
            <w:pPr>
              <w:spacing w:after="0"/>
              <w:rPr>
                <w:sz w:val="24"/>
                <w:szCs w:val="24"/>
                <w:color w:val="auto"/>
              </w:rPr>
            </w:pP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14,373,615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12,686,115</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27,059,730</w:t>
            </w: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8"/>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Nine Months Ended September 30, 2017</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14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40" w:type="dxa"/>
            <w:vAlign w:val="bottom"/>
          </w:tcPr>
          <w:p>
            <w:pPr>
              <w:spacing w:after="0"/>
              <w:rPr>
                <w:sz w:val="13"/>
                <w:szCs w:val="13"/>
                <w:color w:val="auto"/>
              </w:rPr>
            </w:pPr>
          </w:p>
        </w:tc>
        <w:tc>
          <w:tcPr>
            <w:tcW w:w="1340" w:type="dxa"/>
            <w:vAlign w:val="bottom"/>
          </w:tcPr>
          <w:p>
            <w:pPr>
              <w:jc w:val="center"/>
              <w:ind w:right="39"/>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3"/>
                <w:szCs w:val="13"/>
                <w:color w:val="auto"/>
              </w:rPr>
            </w:pPr>
          </w:p>
        </w:tc>
        <w:tc>
          <w:tcPr>
            <w:tcW w:w="15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Incentive Distribution</w:t>
            </w:r>
          </w:p>
        </w:tc>
        <w:tc>
          <w:tcPr>
            <w:tcW w:w="340" w:type="dxa"/>
            <w:vAlign w:val="bottom"/>
          </w:tcPr>
          <w:p>
            <w:pPr>
              <w:spacing w:after="0"/>
              <w:rPr>
                <w:sz w:val="13"/>
                <w:szCs w:val="13"/>
                <w:color w:val="auto"/>
              </w:rPr>
            </w:pPr>
          </w:p>
        </w:tc>
        <w:tc>
          <w:tcPr>
            <w:tcW w:w="114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Common Units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Subordinated Units</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1"/>
              </w:rPr>
              <w:t>Rights</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-1963420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-1611630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-1251585</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-882650</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-8255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4440" w:space="720"/>
            <w:col w:w="62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Distribution declared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22,454</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9,133</w:t>
            </w:r>
          </w:p>
        </w:tc>
        <w:tc>
          <w:tcPr>
            <w:tcW w:w="20" w:type="dxa"/>
            <w:vAlign w:val="bottom"/>
          </w:tcPr>
          <w:p>
            <w:pPr>
              <w:spacing w:after="0"/>
              <w:rPr>
                <w:sz w:val="20"/>
                <w:szCs w:val="20"/>
                <w:color w:val="auto"/>
              </w:rPr>
            </w:pPr>
          </w:p>
        </w:tc>
        <w:tc>
          <w:tcPr>
            <w:tcW w:w="4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1,052</w:t>
            </w:r>
          </w:p>
        </w:tc>
        <w:tc>
          <w:tcPr>
            <w:tcW w:w="20" w:type="dxa"/>
            <w:vAlign w:val="bottom"/>
          </w:tcPr>
          <w:p>
            <w:pPr>
              <w:spacing w:after="0"/>
              <w:rPr>
                <w:sz w:val="20"/>
                <w:szCs w:val="20"/>
                <w:color w:val="auto"/>
              </w:rPr>
            </w:pPr>
          </w:p>
        </w:tc>
        <w:tc>
          <w:tcPr>
            <w:tcW w:w="44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32,639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income in excess of distribution (distribution in</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excess of net income)</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23,078</w:t>
            </w:r>
          </w:p>
        </w:tc>
        <w:tc>
          <w:tcPr>
            <w:tcW w:w="120" w:type="dxa"/>
            <w:vAlign w:val="bottom"/>
            <w:tcBorders>
              <w:bottom w:val="single" w:sz="8" w:color="CCEEFF"/>
            </w:tcBorders>
            <w:gridSpan w:val="2"/>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8,994</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gridSpan w:val="2"/>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33,124</w:t>
            </w:r>
          </w:p>
        </w:tc>
        <w:tc>
          <w:tcPr>
            <w:tcW w:w="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Basic and diluted</w:t>
            </w: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18,686,701</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8,410,941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27,097,642</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Basic and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1.23</w:t>
            </w:r>
          </w:p>
        </w:tc>
        <w:tc>
          <w:tcPr>
            <w:tcW w:w="120" w:type="dxa"/>
            <w:vAlign w:val="bottom"/>
            <w:gridSpan w:val="2"/>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Nine Months Ended September 30, 2016</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ind w:right="133"/>
              <w:spacing w:after="0" w:line="153" w:lineRule="exact"/>
              <w:rPr>
                <w:sz w:val="20"/>
                <w:szCs w:val="20"/>
                <w:color w:val="auto"/>
              </w:rPr>
            </w:pPr>
            <w:r>
              <w:rPr>
                <w:rFonts w:ascii="Arial" w:cs="Arial" w:eastAsia="Arial" w:hAnsi="Arial"/>
                <w:sz w:val="14"/>
                <w:szCs w:val="14"/>
                <w:b w:val="1"/>
                <w:bCs w:val="1"/>
                <w:color w:val="auto"/>
                <w:w w:val="98"/>
              </w:rPr>
              <w:t>Limited Partners'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6"/>
              </w:rPr>
              <w:t>Limited Partners'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w w:val="99"/>
              </w:rPr>
              <w:t>Incentive Distribution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Subordinated Units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Rights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Partnership:</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Distribution declared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14,057</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12,407</w:t>
            </w:r>
          </w:p>
        </w:tc>
        <w:tc>
          <w:tcPr>
            <w:tcW w:w="20" w:type="dxa"/>
            <w:vAlign w:val="bottom"/>
          </w:tcPr>
          <w:p>
            <w:pPr>
              <w:spacing w:after="0"/>
              <w:rPr>
                <w:sz w:val="21"/>
                <w:szCs w:val="21"/>
                <w:color w:val="auto"/>
              </w:rPr>
            </w:pPr>
          </w:p>
        </w:tc>
        <w:tc>
          <w:tcPr>
            <w:tcW w:w="420" w:type="dxa"/>
            <w:vAlign w:val="bottom"/>
            <w:gridSpan w:val="3"/>
          </w:tcPr>
          <w:p>
            <w:pPr>
              <w:jc w:val="right"/>
              <w:ind w:right="139"/>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21"/>
                <w:szCs w:val="21"/>
                <w:color w:val="auto"/>
              </w:rPr>
            </w:pPr>
          </w:p>
        </w:tc>
        <w:tc>
          <w:tcPr>
            <w:tcW w:w="4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26,603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in excess of distribution</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15,909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14,041</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gridSpan w:val="2"/>
          </w:tcPr>
          <w:p>
            <w:pPr>
              <w:jc w:val="right"/>
              <w:ind w:right="139"/>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139</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30,089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units 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and diluted</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14,373,615</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12,686,115</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27,059,730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per limited partner unit: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1.11</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w:t>
      </w:r>
    </w:p>
    <w:p>
      <w:pPr>
        <w:spacing w:after="0" w:line="94" w:lineRule="exact"/>
        <w:rPr>
          <w:sz w:val="20"/>
          <w:szCs w:val="20"/>
          <w:color w:val="auto"/>
        </w:rPr>
      </w:pPr>
    </w:p>
    <w:p>
      <w:pPr>
        <w:ind w:right="200" w:firstLine="405"/>
        <w:spacing w:after="0" w:line="312" w:lineRule="auto"/>
        <w:rPr>
          <w:sz w:val="20"/>
          <w:szCs w:val="20"/>
          <w:color w:val="auto"/>
        </w:rPr>
      </w:pPr>
      <w:r>
        <w:rPr>
          <w:rFonts w:ascii="Arial" w:cs="Arial" w:eastAsia="Arial" w:hAnsi="Arial"/>
          <w:sz w:val="16"/>
          <w:szCs w:val="16"/>
          <w:color w:val="auto"/>
        </w:rPr>
        <w:t>Following the Partnership’s cash distribution for the second quarter of 2017, the requirement under the Partnership’s partnership agreement for the conversion of all subordinated units was satisfied. As a result, effective August 30, 2017, the 12,686,115 subordinated units owned by Westlake were converted into common units on a one-for-one basis and thereafter participate on terms equal with all other common units in distributions of available cash.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319"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On September 29, 2017, the Partnership completed its secondary offering of 5,175,000 common units at a price of $22.00 per unit. Net proceeds to the Partnership from the sale of the units was $110,739, net of underwriting discounts, structuring fees and estimated offering expenses of approximately $3,111.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Partnership and OpCo regularly enter into related party transactions with Westlake. See below for a description of transactions with related parties.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90"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OpCo sells ethylene to Westlake under the Ethylene Sales Agreement. Additionally, the Partnership and OpCo from time to time provide other services or products for which each charges Westlake a fee.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r>
      <w:tr>
        <w:trPr>
          <w:trHeight w:val="26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sales—Westlake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258,049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193,964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711,968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606,859</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Under the Services and Secondment Agreement, OpCo uses a portion of its production capacity to process purge gas for Westlake. 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90" w:lineRule="exact"/>
        <w:rPr>
          <w:sz w:val="20"/>
          <w:szCs w:val="20"/>
          <w:color w:val="auto"/>
        </w:rPr>
      </w:pPr>
    </w:p>
    <w:p>
      <w:pPr>
        <w:ind w:right="600" w:firstLine="405"/>
        <w:spacing w:after="0" w:line="308" w:lineRule="auto"/>
        <w:rPr>
          <w:sz w:val="20"/>
          <w:szCs w:val="20"/>
          <w:color w:val="auto"/>
        </w:rPr>
      </w:pPr>
      <w:r>
        <w:rPr>
          <w:rFonts w:ascii="Arial" w:cs="Arial" w:eastAsia="Arial" w:hAnsi="Arial"/>
          <w:sz w:val="17"/>
          <w:szCs w:val="17"/>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1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Feedstock purchased from Westlake and included in cost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110,241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63,693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313,231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181,174</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Other charges from Westlake and included in cost of</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sales</w:t>
            </w:r>
          </w:p>
        </w:tc>
        <w:tc>
          <w:tcPr>
            <w:tcW w:w="280" w:type="dxa"/>
            <w:vAlign w:val="bottom"/>
          </w:tcPr>
          <w:p>
            <w:pPr>
              <w:spacing w:after="0"/>
              <w:rPr>
                <w:sz w:val="20"/>
                <w:szCs w:val="20"/>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23,954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22,585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74,896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62,703</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134,195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86,278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388,127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243,877</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90"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Services received from Westlake and included in selling,</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6,633</w:t>
            </w:r>
          </w:p>
        </w:tc>
        <w:tc>
          <w:tcPr>
            <w:tcW w:w="1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5,129</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20,311</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15,600</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9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Goods and services purchased from Westlake and</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4,153</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3,131</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17,234</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capitalized as assets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from Related Parties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under the Investment Management Agreement</w:t>
      </w:r>
    </w:p>
    <w:p>
      <w:pPr>
        <w:spacing w:after="0" w:line="17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August 1, 2017, the Partnership, OpCo and Westlake executed an investment management agreement (the "Investment Management Agreement") that authorized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Partnership's receivable under the Investment Management Agreement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r>
      <w:tr>
        <w:trPr>
          <w:trHeight w:val="26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 under the Investment Management Agreement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119,009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Receivables</w:t>
      </w:r>
    </w:p>
    <w:p>
      <w:pPr>
        <w:spacing w:after="0" w:line="17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The Partnership's accounts receivable from Westlake result primarily from ethylene sales to Westlake under the Ethylene Sales Agreement. Under the Ethylene Sales Agreement, if production costs billed to Westlake on an annual basis are less than 95% of the actual production costs incurred by OpCo during the year, OpCo is entitled to recover the shortfall in the subsequent year. The shortfall is recognized in the period when such production activities occur. The shortfall recognized in 2016 is recoverable during 2017, per the Ethylene Sales Agreement. During 2016, Calvert City Olefins experienced a shutdown caused by a mechanical failure, which resulted in a force majeure event under the Ethylene Sales Agreement. Based on the annual year-end measurement, a buyer deficiency fee of $13,106 was recognized as a receivable from Westlake and as a component of net sales in the consolidated financial statements as of and for the year ended December 31, 2016. The buyer deficiency fee was collected from Westlake in January 2017.</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40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Partnership's accounts receivable from Westlake were as follows:</w:t>
      </w: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r>
      <w:tr>
        <w:trPr>
          <w:trHeight w:val="263"/>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60,405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126,977</w:t>
            </w:r>
          </w:p>
        </w:tc>
      </w:tr>
      <w:tr>
        <w:trPr>
          <w:trHeight w:val="20"/>
        </w:trPr>
        <w:tc>
          <w:tcPr>
            <w:tcW w:w="8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to Related Parties</w:t>
      </w:r>
    </w:p>
    <w:p>
      <w:pPr>
        <w:spacing w:after="0" w:line="171"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related party accounts payable balances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r>
      <w:tr>
        <w:trPr>
          <w:trHeight w:val="26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14,123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12,130</w:t>
            </w: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In connection with the IPO, OpCo assumed promissory notes payable to Westlake ("the August 2013 Promissory Notes") and entered into a senior unsecured revolving credit facility with Westlake. In April 2015, the Partnership entered into an unsecured revolving credit facility with Westlake. See Note 9 for a description of related party debt payable balances. Interest on related party debt payable balances for the three months ended September 30, 2017 and 2016 was $6,190 and $4,947, respectively, and for the nine months ended September 30, 2017 and 2016 was $17,592 and $7,381, respectively. Interest on related party debt payable is presented as interest expense—Westlake in the consolidated statements of operations. Interest capitalized as a component of plant and equipment on related party debt was $7 and $215 for the three months ended September 30, 2017 and 2016, respectively, and $426 and $5,651 for the nine months ended September 30, 2017 and 2016, respectively. At September 30, 2017 and December 31, 2016, accrued interest on related party debt was $5,728 and $5,517, respectively, and is reflected as a component of accrued liabilities in the consolidated balance sheets.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r>
      <w:tr>
        <w:trPr>
          <w:trHeight w:val="263"/>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payable to Westlake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477,121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594,629</w:t>
            </w: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OpCo, together with other subsidiaries of Westlake not included in these consolidated financial statements, were guarantors under Westlake's revolving credit facility and the indentures governing its senior notes. During August 2016, OpCo and certain subsidiaries of Westlake were released from their guarantees.</w:t>
      </w:r>
    </w:p>
    <w:p>
      <w:pPr>
        <w:spacing w:after="0" w:line="127" w:lineRule="exact"/>
        <w:rPr>
          <w:sz w:val="20"/>
          <w:szCs w:val="20"/>
          <w:color w:val="auto"/>
        </w:rPr>
      </w:pPr>
    </w:p>
    <w:p>
      <w:pPr>
        <w:ind w:right="20" w:firstLine="392"/>
        <w:spacing w:after="0" w:line="277" w:lineRule="auto"/>
        <w:rPr>
          <w:sz w:val="20"/>
          <w:szCs w:val="20"/>
          <w:color w:val="auto"/>
        </w:rPr>
      </w:pPr>
      <w:r>
        <w:rPr>
          <w:rFonts w:ascii="Arial" w:cs="Arial" w:eastAsia="Arial" w:hAnsi="Arial"/>
          <w:sz w:val="18"/>
          <w:szCs w:val="18"/>
          <w:color w:val="auto"/>
        </w:rPr>
        <w:t>In 2015, the Partnership entered into an interest rate contract with Westlake to fix the London Interbank Offered Rate ("LIBOR") component of the interest rate for a portion of the MLP Revolver balance. See Note 11 for additional information on the interest rate contract.</w:t>
      </w:r>
    </w:p>
    <w:p>
      <w:pPr>
        <w:spacing w:after="0" w:line="116" w:lineRule="exact"/>
        <w:rPr>
          <w:sz w:val="20"/>
          <w:szCs w:val="20"/>
          <w:color w:val="auto"/>
        </w:rPr>
      </w:pPr>
    </w:p>
    <w:p>
      <w:pPr>
        <w:ind w:right="380" w:firstLine="392"/>
        <w:spacing w:after="0" w:line="277" w:lineRule="auto"/>
        <w:rPr>
          <w:sz w:val="20"/>
          <w:szCs w:val="20"/>
          <w:color w:val="auto"/>
        </w:rPr>
      </w:pPr>
      <w:r>
        <w:rPr>
          <w:rFonts w:ascii="Arial" w:cs="Arial" w:eastAsia="Arial" w:hAnsi="Arial"/>
          <w:sz w:val="18"/>
          <w:szCs w:val="18"/>
          <w:color w:val="auto"/>
        </w:rPr>
        <w:t>OpCo has two site lease agreements with Westlake, and each has a term of 50 years. Pursuant to the site lease agreements, OpCo pays Westlake one dollar per site per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payable to Westlake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15"/>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August 2013 Promissory Notes (variable interest rate of prime plus 1.5%, original</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scheduled maturity of August 1, 2023)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31,775</w:t>
            </w:r>
          </w:p>
        </w:tc>
      </w:tr>
      <w:tr>
        <w:trPr>
          <w:trHeight w:val="229"/>
        </w:trPr>
        <w:tc>
          <w:tcPr>
            <w:tcW w:w="8360" w:type="dxa"/>
            <w:vAlign w:val="bottom"/>
          </w:tcPr>
          <w:p>
            <w:pPr>
              <w:ind w:left="40"/>
              <w:spacing w:after="0"/>
              <w:rPr>
                <w:sz w:val="20"/>
                <w:szCs w:val="20"/>
                <w:color w:val="auto"/>
              </w:rPr>
            </w:pPr>
            <w:r>
              <w:rPr>
                <w:rFonts w:ascii="Arial" w:cs="Arial" w:eastAsia="Arial" w:hAnsi="Arial"/>
                <w:sz w:val="18"/>
                <w:szCs w:val="18"/>
                <w:color w:val="auto"/>
              </w:rPr>
              <w:t>OpCo Revolver (variable interest rate of LIBOR plus 3.0%, original scheduled maturity of</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60" w:type="dxa"/>
            <w:vAlign w:val="bottom"/>
          </w:tcPr>
          <w:p>
            <w:pPr>
              <w:ind w:left="160"/>
              <w:spacing w:after="0"/>
              <w:rPr>
                <w:sz w:val="20"/>
                <w:szCs w:val="20"/>
                <w:color w:val="auto"/>
              </w:rPr>
            </w:pPr>
            <w:r>
              <w:rPr>
                <w:rFonts w:ascii="Arial" w:cs="Arial" w:eastAsia="Arial" w:hAnsi="Arial"/>
                <w:sz w:val="18"/>
                <w:szCs w:val="18"/>
                <w:color w:val="auto"/>
              </w:rPr>
              <w:t>August 4, 2019)</w:t>
            </w:r>
          </w:p>
        </w:tc>
        <w:tc>
          <w:tcPr>
            <w:tcW w:w="200" w:type="dxa"/>
            <w:vAlign w:val="bottom"/>
          </w:tcPr>
          <w:p>
            <w:pPr>
              <w:spacing w:after="0"/>
              <w:rPr>
                <w:sz w:val="20"/>
                <w:szCs w:val="20"/>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223,577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427,513</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MLP Revolver (variable interest rate of LIBOR plus 2.0%, original scheduled maturity of</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April 29, 2021)</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253,544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135,341</w:t>
            </w:r>
          </w:p>
        </w:tc>
      </w:tr>
      <w:tr>
        <w:trPr>
          <w:trHeight w:val="237"/>
        </w:trPr>
        <w:tc>
          <w:tcPr>
            <w:tcW w:w="83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477,121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594,629</w:t>
            </w:r>
          </w:p>
        </w:tc>
      </w:tr>
      <w:tr>
        <w:trPr>
          <w:trHeight w:val="27"/>
        </w:trPr>
        <w:tc>
          <w:tcPr>
            <w:tcW w:w="8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On August 1, 2017, the Partnership entered into an amendment to the MLP Revolver agreement, resulting in the extension of the maturity date from April 29, 2018 to April 29, 2021. On September 29, 2017, the Partnership repaid the remaining balance of the August 2013 Promissory notes in full and also repaid $197,432 of borrowings under the OpCo Revolver.</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weighted average interest rate on all long-term debt was 3.74% and 3.72% at September 30, 2017 and December 31, 2016, respectively.</w:t>
      </w:r>
    </w:p>
    <w:p>
      <w:pPr>
        <w:spacing w:after="0" w:line="183"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As of September 30, 2017, the Partnership was in compliance with all of the covenants under the August 2013 Promissory Notes, the OpCo Revolver and the MLP Revolver.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Income (Loss)</w:t>
      </w:r>
    </w:p>
    <w:p>
      <w:pPr>
        <w:spacing w:after="0" w:line="9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Accumulated other comprehensive income or loss primarily reflects the effective portion of the gain or loss on derivative instrument designated and qualified as a cash flow hedge. Gain or loss amounts related to a cash flow hedge recorded in accumulated other comprehensive income or loss are reclassified to income in the same period in which the underlying hedged forecasted transaction affects income. If it becomes probable that a forecasted transaction will not occur, the related net gain or loss in accumulated other comprehensive income or loss is immediately reclassified into income. Changes in accumulated other comprehensive income (loss)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4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Interest rate contract—Other comprehensive income (loss) before reclassification</w:t>
            </w: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(784)</w:t>
            </w:r>
          </w:p>
        </w:tc>
      </w:tr>
      <w:tr>
        <w:trPr>
          <w:trHeight w:val="27"/>
        </w:trPr>
        <w:tc>
          <w:tcPr>
            <w:tcW w:w="8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29"/>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contract—Amounts reclassified from accumulated other comprehensive</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57"/>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into net income</w:t>
            </w: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57"/>
        </w:trPr>
        <w:tc>
          <w:tcPr>
            <w:tcW w:w="8360" w:type="dxa"/>
            <w:vAlign w:val="bottom"/>
          </w:tcPr>
          <w:p>
            <w:pPr>
              <w:ind w:left="40"/>
              <w:spacing w:after="0"/>
              <w:rPr>
                <w:sz w:val="20"/>
                <w:szCs w:val="20"/>
                <w:color w:val="auto"/>
              </w:rPr>
            </w:pPr>
            <w:r>
              <w:rPr>
                <w:rFonts w:ascii="Arial" w:cs="Arial" w:eastAsia="Arial" w:hAnsi="Arial"/>
                <w:sz w:val="18"/>
                <w:szCs w:val="18"/>
                <w:color w:val="auto"/>
              </w:rPr>
              <w:t>Balances at September 30,</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(224)</w:t>
            </w:r>
          </w:p>
        </w:tc>
      </w:tr>
      <w:tr>
        <w:trPr>
          <w:trHeight w:val="20"/>
        </w:trPr>
        <w:tc>
          <w:tcPr>
            <w:tcW w:w="8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w:t>
      </w:r>
    </w:p>
    <w:p>
      <w:pPr>
        <w:spacing w:after="0" w:line="94" w:lineRule="exact"/>
        <w:rPr>
          <w:sz w:val="20"/>
          <w:szCs w:val="20"/>
          <w:color w:val="auto"/>
        </w:rPr>
      </w:pPr>
    </w:p>
    <w:p>
      <w:pPr>
        <w:ind w:right="260" w:firstLine="432"/>
        <w:spacing w:after="0" w:line="273" w:lineRule="auto"/>
        <w:rPr>
          <w:sz w:val="20"/>
          <w:szCs w:val="20"/>
          <w:color w:val="auto"/>
        </w:rPr>
      </w:pPr>
      <w:r>
        <w:rPr>
          <w:rFonts w:ascii="Arial" w:cs="Arial" w:eastAsia="Arial" w:hAnsi="Arial"/>
          <w:sz w:val="17"/>
          <w:szCs w:val="17"/>
          <w:color w:val="auto"/>
        </w:rPr>
        <w:t>The accounting guidance for derivative instruments and hedging activities requires that the Partnership recognize all derivative instruments on the balance sheet at fair value, and changes in the derivative's fair value must be currently recognized in earnings or comprehensive income, depending on the designation of the derivative. If the derivative is designated as a fair value hedge, the changes in the fair value of the derivative and of the hedged item attributable to the hedged risk are recognized in earnings. If the derivative is designated as a cash flow hedge, the effective portion of the change in the fair value of the derivative is recorded in comprehensive income and is recognized in the statement of operations when the hedged item affects earnings. Ineffective portions of changes in the fair value of cash flow hedges are recognized in earnings currently.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9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During August 2015, the Partnership entered into an interest rate contract with Westlake designed to reduce the risks of variability of the interest rate under the MLP Revolver. The interest rate contract fixed the LIBOR component of the interest rate for a portion of the MLP Revolver balance. This contract was designated as a cash flow hedge. With the exception of this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3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rate contract, the Partnership did not have any other derivative financial instruments during the three and nine months ended September 30, 2017 and 2016.</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derivative instrument on the Partnership's consolidated balance sheets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Derivative Assets</w:t>
            </w: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4"/>
          </w:tcPr>
          <w:p>
            <w:pPr>
              <w:jc w:val="right"/>
              <w:ind w:right="962"/>
              <w:spacing w:after="0"/>
              <w:rPr>
                <w:sz w:val="20"/>
                <w:szCs w:val="20"/>
                <w:color w:val="auto"/>
              </w:rPr>
            </w:pPr>
            <w:r>
              <w:rPr>
                <w:rFonts w:ascii="Arial" w:cs="Arial" w:eastAsia="Arial" w:hAnsi="Arial"/>
                <w:sz w:val="14"/>
                <w:szCs w:val="14"/>
                <w:b w:val="1"/>
                <w:bCs w:val="1"/>
                <w:color w:val="auto"/>
              </w:rPr>
              <w:t>Fair Value as of</w:t>
            </w:r>
          </w:p>
        </w:tc>
        <w:tc>
          <w:tcPr>
            <w:tcW w:w="0" w:type="dxa"/>
            <w:vAlign w:val="bottom"/>
          </w:tcPr>
          <w:p>
            <w:pPr>
              <w:spacing w:after="0"/>
              <w:rPr>
                <w:sz w:val="1"/>
                <w:szCs w:val="1"/>
                <w:color w:val="auto"/>
              </w:rPr>
            </w:pPr>
          </w:p>
        </w:tc>
      </w:tr>
      <w:tr>
        <w:trPr>
          <w:trHeight w:val="152"/>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 Cash Flow Hedging Relationship</w:t>
            </w:r>
          </w:p>
        </w:tc>
        <w:tc>
          <w:tcPr>
            <w:tcW w:w="120" w:type="dxa"/>
            <w:vAlign w:val="bottom"/>
            <w:vMerge w:val="restart"/>
          </w:tcPr>
          <w:p>
            <w:pPr>
              <w:spacing w:after="0"/>
              <w:rPr>
                <w:sz w:val="13"/>
                <w:szCs w:val="13"/>
                <w:color w:val="auto"/>
              </w:rPr>
            </w:pPr>
          </w:p>
        </w:tc>
        <w:tc>
          <w:tcPr>
            <w:tcW w:w="310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Balance Sheet Location</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3"/>
                <w:szCs w:val="13"/>
                <w:color w:val="auto"/>
              </w:rPr>
            </w:pPr>
          </w:p>
        </w:tc>
        <w:tc>
          <w:tcPr>
            <w:tcW w:w="1280" w:type="dxa"/>
            <w:vAlign w:val="bottom"/>
          </w:tcPr>
          <w:p>
            <w:pPr>
              <w:jc w:val="center"/>
              <w:ind w:right="16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10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3"/>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w:t>
            </w: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Deferred charges and other assets, net</w:t>
            </w:r>
          </w:p>
        </w:tc>
        <w:tc>
          <w:tcPr>
            <w:tcW w:w="1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tables present the effect of the derivative instrument designated as cash flow hedge on the consolidated statements of operations and the consolidated statements of comprehensive income for the three and nine months ended September 30, 2017 and 2016:</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Location of Loss</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 in Cash Flow Hedging Relationship</w:t>
            </w: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Statement of</w:t>
            </w:r>
          </w:p>
        </w:tc>
        <w:tc>
          <w:tcPr>
            <w:tcW w:w="280" w:type="dxa"/>
            <w:vAlign w:val="bottom"/>
          </w:tcPr>
          <w:p>
            <w:pPr>
              <w:spacing w:after="0"/>
              <w:rPr>
                <w:sz w:val="12"/>
                <w:szCs w:val="12"/>
                <w:color w:val="auto"/>
              </w:rPr>
            </w:pPr>
          </w:p>
        </w:tc>
        <w:tc>
          <w:tcPr>
            <w:tcW w:w="2920" w:type="dxa"/>
            <w:vAlign w:val="bottom"/>
            <w:gridSpan w:val="6"/>
            <w:vMerge w:val="restart"/>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2"/>
                <w:szCs w:val="12"/>
                <w:color w:val="auto"/>
              </w:rPr>
            </w:pPr>
          </w:p>
        </w:tc>
        <w:tc>
          <w:tcPr>
            <w:tcW w:w="2760" w:type="dxa"/>
            <w:vAlign w:val="bottom"/>
            <w:gridSpan w:val="4"/>
            <w:vMerge w:val="restart"/>
          </w:tcPr>
          <w:p>
            <w:pPr>
              <w:jc w:val="right"/>
              <w:ind w:right="359"/>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92"/>
        </w:trPr>
        <w:tc>
          <w:tcPr>
            <w:tcW w:w="3660" w:type="dxa"/>
            <w:vAlign w:val="bottom"/>
            <w:gridSpan w:val="2"/>
            <w:vMerge w:val="continue"/>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Operations</w:t>
            </w:r>
          </w:p>
        </w:tc>
        <w:tc>
          <w:tcPr>
            <w:tcW w:w="280" w:type="dxa"/>
            <w:vAlign w:val="bottom"/>
          </w:tcPr>
          <w:p>
            <w:pPr>
              <w:spacing w:after="0"/>
              <w:rPr>
                <w:sz w:val="16"/>
                <w:szCs w:val="16"/>
                <w:color w:val="auto"/>
              </w:rPr>
            </w:pPr>
          </w:p>
        </w:tc>
        <w:tc>
          <w:tcPr>
            <w:tcW w:w="2920" w:type="dxa"/>
            <w:vAlign w:val="bottom"/>
            <w:gridSpan w:val="6"/>
            <w:vMerge w:val="continue"/>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4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8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5"/>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contract—Gain (loss)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reclassified from accumulated other</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ind w:left="94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1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66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 in Cash Flow Hedging Relationship</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24"/>
                <w:szCs w:val="24"/>
                <w:color w:val="auto"/>
              </w:rPr>
            </w:pPr>
          </w:p>
        </w:tc>
        <w:tc>
          <w:tcPr>
            <w:tcW w:w="276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354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38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5"/>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Interest rate contract—Adjustments to fair value</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ind w:left="9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recognized in other comprehensive income</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ineffective portion of the derivative instrument during the three and nine months ended September 30, 2017 and 2016.</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12 for the fair value of derivative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following tables summarize, by level within the fair value hierarchy, the Partnership's liability and asset under the interest rate contract that was accounted for at fair value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2017</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6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580" w:type="dxa"/>
            <w:vAlign w:val="bottom"/>
          </w:tcPr>
          <w:p>
            <w:pPr>
              <w:spacing w:after="0"/>
              <w:rPr>
                <w:sz w:val="22"/>
                <w:szCs w:val="22"/>
                <w:color w:val="auto"/>
              </w:rPr>
            </w:pPr>
          </w:p>
        </w:tc>
        <w:tc>
          <w:tcPr>
            <w:tcW w:w="900" w:type="dxa"/>
            <w:vAlign w:val="bottom"/>
          </w:tcPr>
          <w:p>
            <w:pPr>
              <w:jc w:val="right"/>
              <w:ind w:right="499"/>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50"/>
        </w:trPr>
        <w:tc>
          <w:tcPr>
            <w:tcW w:w="3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45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860" w:type="dxa"/>
            <w:vAlign w:val="bottom"/>
          </w:tcPr>
          <w:p>
            <w:pPr>
              <w:ind w:left="40"/>
              <w:spacing w:after="0"/>
              <w:rPr>
                <w:sz w:val="20"/>
                <w:szCs w:val="20"/>
                <w:color w:val="auto"/>
              </w:rPr>
            </w:pPr>
            <w:r>
              <w:rPr>
                <w:rFonts w:ascii="Arial" w:cs="Arial" w:eastAsia="Arial" w:hAnsi="Arial"/>
                <w:sz w:val="18"/>
                <w:szCs w:val="18"/>
                <w:color w:val="auto"/>
              </w:rPr>
              <w:t>Asset—Interest rate contract</w:t>
            </w:r>
          </w:p>
        </w:tc>
        <w:tc>
          <w:tcPr>
            <w:tcW w:w="4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2"/>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2"/>
                <w:szCs w:val="22"/>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500" w:type="dxa"/>
            <w:vAlign w:val="bottom"/>
            <w:vMerge w:val="restart"/>
          </w:tcPr>
          <w:p>
            <w:pPr>
              <w:jc w:val="right"/>
              <w:ind w:right="2470"/>
              <w:spacing w:after="0"/>
              <w:rPr>
                <w:sz w:val="20"/>
                <w:szCs w:val="20"/>
                <w:color w:val="auto"/>
              </w:rPr>
            </w:pPr>
            <w:r>
              <w:rPr>
                <w:rFonts w:ascii="Arial" w:cs="Arial" w:eastAsia="Arial" w:hAnsi="Arial"/>
                <w:sz w:val="18"/>
                <w:szCs w:val="18"/>
                <w:color w:val="auto"/>
              </w:rPr>
              <w:t>16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6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December 31, 2016</w:t>
            </w:r>
          </w:p>
        </w:tc>
        <w:tc>
          <w:tcPr>
            <w:tcW w:w="92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w w:val="95"/>
              </w:rPr>
              <w:t>Total</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instruments</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8"/>
                <w:szCs w:val="18"/>
                <w:color w:val="auto"/>
              </w:rPr>
              <w:t>Asset—Interest rate contract</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2"/>
                <w:szCs w:val="22"/>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290</w:t>
            </w:r>
          </w:p>
        </w:tc>
      </w:tr>
      <w:tr>
        <w:trPr>
          <w:trHeight w:val="20"/>
        </w:trPr>
        <w:tc>
          <w:tcPr>
            <w:tcW w:w="8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fair value of the Level 2 interest rate contract is determined using standard valuation methodologies which incorporate relevant contract terms along with readily available market data (i.e. the 3-month LIBOR forward curve). There were no transfers in or out of Levels 1 and 2 of the fair value hierarchy during the nine months ended September 30, 2017.</w:t>
      </w:r>
    </w:p>
    <w:p>
      <w:pPr>
        <w:spacing w:after="0" w:line="127"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The Partnership has other financial assets and liabilities subject to fair value measures. These financial assets and liabilities include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September 30, 2017 and December 31, 2016 are summarized in the table below. The Partnership's long-term debt includes the OpCo Revolver and the MLP Revolver at September 30, 2017.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2017</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2016</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Carrying</w:t>
            </w:r>
          </w:p>
        </w:tc>
        <w:tc>
          <w:tcPr>
            <w:tcW w:w="560" w:type="dxa"/>
            <w:vAlign w:val="bottom"/>
          </w:tcPr>
          <w:p>
            <w:pPr>
              <w:spacing w:after="0"/>
              <w:rPr>
                <w:sz w:val="13"/>
                <w:szCs w:val="13"/>
                <w:color w:val="auto"/>
              </w:rPr>
            </w:pPr>
          </w:p>
        </w:tc>
        <w:tc>
          <w:tcPr>
            <w:tcW w:w="132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Fair</w:t>
            </w:r>
          </w:p>
        </w:tc>
        <w:tc>
          <w:tcPr>
            <w:tcW w:w="12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Carrying</w:t>
            </w:r>
          </w:p>
        </w:tc>
        <w:tc>
          <w:tcPr>
            <w:tcW w:w="560" w:type="dxa"/>
            <w:vAlign w:val="bottom"/>
          </w:tcPr>
          <w:p>
            <w:pPr>
              <w:spacing w:after="0"/>
              <w:rPr>
                <w:sz w:val="13"/>
                <w:szCs w:val="13"/>
                <w:color w:val="auto"/>
              </w:rPr>
            </w:pPr>
          </w:p>
        </w:tc>
        <w:tc>
          <w:tcPr>
            <w:tcW w:w="920" w:type="dxa"/>
            <w:vAlign w:val="bottom"/>
          </w:tcPr>
          <w:p>
            <w:pPr>
              <w:jc w:val="right"/>
              <w:ind w:right="517"/>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w w:val="90"/>
              </w:rPr>
              <w:t>Value</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2013 Promissory Notes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31,775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31,775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OpCo Revolver</w:t>
            </w:r>
          </w:p>
        </w:tc>
        <w:tc>
          <w:tcPr>
            <w:tcW w:w="2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223,577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231,250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427,513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442,716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MLP Revolver</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253,544</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255,717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135,341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134,835</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ind w:right="9100" w:firstLine="8"/>
        <w:spacing w:after="0" w:line="390" w:lineRule="auto"/>
        <w:tabs>
          <w:tab w:leader="none" w:pos="27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Liabilities</w:t>
      </w:r>
    </w:p>
    <w:p>
      <w:pPr>
        <w:ind w:right="220" w:firstLine="405"/>
        <w:spacing w:after="0" w:line="259" w:lineRule="auto"/>
        <w:rPr>
          <w:sz w:val="20"/>
          <w:szCs w:val="20"/>
          <w:color w:val="auto"/>
        </w:rPr>
      </w:pPr>
      <w:r>
        <w:rPr>
          <w:rFonts w:ascii="Arial" w:cs="Arial" w:eastAsia="Arial" w:hAnsi="Arial"/>
          <w:sz w:val="18"/>
          <w:szCs w:val="18"/>
          <w:color w:val="auto"/>
        </w:rPr>
        <w:t>Accrued liabilities were $20,724 and $15,717 at September 30, 2017 and December 31, 2016, respectively. The capital expenditures accrual, accrued interest, accrued taxes, and accrued maintenance, which are components of accrued liabilities, were $2,279, $5,728, $4,413, and $3,861, respectively, at September 30, 2017, and $2,647, $5,517, $1,497, and $2,586, respectively, at December 31, 2016. No other component of accrued liabilities was more than five percent of total current liabilities.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change in capital expenditure accrual increasing additions to property, plant and equipment was $894 for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2017. The change in capital expenditure accrual increasing additions to property, plant and equipment was $15,850 for the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Recovery</w:t>
      </w:r>
    </w:p>
    <w:p>
      <w:pPr>
        <w:spacing w:after="0" w:line="17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During the nine months ended September 30, 2017, the Partnership received an insurance recovery of approximately $1,672 representing involuntary conversion of assets related to the Calvert City Olefins unplanned shut-down during 2016. The insurance recovery is included in other income in the consolidated statement of operations for the nine months ended September 30,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Major Customer and Concentration of Credit Risk</w:t>
      </w:r>
    </w:p>
    <w:p>
      <w:pPr>
        <w:spacing w:after="0" w:line="94"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During the three months ended September 30, 2017 and 2016, Westlake accounted for approximately 87.0% and 84.6%, respectively, of the Partnership's net sales. During the nine months ended September 30, 2017 and 2016, Westlake accounted for approximately 82.4% and 87.6%, respectively, of the Partnership's net sales.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9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2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i w:val="1"/>
          <w:iCs w:val="1"/>
          <w:color w:val="auto"/>
        </w:rPr>
        <w:t>Potential Flare Modifications</w:t>
      </w:r>
      <w:r>
        <w:rPr>
          <w:rFonts w:ascii="Arial" w:cs="Arial" w:eastAsia="Arial" w:hAnsi="Arial"/>
          <w:sz w:val="18"/>
          <w:szCs w:val="18"/>
          <w:color w:val="auto"/>
        </w:rPr>
        <w:t>. For several years, the EPA has been conducting an enforcement initiative against petroleum refineries and petrochemical</w:t>
      </w:r>
      <w:r>
        <w:rPr>
          <w:rFonts w:ascii="Arial" w:cs="Arial" w:eastAsia="Arial" w:hAnsi="Arial"/>
          <w:sz w:val="18"/>
          <w:szCs w:val="18"/>
          <w:i w:val="1"/>
          <w:iCs w:val="1"/>
          <w:color w:val="auto"/>
        </w:rPr>
        <w:t xml:space="preserve"> </w:t>
      </w:r>
      <w:r>
        <w:rPr>
          <w:rFonts w:ascii="Arial" w:cs="Arial" w:eastAsia="Arial" w:hAnsi="Arial"/>
          <w:sz w:val="18"/>
          <w:szCs w:val="18"/>
          <w:color w:val="auto"/>
        </w:rPr>
        <w:t>plants with respect to emissions from flares. On April 21, 2014, Westlake received a Clean Air Act Section 114 Information Request from the EPA which sought information regarding flares at the Calvert City and Lake Charles facilities. The EPA has informed Westlake that the information provided leads the EPA to believe that some of the flares are out of compliance with applicable standards. The EPA has indicated that it is seeking a consent decree that would obligate Westlake to take corrective actions relating to the alleged noncompliance. Westlake believes the resolution of these matters may require the payment of a monetary sanction in excess of $100.</w:t>
      </w:r>
    </w:p>
    <w:p>
      <w:pPr>
        <w:spacing w:after="0" w:line="13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i w:val="1"/>
          <w:iCs w:val="1"/>
          <w:color w:val="auto"/>
        </w:rPr>
        <w:t>Louisiana Notice of Violations</w:t>
      </w:r>
      <w:r>
        <w:rPr>
          <w:rFonts w:ascii="Arial" w:cs="Arial" w:eastAsia="Arial" w:hAnsi="Arial"/>
          <w:sz w:val="18"/>
          <w:szCs w:val="18"/>
          <w:color w:val="auto"/>
        </w:rPr>
        <w:t>. The Louisiana Department of Environmental Quality ("LDEQ") has issued notices of violations ("NOVs")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assets, and those of Westlake, for various air and water compliance issues. The Partnership and Westlake negotiated two settlement agreements with the LDEQ fully resolving the NOVs as well as additional violations alleged by the LDEQ though not made the subject of any specific NOV for a combined $192 in civil penalties.</w:t>
      </w:r>
    </w:p>
    <w:p>
      <w:pPr>
        <w:spacing w:after="0" w:line="133"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In addition to the matters described above, 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204" w:lineRule="exact"/>
        <w:rPr>
          <w:sz w:val="20"/>
          <w:szCs w:val="20"/>
          <w:color w:val="auto"/>
        </w:rPr>
      </w:pPr>
    </w:p>
    <w:p>
      <w:pPr>
        <w:ind w:right="9680" w:firstLine="8"/>
        <w:spacing w:after="0" w:line="346" w:lineRule="auto"/>
        <w:tabs>
          <w:tab w:leader="none" w:pos="27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b w:val="1"/>
          <w:bCs w:val="1"/>
          <w:i w:val="1"/>
          <w:iCs w:val="1"/>
          <w:color w:val="auto"/>
        </w:rPr>
        <w:t>Distribution</w:t>
      </w:r>
    </w:p>
    <w:p>
      <w:pPr>
        <w:spacing w:after="0" w:line="1"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On November 1, 2017, the board of directors of Westlake GP declared a quarterly distribution for the period from July 1, 2017 through September 30, 2017 of $0.3756 per unit and $498 to the IDR Holder. This distribution is payable on November 29, 2017 to the unitholders and IDR Holder of record as of November 14, 2017.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Subsequent events were evaluated through the date on which the financial statements were issued.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This Management's Discussion and Analysis of Financial Condition and Results of Operations section should be read in conjunction with the accompanying consolidated financial statements and the notes thereto and the combined and consolidated financial statements and notes thereto included in Westlake Chemical Partners LP's annual report on Form 10-K for the fiscal year ended December 31, 2016 (the "2016 Form 10-K"), as filed with the SEC on March 7, 2017. Unless otherwise indicated, references in this report to "we," "our," "us" or like terms, refer to Westlake Chemical Partners LP (the "Partnership"), Westlake Chemical OpCo LP ("OpCo") and Westlake Chemical OpCo GP LLC ("OpCo GP"). References to "Westlake" refer to Westlake Chemical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Overview</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are a Delaware limited partnership formed by Westlake to operate, acquire and develop ethylene production facilities and related assets.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August 4, 2014, we completed our initial public offering (the "IPO'") of 12,937,500 common units. On September 29, 2017, we completed a secondary public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of 5,175,000 common units. In connection with the IPO, the Partnership acquired a 10.6% interest in OpCo and a 100% interest in OpCo GP,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 the general partner of OpCo. On April 29, 2015, the Partnership purchased an additional 2.7% newly-issued limited partner interest in OpCo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$135,341, resulting in an aggregate 13.3% limited partner interest in OpCo effective April 1, 2015. On September 29, 2017, the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purchased an additional 5.0% newly-issued limited partner interest in OpCo for approximately $229.2 million, resulting in an aggregate 18.3% limited partner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in OpCo, effective as of July 1, 2017. Currently, our sole revenue generating asset is our 18.3% limited partner interest in OpCo, a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formed by Westlake and us in anticipation of the IPO to own and operate an ethylene production business. We control OpCo through our ownership of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general partner. Westlake retains the remaining 81.7% limited partner interest in OpCo as well as significant interest in us through its ownership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43.8% of our limited partner units (consisting of 14,122,230 common units) and our incentive distribution rights. OpCo's assets include (1)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two ethylene production facilities ("Petro 1" and "Petro 2" and, collectively, "Lake Charles Olefins") at Westlake's Lake Charles, Louisiana site; (2) one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ethylene production facility ("Calvert City Olefins") at Westlake's Calvert City, Kentucky site; and (3) a 200-mile common carrier ethylene pipeline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"Longview Pipeline") that runs from Mont Belvieu, Texas to Westlake's Longview, Texas facility.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9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w:t>
      </w:r>
    </w:p>
    <w:p>
      <w:pPr>
        <w:spacing w:after="0" w:line="5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recognized during the period in which the related operating, maintenance or turnaround activities occur.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Maintenance Capital Expenditures and Turnaround Costs</w:t>
      </w:r>
    </w:p>
    <w:p>
      <w:pPr>
        <w:spacing w:after="0" w:line="9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2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 may directly affect our profitability and cash flows. The impact on profitability is partially mitigated by the fact that we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MLP Distributable Cash Flow and EBITDA</w:t>
      </w:r>
    </w:p>
    <w:p>
      <w:pPr>
        <w:spacing w:after="0" w:line="9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use each of MLP distributable cash flow and EBITDA to analyze our performance. We define distributable cash flow as net income plus depreciation, amortization and disposition of property, plant and equipment, less contributions for turnaround reserves and maintenance capital expenditures.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MLP distributable cash flow and EBITDA are non-GAAP supplemental financial measures that management and external users of our consolidated financial statements, such as industry analysts, investors, lenders and rating agencies, may use to assess:</w:t>
      </w:r>
    </w:p>
    <w:p>
      <w:pPr>
        <w:spacing w:after="0" w:line="5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operating performance as compared to other publicly traded partnerships;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incur and service debt and fund capital expenditures;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viability of acquisitions and other capital expenditure projects and the returns on investment of various investment opportunities.</w:t>
      </w:r>
    </w:p>
    <w:p>
      <w:pPr>
        <w:spacing w:after="0" w:line="171"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We believe that the presentation of MLP distributable cash flow and EBITDA provides useful information to investors in assessing our financial condition and results of operations. The GAAP measures most directly comparable to MLP distributable cash flow are net income and net cash provided by operating activities. MLP distributable cash flow should not be considered as an alternative to GAAP net income or net cash provided by operating activities. MLP distributable cash flow has important limitations as an analytical tool because it excludes some but not all items that affect net income and net cash provided by operating activities. The GAAP measures most directly comparable to EBITDA are net income and net cash provided by operating activities, but EBITDA should not be considered an alternative to such GAAP measures. EBITDA has important limitations as an analytical tool because it excludes (1) interest expense, which is a necessary element of our costs and ability to generate revenues because we have borrowed money to finance our operations, (2) depreciation, which is a necessary element of our costs and ability to generate revenues because we use capital assets and (3) income taxes, which was a necessary element of the operations of our predecessor. MLP distributable cash flow and EBITDA should not be considered in isolation or as a substitute for analysis of our results as reported under GAAP. See reconciliations for each of MLP distributable cash flow and EBITDA under "Results of Operations" below.</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September 29, 2017, we completed a secondary offering of 5,175,000 common units at a price of $22.00 per unit and purchased an additional 5.0% newly-issued limited partner interest in OpCo for approximately $229.2 million, resulting in an aggregate 18.3% limited partner interest in OpCo, effective as of July 1, 2017. Net proceeds to the Partnership from the sale of the units was $110.7 million, net of underwriting discounts, structuring fees and estimated offering expenses of approximately $3.1 million. We used the proceeds from the offering and borrowings under the MLP Revolver to fund the purchase of the additional 5% newly-issued limited partner interest in OpCo.</w:t>
      </w:r>
    </w:p>
    <w:p>
      <w:pPr>
        <w:spacing w:after="0" w:line="134"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On August 30, 2017, following the cash distribution for the second quarter of 2017, the requirement under the partnership agreement for the conversion of all subordinated units was satisfied. As a result, effective August 30, 2017, the 12,686,115 subordinated units owned by Westlake were converted into common units on a one-for-one basis and thereafter participate on terms equal with all other common units in distributions of available cash.</w:t>
      </w:r>
    </w:p>
    <w:p>
      <w:pPr>
        <w:spacing w:after="0" w:line="93"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On August 1, 2017, the Partnership entered into an Investment Management Agreement with OpCo and Westlake that authorizes Westlake to invest the Partnership and OpCo’s excess cash with Westlake for a term of up to a maximum of nine months.</w:t>
      </w:r>
    </w:p>
    <w:p>
      <w:pPr>
        <w:spacing w:after="0" w:line="116"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On August 1, 2017, the Partnership entered into an amendment to the MLP Revolver credit agreement, resulting in the extension of the maturity date from April 29, 2018 to April 29, 2021.</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385"/>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5"/>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sales—Westlake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258,049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193,964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711,968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606,859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co-product, ethylene and other sales—third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parties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38,726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152,368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85,940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296,775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229,354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864,336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692,799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201,372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142,553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571,401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407,203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95,403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86,801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292,935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285,596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6,805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17,733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88,598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81,013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271,416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267,863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expense—Westlake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(7,381)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82,570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76,053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255,668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260,712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82,245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75,859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254,743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259,822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interest in OpCo</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68,860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67,198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221,619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229,733</w:t>
            </w:r>
          </w:p>
        </w:tc>
        <w:tc>
          <w:tcPr>
            <w:tcW w:w="0" w:type="dxa"/>
            <w:vAlign w:val="bottom"/>
          </w:tcPr>
          <w:p>
            <w:pPr>
              <w:spacing w:after="0"/>
              <w:rPr>
                <w:sz w:val="1"/>
                <w:szCs w:val="1"/>
                <w:color w:val="auto"/>
              </w:rPr>
            </w:pPr>
          </w:p>
        </w:tc>
      </w:tr>
      <w:tr>
        <w:trPr>
          <w:trHeight w:val="205"/>
        </w:trPr>
        <w:tc>
          <w:tcPr>
            <w:tcW w:w="51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Westlake Chemical</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13,385</w:t>
            </w:r>
          </w:p>
        </w:tc>
        <w:tc>
          <w:tcPr>
            <w:tcW w:w="12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8,661</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33,124</w:t>
            </w:r>
          </w:p>
        </w:tc>
        <w:tc>
          <w:tcPr>
            <w:tcW w:w="10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30,089</w:t>
            </w: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Partners LP</w:t>
            </w:r>
          </w:p>
        </w:tc>
        <w:tc>
          <w:tcPr>
            <w:tcW w:w="2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15,478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6,833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37,892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20,643</w:t>
            </w:r>
          </w:p>
        </w:tc>
        <w:tc>
          <w:tcPr>
            <w:tcW w:w="0" w:type="dxa"/>
            <w:vAlign w:val="bottom"/>
          </w:tcPr>
          <w:p>
            <w:pPr>
              <w:spacing w:after="0"/>
              <w:rPr>
                <w:sz w:val="1"/>
                <w:szCs w:val="1"/>
                <w:color w:val="auto"/>
              </w:rPr>
            </w:pPr>
          </w:p>
        </w:tc>
      </w:tr>
      <w:tr>
        <w:trPr>
          <w:trHeight w:val="283"/>
        </w:trPr>
        <w:tc>
          <w:tcPr>
            <w:tcW w:w="5160" w:type="dxa"/>
            <w:vAlign w:val="bottom"/>
          </w:tcPr>
          <w:p>
            <w:pPr>
              <w:ind w:left="40"/>
              <w:spacing w:after="0" w:line="283"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5"/>
                <w:szCs w:val="25"/>
                <w:color w:val="auto"/>
                <w:vertAlign w:val="superscript"/>
              </w:rPr>
              <w:t>(2)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117,813</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107,290</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359,762</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335,565</w:t>
            </w: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____________</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280" w:hanging="245"/>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"Reconciliation of MLP Distributable Cash Flow to Net Income and Net Cash Provided by Operating Activities" below.</w:t>
      </w:r>
    </w:p>
    <w:p>
      <w:pPr>
        <w:spacing w:after="0" w:line="117" w:lineRule="exact"/>
        <w:rPr>
          <w:rFonts w:ascii="Arial" w:cs="Arial" w:eastAsia="Arial" w:hAnsi="Arial"/>
          <w:sz w:val="18"/>
          <w:szCs w:val="18"/>
          <w:color w:val="auto"/>
        </w:rPr>
      </w:pPr>
    </w:p>
    <w:p>
      <w:pPr>
        <w:ind w:left="280" w:hanging="245"/>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"Reconciliation of EBITDA to Net Income and Net Cash Provided by Operating Activities"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3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Three Months Ended September 30, 2017</w:t>
            </w:r>
          </w:p>
        </w:tc>
        <w:tc>
          <w:tcPr>
            <w:tcW w:w="100" w:type="dxa"/>
            <w:vAlign w:val="bottom"/>
          </w:tcPr>
          <w:p>
            <w:pPr>
              <w:spacing w:after="0"/>
              <w:rPr>
                <w:sz w:val="16"/>
                <w:szCs w:val="16"/>
                <w:color w:val="auto"/>
              </w:rPr>
            </w:pPr>
          </w:p>
        </w:tc>
        <w:tc>
          <w:tcPr>
            <w:tcW w:w="320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Nine Months Ended September 30, 2017</w:t>
            </w: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6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6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Volume</w:t>
            </w:r>
          </w:p>
        </w:tc>
        <w:tc>
          <w:tcPr>
            <w:tcW w:w="16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Sales Price</w:t>
            </w:r>
          </w:p>
        </w:tc>
        <w:tc>
          <w:tcPr>
            <w:tcW w:w="1620" w:type="dxa"/>
            <w:vAlign w:val="bottom"/>
            <w:gridSpan w:val="2"/>
            <w:vMerge w:val="continue"/>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Sales Price</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 prices and volume percentage change from</w:t>
            </w: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prior-year period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561"/>
        </w:trPr>
        <w:tc>
          <w:tcPr>
            <w:tcW w:w="4920" w:type="dxa"/>
            <w:vAlign w:val="bottom"/>
          </w:tcPr>
          <w:p>
            <w:pPr>
              <w:spacing w:after="0"/>
              <w:rPr>
                <w:sz w:val="24"/>
                <w:szCs w:val="24"/>
                <w:color w:val="auto"/>
              </w:rPr>
            </w:pPr>
          </w:p>
        </w:tc>
        <w:tc>
          <w:tcPr>
            <w:tcW w:w="33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Three Months Ended September 30,</w:t>
            </w:r>
          </w:p>
        </w:tc>
        <w:tc>
          <w:tcPr>
            <w:tcW w:w="320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top w:val="single" w:sz="8" w:color="auto"/>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top w:val="single" w:sz="8" w:color="auto"/>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5"/>
                <w:szCs w:val="25"/>
                <w:b w:val="1"/>
                <w:bCs w:val="1"/>
                <w:color w:val="auto"/>
                <w:vertAlign w:val="superscript"/>
              </w:rPr>
              <w:t>(1)</w:t>
            </w: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4920" w:type="dxa"/>
            <w:vAlign w:val="bottom"/>
          </w:tcPr>
          <w:p>
            <w:pPr>
              <w:ind w:left="40"/>
              <w:spacing w:after="0"/>
              <w:rPr>
                <w:sz w:val="20"/>
                <w:szCs w:val="20"/>
                <w:color w:val="auto"/>
              </w:rPr>
            </w:pPr>
            <w:r>
              <w:rPr>
                <w:rFonts w:ascii="Arial" w:cs="Arial" w:eastAsia="Arial" w:hAnsi="Arial"/>
                <w:sz w:val="18"/>
                <w:szCs w:val="18"/>
                <w:color w:val="auto"/>
              </w:rPr>
              <w:t>Ethane (cents/lb)</w:t>
            </w:r>
          </w:p>
        </w:tc>
        <w:tc>
          <w:tcPr>
            <w:tcW w:w="1580" w:type="dxa"/>
            <w:vAlign w:val="bottom"/>
          </w:tcPr>
          <w:p>
            <w:pPr>
              <w:jc w:val="right"/>
              <w:ind w:right="157"/>
              <w:spacing w:after="0"/>
              <w:rPr>
                <w:sz w:val="20"/>
                <w:szCs w:val="20"/>
                <w:color w:val="auto"/>
              </w:rPr>
            </w:pPr>
            <w:r>
              <w:rPr>
                <w:rFonts w:ascii="Arial" w:cs="Arial" w:eastAsia="Arial" w:hAnsi="Arial"/>
                <w:sz w:val="20"/>
                <w:szCs w:val="20"/>
                <w:color w:val="auto"/>
              </w:rPr>
              <w:t>8.8</w:t>
            </w:r>
          </w:p>
        </w:tc>
        <w:tc>
          <w:tcPr>
            <w:tcW w:w="100" w:type="dxa"/>
            <w:vAlign w:val="bottom"/>
          </w:tcPr>
          <w:p>
            <w:pPr>
              <w:spacing w:after="0"/>
              <w:rPr>
                <w:sz w:val="22"/>
                <w:szCs w:val="22"/>
                <w:color w:val="auto"/>
              </w:rPr>
            </w:pPr>
          </w:p>
        </w:tc>
        <w:tc>
          <w:tcPr>
            <w:tcW w:w="1520" w:type="dxa"/>
            <w:vAlign w:val="bottom"/>
          </w:tcPr>
          <w:p>
            <w:pPr>
              <w:jc w:val="right"/>
              <w:ind w:right="112"/>
              <w:spacing w:after="0"/>
              <w:rPr>
                <w:sz w:val="20"/>
                <w:szCs w:val="20"/>
                <w:color w:val="auto"/>
              </w:rPr>
            </w:pPr>
            <w:r>
              <w:rPr>
                <w:rFonts w:ascii="Arial" w:cs="Arial" w:eastAsia="Arial" w:hAnsi="Arial"/>
                <w:sz w:val="20"/>
                <w:szCs w:val="20"/>
                <w:color w:val="auto"/>
              </w:rPr>
              <w:t>6.3</w:t>
            </w:r>
          </w:p>
        </w:tc>
        <w:tc>
          <w:tcPr>
            <w:tcW w:w="100" w:type="dxa"/>
            <w:vAlign w:val="bottom"/>
          </w:tcPr>
          <w:p>
            <w:pPr>
              <w:spacing w:after="0"/>
              <w:rPr>
                <w:sz w:val="22"/>
                <w:szCs w:val="22"/>
                <w:color w:val="auto"/>
              </w:rPr>
            </w:pPr>
          </w:p>
        </w:tc>
        <w:tc>
          <w:tcPr>
            <w:tcW w:w="1560" w:type="dxa"/>
            <w:vAlign w:val="bottom"/>
          </w:tcPr>
          <w:p>
            <w:pPr>
              <w:jc w:val="right"/>
              <w:ind w:right="137"/>
              <w:spacing w:after="0"/>
              <w:rPr>
                <w:sz w:val="20"/>
                <w:szCs w:val="20"/>
                <w:color w:val="auto"/>
              </w:rPr>
            </w:pPr>
            <w:r>
              <w:rPr>
                <w:rFonts w:ascii="Arial" w:cs="Arial" w:eastAsia="Arial" w:hAnsi="Arial"/>
                <w:sz w:val="20"/>
                <w:szCs w:val="20"/>
                <w:color w:val="auto"/>
              </w:rPr>
              <w:t>8.3</w:t>
            </w:r>
          </w:p>
        </w:tc>
        <w:tc>
          <w:tcPr>
            <w:tcW w:w="120" w:type="dxa"/>
            <w:vAlign w:val="bottom"/>
          </w:tcPr>
          <w:p>
            <w:pPr>
              <w:spacing w:after="0"/>
              <w:rPr>
                <w:sz w:val="22"/>
                <w:szCs w:val="22"/>
                <w:color w:val="auto"/>
              </w:rPr>
            </w:pPr>
          </w:p>
        </w:tc>
        <w:tc>
          <w:tcPr>
            <w:tcW w:w="1520" w:type="dxa"/>
            <w:vAlign w:val="bottom"/>
          </w:tcPr>
          <w:p>
            <w:pPr>
              <w:jc w:val="right"/>
              <w:ind w:right="92"/>
              <w:spacing w:after="0"/>
              <w:rPr>
                <w:sz w:val="20"/>
                <w:szCs w:val="20"/>
                <w:color w:val="auto"/>
              </w:rPr>
            </w:pPr>
            <w:r>
              <w:rPr>
                <w:rFonts w:ascii="Arial" w:cs="Arial" w:eastAsia="Arial" w:hAnsi="Arial"/>
                <w:sz w:val="20"/>
                <w:szCs w:val="20"/>
                <w:color w:val="auto"/>
              </w:rPr>
              <w:t>6.2</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Propane (cents/lb)</w:t>
            </w:r>
          </w:p>
        </w:tc>
        <w:tc>
          <w:tcPr>
            <w:tcW w:w="1580" w:type="dxa"/>
            <w:vAlign w:val="bottom"/>
            <w:tcBorders>
              <w:bottom w:val="single" w:sz="8" w:color="BFE4FF"/>
            </w:tcBorders>
            <w:shd w:val="clear" w:color="auto" w:fill="BFE4FF"/>
          </w:tcPr>
          <w:p>
            <w:pPr>
              <w:jc w:val="right"/>
              <w:ind w:right="157"/>
              <w:spacing w:after="0"/>
              <w:rPr>
                <w:sz w:val="20"/>
                <w:szCs w:val="20"/>
                <w:color w:val="auto"/>
              </w:rPr>
            </w:pPr>
            <w:r>
              <w:rPr>
                <w:rFonts w:ascii="Arial" w:cs="Arial" w:eastAsia="Arial" w:hAnsi="Arial"/>
                <w:sz w:val="20"/>
                <w:szCs w:val="20"/>
                <w:color w:val="auto"/>
              </w:rPr>
              <w:t>18.2</w:t>
            </w:r>
          </w:p>
        </w:tc>
        <w:tc>
          <w:tcPr>
            <w:tcW w:w="100" w:type="dxa"/>
            <w:vAlign w:val="bottom"/>
            <w:tcBorders>
              <w:bottom w:val="single" w:sz="8" w:color="BFE4FF"/>
            </w:tcBorders>
            <w:shd w:val="clear" w:color="auto" w:fill="BFE4FF"/>
          </w:tcPr>
          <w:p>
            <w:pPr>
              <w:spacing w:after="0"/>
              <w:rPr>
                <w:sz w:val="22"/>
                <w:szCs w:val="22"/>
                <w:color w:val="auto"/>
              </w:rPr>
            </w:pPr>
          </w:p>
        </w:tc>
        <w:tc>
          <w:tcPr>
            <w:tcW w:w="1520" w:type="dxa"/>
            <w:vAlign w:val="bottom"/>
            <w:tcBorders>
              <w:bottom w:val="single" w:sz="8" w:color="BFE4FF"/>
            </w:tcBorders>
            <w:shd w:val="clear" w:color="auto" w:fill="BFE4FF"/>
          </w:tcPr>
          <w:p>
            <w:pPr>
              <w:jc w:val="right"/>
              <w:ind w:right="112"/>
              <w:spacing w:after="0"/>
              <w:rPr>
                <w:sz w:val="20"/>
                <w:szCs w:val="20"/>
                <w:color w:val="auto"/>
              </w:rPr>
            </w:pPr>
            <w:r>
              <w:rPr>
                <w:rFonts w:ascii="Arial" w:cs="Arial" w:eastAsia="Arial" w:hAnsi="Arial"/>
                <w:sz w:val="20"/>
                <w:szCs w:val="20"/>
                <w:color w:val="auto"/>
              </w:rPr>
              <w:t>11.2</w:t>
            </w:r>
          </w:p>
        </w:tc>
        <w:tc>
          <w:tcPr>
            <w:tcW w:w="100" w:type="dxa"/>
            <w:vAlign w:val="bottom"/>
            <w:tcBorders>
              <w:bottom w:val="single" w:sz="8" w:color="BFE4FF"/>
            </w:tcBorders>
            <w:shd w:val="clear" w:color="auto" w:fill="BFE4FF"/>
          </w:tcPr>
          <w:p>
            <w:pPr>
              <w:spacing w:after="0"/>
              <w:rPr>
                <w:sz w:val="22"/>
                <w:szCs w:val="22"/>
                <w:color w:val="auto"/>
              </w:rPr>
            </w:pPr>
          </w:p>
        </w:tc>
        <w:tc>
          <w:tcPr>
            <w:tcW w:w="1560" w:type="dxa"/>
            <w:vAlign w:val="bottom"/>
            <w:tcBorders>
              <w:bottom w:val="single" w:sz="8" w:color="BFE4FF"/>
            </w:tcBorders>
            <w:shd w:val="clear" w:color="auto" w:fill="BFE4FF"/>
          </w:tcPr>
          <w:p>
            <w:pPr>
              <w:jc w:val="right"/>
              <w:ind w:right="137"/>
              <w:spacing w:after="0"/>
              <w:rPr>
                <w:sz w:val="20"/>
                <w:szCs w:val="20"/>
                <w:color w:val="auto"/>
              </w:rPr>
            </w:pPr>
            <w:r>
              <w:rPr>
                <w:rFonts w:ascii="Arial" w:cs="Arial" w:eastAsia="Arial" w:hAnsi="Arial"/>
                <w:sz w:val="20"/>
                <w:szCs w:val="20"/>
                <w:color w:val="auto"/>
              </w:rPr>
              <w:t>16.6</w:t>
            </w:r>
          </w:p>
        </w:tc>
        <w:tc>
          <w:tcPr>
            <w:tcW w:w="120" w:type="dxa"/>
            <w:vAlign w:val="bottom"/>
            <w:tcBorders>
              <w:bottom w:val="single" w:sz="8" w:color="BFE4FF"/>
            </w:tcBorders>
            <w:shd w:val="clear" w:color="auto" w:fill="BFE4FF"/>
          </w:tcPr>
          <w:p>
            <w:pPr>
              <w:spacing w:after="0"/>
              <w:rPr>
                <w:sz w:val="22"/>
                <w:szCs w:val="22"/>
                <w:color w:val="auto"/>
              </w:rPr>
            </w:pPr>
          </w:p>
        </w:tc>
        <w:tc>
          <w:tcPr>
            <w:tcW w:w="1520" w:type="dxa"/>
            <w:vAlign w:val="bottom"/>
            <w:tcBorders>
              <w:bottom w:val="single" w:sz="8" w:color="BFE4FF"/>
            </w:tcBorders>
            <w:shd w:val="clear" w:color="auto" w:fill="BFE4FF"/>
          </w:tcPr>
          <w:p>
            <w:pPr>
              <w:jc w:val="right"/>
              <w:ind w:right="92"/>
              <w:spacing w:after="0"/>
              <w:rPr>
                <w:sz w:val="20"/>
                <w:szCs w:val="20"/>
                <w:color w:val="auto"/>
              </w:rPr>
            </w:pPr>
            <w:r>
              <w:rPr>
                <w:rFonts w:ascii="Arial" w:cs="Arial" w:eastAsia="Arial" w:hAnsi="Arial"/>
                <w:sz w:val="20"/>
                <w:szCs w:val="20"/>
                <w:color w:val="auto"/>
              </w:rPr>
              <w:t>10.7</w:t>
            </w:r>
          </w:p>
        </w:tc>
        <w:tc>
          <w:tcPr>
            <w:tcW w:w="0" w:type="dxa"/>
            <w:vAlign w:val="bottom"/>
          </w:tcPr>
          <w:p>
            <w:pPr>
              <w:spacing w:after="0"/>
              <w:rPr>
                <w:sz w:val="1"/>
                <w:szCs w:val="1"/>
                <w:color w:val="auto"/>
              </w:rPr>
            </w:pPr>
          </w:p>
        </w:tc>
      </w:tr>
      <w:tr>
        <w:trPr>
          <w:trHeight w:val="283"/>
        </w:trPr>
        <w:tc>
          <w:tcPr>
            <w:tcW w:w="4920" w:type="dxa"/>
            <w:vAlign w:val="bottom"/>
          </w:tcPr>
          <w:p>
            <w:pPr>
              <w:ind w:left="40"/>
              <w:spacing w:after="0" w:line="283" w:lineRule="exact"/>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5"/>
                <w:szCs w:val="25"/>
                <w:color w:val="auto"/>
                <w:vertAlign w:val="superscript"/>
              </w:rPr>
              <w:t>(2)</w:t>
            </w:r>
          </w:p>
        </w:tc>
        <w:tc>
          <w:tcPr>
            <w:tcW w:w="1580" w:type="dxa"/>
            <w:vAlign w:val="bottom"/>
          </w:tcPr>
          <w:p>
            <w:pPr>
              <w:jc w:val="right"/>
              <w:ind w:right="157"/>
              <w:spacing w:after="0"/>
              <w:rPr>
                <w:sz w:val="20"/>
                <w:szCs w:val="20"/>
                <w:color w:val="auto"/>
              </w:rPr>
            </w:pPr>
            <w:r>
              <w:rPr>
                <w:rFonts w:ascii="Arial" w:cs="Arial" w:eastAsia="Arial" w:hAnsi="Arial"/>
                <w:sz w:val="20"/>
                <w:szCs w:val="20"/>
                <w:color w:val="auto"/>
              </w:rPr>
              <w:t>24.7</w:t>
            </w:r>
          </w:p>
        </w:tc>
        <w:tc>
          <w:tcPr>
            <w:tcW w:w="100" w:type="dxa"/>
            <w:vAlign w:val="bottom"/>
          </w:tcPr>
          <w:p>
            <w:pPr>
              <w:spacing w:after="0"/>
              <w:rPr>
                <w:sz w:val="24"/>
                <w:szCs w:val="24"/>
                <w:color w:val="auto"/>
              </w:rPr>
            </w:pPr>
          </w:p>
        </w:tc>
        <w:tc>
          <w:tcPr>
            <w:tcW w:w="1520" w:type="dxa"/>
            <w:vAlign w:val="bottom"/>
          </w:tcPr>
          <w:p>
            <w:pPr>
              <w:jc w:val="right"/>
              <w:ind w:right="112"/>
              <w:spacing w:after="0"/>
              <w:rPr>
                <w:sz w:val="20"/>
                <w:szCs w:val="20"/>
                <w:color w:val="auto"/>
              </w:rPr>
            </w:pPr>
            <w:r>
              <w:rPr>
                <w:rFonts w:ascii="Arial" w:cs="Arial" w:eastAsia="Arial" w:hAnsi="Arial"/>
                <w:sz w:val="20"/>
                <w:szCs w:val="20"/>
                <w:color w:val="auto"/>
              </w:rPr>
              <w:t>32.5</w:t>
            </w:r>
          </w:p>
        </w:tc>
        <w:tc>
          <w:tcPr>
            <w:tcW w:w="100" w:type="dxa"/>
            <w:vAlign w:val="bottom"/>
          </w:tcPr>
          <w:p>
            <w:pPr>
              <w:spacing w:after="0"/>
              <w:rPr>
                <w:sz w:val="24"/>
                <w:szCs w:val="24"/>
                <w:color w:val="auto"/>
              </w:rPr>
            </w:pPr>
          </w:p>
        </w:tc>
        <w:tc>
          <w:tcPr>
            <w:tcW w:w="1560" w:type="dxa"/>
            <w:vAlign w:val="bottom"/>
          </w:tcPr>
          <w:p>
            <w:pPr>
              <w:jc w:val="right"/>
              <w:ind w:right="137"/>
              <w:spacing w:after="0"/>
              <w:rPr>
                <w:sz w:val="20"/>
                <w:szCs w:val="20"/>
                <w:color w:val="auto"/>
              </w:rPr>
            </w:pPr>
            <w:r>
              <w:rPr>
                <w:rFonts w:ascii="Arial" w:cs="Arial" w:eastAsia="Arial" w:hAnsi="Arial"/>
                <w:sz w:val="20"/>
                <w:szCs w:val="20"/>
                <w:color w:val="auto"/>
              </w:rPr>
              <w:t>27.8</w:t>
            </w:r>
          </w:p>
        </w:tc>
        <w:tc>
          <w:tcPr>
            <w:tcW w:w="120" w:type="dxa"/>
            <w:vAlign w:val="bottom"/>
          </w:tcPr>
          <w:p>
            <w:pPr>
              <w:spacing w:after="0"/>
              <w:rPr>
                <w:sz w:val="24"/>
                <w:szCs w:val="24"/>
                <w:color w:val="auto"/>
              </w:rPr>
            </w:pPr>
          </w:p>
        </w:tc>
        <w:tc>
          <w:tcPr>
            <w:tcW w:w="1520" w:type="dxa"/>
            <w:vAlign w:val="bottom"/>
          </w:tcPr>
          <w:p>
            <w:pPr>
              <w:jc w:val="right"/>
              <w:ind w:right="92"/>
              <w:spacing w:after="0"/>
              <w:rPr>
                <w:sz w:val="20"/>
                <w:szCs w:val="20"/>
                <w:color w:val="auto"/>
              </w:rPr>
            </w:pPr>
            <w:r>
              <w:rPr>
                <w:rFonts w:ascii="Arial" w:cs="Arial" w:eastAsia="Arial" w:hAnsi="Arial"/>
                <w:sz w:val="20"/>
                <w:szCs w:val="20"/>
                <w:color w:val="auto"/>
              </w:rPr>
              <w:t>26.5</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_____________</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Industry pricing data was obtained through IHS Chemical. We have not independently verified the data.</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 Chemical.</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0" w:type="dxa"/>
            <w:vAlign w:val="bottom"/>
            <w:gridSpan w:val="5"/>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(used)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139,630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401,916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177,370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and other</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(57,222)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83,835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(146,810)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82,841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82,245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75,859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254,743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259,822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amortization and disposition of</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Pr>
          <w:p>
            <w:pPr>
              <w:ind w:left="380"/>
              <w:spacing w:after="0" w:line="257" w:lineRule="exact"/>
              <w:rPr>
                <w:sz w:val="20"/>
                <w:szCs w:val="20"/>
                <w:color w:val="auto"/>
              </w:rPr>
            </w:pPr>
            <w:r>
              <w:rPr>
                <w:rFonts w:ascii="Arial" w:cs="Arial" w:eastAsia="Arial" w:hAnsi="Arial"/>
                <w:sz w:val="18"/>
                <w:szCs w:val="18"/>
                <w:color w:val="auto"/>
              </w:rPr>
              <w:t xml:space="preserve">property, plant and equipment </w:t>
            </w:r>
            <w:r>
              <w:rPr>
                <w:rFonts w:ascii="Arial" w:cs="Arial" w:eastAsia="Arial" w:hAnsi="Arial"/>
                <w:sz w:val="25"/>
                <w:szCs w:val="25"/>
                <w:color w:val="auto"/>
                <w:vertAlign w:val="superscript"/>
              </w:rPr>
              <w:t>(1)</w:t>
            </w:r>
          </w:p>
        </w:tc>
        <w:tc>
          <w:tcPr>
            <w:tcW w:w="280" w:type="dxa"/>
            <w:vAlign w:val="bottom"/>
          </w:tcPr>
          <w:p>
            <w:pPr>
              <w:spacing w:after="0"/>
              <w:rPr>
                <w:sz w:val="22"/>
                <w:szCs w:val="22"/>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31,790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26,290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89,239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67,472</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Contribution to turnaround reserves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Maintenance capital expenditures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(103,609)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Incentive distribution rights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Distributable cash flow attributable to</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noncontrolling interest in OpCo</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(80,454)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(168,940)</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MLP distributable cash flow</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15,478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6,833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37,892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20,643</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_____________</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500" w:right="260" w:hanging="492"/>
        <w:spacing w:after="0" w:line="305"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Higher depreciation, amortization and disposition of property, plant and equipment in the third quarter and first nine months of 2017 as compared to the third quarter and first nine months of 2016 are primarily related to the increase in the property, plant and equipment and the turnaround deferred costs associated with the Lake Charles Petro 1 facility expansion and turnaround project that was completed in July 2016.</w:t>
      </w:r>
    </w:p>
    <w:p>
      <w:pPr>
        <w:ind w:left="500" w:right="340" w:hanging="492"/>
        <w:spacing w:after="0" w:line="342"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Lower maintenance capital expenditures in the third quarter and first nine months of 2017 as compared to the third quarter and first nine months of 2016 are primarily related to the Lake Charles Petro 1 facility maintenance capital expenditures incurred in the first nine months of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to Net Income and Net Cash Provided by Operating Activities</w:t>
      </w:r>
    </w:p>
    <w:p>
      <w:pPr>
        <w:spacing w:after="0" w:line="94"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following table presents reconciliations of EBITDA to net income and net cash provided by operating activities, the most directly comparable GAAP financial measures, for each of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0" w:type="dxa"/>
            <w:vAlign w:val="bottom"/>
            <w:gridSpan w:val="5"/>
          </w:tcPr>
          <w:p>
            <w:pPr>
              <w:ind w:left="50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(used)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139,630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401,916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177,370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and other</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(57,222)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83,835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(146,810)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82,841</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82,245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75,859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254,743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259,822</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29,053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26,290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86,502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67,472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7,381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890</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117,813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107,290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359,762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335,565</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For the quarter ended September 30, 2017, net income was $82.2 million on net sales of $296.8 million. This represents an increase in net income of $6.3 million as compared to the quarter ended September 30, 2016 net income of $75.9 million on net sales of $229.4 million. Net income for the third quarter of 2017 was higher due to higher sales volumes, partially offset by the Shortfall of approximately $25.2 million recognized in the third quarter of 2016, increased depreciation and amortization expense, higher selling, general and administrative expenses and higher interest expense in the third quarter of 2017 as compared to the third quarter of 2016. Net income attributable to Westlake Chemical Partners LP for the quarter ended September 30, 2017 was $13.4 million as compared to $8.7 million for the quarter ended September 30, 2016, an increase of $4.7 million, which was primarily due to higher sales volume and a 5% increase in the Partnership's interest in OpCo, effective as of July 1, 2017. Net sales for the third quarter of 2017 increased by $67.4 million as compared to net sales for the third quarter of 2016 mainly attributable to higher sales volumes to Westlake and third parties, partially offset by lower sales prices to Westlake due to the Shortfall of approximately $25.2 million recognized in the third quarter of 2016. Income from operations was $88.6 million for the third quarter of 2017 as compared to $81.0 million for the third quarter of 2016. Income from operations for the third quarter of 2017 increased mainly as a result of higher sales volumes to Westlake and third parties, partially offset by the Shortfall of approximately $25.2 million recognized in the third quarter of 2016, higher depreciation and amortization expense and higher selling, general and administrative expenses in the third quarter of 2017 as compared to the third quarter of 2016.</w:t>
      </w:r>
    </w:p>
    <w:p>
      <w:pPr>
        <w:spacing w:after="0" w:line="52"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For the nine months ended September 30, 2017, net income was $254.7 million on net sales of $864.3 million. This represents a decrease in net income of $5.1 million as compared to the nine months ended September 30, 2016 net income of $259.8 million on net sales of $692.8 million. Net income for the nine months ended September 30, 2017 was lower due to the Shortfall of approximately $81.7 million recognized during the first nine months of 2016, decreased capitalized interest on major projects, increased depreciation and amortization expense and higher selling, general and administrative expenses, partially offset by higher sales volumes in the nine months ended September 30, 2017, as compared to the nine months ended September 30, 2016. Net income attributable to Westlake Chemical Partners LP for the nine months ended September 30, 2017 was $33.1 million as compared to $30.1 million for the nine months ended September 30, 2016, an increase of $3.0 million, which was primarily due to higher sales volume and a 5% increase in the Partnership's interest in OpCo, effective as of July 1, 2017. Net sales for the nine months ended September 30, 2017 increased by $171.5 million as compared to net sales for the nine months ended September 30, 2016 mainly attributable to higher overall sales volumes to Westlake and third parties, partially offset by the Shortfall of approximately $81.7 million recognized during the first nine months of 2016. Income from operations was $271.4 million for the nine months ended September 30, 2017, as compared to $267.9 million for the nine months ended September 30, 2016. Income from operations for the nine months ended September 30, 2017 increased mainly as a result of higher sales volumes to Westlake and third parties for the nine months ended September 30, 2017, partially offset by the Shortfall recognized for the nine months ended September 30, 2016, higher depreciation and amortization expense and higher selling, general and administrative expenses for the nine months ended September 30, 2017, as compared to the nine months ended September 30, 2016.</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2017 Compared with Third Quarter 2016</w:t>
      </w:r>
    </w:p>
    <w:p>
      <w:pPr>
        <w:spacing w:after="0" w:line="9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Total net sales increased by $67.4 million, or 29.4%, to $296.8 million in the third quarter of 2017 from $229.4 million in the third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2016. The overall increase in sales volumes for the third quarter of 2017 contributed to an increase in net sales of 36.9%, as compared to the third quarter of 2016, which was primarily due to higher sales volumes to Westlake. This increase was partially offset by a 7.5% lower sales price of ethylene for the third quarter of 2017 compared to the sales price for the third quarter of 2016, which was primarily due to the Shortfall recognized as a component of net sales for the third quarter of 2016. Ethylene production at the Lake Charles Petro I facility increased during the third quarter of 2017 as a result of the upgrade and capacity expansion that was completed in July 2016. The production rates at the Lake Charles Petro 2 facility and at the Calvert City Olefins facility were also higher during the third quarter of 2017 as compared to the third quarter of 2016.</w:t>
      </w:r>
    </w:p>
    <w:p>
      <w:pPr>
        <w:spacing w:after="0" w:line="124"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to $95.4 million for the third quarter of 2017 from $86.8 million for the third quarter of 2016. The gross profit</w:t>
      </w:r>
      <w:r>
        <w:rPr>
          <w:rFonts w:ascii="Arial" w:cs="Arial" w:eastAsia="Arial" w:hAnsi="Arial"/>
          <w:sz w:val="18"/>
          <w:szCs w:val="18"/>
          <w:i w:val="1"/>
          <w:iCs w:val="1"/>
          <w:color w:val="auto"/>
        </w:rPr>
        <w:t xml:space="preserve"> </w:t>
      </w:r>
      <w:r>
        <w:rPr>
          <w:rFonts w:ascii="Arial" w:cs="Arial" w:eastAsia="Arial" w:hAnsi="Arial"/>
          <w:sz w:val="18"/>
          <w:szCs w:val="18"/>
          <w:color w:val="auto"/>
        </w:rPr>
        <w:t>margin in the third quarter of 2017 was 32.1%, as compared to 37.8% for the third quarter of 2016. The third quarter of 2017 gross profit margin was lower due to the higher depreciation and amortization expense in the third quarter of 2017 as a result of the 2016 Lake Charles Petro 1 facility expansion and turnaround and the recognition of the Shortfall in the third quarter of 2016, partially offset by higher sales volume to Westlake, as compared to the third quarter of 2016.</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80" w:firstLine="432"/>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by $1.0 million, or 17.2%, to $6.8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2017 as compared to $5.8 million in the third quarter of 2016. The increase was mainly attributable to the general and administrative expense allocation from Westlake and an increase in consulting and professional fees, partially offset by a decrease in the allowance for bad debt accounts in the third quarter of 2017, as compared to the prior-year period.</w:t>
      </w:r>
    </w:p>
    <w:p>
      <w:pPr>
        <w:spacing w:after="0" w:line="133"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by $1.3 million to $6.2 million in the third quarter of 2017 from $4.9 million in the third quarter of 2016,</w:t>
      </w:r>
      <w:r>
        <w:rPr>
          <w:rFonts w:ascii="Arial" w:cs="Arial" w:eastAsia="Arial" w:hAnsi="Arial"/>
          <w:sz w:val="18"/>
          <w:szCs w:val="18"/>
          <w:i w:val="1"/>
          <w:iCs w:val="1"/>
          <w:color w:val="auto"/>
        </w:rPr>
        <w:t xml:space="preserve"> </w:t>
      </w:r>
      <w:r>
        <w:rPr>
          <w:rFonts w:ascii="Arial" w:cs="Arial" w:eastAsia="Arial" w:hAnsi="Arial"/>
          <w:sz w:val="18"/>
          <w:szCs w:val="18"/>
          <w:color w:val="auto"/>
        </w:rPr>
        <w:t>largely due to a higher average debt balance to fund the capital expenditures related to the Lake Charles Petro 1 upgrade and expansion in 2016 and Calvert City Olefins upgrade and expansion in March and April 2017, as compared to the third quarter of 2016.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2017 Compared with Nine Months Ended September 30, 2016</w:t>
      </w:r>
    </w:p>
    <w:p>
      <w:pPr>
        <w:spacing w:after="0" w:line="90"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Total net sales increased by $171.5 million, or 24.8%, to $864.3 million in the nine months ended September 30, 2017 from $692.8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nine months ended September 30, 2016. The overall sales volumes for the nine months ended September 30, 2017 contributed to an increase in net sales of 28.7%, as compared to the nine months ended September 30, 2016, due to higher sales volumes to Westlake and third parties. The overall ethylene and co-product sales price for the nine months ended September 30, 2017 decreased by 3.9%, which was primarily due to lower sales prices to Westlake due to the recognition of the Shortfall in the nine months ended September 30, 2016, partially offset by the increase in sales prices to third parties, as compared to the nine months ended September 30, 2016. Ethylene production at the Lake Charles Petro I facility increased during the nine months ended September 30, 2017 as a result of the upgrade and capacity expansion that was completed in July 2016 and higher production rates at the Lake Charles Petro 2 and Calvert City Olefins facilities, as compared to the nine months ended September 30, 2016.</w:t>
      </w:r>
    </w:p>
    <w:p>
      <w:pPr>
        <w:spacing w:after="0" w:line="1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to $292.9 million for the nine months ended September 30, 2017 from $285.6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2016. The gross profit margin in the nine months ended September 30, 2017 was 33.9%, as compared with 41.2% for the nine months ended September 30, 2016. The nine months ended September 30, 2017 gross profit margin was lower due to the higher depreciation and amortization expense in the nine months ended September 30, 2017 as a result of the 2016 Lake Charles Petro 1 facility expansion and turnaround and the recognition of the Shortfall in the nine months ended September 30, 2016, partially offset by a higher sales volume to third parties and Westlake, as compared to the nine months ended September 30, 2016.</w:t>
      </w:r>
    </w:p>
    <w:p>
      <w:pPr>
        <w:spacing w:after="0" w:line="13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by $3.8 million, or 21.5%, to $21.5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September 30, 2017 as compared to $17.7 million in the nine months ended September 30, 2016. The increase was mainly attributable to the increase in general and administrative expense allocation from Westlake and an increase in consulting and professional fees, partially offset by the decrease in allowance for bad debt accounts in the nine months ended September 30, 2017, as compared to the prior-year period.</w:t>
      </w:r>
    </w:p>
    <w:p>
      <w:pPr>
        <w:spacing w:after="0" w:line="10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by $10.2 million to $17.6 million in the nine months ended September 30, 2017 from $7.4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2016, largely due to decreased capitalized interest on major projects in the nine months ended September 30, 2017 as compared to the nine months ended September 30, 2016 and a higher average debt balance in the nine months ended September 30, 2017, to fund the capital expenditures related to the Lake Charles Petro 1 upgrade and expansion in 2016 and Calvert City Olefins upgrade and expansion during March and April 2017, as compared to the nine months ended September 30, 2016.</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The increase in other income in the nine months ended September 30, 2017, as compared to the nine months ended September 30, 2016,</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the recognition of an insurance recovery with respect to the involuntary conversion of asset related to the Calvert City Olefins unplanned shut-down in 2016.</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640"/>
        <w:spacing w:after="0" w:line="346" w:lineRule="auto"/>
        <w:rPr>
          <w:sz w:val="20"/>
          <w:szCs w:val="20"/>
          <w:color w:val="auto"/>
        </w:rPr>
      </w:pPr>
      <w:r>
        <w:rPr>
          <w:rFonts w:ascii="Arial" w:cs="Arial" w:eastAsia="Arial" w:hAnsi="Arial"/>
          <w:sz w:val="18"/>
          <w:szCs w:val="18"/>
          <w:b w:val="1"/>
          <w:bCs w:val="1"/>
          <w:color w:val="auto"/>
        </w:rPr>
        <w:t xml:space="preserve">CASH FLOW DISCUSSION FOR THE NINE MONTHS ENDED SEPTEMBER 30, 2017 AND 2016 </w:t>
      </w:r>
      <w:r>
        <w:rPr>
          <w:rFonts w:ascii="Arial" w:cs="Arial" w:eastAsia="Arial" w:hAnsi="Arial"/>
          <w:sz w:val="18"/>
          <w:szCs w:val="18"/>
          <w:b w:val="1"/>
          <w:bCs w:val="1"/>
          <w:i w:val="1"/>
          <w:iCs w:val="1"/>
          <w:color w:val="auto"/>
        </w:rPr>
        <w:t>Operating Activities</w:t>
      </w:r>
    </w:p>
    <w:p>
      <w:pPr>
        <w:spacing w:after="0" w:line="1" w:lineRule="exact"/>
        <w:rPr>
          <w:sz w:val="20"/>
          <w:szCs w:val="20"/>
          <w:color w:val="auto"/>
        </w:rPr>
      </w:pPr>
    </w:p>
    <w:p>
      <w:pPr>
        <w:ind w:right="100" w:firstLine="432"/>
        <w:spacing w:after="0" w:line="289" w:lineRule="auto"/>
        <w:rPr>
          <w:sz w:val="20"/>
          <w:szCs w:val="20"/>
          <w:color w:val="auto"/>
        </w:rPr>
      </w:pPr>
      <w:r>
        <w:rPr>
          <w:rFonts w:ascii="Arial" w:cs="Arial" w:eastAsia="Arial" w:hAnsi="Arial"/>
          <w:sz w:val="16"/>
          <w:szCs w:val="16"/>
          <w:color w:val="auto"/>
        </w:rPr>
        <w:t>Operating activities provided cash of $401.9 million in the first nine months of 2017 compared to cash provided by operating activities of $177.4 million in the first nine months of 2016. The $224.5 million increase in cash flows from operating activities was mainly due to an increase in cash provided by working capital and lower turnaround related expenditures during the nine months ended September 30, 2017 as compared to the prior-year period. These increases were largely offset by the decrease in net income for the first nine months of 2017, as compared to the first nine months of 2016. Changes in components of working capital, which we define for the purposes of this cash flow discussion as accounts receivable—Westlake, accounts receivable, net— third parties, inventories, prepaid expenses and other current assets less accounts payable—Westlake, accounts payable—third parties and accrued liabilities, provided cash of $70.1 million in the first nine months of 2017 as compared to $76.4 million of cash used in the first nine months of 2016, resulting in an overall favorable change of $146.5 million. The favorable change in working capital is mainly attributable to the favorable change in the Westlake accounts receivable balance, partially offset by unfavorable changes in third party accounts payable and accrued liabilities.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Net cash used for investing activities during the first nine months of 2017 was $173.8 million as compared to net cash used for investing activities of $268.5 million in the first nine months of 2016, mainly due to $119.0 million of cash invested with Westlake under the Investment Management Agreement, partially offset by decreased capital expenditures in the first nine months of 2017 as compared to the prior-year period. Capital expenditures during the first nine months of 2017 were primarily incurred for the Calvert City expansion while the same period in 2016 primarily reflected capital expenditures for the Lake Charles Petro 1 facility expansions and turnaround project. The Lake Charles Petro 1 facility expansion and turnaround project was completed in July 2016.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220" w:firstLine="432"/>
        <w:spacing w:after="0" w:line="271" w:lineRule="auto"/>
        <w:rPr>
          <w:sz w:val="20"/>
          <w:szCs w:val="20"/>
          <w:color w:val="auto"/>
        </w:rPr>
      </w:pPr>
      <w:r>
        <w:rPr>
          <w:rFonts w:ascii="Arial" w:cs="Arial" w:eastAsia="Arial" w:hAnsi="Arial"/>
          <w:sz w:val="17"/>
          <w:szCs w:val="17"/>
          <w:color w:val="auto"/>
        </w:rPr>
        <w:t>Net cash used for financing activities during the first nine months of 2017 was $299.8 million as compared to net cash used for financing activities of $3.4 million in the first nine months of 2016. The cash outflows during the first nine months of 2017 were related to the distribution of $263.5 million to Westlake and of $29.5 million to other unitholders by the Partnership and the repayment of $272.8 million of borrowings under the OpCo Revolver as compared to the distribution of $188.7 million to Westlake and of $25.8 million to other unitholders during the first nine months of 2016. The distributions and repayment in the first nine months of 2017 were partially offset by borrowings under the OpCo Revolver of $37.1 million to fund capital expenditures, the borrowings of $118.2 million under the MLP Revolver and net proceeds from the common units offering of $110.7 million to fund the purchase of an additional 5% interest in OpCo effective July 1, 2017. The distributions in the first nine months of 2016 were partially offset by borrowing under the OpCo Revolver of $212.2 million primarily to fund capital expenditures and our working capital requirements.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12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common units representing limited partner interests of the Partnership, other classes of units representing limited partners interests of the Partnership or debt securities.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required to do so.</w:t>
      </w:r>
    </w:p>
    <w:p>
      <w:pPr>
        <w:spacing w:after="0" w:line="124"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 order to fund non-annual turnaround expenditures, we cause OpCo to reserve approximately $30.0 million during each twelve-month period for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Our cash is generated from cash distributions from OpCo. OpCo was a restricted subsidiary and guarantor under Westlake's credit facility and the indentures governing its senior notes until August 2016. These guarantees were released during August 2016. The indentures governing Westlake's senior notes prevent OpCo from making distributions to us if any default or event of default (as defined in the indentures) exists. Westlake's credit facility does not prevent OpCo from making distributions to us.</w:t>
      </w:r>
    </w:p>
    <w:p>
      <w:pPr>
        <w:spacing w:after="0" w:line="52" w:lineRule="exact"/>
        <w:rPr>
          <w:sz w:val="20"/>
          <w:szCs w:val="20"/>
          <w:color w:val="auto"/>
        </w:rPr>
      </w:pPr>
    </w:p>
    <w:p>
      <w:pPr>
        <w:ind w:right="100" w:firstLine="405"/>
        <w:spacing w:after="0" w:line="334" w:lineRule="auto"/>
        <w:rPr>
          <w:sz w:val="20"/>
          <w:szCs w:val="20"/>
          <w:color w:val="auto"/>
        </w:rPr>
      </w:pPr>
      <w:r>
        <w:rPr>
          <w:rFonts w:ascii="Arial" w:cs="Arial" w:eastAsia="Arial" w:hAnsi="Arial"/>
          <w:sz w:val="16"/>
          <w:szCs w:val="16"/>
          <w:color w:val="auto"/>
        </w:rPr>
        <w:t>On September 29, 2017, we completed our secondary offering of 5,175,000 common units at a price of $22.00 per unit. Net proceeds to the Partnership from the sale of the units was $110.7 million, net of underwriting discounts, structuring fees and estimated offering expenses of approximately $3.1 million.</w:t>
      </w:r>
    </w:p>
    <w:p>
      <w:pPr>
        <w:spacing w:after="0" w:line="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On August 1, 2017, the Partnership entered into an Investment Management Agreement with OpCo and Westlake that authorizes Westlake to invest the Partnership and OpCo’s excess cash with Westlake for a term of up to a maximum of nine months. Per the terms of the Investment Management Agreement, cash invested with Westlake earns a market return plus five basis points and Westlake provides daily availability of the invested cash to meet any liquidity needs of the Partnership or OpCo.</w:t>
      </w:r>
    </w:p>
    <w:p>
      <w:pPr>
        <w:spacing w:after="0" w:line="133"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On November 1, 2017, the board of directors of Westlake Chemical Partners GP LLC, our general partner, approved a quarterly distribution of $0.3756 per unit payable on November 29, 2017 to unitholders of record as of November 14, 2017 and a distribution to the incentive distribution rights holder ("IDR Holder"), which equates to a total amount of approximately $12.6 million per quarter, or approximately $50.4 million per year in aggregate (in each case, including the distribution to the IDR Holder), based on the number of common and subordinated units outstanding on September 30, 2017. We do not have a legal or contractual obligation to pay distributions on a quarterly basis or any other basis at our minimum quarterly distribution rate or any other rate.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Westlake has historically funded expansion capital expenditures related to Lake Charles Olefins and Calvert City Olefins. During the nine months ended September 30, 2017 and 2016, Westlake loaned OpCo $155.3 million and $212.2 million, respectively, of which $37.1 million and $157.6 million was used to fund the expansion capital expenditures in the first nine months of 2017 and 2016, respectively. The total capital expenditures, which include expansion and capital maintenance costs, for 2017 are expected to be approximately $71.2 million, of which $56.6 million was spent during the nine months ended September 30, 2017. We expect that Westlake will loan additional cash to OpCo to fund its expansion capital expenditures in the future, but Westlake is under no obligation to do so.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600" w:firstLine="446"/>
        <w:spacing w:after="0" w:line="264" w:lineRule="auto"/>
        <w:rPr>
          <w:sz w:val="20"/>
          <w:szCs w:val="20"/>
          <w:color w:val="auto"/>
        </w:rPr>
      </w:pPr>
      <w:r>
        <w:rPr>
          <w:rFonts w:ascii="Arial" w:cs="Arial" w:eastAsia="Arial" w:hAnsi="Arial"/>
          <w:sz w:val="18"/>
          <w:szCs w:val="18"/>
          <w:color w:val="auto"/>
        </w:rPr>
        <w:t>As of September 30, 2017, our cash and cash equivalents totaled $17.2 million. In addition, we have the invested cash under the Investment Management Agreement (as described below) and a revolving credit facility with Westlake available to supplement cash if needed, as described under "Indebtedness" below.</w:t>
      </w:r>
    </w:p>
    <w:p>
      <w:pPr>
        <w:spacing w:after="0" w:line="127"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On August 1, 2017, the Partnership, OpCo and Westlake executed the Investment Management Agreement that authorized Westlake to invest the Partnership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$119.0 million of invested cash under the Investment Management Agreement at September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August 2013 Promissory Notes</w:t>
      </w:r>
    </w:p>
    <w:p>
      <w:pPr>
        <w:spacing w:after="0" w:line="90" w:lineRule="exact"/>
        <w:rPr>
          <w:sz w:val="20"/>
          <w:szCs w:val="20"/>
          <w:color w:val="auto"/>
        </w:rPr>
      </w:pPr>
    </w:p>
    <w:p>
      <w:pPr>
        <w:ind w:right="40" w:firstLine="392"/>
        <w:spacing w:after="0" w:line="257" w:lineRule="auto"/>
        <w:rPr>
          <w:sz w:val="20"/>
          <w:szCs w:val="20"/>
          <w:color w:val="auto"/>
        </w:rPr>
      </w:pPr>
      <w:r>
        <w:rPr>
          <w:rFonts w:ascii="Arial" w:cs="Arial" w:eastAsia="Arial" w:hAnsi="Arial"/>
          <w:sz w:val="18"/>
          <w:szCs w:val="18"/>
          <w:color w:val="auto"/>
        </w:rPr>
        <w:t>In connection with the closing of the IPO, OpCo assumed $246.1 million of indebtedness under three intercompany promissory notes (the "August 2013 Promissory Notes"). The August 2013 Promissory Notes had a ten-year term and bore interest at the prime rate plus a 1.5% margin, which was accrued in arrears quarterly. OpCo had the right at any time to prepay the August 2013 Promissory Notes, in whole or in part, without any premium or penalty. The August 2013 Promissory Notes were scheduled to mature in August 2023. On September 29, 2017, OpCo repaid the balance of the August 2013 Promissory Note in full.</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90" w:lineRule="exact"/>
        <w:rPr>
          <w:sz w:val="20"/>
          <w:szCs w:val="20"/>
          <w:color w:val="auto"/>
        </w:rPr>
      </w:pPr>
    </w:p>
    <w:p>
      <w:pPr>
        <w:jc w:val="both"/>
        <w:ind w:right="360" w:firstLine="392"/>
        <w:spacing w:after="0" w:line="259" w:lineRule="auto"/>
        <w:rPr>
          <w:sz w:val="20"/>
          <w:szCs w:val="20"/>
          <w:color w:val="auto"/>
        </w:rPr>
      </w:pPr>
      <w:r>
        <w:rPr>
          <w:rFonts w:ascii="Arial" w:cs="Arial" w:eastAsia="Arial" w:hAnsi="Arial"/>
          <w:sz w:val="18"/>
          <w:szCs w:val="18"/>
          <w:color w:val="auto"/>
        </w:rPr>
        <w:t>In connection with the IPO, OpCo entered into a $600.0 million revolving credit facility with Westlake (OpCo Revolver") that may be used to fund growth projects and working capital needs. As of September 30, 2017, outstanding borrowings under the OpCo Revolver totaled $223.6 million and bore interest at the LIBOR rate plus 3.0%, which is accrued in arrears quarterly. The OpCo Revolver is scheduled to mature in 2019. On September 29, 2017, OpCo repaid $197.4 million of the borrowings under the OpCo Revolver.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MLP Revolver</w:t>
      </w:r>
    </w:p>
    <w:p>
      <w:pPr>
        <w:spacing w:after="0" w:line="9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2015, we entered into a $300.0 million senior, unsecured revolving credit agreement with Westlake Chemical Finance Corporation, an affiliate of Westlake ("MLP Revolver"). On August 1, 2017, the Partnership entered into an amendment to the MLP Revolver credit agreement, resulting in the extension of the maturity date from April 29, 2018 to April 29, 2021. On September 29, 2017, the Partnership borrowed $118.2 million under the MLP Revolver to fund the purchase of an additional 5% interest in OpCo. Borrowings under the MLP Revolver bear interest at LIBOR plus a spread ranging from 2.0% to 3.0% (depending on our consolidated leverage ratio), payable quarterly.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 or less, or (2) during any other period, 4.50:1.0 or less. The MLP Revolver also contains certain other customary covenants. The repayment of borrowings under the MLP Revolver is subject to acceleration upon the occurrence of an event of default. As of September 30, 2017, outstanding borrowings under the MLP Revolver totaled $253.5 million. We intend to use the MLP Revolver to purchase additional limited partnership interests in OpCo in the future, in the event OpCo desires to sell such additional interests to 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23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industry market outlook, including prices and margins in third-party ethylene and co-products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parties to whom we will sell ethylene and on what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volumes of ethylene that Westlake may purchase, in addition to the minimum commitment under the Ethylene Sales Agreement;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funding and results of capital projects;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intended minimum quarterly distributions and the manner of making such distributions;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loans from Westlake to OpCo to fund OpCo's expansion capital expenditures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expected mitigation of exposure to commodity price fluctuations;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turnaround activities and the variability of OpCo's cash flow;</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32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 and</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effects of pending legal proceedings.</w:t>
      </w:r>
    </w:p>
    <w:p>
      <w:pPr>
        <w:spacing w:after="0" w:line="252"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in in "Risk Factors" in the 2016 Form 10-K and the following:</w:t>
      </w:r>
    </w:p>
    <w:p>
      <w:pPr>
        <w:spacing w:after="0" w:line="22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uncertainties associated with the United States and worldwide economies, including those due to political tensions and unrest in the Middle East, the Commonwealth of Independent States (including Ukraine) and elsewhere;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current and potential governmental regulatory actions in the United States and regulatory actions and political unrest in other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supply/demand balance for our product;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25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 of our total ethylene production, which is the portion sold to third parties. We believe we have substantially mitigated our indirect exposure to commodity price fluctuations during the term of the Ethylene Sales Agreement through the minimum commitment and the cost-plus based pricing.</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are exposed to interest rate risk with respect to our outstanding debt, all of which is variable rate debt. At September 30, 2017, we had variable rate debt of $477.1 million outstanding, all of which was owed to wholly owned subsidiaries of Westlake, $223.6 million of which accrues interest at a variable rate of LIBOR plus 300 basis points and the remaining $253.5 million of which accrues interest at a variable rate of LIBOR plus 200 basis points. During August 2015, the Partnership entered into an interest rate contract with Westlake to fix the LIBOR component of the interest rate for a portion of the debt. The weighted average variable interest rate of our debt, excluding the effectively fixed rate portion through the interest rate contract, as of September 30, 2017 was 4.0%. We will continue to be subject to interest rate risk with respect to our variable rate debt as well as the risk of higher interest cost if and when this debt is refinanced. A hypothetical increase in our average interest rate on variable rate debt (excluding the effectively fixed rate debt portion through the interest rate contract) by 100 basis points would increase our annual interest expense by approximately $4.1 million, based on the September 30, 2017 debt balance.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43"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September 30, 2017 that have materially affected, or are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2016 Form 10-K, filed on March 7, 2017, contained a description of various legal proceedings in which we are involved, including environmental proceedings. See Note 15 to the unaudited consolidated financial statements within this Quarterly Report on Form 10-Q for a description of certain of those proceedings, which information is incorporated by reference herein. In addition, under the Omnibus Agreement, Westlake has agreed to indemnify the Partnership for certain environmental and other liabilities relating to OpCo's processing facilities and related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For a discussion of risk factors, please read Item IA, "Risk Factors" in the 2016 Form 10-K. There have been no material changes from those risk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940" w:type="dxa"/>
            <w:vAlign w:val="bottom"/>
            <w:gridSpan w:val="9"/>
          </w:tcPr>
          <w:p>
            <w:pPr>
              <w:ind w:left="680"/>
              <w:spacing w:after="0"/>
              <w:rPr>
                <w:sz w:val="20"/>
                <w:szCs w:val="20"/>
                <w:color w:val="auto"/>
              </w:rPr>
            </w:pPr>
            <w:r>
              <w:rPr>
                <w:rFonts w:ascii="Arial" w:cs="Arial" w:eastAsia="Arial" w:hAnsi="Arial"/>
                <w:sz w:val="18"/>
                <w:szCs w:val="18"/>
                <w:b w:val="1"/>
                <w:bCs w:val="1"/>
                <w:color w:val="auto"/>
              </w:rPr>
              <w:t>EXHIBIT INDEX</w:t>
            </w:r>
          </w:p>
        </w:tc>
      </w:tr>
      <w:tr>
        <w:trPr>
          <w:trHeight w:val="346"/>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9860" w:type="dxa"/>
            <w:vAlign w:val="bottom"/>
            <w:gridSpan w:val="1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24"/>
                <w:szCs w:val="24"/>
                <w:color w:val="auto"/>
              </w:rPr>
            </w:pPr>
          </w:p>
        </w:tc>
        <w:tc>
          <w:tcPr>
            <w:tcW w:w="9580" w:type="dxa"/>
            <w:vAlign w:val="bottom"/>
            <w:tcBorders>
              <w:bottom w:val="single" w:sz="8" w:color="0000FF"/>
            </w:tcBorders>
            <w:gridSpan w:val="9"/>
          </w:tcPr>
          <w:p>
            <w:pPr>
              <w:spacing w:after="0"/>
              <w:rPr>
                <w:rFonts w:ascii="Arial" w:cs="Arial" w:eastAsia="Arial" w:hAnsi="Arial"/>
                <w:sz w:val="18"/>
                <w:szCs w:val="18"/>
                <w:color w:val="0000FF"/>
                <w:w w:val="89"/>
              </w:rPr>
            </w:pPr>
            <w:hyperlink r:id="rId19">
              <w:r>
                <w:rPr>
                  <w:rFonts w:ascii="Arial" w:cs="Arial" w:eastAsia="Arial" w:hAnsi="Arial"/>
                  <w:sz w:val="18"/>
                  <w:szCs w:val="18"/>
                  <w:color w:val="0000FF"/>
                  <w:w w:val="89"/>
                </w:rPr>
                <w:t>Equity Purchase Agreement by and among Westlake Chemical Partners LP, Westlake Chemical OpCo LP and WPT LLC, dated as of</w:t>
              </w:r>
            </w:hyperlink>
          </w:p>
        </w:tc>
        <w:tc>
          <w:tcPr>
            <w:tcW w:w="280" w:type="dxa"/>
            <w:vAlign w:val="bottom"/>
            <w:gridSpan w:val="3"/>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6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September 26, 2017 (Incorporated by Reference to Exhibit 2.1 to Westlake Chemical Partners LP's Current Report on Form 8-K, filed on</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92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September 26, 2017, File No. 01-36567)</w:t>
              </w:r>
            </w:hyperlink>
          </w:p>
        </w:tc>
        <w:tc>
          <w:tcPr>
            <w:tcW w:w="6940" w:type="dxa"/>
            <w:vAlign w:val="bottom"/>
            <w:gridSpan w:val="9"/>
          </w:tcPr>
          <w:p>
            <w:pPr>
              <w:spacing w:after="0"/>
              <w:rPr>
                <w:sz w:val="17"/>
                <w:szCs w:val="17"/>
                <w:color w:val="auto"/>
              </w:rPr>
            </w:pPr>
          </w:p>
        </w:tc>
      </w:tr>
      <w:tr>
        <w:trPr>
          <w:trHeight w:val="37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w:t>
            </w:r>
          </w:p>
        </w:tc>
        <w:tc>
          <w:tcPr>
            <w:tcW w:w="9860" w:type="dxa"/>
            <w:vAlign w:val="bottom"/>
            <w:gridSpan w:val="12"/>
          </w:tcPr>
          <w:p>
            <w:pPr>
              <w:spacing w:after="0"/>
              <w:rPr>
                <w:rFonts w:ascii="Arial" w:cs="Arial" w:eastAsia="Arial" w:hAnsi="Arial"/>
                <w:sz w:val="18"/>
                <w:szCs w:val="18"/>
                <w:color w:val="0000FF"/>
                <w:w w:val="93"/>
              </w:rPr>
            </w:pPr>
            <w:hyperlink w:anchor="page35">
              <w:r>
                <w:rPr>
                  <w:rFonts w:ascii="Arial" w:cs="Arial" w:eastAsia="Arial" w:hAnsi="Arial"/>
                  <w:sz w:val="18"/>
                  <w:szCs w:val="18"/>
                  <w:color w:val="0000FF"/>
                  <w:w w:val="93"/>
                </w:rPr>
                <w:t>Investment Management Agreement among Westlake Chemical Corporation, Westlake Chemical OpCo LP, and Westlake Chemical</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w:anchor="page35">
              <w:r>
                <w:rPr>
                  <w:rFonts w:ascii="Arial" w:cs="Arial" w:eastAsia="Arial" w:hAnsi="Arial"/>
                  <w:sz w:val="18"/>
                  <w:szCs w:val="18"/>
                  <w:color w:val="0000FF"/>
                  <w:w w:val="88"/>
                </w:rPr>
                <w:t>Partners LP, dated as of August 1, 2017</w:t>
              </w:r>
            </w:hyperlink>
          </w:p>
        </w:tc>
        <w:tc>
          <w:tcPr>
            <w:tcW w:w="6640" w:type="dxa"/>
            <w:vAlign w:val="bottom"/>
            <w:tcBorders>
              <w:top w:val="single" w:sz="8" w:color="0000FF"/>
            </w:tcBorders>
            <w:gridSpan w:val="6"/>
          </w:tcPr>
          <w:p>
            <w:pPr>
              <w:spacing w:after="0"/>
              <w:rPr>
                <w:sz w:val="17"/>
                <w:szCs w:val="17"/>
                <w:color w:val="auto"/>
              </w:rPr>
            </w:pPr>
          </w:p>
        </w:tc>
        <w:tc>
          <w:tcPr>
            <w:tcW w:w="380" w:type="dxa"/>
            <w:vAlign w:val="bottom"/>
            <w:gridSpan w:val="4"/>
          </w:tcPr>
          <w:p>
            <w:pPr>
              <w:spacing w:after="0"/>
              <w:rPr>
                <w:sz w:val="17"/>
                <w:szCs w:val="17"/>
                <w:color w:val="auto"/>
              </w:rPr>
            </w:pPr>
          </w:p>
        </w:tc>
      </w:tr>
      <w:tr>
        <w:trPr>
          <w:trHeight w:val="37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10.2</w:t>
            </w:r>
          </w:p>
        </w:tc>
        <w:tc>
          <w:tcPr>
            <w:tcW w:w="680" w:type="dxa"/>
            <w:vAlign w:val="bottom"/>
          </w:tcPr>
          <w:p>
            <w:pPr>
              <w:spacing w:after="0"/>
              <w:rPr>
                <w:sz w:val="24"/>
                <w:szCs w:val="24"/>
                <w:color w:val="auto"/>
              </w:rPr>
            </w:pPr>
          </w:p>
        </w:tc>
        <w:tc>
          <w:tcPr>
            <w:tcW w:w="9680" w:type="dxa"/>
            <w:vAlign w:val="bottom"/>
            <w:tcBorders>
              <w:bottom w:val="single" w:sz="8" w:color="0000FF"/>
            </w:tcBorders>
            <w:gridSpan w:val="11"/>
          </w:tcPr>
          <w:p>
            <w:pPr>
              <w:spacing w:after="0"/>
              <w:rPr>
                <w:rFonts w:ascii="Arial" w:cs="Arial" w:eastAsia="Arial" w:hAnsi="Arial"/>
                <w:sz w:val="18"/>
                <w:szCs w:val="18"/>
                <w:color w:val="0000FF"/>
                <w:w w:val="90"/>
              </w:rPr>
            </w:pPr>
            <w:hyperlink r:id="rId20">
              <w:r>
                <w:rPr>
                  <w:rFonts w:ascii="Arial" w:cs="Arial" w:eastAsia="Arial" w:hAnsi="Arial"/>
                  <w:sz w:val="18"/>
                  <w:szCs w:val="18"/>
                  <w:color w:val="0000FF"/>
                  <w:w w:val="90"/>
                </w:rPr>
                <w:t>First Amendment to Senior Unsecured Revolving Credit Agreement by and between Westlake Chemical Partners LP, as borrower, and</w:t>
              </w:r>
            </w:hyperlink>
          </w:p>
        </w:tc>
        <w:tc>
          <w:tcPr>
            <w:tcW w:w="18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60" w:type="dxa"/>
            <w:vAlign w:val="bottom"/>
            <w:gridSpan w:val="12"/>
          </w:tcPr>
          <w:p>
            <w:pPr>
              <w:spacing w:after="0" w:line="196" w:lineRule="exact"/>
              <w:rPr>
                <w:rFonts w:ascii="Arial" w:cs="Arial" w:eastAsia="Arial" w:hAnsi="Arial"/>
                <w:sz w:val="18"/>
                <w:szCs w:val="18"/>
                <w:color w:val="0000FF"/>
                <w:w w:val="92"/>
              </w:rPr>
            </w:pPr>
            <w:hyperlink r:id="rId20">
              <w:r>
                <w:rPr>
                  <w:rFonts w:ascii="Arial" w:cs="Arial" w:eastAsia="Arial" w:hAnsi="Arial"/>
                  <w:sz w:val="18"/>
                  <w:szCs w:val="18"/>
                  <w:color w:val="0000FF"/>
                  <w:w w:val="92"/>
                </w:rPr>
                <w:t>Westlake Chemical Finance Corporation, as lender, dated as of August 1, 2017 (Incorporated by reference to Exhibit 10.1 to Westlake</w:t>
              </w:r>
            </w:hyperlink>
          </w:p>
        </w:tc>
      </w:tr>
      <w:tr>
        <w:trPr>
          <w:trHeight w:val="196"/>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12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Chemical Partners LP’s Quarterly Report on Form 10-Q for the quarter ended June 30, 2017, File No. 01-36567)</w:t>
              </w:r>
            </w:hyperlink>
          </w:p>
        </w:tc>
        <w:tc>
          <w:tcPr>
            <w:tcW w:w="1500" w:type="dxa"/>
            <w:vAlign w:val="bottom"/>
            <w:tcBorders>
              <w:top w:val="single" w:sz="8" w:color="0000FF"/>
            </w:tcBorders>
            <w:gridSpan w:val="3"/>
          </w:tcPr>
          <w:p>
            <w:pPr>
              <w:spacing w:after="0"/>
              <w:rPr>
                <w:sz w:val="17"/>
                <w:szCs w:val="17"/>
                <w:color w:val="auto"/>
              </w:rPr>
            </w:pPr>
          </w:p>
        </w:tc>
        <w:tc>
          <w:tcPr>
            <w:tcW w:w="240" w:type="dxa"/>
            <w:vAlign w:val="bottom"/>
            <w:gridSpan w:val="2"/>
          </w:tcPr>
          <w:p>
            <w:pPr>
              <w:spacing w:after="0"/>
              <w:rPr>
                <w:sz w:val="17"/>
                <w:szCs w:val="17"/>
                <w:color w:val="auto"/>
              </w:rPr>
            </w:pPr>
          </w:p>
        </w:tc>
      </w:tr>
      <w:tr>
        <w:trPr>
          <w:trHeight w:val="588"/>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31.1†</w:t>
            </w:r>
          </w:p>
        </w:tc>
        <w:tc>
          <w:tcPr>
            <w:tcW w:w="9860" w:type="dxa"/>
            <w:vAlign w:val="bottom"/>
            <w:gridSpan w:val="12"/>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Rule 13a – 14(a) / 15d – 14(a) Certification (Principal Executive Officer)</w:t>
              </w:r>
            </w:hyperlink>
          </w:p>
        </w:tc>
      </w:tr>
      <w:tr>
        <w:trPr>
          <w:trHeight w:val="37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31.2†</w:t>
            </w:r>
          </w:p>
        </w:tc>
        <w:tc>
          <w:tcPr>
            <w:tcW w:w="52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2"/>
              </w:rPr>
            </w:pPr>
            <w:hyperlink w:anchor="page46">
              <w:r>
                <w:rPr>
                  <w:rFonts w:ascii="Arial" w:cs="Arial" w:eastAsia="Arial" w:hAnsi="Arial"/>
                  <w:sz w:val="18"/>
                  <w:szCs w:val="18"/>
                  <w:color w:val="0000FF"/>
                  <w:w w:val="92"/>
                </w:rPr>
                <w:t>Rule 13a – 14(a) / 15d – 14(a) Certification (Principal Financial Officer)</w:t>
              </w:r>
            </w:hyperlink>
          </w:p>
        </w:tc>
        <w:tc>
          <w:tcPr>
            <w:tcW w:w="40" w:type="dxa"/>
            <w:vAlign w:val="bottom"/>
            <w:tcBorders>
              <w:top w:val="single" w:sz="8" w:color="0000FF"/>
            </w:tcBorders>
          </w:tcPr>
          <w:p>
            <w:pPr>
              <w:spacing w:after="0"/>
              <w:rPr>
                <w:sz w:val="24"/>
                <w:szCs w:val="24"/>
                <w:color w:val="auto"/>
              </w:rPr>
            </w:pPr>
          </w:p>
        </w:tc>
        <w:tc>
          <w:tcPr>
            <w:tcW w:w="4600" w:type="dxa"/>
            <w:vAlign w:val="bottom"/>
            <w:gridSpan w:val="7"/>
          </w:tcPr>
          <w:p>
            <w:pPr>
              <w:spacing w:after="0"/>
              <w:rPr>
                <w:sz w:val="24"/>
                <w:szCs w:val="24"/>
                <w:color w:val="auto"/>
              </w:rPr>
            </w:pPr>
          </w:p>
        </w:tc>
      </w:tr>
      <w:tr>
        <w:trPr>
          <w:trHeight w:val="372"/>
        </w:trPr>
        <w:tc>
          <w:tcPr>
            <w:tcW w:w="74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9860" w:type="dxa"/>
            <w:vAlign w:val="bottom"/>
            <w:gridSpan w:val="12"/>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Section 1350 Certification (Principal Executive Officer and Principal Financial Officer)</w:t>
              </w:r>
            </w:hyperlink>
          </w:p>
        </w:tc>
      </w:tr>
      <w:tr>
        <w:trPr>
          <w:trHeight w:val="41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3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XBRL Instance Document</w:t>
            </w:r>
          </w:p>
        </w:tc>
        <w:tc>
          <w:tcPr>
            <w:tcW w:w="3560" w:type="dxa"/>
            <w:vAlign w:val="bottom"/>
            <w:gridSpan w:val="6"/>
          </w:tcPr>
          <w:p>
            <w:pPr>
              <w:spacing w:after="0"/>
              <w:rPr>
                <w:sz w:val="24"/>
                <w:szCs w:val="24"/>
                <w:color w:val="auto"/>
              </w:rPr>
            </w:pP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43"/>
        </w:trPr>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_____________</w:t>
            </w:r>
          </w:p>
        </w:tc>
        <w:tc>
          <w:tcPr>
            <w:tcW w:w="7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40"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80"/>
          </w:cols>
          <w:pgMar w:left="240" w:top="125" w:right="3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WESTLAKE CHEMICAL PARTNERS LP</w:t>
      </w:r>
    </w:p>
    <w:p>
      <w:pPr>
        <w:spacing w:after="0" w:line="337" w:lineRule="exact"/>
        <w:rPr>
          <w:sz w:val="20"/>
          <w:szCs w:val="20"/>
          <w:color w:val="auto"/>
        </w:rPr>
      </w:pPr>
    </w:p>
    <w:p>
      <w:pPr>
        <w:ind w:left="40"/>
        <w:spacing w:after="0"/>
        <w:tabs>
          <w:tab w:leader="none" w:pos="600" w:val="left"/>
          <w:tab w:leader="none" w:pos="6540" w:val="left"/>
          <w:tab w:leader="none" w:pos="8500" w:val="left"/>
          <w:tab w:leader="none" w:pos="8860" w:val="left"/>
        </w:tabs>
        <w:rPr>
          <w:sz w:val="20"/>
          <w:szCs w:val="20"/>
          <w:color w:val="auto"/>
        </w:rPr>
      </w:pPr>
      <w:r>
        <w:rPr>
          <w:rFonts w:ascii="Arial" w:cs="Arial" w:eastAsia="Arial" w:hAnsi="Arial"/>
          <w:sz w:val="18"/>
          <w:szCs w:val="18"/>
          <w:color w:val="auto"/>
        </w:rPr>
        <w:t>Date:</w:t>
        <w:tab/>
        <w:t>November 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6"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820"/>
        <w:spacing w:after="0"/>
        <w:rPr>
          <w:sz w:val="20"/>
          <w:szCs w:val="20"/>
          <w:color w:val="auto"/>
        </w:rPr>
      </w:pPr>
      <w:r>
        <w:rPr>
          <w:rFonts w:ascii="Arial" w:cs="Arial" w:eastAsia="Arial" w:hAnsi="Arial"/>
          <w:sz w:val="13"/>
          <w:szCs w:val="13"/>
          <w:b w:val="1"/>
          <w:bCs w:val="1"/>
          <w:color w:val="auto"/>
        </w:rPr>
        <w:t>President, Chief Executive Officer and Director of</w:t>
      </w:r>
    </w:p>
    <w:p>
      <w:pPr>
        <w:spacing w:after="0" w:line="3"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Westlake Chemical Partners GP LLC</w:t>
      </w:r>
    </w:p>
    <w:p>
      <w:pPr>
        <w:jc w:val="center"/>
        <w:ind w:left="7300"/>
        <w:spacing w:after="0"/>
        <w:rPr>
          <w:sz w:val="20"/>
          <w:szCs w:val="20"/>
          <w:color w:val="auto"/>
        </w:rPr>
      </w:pPr>
      <w:r>
        <w:rPr>
          <w:rFonts w:ascii="Arial" w:cs="Arial" w:eastAsia="Arial" w:hAnsi="Arial"/>
          <w:sz w:val="14"/>
          <w:szCs w:val="14"/>
          <w:b w:val="1"/>
          <w:bCs w:val="1"/>
          <w:color w:val="auto"/>
        </w:rPr>
        <w:t>(Principal Executive Officer)</w:t>
      </w:r>
    </w:p>
    <w:p>
      <w:pPr>
        <w:spacing w:after="0" w:line="358" w:lineRule="exact"/>
        <w:rPr>
          <w:sz w:val="20"/>
          <w:szCs w:val="20"/>
          <w:color w:val="auto"/>
        </w:rPr>
      </w:pPr>
    </w:p>
    <w:p>
      <w:pPr>
        <w:ind w:left="40"/>
        <w:spacing w:after="0"/>
        <w:tabs>
          <w:tab w:leader="none" w:pos="600" w:val="left"/>
          <w:tab w:leader="none" w:pos="6540" w:val="left"/>
          <w:tab w:leader="none" w:pos="8300" w:val="left"/>
          <w:tab w:leader="none" w:pos="8660" w:val="left"/>
        </w:tabs>
        <w:rPr>
          <w:sz w:val="20"/>
          <w:szCs w:val="20"/>
          <w:color w:val="auto"/>
        </w:rPr>
      </w:pPr>
      <w:r>
        <w:rPr>
          <w:rFonts w:ascii="Arial" w:cs="Arial" w:eastAsia="Arial" w:hAnsi="Arial"/>
          <w:sz w:val="18"/>
          <w:szCs w:val="18"/>
          <w:color w:val="auto"/>
        </w:rPr>
        <w:t>Date:</w:t>
        <w:tab/>
        <w:t>November 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31750</wp:posOffset>
            </wp:positionV>
            <wp:extent cx="274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16"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Vice President, Chief Financial Officer and</w:t>
      </w:r>
    </w:p>
    <w:p>
      <w:pPr>
        <w:jc w:val="center"/>
        <w:ind w:left="7300"/>
        <w:spacing w:after="0" w:line="226" w:lineRule="auto"/>
        <w:rPr>
          <w:sz w:val="20"/>
          <w:szCs w:val="20"/>
          <w:color w:val="auto"/>
        </w:rPr>
      </w:pPr>
      <w:r>
        <w:rPr>
          <w:rFonts w:ascii="Arial" w:cs="Arial" w:eastAsia="Arial" w:hAnsi="Arial"/>
          <w:sz w:val="14"/>
          <w:szCs w:val="14"/>
          <w:b w:val="1"/>
          <w:bCs w:val="1"/>
          <w:color w:val="auto"/>
        </w:rPr>
        <w:t>Director of Westlake Chemical Partners GP LLC</w:t>
      </w:r>
    </w:p>
    <w:p>
      <w:pPr>
        <w:spacing w:after="0" w:line="1"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(Principal Financial Officer)</w:t>
      </w:r>
    </w:p>
    <w:p>
      <w:pPr>
        <w:spacing w:after="0" w:line="25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240" w:top="125" w:right="65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i w:val="1"/>
          <w:i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0"/>
        <w:spacing w:after="0"/>
        <w:rPr>
          <w:sz w:val="20"/>
          <w:szCs w:val="20"/>
          <w:color w:val="auto"/>
        </w:rPr>
      </w:pPr>
      <w:r>
        <w:rPr>
          <w:rFonts w:ascii="Arial" w:cs="Arial" w:eastAsia="Arial" w:hAnsi="Arial"/>
          <w:sz w:val="22"/>
          <w:szCs w:val="22"/>
          <w:b w:val="1"/>
          <w:bCs w:val="1"/>
          <w:color w:val="auto"/>
        </w:rPr>
        <w:t>INVESTMENT MANAGEMENT AGREEMENT</w:t>
      </w:r>
    </w:p>
    <w:p>
      <w:pPr>
        <w:spacing w:after="0" w:line="200" w:lineRule="exact"/>
        <w:rPr>
          <w:sz w:val="20"/>
          <w:szCs w:val="20"/>
          <w:color w:val="auto"/>
        </w:rPr>
      </w:pPr>
    </w:p>
    <w:p>
      <w:pPr>
        <w:spacing w:after="0" w:line="236"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among</w:t>
      </w:r>
    </w:p>
    <w:p>
      <w:pPr>
        <w:spacing w:after="0" w:line="200" w:lineRule="exact"/>
        <w:rPr>
          <w:sz w:val="20"/>
          <w:szCs w:val="20"/>
          <w:color w:val="auto"/>
        </w:rPr>
      </w:pPr>
    </w:p>
    <w:p>
      <w:pPr>
        <w:spacing w:after="0" w:line="23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WESTLAKE CHEMICAL CORPORATION,</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WESTLAKE CHEMICAL OPCO LP,</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WESTLAKE CHEMICAL PARTNERS LP</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Dated as of August 1, 2017</w:t>
      </w:r>
    </w:p>
    <w:p>
      <w:pPr>
        <w:sectPr>
          <w:pgSz w:w="11900" w:h="16838" w:orient="portrait"/>
          <w:cols w:equalWidth="0" w:num="1">
            <w:col w:w="10220"/>
          </w:cols>
          <w:pgMar w:left="1440" w:top="84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b w:val="1"/>
          <w:bCs w:val="1"/>
          <w:color w:val="auto"/>
        </w:rPr>
        <w:t>INVESTMENT MANAGEMENT AGREEMENT</w:t>
      </w:r>
    </w:p>
    <w:p>
      <w:pPr>
        <w:spacing w:after="0" w:line="220"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19"/>
          <w:szCs w:val="19"/>
          <w:color w:val="auto"/>
        </w:rPr>
        <w:t>This INVESTMENT MANAGEMENT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is made as of August 1, 2017, among WESTLAKE CHEMICAL CORPORATION, a Delaware corporation (“</w:t>
      </w:r>
      <w:r>
        <w:rPr>
          <w:rFonts w:ascii="Arial" w:cs="Arial" w:eastAsia="Arial" w:hAnsi="Arial"/>
          <w:sz w:val="19"/>
          <w:szCs w:val="19"/>
          <w:b w:val="1"/>
          <w:bCs w:val="1"/>
          <w:color w:val="auto"/>
        </w:rPr>
        <w:t>Westlake</w:t>
      </w:r>
      <w:r>
        <w:rPr>
          <w:rFonts w:ascii="Arial" w:cs="Arial" w:eastAsia="Arial" w:hAnsi="Arial"/>
          <w:sz w:val="19"/>
          <w:szCs w:val="19"/>
          <w:color w:val="auto"/>
        </w:rPr>
        <w:t>”), WESTLAKE CHEMICAL OPCO LP, a Delaware limited partnership (“</w:t>
      </w:r>
      <w:r>
        <w:rPr>
          <w:rFonts w:ascii="Arial" w:cs="Arial" w:eastAsia="Arial" w:hAnsi="Arial"/>
          <w:sz w:val="19"/>
          <w:szCs w:val="19"/>
          <w:b w:val="1"/>
          <w:bCs w:val="1"/>
          <w:color w:val="auto"/>
        </w:rPr>
        <w:t>OpCo</w:t>
      </w:r>
      <w:r>
        <w:rPr>
          <w:rFonts w:ascii="Arial" w:cs="Arial" w:eastAsia="Arial" w:hAnsi="Arial"/>
          <w:sz w:val="19"/>
          <w:szCs w:val="19"/>
          <w:color w:val="auto"/>
        </w:rPr>
        <w:t>”), and WESTLAKE CHEMICAL PARTNERS LP, a Delaware limited partnership (“</w:t>
      </w:r>
      <w:r>
        <w:rPr>
          <w:rFonts w:ascii="Arial" w:cs="Arial" w:eastAsia="Arial" w:hAnsi="Arial"/>
          <w:sz w:val="19"/>
          <w:szCs w:val="19"/>
          <w:b w:val="1"/>
          <w:bCs w:val="1"/>
          <w:color w:val="auto"/>
        </w:rPr>
        <w:t>MLP</w:t>
      </w:r>
      <w:r>
        <w:rPr>
          <w:rFonts w:ascii="Arial" w:cs="Arial" w:eastAsia="Arial" w:hAnsi="Arial"/>
          <w:sz w:val="19"/>
          <w:szCs w:val="19"/>
          <w:color w:val="auto"/>
        </w:rPr>
        <w: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OpCo and MLP from time to time have the need to make short-term investments of surplus cash; and</w:t>
      </w:r>
    </w:p>
    <w:p>
      <w:pPr>
        <w:spacing w:after="0" w:line="254"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OpCo and MLP expect to access more diverse range of investment options on the investment of surplus cash through joint investment with Westlake and its affiliates; and</w:t>
      </w:r>
    </w:p>
    <w:p>
      <w:pPr>
        <w:spacing w:after="0" w:line="17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WHEREAS, the parties have determined that it is therefore advisable and in the best interests of OpCo and MLP to authorize Westlake to establish, maintain and manage a cash and investment management system for excess cash and investments of OpCo and MLP, including authorizing Westlake to hold in Westlake’s own accounts to manage OpCo’s and MLP’s cash and investments; and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in consideration of the mutual promises contained herein, the parties hereto agree as follows:</w:t>
      </w:r>
    </w:p>
    <w:p>
      <w:pPr>
        <w:spacing w:after="0" w:line="254" w:lineRule="exact"/>
        <w:rPr>
          <w:sz w:val="20"/>
          <w:szCs w:val="20"/>
          <w:color w:val="auto"/>
        </w:rPr>
      </w:pPr>
    </w:p>
    <w:p>
      <w:pPr>
        <w:jc w:val="both"/>
        <w:ind w:firstLine="1305"/>
        <w:spacing w:after="0" w:line="271" w:lineRule="auto"/>
        <w:tabs>
          <w:tab w:leader="none" w:pos="2107"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Investment Manager</w:t>
      </w:r>
      <w:r>
        <w:rPr>
          <w:rFonts w:ascii="Arial" w:cs="Arial" w:eastAsia="Arial" w:hAnsi="Arial"/>
          <w:sz w:val="21"/>
          <w:szCs w:val="21"/>
          <w:color w:val="auto"/>
        </w:rPr>
        <w:t>. OpCo and MLP hereby appoint Westlake as their agent with the power and discretion to act as investment manager (the “</w:t>
      </w:r>
      <w:r>
        <w:rPr>
          <w:rFonts w:ascii="Arial" w:cs="Arial" w:eastAsia="Arial" w:hAnsi="Arial"/>
          <w:sz w:val="21"/>
          <w:szCs w:val="21"/>
          <w:b w:val="1"/>
          <w:bCs w:val="1"/>
          <w:color w:val="auto"/>
        </w:rPr>
        <w:t>Investment Manager</w:t>
      </w:r>
      <w:r>
        <w:rPr>
          <w:rFonts w:ascii="Arial" w:cs="Arial" w:eastAsia="Arial" w:hAnsi="Arial"/>
          <w:sz w:val="21"/>
          <w:szCs w:val="21"/>
          <w:color w:val="auto"/>
        </w:rPr>
        <w:t>”) with respect to their excess cash, and direct the Investment Manager to invest such excess cash for the duration(s) either of them may specify from time to time.</w:t>
      </w:r>
    </w:p>
    <w:p>
      <w:pPr>
        <w:spacing w:after="0" w:line="167" w:lineRule="exact"/>
        <w:rPr>
          <w:rFonts w:ascii="Arial" w:cs="Arial" w:eastAsia="Arial" w:hAnsi="Arial"/>
          <w:sz w:val="21"/>
          <w:szCs w:val="21"/>
          <w:color w:val="auto"/>
        </w:rPr>
      </w:pPr>
    </w:p>
    <w:p>
      <w:pPr>
        <w:ind w:left="1640" w:hanging="335"/>
        <w:spacing w:after="0"/>
        <w:tabs>
          <w:tab w:leader="none" w:pos="164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Duties, Authority and Covenants</w:t>
      </w:r>
      <w:r>
        <w:rPr>
          <w:rFonts w:ascii="Arial" w:cs="Arial" w:eastAsia="Arial" w:hAnsi="Arial"/>
          <w:sz w:val="22"/>
          <w:szCs w:val="22"/>
          <w:color w:val="auto"/>
        </w:rPr>
        <w:t>.</w:t>
      </w:r>
    </w:p>
    <w:p>
      <w:pPr>
        <w:spacing w:after="0" w:line="233" w:lineRule="exact"/>
        <w:rPr>
          <w:sz w:val="20"/>
          <w:szCs w:val="20"/>
          <w:color w:val="auto"/>
        </w:rPr>
      </w:pPr>
    </w:p>
    <w:p>
      <w:pPr>
        <w:jc w:val="both"/>
        <w:ind w:firstLine="1305"/>
        <w:spacing w:after="0" w:line="254" w:lineRule="auto"/>
        <w:tabs>
          <w:tab w:leader="none" w:pos="1811"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Investment Manager will have the authority, as agent for and in the name of OpCo and MLP, to make investment decisions, to arrange for the executions of purchases and sales, and generally to manage the investment of the excess cash of OpCo and MLP on a fully discretionary basis (subject to compliance with the Investment Guidelines referred to in Section 3(a) below).</w:t>
      </w:r>
    </w:p>
    <w:p>
      <w:pPr>
        <w:spacing w:after="0" w:line="179" w:lineRule="exact"/>
        <w:rPr>
          <w:rFonts w:ascii="Arial" w:cs="Arial" w:eastAsia="Arial" w:hAnsi="Arial"/>
          <w:sz w:val="22"/>
          <w:szCs w:val="22"/>
          <w:color w:val="auto"/>
        </w:rPr>
      </w:pPr>
    </w:p>
    <w:p>
      <w:pPr>
        <w:jc w:val="both"/>
        <w:ind w:firstLine="1305"/>
        <w:spacing w:after="0" w:line="302" w:lineRule="auto"/>
        <w:tabs>
          <w:tab w:leader="none" w:pos="1728" w:val="left"/>
        </w:tabs>
        <w:numPr>
          <w:ilvl w:val="0"/>
          <w:numId w:val="16"/>
        </w:numPr>
        <w:rPr>
          <w:rFonts w:ascii="Arial" w:cs="Arial" w:eastAsia="Arial" w:hAnsi="Arial"/>
          <w:sz w:val="19"/>
          <w:szCs w:val="19"/>
          <w:color w:val="auto"/>
        </w:rPr>
      </w:pPr>
      <w:r>
        <w:rPr>
          <w:rFonts w:ascii="Arial" w:cs="Arial" w:eastAsia="Arial" w:hAnsi="Arial"/>
          <w:sz w:val="19"/>
          <w:szCs w:val="19"/>
          <w:color w:val="auto"/>
        </w:rPr>
        <w:t>All funds and other assets comprising the investments of OpCo and MLP, (the “</w:t>
      </w:r>
      <w:r>
        <w:rPr>
          <w:rFonts w:ascii="Arial" w:cs="Arial" w:eastAsia="Arial" w:hAnsi="Arial"/>
          <w:sz w:val="19"/>
          <w:szCs w:val="19"/>
          <w:b w:val="1"/>
          <w:bCs w:val="1"/>
          <w:color w:val="auto"/>
        </w:rPr>
        <w:t>Portfolios</w:t>
      </w:r>
      <w:r>
        <w:rPr>
          <w:rFonts w:ascii="Arial" w:cs="Arial" w:eastAsia="Arial" w:hAnsi="Arial"/>
          <w:sz w:val="19"/>
          <w:szCs w:val="19"/>
          <w:color w:val="auto"/>
        </w:rPr>
        <w:t>”) shall be held in the name of the Investment Manager either directly by the Investment Manager or by appropriate banks, trust companies, brokers, dealers or other custodians (each a “</w:t>
      </w:r>
      <w:r>
        <w:rPr>
          <w:rFonts w:ascii="Arial" w:cs="Arial" w:eastAsia="Arial" w:hAnsi="Arial"/>
          <w:sz w:val="19"/>
          <w:szCs w:val="19"/>
          <w:b w:val="1"/>
          <w:bCs w:val="1"/>
          <w:color w:val="auto"/>
        </w:rPr>
        <w:t>Custodian</w:t>
      </w:r>
      <w:r>
        <w:rPr>
          <w:rFonts w:ascii="Arial" w:cs="Arial" w:eastAsia="Arial" w:hAnsi="Arial"/>
          <w:sz w:val="19"/>
          <w:szCs w:val="19"/>
          <w:color w:val="auto"/>
        </w:rPr>
        <w:t>”), and all payments in respect of investment transactions shall be handled directly between the Investment Manager and its respective Custodians. OpCo and MLP consent to the commingling of the Portfolios with funds and other assets comprising investments of the Investment Manager and its other direct and indirect subsidiaries.</w:t>
      </w:r>
    </w:p>
    <w:p>
      <w:pPr>
        <w:sectPr>
          <w:pgSz w:w="11900" w:h="16838" w:orient="portrait"/>
          <w:cols w:equalWidth="0" w:num="1">
            <w:col w:w="11420"/>
          </w:cols>
          <w:pgMar w:left="240" w:top="841" w:right="239" w:bottom="1440" w:gutter="0" w:footer="0" w:header="0"/>
        </w:sectPr>
      </w:pPr>
    </w:p>
    <w:bookmarkStart w:id="36" w:name="page37"/>
    <w:bookmarkEnd w:id="36"/>
    <w:p>
      <w:pPr>
        <w:jc w:val="both"/>
        <w:ind w:firstLine="1305"/>
        <w:spacing w:after="0" w:line="251" w:lineRule="auto"/>
        <w:tabs>
          <w:tab w:leader="none" w:pos="1730" w:val="left"/>
        </w:tabs>
        <w:numPr>
          <w:ilvl w:val="0"/>
          <w:numId w:val="17"/>
        </w:numPr>
        <w:rPr>
          <w:rFonts w:ascii="Arial" w:cs="Arial" w:eastAsia="Arial" w:hAnsi="Arial"/>
          <w:sz w:val="22"/>
          <w:szCs w:val="22"/>
          <w:color w:val="auto"/>
        </w:rPr>
      </w:pPr>
      <w:r>
        <w:rPr>
          <w:rFonts w:ascii="Arial" w:cs="Arial" w:eastAsia="Arial" w:hAnsi="Arial"/>
          <w:sz w:val="22"/>
          <w:szCs w:val="22"/>
          <w:color w:val="auto"/>
        </w:rPr>
        <w:t>In the event that either OpCo or MLP requests any cash from its Portfolio earlier than the duration(s) specified in Section 1 above, the Investment Manager may liquidate the necessary portion of the Portfolio in a prudent and efficient manner to minimize any loss of capital and investment income complying with such request and transfer the requested cash to the order of OpCo or MLP, as the case may be. Notwithstanding any of the foregoing, OpCo and MLP shall receive the Earnings as calculated in Section 3(c) below.</w:t>
      </w:r>
    </w:p>
    <w:p>
      <w:pPr>
        <w:spacing w:after="0" w:line="190" w:lineRule="exact"/>
        <w:rPr>
          <w:sz w:val="20"/>
          <w:szCs w:val="20"/>
          <w:color w:val="auto"/>
        </w:rPr>
      </w:pPr>
    </w:p>
    <w:p>
      <w:pPr>
        <w:ind w:left="1640" w:hanging="335"/>
        <w:spacing w:after="0"/>
        <w:tabs>
          <w:tab w:leader="none" w:pos="164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Investment Guidelines, Fees, Costs and Income</w:t>
      </w:r>
      <w:r>
        <w:rPr>
          <w:rFonts w:ascii="Arial" w:cs="Arial" w:eastAsia="Arial" w:hAnsi="Arial"/>
          <w:sz w:val="22"/>
          <w:szCs w:val="22"/>
          <w:color w:val="auto"/>
        </w:rPr>
        <w:t>.</w:t>
      </w:r>
    </w:p>
    <w:p>
      <w:pPr>
        <w:spacing w:after="0" w:line="233" w:lineRule="exact"/>
        <w:rPr>
          <w:sz w:val="20"/>
          <w:szCs w:val="20"/>
          <w:color w:val="auto"/>
        </w:rPr>
      </w:pPr>
    </w:p>
    <w:p>
      <w:pPr>
        <w:ind w:right="20" w:firstLine="1305"/>
        <w:spacing w:after="0" w:line="276" w:lineRule="auto"/>
        <w:tabs>
          <w:tab w:leader="none" w:pos="1757"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Investment Guidelines</w:t>
      </w:r>
      <w:r>
        <w:rPr>
          <w:rFonts w:ascii="Arial" w:cs="Arial" w:eastAsia="Arial" w:hAnsi="Arial"/>
          <w:sz w:val="22"/>
          <w:szCs w:val="22"/>
          <w:color w:val="auto"/>
        </w:rPr>
        <w:t>. The Investment Manager shall adhere to the Investment Guidelines attached hereto as “Annex A” when investing excess cash on behalf of OpCo or MLP.</w:t>
      </w:r>
    </w:p>
    <w:p>
      <w:pPr>
        <w:spacing w:after="0" w:line="160" w:lineRule="exact"/>
        <w:rPr>
          <w:rFonts w:ascii="Arial" w:cs="Arial" w:eastAsia="Arial" w:hAnsi="Arial"/>
          <w:sz w:val="22"/>
          <w:szCs w:val="22"/>
          <w:color w:val="auto"/>
        </w:rPr>
      </w:pPr>
    </w:p>
    <w:p>
      <w:pPr>
        <w:jc w:val="both"/>
        <w:ind w:firstLine="1305"/>
        <w:spacing w:after="0" w:line="278" w:lineRule="auto"/>
        <w:tabs>
          <w:tab w:leader="none" w:pos="1877" w:val="left"/>
        </w:tabs>
        <w:numPr>
          <w:ilvl w:val="0"/>
          <w:numId w:val="19"/>
        </w:numPr>
        <w:rPr>
          <w:rFonts w:ascii="Arial" w:cs="Arial" w:eastAsia="Arial" w:hAnsi="Arial"/>
          <w:sz w:val="21"/>
          <w:szCs w:val="21"/>
          <w:color w:val="auto"/>
        </w:rPr>
      </w:pPr>
      <w:r>
        <w:rPr>
          <w:rFonts w:ascii="Arial" w:cs="Arial" w:eastAsia="Arial" w:hAnsi="Arial"/>
          <w:sz w:val="21"/>
          <w:szCs w:val="21"/>
          <w:color w:val="auto"/>
        </w:rPr>
        <w:t>OpCo and MLP shall each reimburse the Investment Manager for their allocable shares of any fees and expenses paid by the Investment Manager with respect to managing their respective Portfolios, including, but not limited to costs of consultants and other professionals, whether related or unrelated to the Investment Manager.</w:t>
      </w:r>
    </w:p>
    <w:p>
      <w:pPr>
        <w:spacing w:after="0" w:line="160" w:lineRule="exact"/>
        <w:rPr>
          <w:rFonts w:ascii="Arial" w:cs="Arial" w:eastAsia="Arial" w:hAnsi="Arial"/>
          <w:sz w:val="21"/>
          <w:szCs w:val="21"/>
          <w:color w:val="auto"/>
        </w:rPr>
      </w:pPr>
    </w:p>
    <w:p>
      <w:pPr>
        <w:jc w:val="both"/>
        <w:ind w:firstLine="1305"/>
        <w:spacing w:after="0" w:line="270" w:lineRule="auto"/>
        <w:tabs>
          <w:tab w:leader="none" w:pos="1730"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Investment Manager shall pay each of OpCo and MLP based on the sum of (a) the then applicable interest curve for A2/P2 US-dollar denominated commercial paper as published by Bloomberg and (b) five basis point, multiplied by the total balance of their respective Portfolio for any applicable one-day, one-week, one-month, three-month, six-month or nine-month duration (“</w:t>
      </w:r>
      <w:r>
        <w:rPr>
          <w:rFonts w:ascii="Arial" w:cs="Arial" w:eastAsia="Arial" w:hAnsi="Arial"/>
          <w:sz w:val="21"/>
          <w:szCs w:val="21"/>
          <w:b w:val="1"/>
          <w:bCs w:val="1"/>
          <w:color w:val="auto"/>
        </w:rPr>
        <w:t>Earnings</w:t>
      </w:r>
      <w:r>
        <w:rPr>
          <w:rFonts w:ascii="Arial" w:cs="Arial" w:eastAsia="Arial" w:hAnsi="Arial"/>
          <w:sz w:val="21"/>
          <w:szCs w:val="21"/>
          <w:color w:val="auto"/>
        </w:rPr>
        <w:t>”). A sample screen shot of the interest curve is attached hereto as “Annex B”.</w:t>
      </w:r>
    </w:p>
    <w:p>
      <w:pPr>
        <w:spacing w:after="0" w:line="169" w:lineRule="exact"/>
        <w:rPr>
          <w:sz w:val="20"/>
          <w:szCs w:val="20"/>
          <w:color w:val="auto"/>
        </w:rPr>
      </w:pPr>
    </w:p>
    <w:p>
      <w:pPr>
        <w:jc w:val="both"/>
        <w:ind w:firstLine="1305"/>
        <w:spacing w:after="0" w:line="260" w:lineRule="auto"/>
        <w:tabs>
          <w:tab w:leader="none" w:pos="1733"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No Joint Venture, etc</w:t>
      </w:r>
      <w:r>
        <w:rPr>
          <w:rFonts w:ascii="Arial" w:cs="Arial" w:eastAsia="Arial" w:hAnsi="Arial"/>
          <w:sz w:val="22"/>
          <w:szCs w:val="22"/>
          <w:color w:val="auto"/>
        </w:rPr>
        <w:t>. The parties hereto acknowledge that this Agreement shall not create and shall not be construed to create a relationship of joint tenancy, joint venturers, co-partners, employer and employee, master and servant or any similar relationship between the parties hereto.</w:t>
      </w:r>
    </w:p>
    <w:p>
      <w:pPr>
        <w:spacing w:after="0" w:line="177" w:lineRule="exact"/>
        <w:rPr>
          <w:rFonts w:ascii="Arial" w:cs="Arial" w:eastAsia="Arial" w:hAnsi="Arial"/>
          <w:sz w:val="22"/>
          <w:szCs w:val="22"/>
          <w:color w:val="auto"/>
        </w:rPr>
      </w:pPr>
    </w:p>
    <w:p>
      <w:pPr>
        <w:ind w:left="1640" w:hanging="335"/>
        <w:spacing w:after="0"/>
        <w:tabs>
          <w:tab w:leader="none" w:pos="164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Exculpation; Indemnification.</w:t>
      </w:r>
    </w:p>
    <w:p>
      <w:pPr>
        <w:spacing w:after="0" w:line="233" w:lineRule="exact"/>
        <w:rPr>
          <w:sz w:val="20"/>
          <w:szCs w:val="20"/>
          <w:color w:val="auto"/>
        </w:rPr>
      </w:pPr>
    </w:p>
    <w:p>
      <w:pPr>
        <w:jc w:val="both"/>
        <w:ind w:firstLine="1305"/>
        <w:spacing w:after="0" w:line="261" w:lineRule="auto"/>
        <w:tabs>
          <w:tab w:leader="none" w:pos="1757" w:val="left"/>
        </w:tabs>
        <w:numPr>
          <w:ilvl w:val="0"/>
          <w:numId w:val="21"/>
        </w:numPr>
        <w:rPr>
          <w:rFonts w:ascii="Arial" w:cs="Arial" w:eastAsia="Arial" w:hAnsi="Arial"/>
          <w:sz w:val="21"/>
          <w:szCs w:val="21"/>
          <w:color w:val="auto"/>
        </w:rPr>
      </w:pPr>
      <w:r>
        <w:rPr>
          <w:rFonts w:ascii="Arial" w:cs="Arial" w:eastAsia="Arial" w:hAnsi="Arial"/>
          <w:sz w:val="21"/>
          <w:szCs w:val="21"/>
          <w:color w:val="auto"/>
        </w:rPr>
        <w:t>None of Westlake, its affiliates or any of their respective members, managers, partners, directors, officers and employees and the legal representatives of any of them (each, an “</w:t>
      </w:r>
      <w:r>
        <w:rPr>
          <w:rFonts w:ascii="Arial" w:cs="Arial" w:eastAsia="Arial" w:hAnsi="Arial"/>
          <w:sz w:val="21"/>
          <w:szCs w:val="21"/>
          <w:b w:val="1"/>
          <w:bCs w:val="1"/>
          <w:color w:val="auto"/>
        </w:rPr>
        <w:t>Indemnified Affiliate</w:t>
      </w:r>
      <w:r>
        <w:rPr>
          <w:rFonts w:ascii="Arial" w:cs="Arial" w:eastAsia="Arial" w:hAnsi="Arial"/>
          <w:sz w:val="21"/>
          <w:szCs w:val="21"/>
          <w:color w:val="auto"/>
        </w:rPr>
        <w:t>”) shall be liable to OpCo, Westlake Chemical OpCo GP LLC, Westlake Chemical Partners LP or Westlake Chemical Partners GP LLC, for any mistakes of judgment or acts or omissions arising out of or in connection with any investment made or held by OpCo and MLP, as the case maybe, hereunder or this Agreement except in the case of a liability resulting from Westlake’s or such Indemnified Affiliate’s own fraud, gross negligence, willful misconduct or bad faith. Each Indemnified Affiliate may consult with counsel and accountants in respect of OpCo’s and MLP’s affairs and be fully protected and justified in any action or inaction that is taken in accordance with the advice or opinion of such counsel and accountants.</w:t>
      </w:r>
    </w:p>
    <w:p>
      <w:pPr>
        <w:spacing w:after="0" w:line="181" w:lineRule="exact"/>
        <w:rPr>
          <w:rFonts w:ascii="Arial" w:cs="Arial" w:eastAsia="Arial" w:hAnsi="Arial"/>
          <w:sz w:val="21"/>
          <w:szCs w:val="21"/>
          <w:color w:val="auto"/>
        </w:rPr>
      </w:pPr>
    </w:p>
    <w:p>
      <w:pPr>
        <w:jc w:val="both"/>
        <w:ind w:firstLine="1305"/>
        <w:spacing w:after="0" w:line="320" w:lineRule="auto"/>
        <w:tabs>
          <w:tab w:leader="none" w:pos="181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To the fullest extent permitted by law, OpCo and MLP shall indemnify and hold harmless Westlake and its Indemnified Affiliates (each, an “</w:t>
      </w:r>
      <w:r>
        <w:rPr>
          <w:rFonts w:ascii="Arial" w:cs="Arial" w:eastAsia="Arial" w:hAnsi="Arial"/>
          <w:sz w:val="19"/>
          <w:szCs w:val="19"/>
          <w:b w:val="1"/>
          <w:bCs w:val="1"/>
          <w:color w:val="auto"/>
        </w:rPr>
        <w:t>IM Indemnitee</w:t>
      </w:r>
      <w:r>
        <w:rPr>
          <w:rFonts w:ascii="Arial" w:cs="Arial" w:eastAsia="Arial" w:hAnsi="Arial"/>
          <w:sz w:val="19"/>
          <w:szCs w:val="19"/>
          <w:color w:val="auto"/>
        </w:rPr>
        <w:t>”), against any loss, cost or expense suffered or sustained by an IM Indemnitee by reason of any acts, omissions or alleged acts or omissions arising out of, or in connection with OpCo and MLP, as the case may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37" w:name="page38"/>
    <w:bookmarkEnd w:id="37"/>
    <w:p>
      <w:pPr>
        <w:jc w:val="both"/>
        <w:spacing w:after="0" w:line="289" w:lineRule="auto"/>
        <w:rPr>
          <w:sz w:val="20"/>
          <w:szCs w:val="20"/>
          <w:color w:val="auto"/>
        </w:rPr>
      </w:pPr>
      <w:r>
        <w:rPr>
          <w:rFonts w:ascii="Arial" w:cs="Arial" w:eastAsia="Arial" w:hAnsi="Arial"/>
          <w:sz w:val="19"/>
          <w:szCs w:val="19"/>
          <w:color w:val="auto"/>
        </w:rPr>
        <w:t xml:space="preserve">be, any investment made or held by OpCo and MLP, as the case may be, or this Agreement, including, without limitation, any judgment, award, settlement, reasonable attorneys’ fees and other costs or expenses incurred in connection with the defense of any actual or threatened action, proceeding, or claim,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acts, omissions or alleged acts or omissions upon which such actual or threatened action, proceeding or claim are based were not made in bad faith or did not constitute fraud, willful misconduct or gross negligence by such IM Indemnitee. Each of OpCo and MLP shall, in the sole discretion of Westlake, advance to any IM Indemnitee reasonable attorneys’ fees and other costs and expenses incurred in connection with the defense of any action or proceeding that arises out of such conduct. In the event that any advance described in the preceding sentence is made by OpCo and MLP, the IM Indemnitee receiving such advance shall agree to reimburse OpCo and MLP for such fees, costs and expenses to the extent that it shall be determined that it was not entitled to indemnification under this Agreement.</w:t>
      </w:r>
    </w:p>
    <w:p>
      <w:pPr>
        <w:spacing w:after="0" w:line="158"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The provisions of this Section 6 shall survive any termination of this Agreement.</w:t>
      </w:r>
    </w:p>
    <w:p>
      <w:pPr>
        <w:spacing w:after="0" w:line="233" w:lineRule="exact"/>
        <w:rPr>
          <w:sz w:val="20"/>
          <w:szCs w:val="20"/>
          <w:color w:val="auto"/>
        </w:rPr>
      </w:pPr>
    </w:p>
    <w:p>
      <w:pPr>
        <w:ind w:left="1640" w:hanging="335"/>
        <w:spacing w:after="0"/>
        <w:tabs>
          <w:tab w:leader="none" w:pos="164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Term and Termination</w:t>
      </w:r>
      <w:r>
        <w:rPr>
          <w:rFonts w:ascii="Arial" w:cs="Arial" w:eastAsia="Arial" w:hAnsi="Arial"/>
          <w:sz w:val="22"/>
          <w:szCs w:val="22"/>
          <w:color w:val="auto"/>
        </w:rPr>
        <w:t>.</w:t>
      </w:r>
    </w:p>
    <w:p>
      <w:pPr>
        <w:spacing w:after="0" w:line="233" w:lineRule="exact"/>
        <w:rPr>
          <w:sz w:val="20"/>
          <w:szCs w:val="20"/>
          <w:color w:val="auto"/>
        </w:rPr>
      </w:pPr>
    </w:p>
    <w:p>
      <w:pPr>
        <w:jc w:val="both"/>
        <w:ind w:firstLine="1305"/>
        <w:spacing w:after="0" w:line="260" w:lineRule="auto"/>
        <w:tabs>
          <w:tab w:leader="none" w:pos="1757"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This Agreement shall terminate upon the termination date set forth in a notice of termination delivered by the Investment Manager to OpCo and MLP, as the case may be, or by OpCo and MLP, as the case may be, to the Investment Manager, not less than 30 days prior to the termination date set forth therein.</w:t>
      </w:r>
    </w:p>
    <w:p>
      <w:pPr>
        <w:spacing w:after="0" w:line="177" w:lineRule="exact"/>
        <w:rPr>
          <w:rFonts w:ascii="Arial" w:cs="Arial" w:eastAsia="Arial" w:hAnsi="Arial"/>
          <w:sz w:val="22"/>
          <w:szCs w:val="22"/>
          <w:color w:val="auto"/>
        </w:rPr>
      </w:pPr>
    </w:p>
    <w:p>
      <w:pPr>
        <w:jc w:val="both"/>
        <w:ind w:firstLine="1305"/>
        <w:spacing w:after="0" w:line="254" w:lineRule="auto"/>
        <w:tabs>
          <w:tab w:leader="none" w:pos="1810" w:val="left"/>
        </w:tabs>
        <w:numPr>
          <w:ilvl w:val="0"/>
          <w:numId w:val="23"/>
        </w:numPr>
        <w:rPr>
          <w:rFonts w:ascii="Arial" w:cs="Arial" w:eastAsia="Arial" w:hAnsi="Arial"/>
          <w:sz w:val="22"/>
          <w:szCs w:val="22"/>
          <w:color w:val="auto"/>
        </w:rPr>
      </w:pPr>
      <w:r>
        <w:rPr>
          <w:rFonts w:ascii="Arial" w:cs="Arial" w:eastAsia="Arial" w:hAnsi="Arial"/>
          <w:sz w:val="22"/>
          <w:szCs w:val="22"/>
          <w:color w:val="auto"/>
        </w:rPr>
        <w:t>Upon any such termination of this Agreement, OpCo or MLP, as the case may be, shall pay the Investment Manager (i) all fees and expenses that have been incurred by the Investment Manager prior to the date of such termination and to the extent reimbursable under Section 4(b), and (ii) any fees and expenses that have accrued to the Investment Manager as of the date of such termination.</w:t>
      </w:r>
    </w:p>
    <w:p>
      <w:pPr>
        <w:spacing w:after="0" w:line="185" w:lineRule="exact"/>
        <w:rPr>
          <w:rFonts w:ascii="Arial" w:cs="Arial" w:eastAsia="Arial" w:hAnsi="Arial"/>
          <w:sz w:val="22"/>
          <w:szCs w:val="22"/>
          <w:color w:val="auto"/>
        </w:rPr>
      </w:pPr>
    </w:p>
    <w:p>
      <w:pPr>
        <w:ind w:firstLine="1305"/>
        <w:spacing w:after="0" w:line="276" w:lineRule="auto"/>
        <w:tabs>
          <w:tab w:leader="none" w:pos="1784" w:val="left"/>
        </w:tabs>
        <w:numPr>
          <w:ilvl w:val="0"/>
          <w:numId w:val="23"/>
        </w:numPr>
        <w:rPr>
          <w:rFonts w:ascii="Arial" w:cs="Arial" w:eastAsia="Arial" w:hAnsi="Arial"/>
          <w:sz w:val="22"/>
          <w:szCs w:val="22"/>
          <w:color w:val="auto"/>
        </w:rPr>
      </w:pPr>
      <w:r>
        <w:rPr>
          <w:rFonts w:ascii="Arial" w:cs="Arial" w:eastAsia="Arial" w:hAnsi="Arial"/>
          <w:sz w:val="22"/>
          <w:szCs w:val="22"/>
          <w:color w:val="auto"/>
        </w:rPr>
        <w:t>Upon any such termination of this Agreement, Westlake shall cause to be paid to OpCo or MLP, as the case may be, (i) OpCo’s or MLP’s Earnings, if any, and (ii) OpCo’s or MLP’s respective Portfolio.</w:t>
      </w:r>
    </w:p>
    <w:p>
      <w:pPr>
        <w:spacing w:after="0" w:line="161" w:lineRule="exact"/>
        <w:rPr>
          <w:sz w:val="20"/>
          <w:szCs w:val="20"/>
          <w:color w:val="auto"/>
        </w:rPr>
      </w:pPr>
    </w:p>
    <w:p>
      <w:pPr>
        <w:ind w:left="1640" w:hanging="335"/>
        <w:spacing w:after="0"/>
        <w:tabs>
          <w:tab w:leader="none" w:pos="164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sz w:val="20"/>
          <w:szCs w:val="20"/>
          <w:color w:val="auto"/>
        </w:rPr>
      </w:pPr>
    </w:p>
    <w:p>
      <w:pPr>
        <w:jc w:val="both"/>
        <w:ind w:firstLine="1305"/>
        <w:spacing w:after="0" w:line="260" w:lineRule="auto"/>
        <w:tabs>
          <w:tab w:leader="none" w:pos="1716"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reports and other communications given pursuant to this Agreement shall be in writing and shall be (i) sent by e-mail or (ii) accomplished by any other method agreed upon by the parties hereto in writing. Notice given in any other manner shall be effective when received by the addressee or its agent.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38" w:name="page39"/>
    <w:bookmarkEnd w:id="38"/>
    <w:p>
      <w:pPr>
        <w:jc w:val="both"/>
        <w:ind w:firstLine="1305"/>
        <w:spacing w:after="0" w:line="260" w:lineRule="auto"/>
        <w:tabs>
          <w:tab w:leader="none" w:pos="1769"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This Agreement shall be binding upon and inure to the benefit of the parties and their respective successors and permitted assigns. No party to this Agreement may assign or delegate its rights or duties under this Agreement, except to the extent expressly provided herein, without the consent of the other parties hereto.</w:t>
      </w:r>
    </w:p>
    <w:p>
      <w:pPr>
        <w:spacing w:after="0" w:line="177" w:lineRule="exact"/>
        <w:rPr>
          <w:rFonts w:ascii="Arial" w:cs="Arial" w:eastAsia="Arial" w:hAnsi="Arial"/>
          <w:sz w:val="22"/>
          <w:szCs w:val="22"/>
          <w:color w:val="auto"/>
        </w:rPr>
      </w:pPr>
    </w:p>
    <w:p>
      <w:pPr>
        <w:jc w:val="both"/>
        <w:ind w:firstLine="1305"/>
        <w:spacing w:after="0" w:line="254" w:lineRule="auto"/>
        <w:tabs>
          <w:tab w:leader="none" w:pos="1784"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Amendment; Waiver</w:t>
      </w:r>
      <w:r>
        <w:rPr>
          <w:rFonts w:ascii="Arial" w:cs="Arial" w:eastAsia="Arial" w:hAnsi="Arial"/>
          <w:sz w:val="22"/>
          <w:szCs w:val="22"/>
          <w:color w:val="auto"/>
        </w:rPr>
        <w:t>. Except as otherwise provided herein, this Agreement may not be amended except by a written instrument signed by the parties hereto. Neither the failure nor delay on the part of any party hereto to exercise any right, remedy, power or privilege under this Agreement shall operate as a waiver thereof. No waiver shall be effective unless it is in writing and is signed by the party asserted to have granted such waiver.</w:t>
      </w:r>
    </w:p>
    <w:p>
      <w:pPr>
        <w:spacing w:after="0" w:line="185" w:lineRule="exact"/>
        <w:rPr>
          <w:rFonts w:ascii="Arial" w:cs="Arial" w:eastAsia="Arial" w:hAnsi="Arial"/>
          <w:sz w:val="22"/>
          <w:szCs w:val="22"/>
          <w:color w:val="auto"/>
        </w:rPr>
      </w:pPr>
    </w:p>
    <w:p>
      <w:pPr>
        <w:jc w:val="both"/>
        <w:ind w:firstLine="1305"/>
        <w:spacing w:after="0" w:line="254" w:lineRule="auto"/>
        <w:tabs>
          <w:tab w:leader="none" w:pos="1728"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which is prohibited or unenforceable in any jurisdiction shall, as to such jurisdiction only,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5" w:lineRule="exact"/>
        <w:rPr>
          <w:rFonts w:ascii="Arial" w:cs="Arial" w:eastAsia="Arial" w:hAnsi="Arial"/>
          <w:sz w:val="22"/>
          <w:szCs w:val="22"/>
          <w:color w:val="auto"/>
        </w:rPr>
      </w:pPr>
    </w:p>
    <w:p>
      <w:pPr>
        <w:ind w:firstLine="1305"/>
        <w:spacing w:after="0" w:line="358" w:lineRule="auto"/>
        <w:tabs>
          <w:tab w:leader="none" w:pos="1757"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between the parties hereto with respect to the subject matter hereof and supersedes any prior agreement or understanding between them with respect to such subject matter.</w:t>
      </w:r>
    </w:p>
    <w:p>
      <w:pPr>
        <w:spacing w:after="0" w:line="90" w:lineRule="exact"/>
        <w:rPr>
          <w:rFonts w:ascii="Arial" w:cs="Arial" w:eastAsia="Arial" w:hAnsi="Arial"/>
          <w:sz w:val="19"/>
          <w:szCs w:val="19"/>
          <w:color w:val="auto"/>
        </w:rPr>
      </w:pPr>
    </w:p>
    <w:p>
      <w:pPr>
        <w:ind w:firstLine="1305"/>
        <w:spacing w:after="0" w:line="276" w:lineRule="auto"/>
        <w:tabs>
          <w:tab w:leader="none" w:pos="1760"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Reliance by Third Parties</w:t>
      </w:r>
      <w:r>
        <w:rPr>
          <w:rFonts w:ascii="Arial" w:cs="Arial" w:eastAsia="Arial" w:hAnsi="Arial"/>
          <w:sz w:val="22"/>
          <w:szCs w:val="22"/>
          <w:color w:val="auto"/>
        </w:rPr>
        <w:t>. The signatures of Westlake shall be sufficient to bind OpCo and MLP, as the case may be, with respect to matters provided for under this Agreement.</w:t>
      </w:r>
    </w:p>
    <w:p>
      <w:pPr>
        <w:spacing w:after="0" w:line="160" w:lineRule="exact"/>
        <w:rPr>
          <w:rFonts w:ascii="Arial" w:cs="Arial" w:eastAsia="Arial" w:hAnsi="Arial"/>
          <w:sz w:val="22"/>
          <w:szCs w:val="22"/>
          <w:color w:val="auto"/>
        </w:rPr>
      </w:pPr>
    </w:p>
    <w:p>
      <w:pPr>
        <w:ind w:right="20" w:firstLine="1305"/>
        <w:spacing w:after="0" w:line="276" w:lineRule="auto"/>
        <w:tabs>
          <w:tab w:leader="none" w:pos="1769"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Texas, without regard for the principles of conflict of laws thereof.</w:t>
      </w:r>
    </w:p>
    <w:p>
      <w:pPr>
        <w:spacing w:after="0" w:line="160" w:lineRule="exact"/>
        <w:rPr>
          <w:rFonts w:ascii="Arial" w:cs="Arial" w:eastAsia="Arial" w:hAnsi="Arial"/>
          <w:sz w:val="22"/>
          <w:szCs w:val="22"/>
          <w:color w:val="auto"/>
        </w:rPr>
      </w:pPr>
    </w:p>
    <w:p>
      <w:pPr>
        <w:jc w:val="both"/>
        <w:ind w:firstLine="1305"/>
        <w:spacing w:after="0" w:line="299" w:lineRule="auto"/>
        <w:tabs>
          <w:tab w:leader="none" w:pos="1837"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Jurisdiction; Consent to Service of Process</w:t>
      </w:r>
      <w:r>
        <w:rPr>
          <w:rFonts w:ascii="Arial" w:cs="Arial" w:eastAsia="Arial" w:hAnsi="Arial"/>
          <w:sz w:val="19"/>
          <w:szCs w:val="19"/>
          <w:color w:val="auto"/>
        </w:rPr>
        <w:t>. With respect to any judicial proceeding involving any dispute, controversy or claim arising out of or relating to this Agreement, each of the parties hereto irrevocably and unconditionally agrees</w:t>
      </w:r>
    </w:p>
    <w:p>
      <w:pPr>
        <w:jc w:val="both"/>
        <w:ind w:firstLine="8"/>
        <w:spacing w:after="0" w:line="292" w:lineRule="auto"/>
        <w:tabs>
          <w:tab w:leader="none" w:pos="286" w:val="left"/>
        </w:tabs>
        <w:numPr>
          <w:ilvl w:val="0"/>
          <w:numId w:val="27"/>
        </w:numPr>
        <w:rPr>
          <w:rFonts w:ascii="Arial" w:cs="Arial" w:eastAsia="Arial" w:hAnsi="Arial"/>
          <w:sz w:val="19"/>
          <w:szCs w:val="19"/>
          <w:color w:val="auto"/>
        </w:rPr>
      </w:pPr>
      <w:r>
        <w:rPr>
          <w:rFonts w:ascii="Arial" w:cs="Arial" w:eastAsia="Arial" w:hAnsi="Arial"/>
          <w:sz w:val="19"/>
          <w:szCs w:val="19"/>
          <w:color w:val="auto"/>
        </w:rPr>
        <w:t>to be subject to the jurisdiction of the courts of the State of Texas and of the United States District Court for the Southern District of Texas, and any courts appealable from any such courts, (ii) that, to the fullest extent permitted by applicable law, service of process may be made on any party hereto by prepaid certified mail with a validated proof of mailing receipt constituting evidence of valid service and (iii) that service made pursuant to the immediately preceding clause (ii) shall, to the fullest extent permitted by applicable law, have the same legal force and effect as if served upon such party personally within the State of Texas.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39" w:name="page40"/>
    <w:bookmarkEnd w:id="39"/>
    <w:p>
      <w:pPr>
        <w:ind w:firstLine="1297"/>
        <w:spacing w:after="0" w:line="263" w:lineRule="auto"/>
        <w:rPr>
          <w:sz w:val="20"/>
          <w:szCs w:val="20"/>
          <w:color w:val="auto"/>
        </w:rPr>
      </w:pPr>
      <w:r>
        <w:rPr>
          <w:rFonts w:ascii="Arial" w:cs="Arial" w:eastAsia="Arial" w:hAnsi="Arial"/>
          <w:sz w:val="22"/>
          <w:szCs w:val="22"/>
          <w:color w:val="auto"/>
        </w:rPr>
        <w:t>IN WITNESS WHEREOF the parties hereto, by their duly authorized representatives, have executed this Agreement as of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WESTLAKE CHEMICAL CORPORATION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960"/>
        <w:spacing w:after="0"/>
        <w:tabs>
          <w:tab w:leader="none" w:pos="6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M. STEVEN BENDER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4010660</wp:posOffset>
            </wp:positionH>
            <wp:positionV relativeFrom="paragraph">
              <wp:posOffset>-17780</wp:posOffset>
            </wp:positionV>
            <wp:extent cx="19792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979295" cy="8890"/>
                    </a:xfrm>
                    <a:prstGeom prst="rect">
                      <a:avLst/>
                    </a:prstGeom>
                    <a:noFill/>
                  </pic:spPr>
                </pic:pic>
              </a:graphicData>
            </a:graphic>
          </wp:anchor>
        </w:drawing>
      </w:r>
    </w:p>
    <w:p>
      <w:pPr>
        <w:ind w:left="6120"/>
        <w:spacing w:after="0" w:line="238" w:lineRule="auto"/>
        <w:rPr>
          <w:sz w:val="20"/>
          <w:szCs w:val="20"/>
          <w:color w:val="auto"/>
        </w:rPr>
      </w:pPr>
      <w:r>
        <w:rPr>
          <w:rFonts w:ascii="Arial" w:cs="Arial" w:eastAsia="Arial" w:hAnsi="Arial"/>
          <w:sz w:val="22"/>
          <w:szCs w:val="22"/>
          <w:color w:val="auto"/>
        </w:rPr>
        <w:t xml:space="preserve">Name: </w:t>
      </w:r>
      <w:r>
        <w:rPr>
          <w:rFonts w:ascii="Arial" w:cs="Arial" w:eastAsia="Arial" w:hAnsi="Arial"/>
          <w:sz w:val="18"/>
          <w:szCs w:val="18"/>
          <w:color w:val="auto"/>
        </w:rPr>
        <w:t>M. Steven Bender</w:t>
      </w:r>
    </w:p>
    <w:p>
      <w:pPr>
        <w:ind w:left="6100"/>
        <w:spacing w:after="0" w:line="235" w:lineRule="auto"/>
        <w:rPr>
          <w:sz w:val="20"/>
          <w:szCs w:val="20"/>
          <w:color w:val="auto"/>
        </w:rPr>
      </w:pPr>
      <w:r>
        <w:rPr>
          <w:rFonts w:ascii="Arial" w:cs="Arial" w:eastAsia="Arial" w:hAnsi="Arial"/>
          <w:sz w:val="22"/>
          <w:szCs w:val="22"/>
          <w:color w:val="auto"/>
        </w:rPr>
        <w:t xml:space="preserve">Title: </w:t>
      </w:r>
      <w:r>
        <w:rPr>
          <w:rFonts w:ascii="Arial" w:cs="Arial" w:eastAsia="Arial" w:hAnsi="Arial"/>
          <w:sz w:val="18"/>
          <w:szCs w:val="18"/>
          <w:color w:val="auto"/>
        </w:rPr>
        <w:t>Executive Vice President &amp;</w:t>
      </w:r>
    </w:p>
    <w:p>
      <w:pPr>
        <w:spacing w:after="0" w:line="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WESTLAKE CHEMICAL OPCO LP</w:t>
      </w:r>
    </w:p>
    <w:p>
      <w:pPr>
        <w:ind w:left="5300"/>
        <w:spacing w:after="0" w:line="238" w:lineRule="auto"/>
        <w:rPr>
          <w:sz w:val="20"/>
          <w:szCs w:val="20"/>
          <w:color w:val="auto"/>
        </w:rPr>
      </w:pPr>
      <w:r>
        <w:rPr>
          <w:rFonts w:ascii="Arial" w:cs="Arial" w:eastAsia="Arial" w:hAnsi="Arial"/>
          <w:sz w:val="22"/>
          <w:szCs w:val="22"/>
          <w:color w:val="auto"/>
        </w:rPr>
        <w:t>By: Westlake Chemical OpCo GP LLC, its general</w:t>
      </w:r>
    </w:p>
    <w:p>
      <w:pPr>
        <w:ind w:left="5300"/>
        <w:spacing w:after="0"/>
        <w:rPr>
          <w:sz w:val="20"/>
          <w:szCs w:val="20"/>
          <w:color w:val="auto"/>
        </w:rPr>
      </w:pPr>
      <w:r>
        <w:rPr>
          <w:rFonts w:ascii="Arial" w:cs="Arial" w:eastAsia="Arial" w:hAnsi="Arial"/>
          <w:sz w:val="22"/>
          <w:szCs w:val="22"/>
          <w:color w:val="auto"/>
        </w:rPr>
        <w:t>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960"/>
        <w:spacing w:after="0"/>
        <w:tabs>
          <w:tab w:leader="none" w:pos="6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M. STEVEN BENDER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4010660</wp:posOffset>
            </wp:positionH>
            <wp:positionV relativeFrom="paragraph">
              <wp:posOffset>-17780</wp:posOffset>
            </wp:positionV>
            <wp:extent cx="19792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979295" cy="8890"/>
                    </a:xfrm>
                    <a:prstGeom prst="rect">
                      <a:avLst/>
                    </a:prstGeom>
                    <a:noFill/>
                  </pic:spPr>
                </pic:pic>
              </a:graphicData>
            </a:graphic>
          </wp:anchor>
        </w:drawing>
      </w:r>
    </w:p>
    <w:p>
      <w:pPr>
        <w:ind w:left="6120"/>
        <w:spacing w:after="0" w:line="238" w:lineRule="auto"/>
        <w:rPr>
          <w:sz w:val="20"/>
          <w:szCs w:val="20"/>
          <w:color w:val="auto"/>
        </w:rPr>
      </w:pPr>
      <w:r>
        <w:rPr>
          <w:rFonts w:ascii="Arial" w:cs="Arial" w:eastAsia="Arial" w:hAnsi="Arial"/>
          <w:sz w:val="22"/>
          <w:szCs w:val="22"/>
          <w:color w:val="auto"/>
        </w:rPr>
        <w:t xml:space="preserve">Name: </w:t>
      </w:r>
      <w:r>
        <w:rPr>
          <w:rFonts w:ascii="Arial" w:cs="Arial" w:eastAsia="Arial" w:hAnsi="Arial"/>
          <w:sz w:val="18"/>
          <w:szCs w:val="18"/>
          <w:color w:val="auto"/>
        </w:rPr>
        <w:t>M. Steven Bender</w:t>
      </w:r>
    </w:p>
    <w:p>
      <w:pPr>
        <w:ind w:left="6100"/>
        <w:spacing w:after="0" w:line="235" w:lineRule="auto"/>
        <w:rPr>
          <w:sz w:val="20"/>
          <w:szCs w:val="20"/>
          <w:color w:val="auto"/>
        </w:rPr>
      </w:pPr>
      <w:r>
        <w:rPr>
          <w:rFonts w:ascii="Arial" w:cs="Arial" w:eastAsia="Arial" w:hAnsi="Arial"/>
          <w:sz w:val="22"/>
          <w:szCs w:val="22"/>
          <w:color w:val="auto"/>
        </w:rPr>
        <w:t xml:space="preserve">Title: </w:t>
      </w:r>
      <w:r>
        <w:rPr>
          <w:rFonts w:ascii="Arial" w:cs="Arial" w:eastAsia="Arial" w:hAnsi="Arial"/>
          <w:sz w:val="18"/>
          <w:szCs w:val="18"/>
          <w:color w:val="auto"/>
        </w:rPr>
        <w:t>Executive Vice President &amp;</w:t>
      </w:r>
    </w:p>
    <w:p>
      <w:pPr>
        <w:spacing w:after="0" w:line="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WESTLAKE CHEMICAL PARTNERS LP</w:t>
      </w:r>
    </w:p>
    <w:p>
      <w:pPr>
        <w:ind w:left="5300"/>
        <w:spacing w:after="0" w:line="238" w:lineRule="auto"/>
        <w:rPr>
          <w:sz w:val="20"/>
          <w:szCs w:val="20"/>
          <w:color w:val="auto"/>
        </w:rPr>
      </w:pPr>
      <w:r>
        <w:rPr>
          <w:rFonts w:ascii="Arial" w:cs="Arial" w:eastAsia="Arial" w:hAnsi="Arial"/>
          <w:sz w:val="22"/>
          <w:szCs w:val="22"/>
          <w:color w:val="auto"/>
        </w:rPr>
        <w:t>By: Westlake Chemical Partners GP LLC, its</w:t>
      </w:r>
    </w:p>
    <w:p>
      <w:pPr>
        <w:ind w:left="5300"/>
        <w:spacing w:after="0"/>
        <w:rPr>
          <w:sz w:val="20"/>
          <w:szCs w:val="20"/>
          <w:color w:val="auto"/>
        </w:rPr>
      </w:pPr>
      <w:r>
        <w:rPr>
          <w:rFonts w:ascii="Arial" w:cs="Arial" w:eastAsia="Arial" w:hAnsi="Arial"/>
          <w:sz w:val="22"/>
          <w:szCs w:val="22"/>
          <w:color w:val="auto"/>
        </w:rPr>
        <w:t>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960"/>
        <w:spacing w:after="0"/>
        <w:tabs>
          <w:tab w:leader="none" w:pos="64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M. STEVEN BENDER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4010660</wp:posOffset>
            </wp:positionH>
            <wp:positionV relativeFrom="paragraph">
              <wp:posOffset>-17780</wp:posOffset>
            </wp:positionV>
            <wp:extent cx="19792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1979295" cy="8890"/>
                    </a:xfrm>
                    <a:prstGeom prst="rect">
                      <a:avLst/>
                    </a:prstGeom>
                    <a:noFill/>
                  </pic:spPr>
                </pic:pic>
              </a:graphicData>
            </a:graphic>
          </wp:anchor>
        </w:drawing>
      </w:r>
    </w:p>
    <w:p>
      <w:pPr>
        <w:ind w:left="6120"/>
        <w:spacing w:after="0" w:line="238" w:lineRule="auto"/>
        <w:rPr>
          <w:sz w:val="20"/>
          <w:szCs w:val="20"/>
          <w:color w:val="auto"/>
        </w:rPr>
      </w:pPr>
      <w:r>
        <w:rPr>
          <w:rFonts w:ascii="Arial" w:cs="Arial" w:eastAsia="Arial" w:hAnsi="Arial"/>
          <w:sz w:val="22"/>
          <w:szCs w:val="22"/>
          <w:color w:val="auto"/>
        </w:rPr>
        <w:t xml:space="preserve">Name: </w:t>
      </w:r>
      <w:r>
        <w:rPr>
          <w:rFonts w:ascii="Arial" w:cs="Arial" w:eastAsia="Arial" w:hAnsi="Arial"/>
          <w:sz w:val="18"/>
          <w:szCs w:val="18"/>
          <w:color w:val="auto"/>
        </w:rPr>
        <w:t>M. Steven Bender</w:t>
      </w:r>
    </w:p>
    <w:p>
      <w:pPr>
        <w:ind w:left="6100"/>
        <w:spacing w:after="0" w:line="235" w:lineRule="auto"/>
        <w:rPr>
          <w:sz w:val="20"/>
          <w:szCs w:val="20"/>
          <w:color w:val="auto"/>
        </w:rPr>
      </w:pPr>
      <w:r>
        <w:rPr>
          <w:rFonts w:ascii="Arial" w:cs="Arial" w:eastAsia="Arial" w:hAnsi="Arial"/>
          <w:sz w:val="22"/>
          <w:szCs w:val="22"/>
          <w:color w:val="auto"/>
        </w:rPr>
        <w:t xml:space="preserve">Title: </w:t>
      </w:r>
      <w:r>
        <w:rPr>
          <w:rFonts w:ascii="Arial" w:cs="Arial" w:eastAsia="Arial" w:hAnsi="Arial"/>
          <w:sz w:val="18"/>
          <w:szCs w:val="18"/>
          <w:color w:val="auto"/>
        </w:rPr>
        <w:t>Executive Vice President &amp;</w:t>
      </w:r>
    </w:p>
    <w:p>
      <w:pPr>
        <w:spacing w:after="0" w:line="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847"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2"/>
          <w:szCs w:val="22"/>
          <w:u w:val="single" w:color="auto"/>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Investment Guidelines</w:t>
      </w:r>
    </w:p>
    <w:p>
      <w:pPr>
        <w:sectPr>
          <w:pgSz w:w="11900" w:h="16838" w:orient="portrait"/>
          <w:cols w:equalWidth="0" w:num="1">
            <w:col w:w="9019"/>
          </w:cols>
          <w:pgMar w:left="1440" w:top="847" w:right="1440" w:bottom="1440" w:gutter="0" w:footer="0" w:header="0"/>
        </w:sectPr>
      </w:pPr>
    </w:p>
    <w:bookmarkStart w:id="41" w:name="page42"/>
    <w:bookmarkEnd w:id="41"/>
    <w:p>
      <w:pPr>
        <w:jc w:val="center"/>
        <w:ind w:right="-79"/>
        <w:spacing w:after="0"/>
        <w:rPr>
          <w:sz w:val="20"/>
          <w:szCs w:val="20"/>
          <w:color w:val="auto"/>
        </w:rPr>
      </w:pPr>
      <w:r>
        <w:rPr>
          <w:rFonts w:ascii="Arial" w:cs="Arial" w:eastAsia="Arial" w:hAnsi="Arial"/>
          <w:sz w:val="20"/>
          <w:szCs w:val="20"/>
          <w:b w:val="1"/>
          <w:bCs w:val="1"/>
          <w:color w:val="auto"/>
        </w:rPr>
        <w:t>Westlake Chemical Corporation</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Corporate Investment Policy Summary</w:t>
      </w:r>
    </w:p>
    <w:p>
      <w:pPr>
        <w:spacing w:after="0" w:line="213"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This Corporate Cash Investing Policy shall limit investment activities of Westlake Chemical Corporation (WCC) in order to insure safety, liquidity, and preservation of capital.</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Summary of Policies:</w:t>
      </w:r>
    </w:p>
    <w:p>
      <w:pPr>
        <w:spacing w:after="0" w:line="16" w:lineRule="exact"/>
        <w:rPr>
          <w:sz w:val="20"/>
          <w:szCs w:val="20"/>
          <w:color w:val="auto"/>
        </w:rPr>
      </w:pPr>
    </w:p>
    <w:p>
      <w:pPr>
        <w:ind w:left="660" w:right="300" w:hanging="328"/>
        <w:spacing w:after="0" w:line="239"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WCC shall restrict its cash investments to maturities less than 366 days from the date of settlement. The average weighted maturity shall be consistent with the cash needs of the corporation as determined by its cash forecast.</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WCC shall restrict its excess cash to the following categories of investments:</w:t>
      </w:r>
    </w:p>
    <w:p>
      <w:pPr>
        <w:ind w:left="980" w:right="80" w:hanging="324"/>
        <w:spacing w:after="0" w:line="239"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20"/>
          <w:szCs w:val="20"/>
          <w:color w:val="auto"/>
        </w:rPr>
        <w:t>Direct obligations of the United States of America, or any agency thereof, or obligations guaranteed as to principal and interest by the United States of America, maturing not more than one year from the date of acquisition thereof;</w:t>
      </w:r>
    </w:p>
    <w:p>
      <w:pPr>
        <w:spacing w:after="0" w:line="1" w:lineRule="exact"/>
        <w:rPr>
          <w:rFonts w:ascii="Arial" w:cs="Arial" w:eastAsia="Arial" w:hAnsi="Arial"/>
          <w:sz w:val="18"/>
          <w:szCs w:val="18"/>
          <w:color w:val="auto"/>
        </w:rPr>
      </w:pPr>
    </w:p>
    <w:p>
      <w:pPr>
        <w:jc w:val="both"/>
        <w:ind w:left="980" w:right="320" w:hanging="324"/>
        <w:spacing w:after="0" w:line="266" w:lineRule="auto"/>
        <w:tabs>
          <w:tab w:leader="none" w:pos="980" w:val="left"/>
        </w:tabs>
        <w:numPr>
          <w:ilvl w:val="1"/>
          <w:numId w:val="28"/>
        </w:numPr>
        <w:rPr>
          <w:rFonts w:ascii="Arial" w:cs="Arial" w:eastAsia="Arial" w:hAnsi="Arial"/>
          <w:sz w:val="16"/>
          <w:szCs w:val="16"/>
          <w:color w:val="auto"/>
        </w:rPr>
      </w:pPr>
      <w:r>
        <w:rPr>
          <w:rFonts w:ascii="Arial" w:cs="Arial" w:eastAsia="Arial" w:hAnsi="Arial"/>
          <w:sz w:val="18"/>
          <w:szCs w:val="18"/>
          <w:color w:val="auto"/>
        </w:rPr>
        <w:t>Domestic certificates of deposit and banker’s acceptances issued by any bank or trust company organized under the laws of the United States of America or any state thereof and having: surplus and undivided profits of at least $500,000,000, an individual rating from Fitch of B/C or better, and maturing not more than one year from the date of acquisition thereof.</w:t>
      </w:r>
    </w:p>
    <w:p>
      <w:pPr>
        <w:ind w:left="980" w:hanging="324"/>
        <w:spacing w:after="0" w:line="239"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20"/>
          <w:szCs w:val="20"/>
          <w:color w:val="auto"/>
        </w:rPr>
        <w:t>Time deposits, Eurodollar and Yankee certificates of deposit issued by any bank having capital, surplus, and undivided profits of at least $500,000,000 and short term ratings of A-2 (S&amp;P) or P-2 (Moody’s) or better, maturing not more than six months from the date of acquisition thereof.</w:t>
      </w:r>
    </w:p>
    <w:p>
      <w:pPr>
        <w:spacing w:after="0" w:line="1" w:lineRule="exact"/>
        <w:rPr>
          <w:rFonts w:ascii="Arial" w:cs="Arial" w:eastAsia="Arial" w:hAnsi="Arial"/>
          <w:sz w:val="18"/>
          <w:szCs w:val="18"/>
          <w:color w:val="auto"/>
        </w:rPr>
      </w:pPr>
    </w:p>
    <w:p>
      <w:pPr>
        <w:ind w:left="980" w:right="460" w:hanging="324"/>
        <w:spacing w:after="0" w:line="239"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20"/>
          <w:szCs w:val="20"/>
          <w:color w:val="auto"/>
        </w:rPr>
        <w:t>Commercial paper rated A-2 (S&amp;P) or P-2 (Moody’s) or better, maturing not more than 120 days from the date of acquisition thereof, and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28"/>
        </w:numPr>
        <w:rPr>
          <w:rFonts w:ascii="Arial" w:cs="Arial" w:eastAsia="Arial" w:hAnsi="Arial"/>
          <w:sz w:val="18"/>
          <w:szCs w:val="18"/>
          <w:color w:val="auto"/>
        </w:rPr>
      </w:pPr>
      <w:r>
        <w:rPr>
          <w:rFonts w:ascii="Arial" w:cs="Arial" w:eastAsia="Arial" w:hAnsi="Arial"/>
          <w:sz w:val="20"/>
          <w:szCs w:val="20"/>
          <w:color w:val="auto"/>
        </w:rPr>
        <w:t>Dollar denominated money market funds as approved by management.</w:t>
      </w:r>
    </w:p>
    <w:p>
      <w:pPr>
        <w:ind w:left="660" w:hanging="328"/>
        <w:spacing w:after="0"/>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WCC shall at no time borrow funds from any institution in order to use such funds for speculative purposes.</w:t>
      </w:r>
    </w:p>
    <w:p>
      <w:pPr>
        <w:ind w:left="660" w:hanging="328"/>
        <w:spacing w:after="0"/>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WCC will diversify external cash investments consistent with liquidity, safety, and preservation of capital.</w:t>
      </w:r>
    </w:p>
    <w:p>
      <w:pPr>
        <w:ind w:left="660" w:hanging="328"/>
        <w:spacing w:after="0"/>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This investment policy may be changed or modified, as required, by the WCC CFO.</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Approved by: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JEFF HOLY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Jeff Holy</w:t>
      </w:r>
    </w:p>
    <w:p>
      <w:pPr>
        <w:spacing w:after="0"/>
        <w:rPr>
          <w:sz w:val="20"/>
          <w:szCs w:val="20"/>
          <w:color w:val="auto"/>
        </w:rPr>
      </w:pPr>
      <w:r>
        <w:rPr>
          <w:rFonts w:ascii="Arial" w:cs="Arial" w:eastAsia="Arial" w:hAnsi="Arial"/>
          <w:sz w:val="20"/>
          <w:szCs w:val="20"/>
          <w:color w:val="auto"/>
        </w:rPr>
        <w:t>Treasurer</w:t>
      </w:r>
    </w:p>
    <w:p>
      <w:pPr>
        <w:spacing w:after="0"/>
        <w:rPr>
          <w:sz w:val="20"/>
          <w:szCs w:val="20"/>
          <w:color w:val="auto"/>
        </w:rPr>
      </w:pPr>
      <w:r>
        <w:rPr>
          <w:rFonts w:ascii="Arial" w:cs="Arial" w:eastAsia="Arial" w:hAnsi="Arial"/>
          <w:sz w:val="20"/>
          <w:szCs w:val="20"/>
          <w:color w:val="auto"/>
        </w:rPr>
        <w:t>August 1, 2017</w:t>
      </w:r>
    </w:p>
    <w:p>
      <w:pPr>
        <w:sectPr>
          <w:pgSz w:w="11900" w:h="16838" w:orient="portrait"/>
          <w:cols w:equalWidth="0" w:num="1">
            <w:col w:w="11360"/>
          </w:cols>
          <w:pgMar w:left="240" w:top="832" w:right="29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22"/>
          <w:szCs w:val="22"/>
          <w:u w:val="single" w:color="auto"/>
          <w:color w:val="auto"/>
        </w:rPr>
        <w:t>Annex B</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9"/>
          <w:szCs w:val="19"/>
          <w:u w:val="single" w:color="auto"/>
          <w:color w:val="auto"/>
        </w:rPr>
        <w:t>A2/P2 Commercial Paper interest curve</w:t>
      </w:r>
    </w:p>
    <w:p>
      <w:pPr>
        <w:sectPr>
          <w:pgSz w:w="11900" w:h="16838" w:orient="portrait"/>
          <w:cols w:equalWidth="0" w:num="1">
            <w:col w:w="9019"/>
          </w:cols>
          <w:pgMar w:left="1440" w:top="847" w:right="1440" w:bottom="1440"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680720</wp:posOffset>
            </wp:positionV>
            <wp:extent cx="5351145" cy="3439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351145" cy="3439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171" w:lineRule="exact"/>
        <w:rPr>
          <w:sz w:val="20"/>
          <w:szCs w:val="20"/>
          <w:color w:val="auto"/>
        </w:rPr>
      </w:pPr>
    </w:p>
    <w:p>
      <w:pPr>
        <w:ind w:left="720" w:hanging="685"/>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120" w:hanging="696"/>
        <w:spacing w:after="0" w:line="264"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1420" w:right="280" w:hanging="696"/>
        <w:spacing w:after="0" w:line="342" w:lineRule="auto"/>
        <w:tabs>
          <w:tab w:leader="none" w:pos="14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360" w:hanging="696"/>
        <w:spacing w:after="0" w:line="264"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40" w:hanging="685"/>
        <w:spacing w:after="0" w:line="308"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420" w:right="580" w:hanging="696"/>
        <w:spacing w:after="0" w:line="342" w:lineRule="auto"/>
        <w:tabs>
          <w:tab w:leader="none" w:pos="14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80" w:hanging="696"/>
        <w:spacing w:after="0" w:line="277" w:lineRule="auto"/>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700" w:val="left"/>
          <w:tab w:leader="none" w:pos="8440" w:val="left"/>
          <w:tab w:leader="none" w:pos="8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2017</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31750</wp:posOffset>
            </wp:positionV>
            <wp:extent cx="28130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2"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20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171" w:lineRule="exact"/>
        <w:rPr>
          <w:sz w:val="20"/>
          <w:szCs w:val="20"/>
          <w:color w:val="auto"/>
        </w:rPr>
      </w:pPr>
    </w:p>
    <w:p>
      <w:pPr>
        <w:ind w:left="720" w:hanging="685"/>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98" w:lineRule="exact"/>
        <w:rPr>
          <w:rFonts w:ascii="Arial" w:cs="Arial" w:eastAsia="Arial" w:hAnsi="Arial"/>
          <w:sz w:val="18"/>
          <w:szCs w:val="18"/>
          <w:color w:val="auto"/>
        </w:rPr>
      </w:pPr>
    </w:p>
    <w:p>
      <w:pPr>
        <w:jc w:val="both"/>
        <w:ind w:left="720" w:right="220" w:hanging="685"/>
        <w:spacing w:after="0" w:line="264"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720" w:right="180" w:hanging="685"/>
        <w:spacing w:after="0" w:line="308"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left="720" w:right="220" w:hanging="685"/>
        <w:spacing w:after="0" w:line="264"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ind w:left="1420" w:right="180" w:hanging="696"/>
        <w:spacing w:after="0" w:line="264" w:lineRule="auto"/>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1420" w:right="120" w:hanging="696"/>
        <w:spacing w:after="0" w:line="264" w:lineRule="auto"/>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ind w:left="1420" w:right="280" w:hanging="696"/>
        <w:spacing w:after="0" w:line="342" w:lineRule="auto"/>
        <w:tabs>
          <w:tab w:leader="none" w:pos="14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420" w:right="360" w:hanging="696"/>
        <w:spacing w:after="0" w:line="264" w:lineRule="auto"/>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ind w:left="720" w:right="140" w:hanging="685"/>
        <w:spacing w:after="0" w:line="308"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1420" w:right="580" w:hanging="696"/>
        <w:spacing w:after="0" w:line="342" w:lineRule="auto"/>
        <w:tabs>
          <w:tab w:leader="none" w:pos="14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420" w:right="280" w:hanging="696"/>
        <w:spacing w:after="0" w:line="277" w:lineRule="auto"/>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600" w:val="left"/>
          <w:tab w:leader="none" w:pos="8380" w:val="left"/>
        </w:tabs>
        <w:rPr>
          <w:sz w:val="20"/>
          <w:szCs w:val="20"/>
          <w:color w:val="auto"/>
        </w:rPr>
      </w:pPr>
      <w:r>
        <w:rPr>
          <w:rFonts w:ascii="Arial" w:cs="Arial" w:eastAsia="Arial" w:hAnsi="Arial"/>
          <w:sz w:val="18"/>
          <w:szCs w:val="18"/>
          <w:color w:val="auto"/>
        </w:rPr>
        <w:t>Date:</w:t>
        <w:tab/>
        <w:t>November 7, 2017</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260"/>
        <w:spacing w:after="0"/>
        <w:rPr>
          <w:sz w:val="20"/>
          <w:szCs w:val="20"/>
          <w:color w:val="auto"/>
        </w:rPr>
      </w:pPr>
      <w:r>
        <w:rPr>
          <w:rFonts w:ascii="Arial" w:cs="Arial" w:eastAsia="Arial" w:hAnsi="Arial"/>
          <w:sz w:val="13"/>
          <w:szCs w:val="13"/>
          <w:b w:val="1"/>
          <w:bCs w:val="1"/>
          <w:color w:val="auto"/>
        </w:rPr>
        <w:t>Executive Vice President, Chief Financial Officer and Director of</w:t>
      </w:r>
    </w:p>
    <w:p>
      <w:pPr>
        <w:spacing w:after="0" w:line="3"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Westlake Chemical Partners GP LLC</w:t>
      </w:r>
    </w:p>
    <w:p>
      <w:pPr>
        <w:jc w:val="center"/>
        <w:ind w:left="708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4"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i w:val="1"/>
          <w:iCs w:val="1"/>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color w:val="auto"/>
        </w:rPr>
        <w:t>In connection with the Quarterly Report of Westlake Chemical Partners LP (the "Partnership") on Form 10-Q for the fiscal quarter ended September 30, 2017 as filed with the Securities and Exchange Commission on the date hereof (the "Report"), I, Albert Chao, President, Chief Executive Officer and Director of the Partnership, and I, M. Steven Bender, Executive Vice President, Chief Financial Officer and Director of the Partnership, certify, to the best of our knowledge, pursuant to 18 U.S.C. §1350, as adopted pursuant to §906 of the Sarbanes-Oxley Act of 2002, that:</w:t>
      </w:r>
    </w:p>
    <w:p>
      <w:pPr>
        <w:spacing w:after="0" w:line="63" w:lineRule="exact"/>
        <w:rPr>
          <w:sz w:val="20"/>
          <w:szCs w:val="20"/>
          <w:color w:val="auto"/>
        </w:rPr>
      </w:pPr>
    </w:p>
    <w:p>
      <w:pPr>
        <w:ind w:left="540" w:hanging="316"/>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600" w:val="left"/>
          <w:tab w:leader="none" w:pos="8380" w:val="left"/>
          <w:tab w:leader="none" w:pos="8740" w:val="left"/>
        </w:tabs>
        <w:rPr>
          <w:sz w:val="20"/>
          <w:szCs w:val="20"/>
          <w:color w:val="auto"/>
        </w:rPr>
      </w:pPr>
      <w:r>
        <w:rPr>
          <w:rFonts w:ascii="Arial" w:cs="Arial" w:eastAsia="Arial" w:hAnsi="Arial"/>
          <w:sz w:val="18"/>
          <w:szCs w:val="18"/>
          <w:color w:val="auto"/>
        </w:rPr>
        <w:t>Date:</w:t>
        <w:tab/>
        <w:t>November 7, 2017</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Albert Chao</w:t>
      </w:r>
    </w:p>
    <w:p>
      <w:pPr>
        <w:spacing w:after="0" w:line="42"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7080"/>
        <w:spacing w:after="0" w:line="22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Executive Officer)</w:t>
      </w:r>
    </w:p>
    <w:p>
      <w:pPr>
        <w:spacing w:after="0" w:line="385" w:lineRule="exact"/>
        <w:rPr>
          <w:sz w:val="20"/>
          <w:szCs w:val="20"/>
          <w:color w:val="auto"/>
        </w:rPr>
      </w:pPr>
    </w:p>
    <w:p>
      <w:pPr>
        <w:ind w:left="40"/>
        <w:spacing w:after="0"/>
        <w:tabs>
          <w:tab w:leader="none" w:pos="600" w:val="left"/>
          <w:tab w:leader="none" w:pos="8180" w:val="left"/>
          <w:tab w:leader="none" w:pos="8540" w:val="left"/>
        </w:tabs>
        <w:rPr>
          <w:sz w:val="20"/>
          <w:szCs w:val="20"/>
          <w:color w:val="auto"/>
        </w:rPr>
      </w:pPr>
      <w:r>
        <w:rPr>
          <w:rFonts w:ascii="Arial" w:cs="Arial" w:eastAsia="Arial" w:hAnsi="Arial"/>
          <w:sz w:val="18"/>
          <w:szCs w:val="18"/>
          <w:color w:val="auto"/>
        </w:rPr>
        <w:t>Date:</w:t>
        <w:tab/>
        <w:t>November 7, 2017</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02"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M. Steven Bender</w:t>
      </w:r>
    </w:p>
    <w:p>
      <w:pPr>
        <w:spacing w:after="0" w:line="42" w:lineRule="exact"/>
        <w:rPr>
          <w:sz w:val="20"/>
          <w:szCs w:val="20"/>
          <w:color w:val="auto"/>
        </w:rPr>
      </w:pPr>
    </w:p>
    <w:p>
      <w:pPr>
        <w:ind w:left="7620"/>
        <w:spacing w:after="0"/>
        <w:rPr>
          <w:sz w:val="20"/>
          <w:szCs w:val="20"/>
          <w:color w:val="auto"/>
        </w:rPr>
      </w:pPr>
      <w:r>
        <w:rPr>
          <w:rFonts w:ascii="Arial" w:cs="Arial" w:eastAsia="Arial" w:hAnsi="Arial"/>
          <w:sz w:val="14"/>
          <w:szCs w:val="14"/>
          <w:b w:val="1"/>
          <w:bCs w:val="1"/>
          <w:color w:val="auto"/>
        </w:rPr>
        <w:t>Executive Vice President, Chief Financial Officer and</w:t>
      </w:r>
    </w:p>
    <w:p>
      <w:pPr>
        <w:jc w:val="center"/>
        <w:ind w:left="7080"/>
        <w:spacing w:after="0" w:line="226" w:lineRule="auto"/>
        <w:rPr>
          <w:sz w:val="20"/>
          <w:szCs w:val="20"/>
          <w:color w:val="auto"/>
        </w:rPr>
      </w:pPr>
      <w:r>
        <w:rPr>
          <w:rFonts w:ascii="Arial" w:cs="Arial" w:eastAsia="Arial" w:hAnsi="Arial"/>
          <w:sz w:val="14"/>
          <w:szCs w:val="14"/>
          <w:b w:val="1"/>
          <w:bCs w:val="1"/>
          <w:color w:val="auto"/>
        </w:rPr>
        <w:t>Director of Westlake Chemical Partners GP LLC</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3"/>
    </w:lvl>
  </w:abstractNum>
  <w:abstractNum w:abstractNumId="4">
    <w:nsid w:val="431BD7B7"/>
    <w:multiLevelType w:val="hybridMultilevel"/>
    <w:lvl w:ilvl="0">
      <w:lvlJc w:val="left"/>
      <w:lvlText w:val="%1."/>
      <w:numFmt w:val="decimal"/>
      <w:start w:val="16"/>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Letter"/>
      <w:start w:val="3"/>
    </w:lvl>
  </w:abstractNum>
  <w:abstractNum w:abstractNumId="17">
    <w:nsid w:val="8EDBDAB"/>
    <w:multiLevelType w:val="hybridMultilevel"/>
    <w:lvl w:ilvl="0">
      <w:lvlJc w:val="left"/>
      <w:lvlText w:val="%1."/>
      <w:numFmt w:val="decimal"/>
      <w:start w:val="3"/>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decimal"/>
      <w:start w:val="4"/>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decimal"/>
      <w:start w:val="6"/>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decimal"/>
      <w:start w:val="7"/>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1"/>
    </w:lvl>
    <w:lvl w:ilvl="1">
      <w:lvlJc w:val="left"/>
      <w:lvlText w:val="(%2)"/>
      <w:numFmt w:val="lowerLetter"/>
      <w:start w:val="2"/>
    </w:lvl>
  </w:abstractNum>
  <w:abstractNum w:abstractNumId="26">
    <w:nsid w:val="2901D82"/>
    <w:multiLevelType w:val="hybridMultilevel"/>
    <w:lvl w:ilvl="0">
      <w:lvlJc w:val="left"/>
      <w:lvlText w:val="(%1)"/>
      <w:numFmt w:val="lowerLetter"/>
      <w:start w:val="9"/>
    </w:lvl>
    <w:lvl w:ilvl="1">
      <w:lvlJc w:val="left"/>
      <w:lvlText w:val="%2"/>
      <w:numFmt w:val="lowerLetter"/>
      <w:start w:val="1"/>
    </w:lvl>
  </w:abstractNum>
  <w:abstractNum w:abstractNumId="27">
    <w:nsid w:val="3A95F874"/>
    <w:multiLevelType w:val="hybridMultilevel"/>
    <w:lvl w:ilvl="0">
      <w:lvlJc w:val="left"/>
      <w:lvlText w:val="%1)"/>
      <w:numFmt w:val="lowerLetter"/>
      <w:start w:val="1"/>
    </w:lvl>
    <w:lvl w:ilvl="1">
      <w:lvlJc w:val="left"/>
      <w:lvlText w:val="%2)"/>
      <w:numFmt w:val="lowerRoman"/>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jpe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19" Type="http://schemas.openxmlformats.org/officeDocument/2006/relationships/hyperlink" Target="http://www.sec.gov/Archives/edgar/data/1604665/000119312517294448/d420558dex21.htm" TargetMode="External"/><Relationship Id="rId20" Type="http://schemas.openxmlformats.org/officeDocument/2006/relationships/hyperlink" Target="http://www.sec.gov/Archives/edgar/data/1604665/000160466517000025/exhibit101_2017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2020-01-18T17:34:06Z</dcterms:created>
  <dcterms:modified xsi:type="dcterms:W3CDTF">2020-01-18T17:34:06Z</dcterms:modified>
</cp:coreProperties>
</file>