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2024</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35,228,134 common units outstanding as of April 25, 2024.</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460,592</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(21,105,904 and 21,105,904 units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2024 and December 31, 2023,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2024 and December 31, 2023,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257,471</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 interest in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 attributable to Westlake Chemical Partners LP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limited partner units outstanding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21,105,904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21,099,638</w:t>
            </w:r>
          </w:p>
        </w:tc>
      </w:tr>
      <w:tr>
        <w:trPr>
          <w:trHeight w:val="255"/>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(88,678)</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889,878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2023 (the "2023 Form 10-K"), filed with the SEC on February 28, 2024. These financial statements have been prepared in conformity with the accounting principles and practices as disclosed in the notes to the consolidated financial statements of the Partnership for the fiscal year ended December 31, 2023.</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2024, its results of operations for the three months ended March 31, 2024 and 2023 and the changes in its cash position for the three months ended March 31, 2024 and 2023.</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an accounting standards update to require additional tax disclosures under Topic 740 primarily related to the rate reconciliation and income taxes paid disclosures. The amendments in this update will be effective for fiscal years beginning after December 15, 2024 and are to be applied on a prospective basis. Retrospective application is also permitted. The update is not expected to have a material impact on the Partnership's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an accounting standards update. The update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will be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January 1, 2024, and the adoption will result in additional segment disclosures in the Partnership's annual financial statements for the year ending December 31, 2024 and the interim periods thereafter.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$21,537 and $20,957 is included in cost of sales in the consolidated statements of operations for the three months ended March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$6,457 and $5,679 is included in cost of sales in the consolidated statements of operations for the three months ended March 31,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April 30, 2024, the board of directors of Westlake Chemical Partners GP LLC ("Westlake GP"), the Partnership's general partner, declared a quarterly cash distribution for the three months ended March 31, 2024 of $0.4714 per unit. This distribution is payable on May 29, 2024 to unitholders of record as of May 13, 2024.</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14,892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16,603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(1,711)</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35,228,134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March 31, 2024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months ended March 31, 2024 and 2023 were as follows:</w:t>
      </w:r>
    </w:p>
    <w:p>
      <w:pPr>
        <w:spacing w:after="0" w:line="12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33655</wp:posOffset>
            </wp:positionV>
            <wp:extent cx="1885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260" w:val="left"/>
          <w:tab w:leader="none" w:pos="9100" w:val="left"/>
          <w:tab w:leader="none" w:pos="9800" w:val="left"/>
          <w:tab w:leader="none" w:pos="10640" w:val="left"/>
        </w:tabs>
        <w:rPr>
          <w:sz w:val="20"/>
          <w:szCs w:val="20"/>
          <w:color w:val="auto"/>
        </w:rPr>
      </w:pPr>
      <w:r>
        <w:rPr>
          <w:rFonts w:ascii="Times New Roman" w:cs="Times New Roman" w:eastAsia="Times New Roman" w:hAnsi="Times New Roman"/>
          <w:sz w:val="18"/>
          <w:szCs w:val="18"/>
          <w:color w:val="auto"/>
        </w:rPr>
        <w:t>Distributions per common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0.4714</w:t>
        <w:tab/>
        <w:t>$</w:t>
      </w:r>
      <w:r>
        <w:rPr>
          <w:sz w:val="20"/>
          <w:szCs w:val="20"/>
          <w:color w:val="auto"/>
        </w:rPr>
        <w:tab/>
      </w:r>
      <w:r>
        <w:rPr>
          <w:rFonts w:ascii="Times New Roman" w:cs="Times New Roman" w:eastAsia="Times New Roman" w:hAnsi="Times New Roman"/>
          <w:sz w:val="18"/>
          <w:szCs w:val="18"/>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43180</wp:posOffset>
            </wp:positionV>
            <wp:extent cx="1885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March 31, 2024.</w:t>
      </w:r>
    </w:p>
    <w:p>
      <w:pPr>
        <w:spacing w:after="0" w:line="13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2023 consolidated financial statements included in the 2023 Form 10-K filed on February 28, 2024,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Net sales—Westlake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235,209</w:t>
        <w:tab/>
        <w:t>$</w:t>
      </w:r>
      <w:r>
        <w:rPr>
          <w:sz w:val="20"/>
          <w:szCs w:val="20"/>
          <w:color w:val="auto"/>
        </w:rPr>
        <w:tab/>
      </w:r>
      <w:r>
        <w:rPr>
          <w:rFonts w:ascii="Times New Roman" w:cs="Times New Roman" w:eastAsia="Times New Roman" w:hAnsi="Times New Roman"/>
          <w:sz w:val="17"/>
          <w:szCs w:val="17"/>
          <w:color w:val="auto"/>
        </w:rPr>
        <w:t>257,471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3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3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200" w:val="left"/>
          <w:tab w:leader="none" w:pos="9800" w:val="left"/>
          <w:tab w:leader="none" w:pos="10740" w:val="left"/>
        </w:tabs>
        <w:rPr>
          <w:sz w:val="20"/>
          <w:szCs w:val="20"/>
          <w:color w:val="auto"/>
        </w:rPr>
      </w:pPr>
      <w:r>
        <w:rPr>
          <w:rFonts w:ascii="Times New Roman" w:cs="Times New Roman" w:eastAsia="Times New Roman" w:hAnsi="Times New Roman"/>
          <w:sz w:val="18"/>
          <w:szCs w:val="18"/>
          <w:color w:val="auto"/>
        </w:rPr>
        <w:t>Services received from Westlake and included in selling, general and administrative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6,099</w:t>
        <w:tab/>
        <w:t>$</w:t>
      </w:r>
      <w:r>
        <w:rPr>
          <w:sz w:val="20"/>
          <w:szCs w:val="20"/>
          <w:color w:val="auto"/>
        </w:rPr>
        <w:tab/>
      </w:r>
      <w:r>
        <w:rPr>
          <w:rFonts w:ascii="Times New Roman" w:cs="Times New Roman" w:eastAsia="Times New Roman" w:hAnsi="Times New Roman"/>
          <w:sz w:val="17"/>
          <w:szCs w:val="17"/>
          <w:color w:val="auto"/>
        </w:rPr>
        <w:t>6,671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34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412</w:t>
        <w:tab/>
        <w:t>$</w:t>
      </w:r>
      <w:r>
        <w:rPr>
          <w:sz w:val="20"/>
          <w:szCs w:val="20"/>
          <w:color w:val="auto"/>
        </w:rPr>
        <w:tab/>
      </w:r>
      <w:r>
        <w:rPr>
          <w:rFonts w:ascii="Times New Roman" w:cs="Times New Roman" w:eastAsia="Times New Roman" w:hAnsi="Times New Roman"/>
          <w:sz w:val="17"/>
          <w:szCs w:val="17"/>
          <w:color w:val="auto"/>
        </w:rPr>
        <w:t>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$1,305 and $1,272 was included in the receivable under the Investment Management Agreement balance at March 31, 2024 and December 31, 2023, respectively. Total interest earned related to the Investment Management Agreement was $1,305 and $907 for the three months ended March 31, 2024 and 2023,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8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a result of force majeure events in 2021, the Partnership recognized a shortfall fee of $58,906 during 2021, of which $189 remained to be collected by the Partnership as of December 31, 2023 and was received in the three months ended March 31, 2024.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49,565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$425 and $737 for the three months ended March 31, 2024 and 2023, respectively, and are reflected in other charges from Westlake that are included in cost of sales.</w:t>
      </w:r>
    </w:p>
    <w:p>
      <w:pPr>
        <w:spacing w:after="0" w:line="12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jc w:val="both"/>
        <w:ind w:right="36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March 31, 2024 and 2023 was $6,581 and $7,315, respectively. Interest on related party debt payable is presented as interest expense—Westlake in the consolidated statements of operations. At March 31, 2024 and December 31, 2023, accrued interest on related party debt was $6,617 and $6,675,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Westlake accounted for approximately 82.6% and 83.7%, respectively, of the Partnership's net sales.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7.2% and 7.2% at March 31, 2024 and December 31, 2023,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2024 and December 31, 2023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408,110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4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86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$19,801 and $24,980 at March 31, 2024 and December 31, 2023, respectively. Accrued maintenance expense, accrued capital expenditures, accrued interest on related party debt and accrued taxes, which are components of accrued and other liabilities, were $2,743, $2,310, $6,617 and $3,439, respectively, at March 31, 2024 and $5,170, $4,627, $6,675 and $3,033, respectively, at December 31, 2023.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$5,495 and $2,091 at March 31,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Interest paid by the Partnership, net of interest capitalized, was $6,640 and $4,696 for the three months ended March 31, 2024 and 2023,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Right-of-use assets obtained in exchange for operating lease obligations were $0 and $5,079 at March 31, 2024 and December 31, 2023,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2021, shortly after the turnaround on OpCo's Petro 2 facility commenced, there was a flash fire at the quench tower of the Petro 2 facility. Contractors and employees working on and near the quench tower were injured and multiple lawsuits were filed against Westlake and OpCo. Final settlements were reached with all of the plaintiffs to fully resolve the lawsuits by Westlake, but payment by the insurance carriers has not yet been completed. Westlake and its subsidiaries are responsible for indemnifying the Partnership in connection with any losses incurred by OpCo as a result of the fire.</w:t>
      </w:r>
    </w:p>
    <w:p>
      <w:pPr>
        <w:spacing w:after="0" w:line="12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2023 (the "2023 Form 10-K"), as filed with the SEC on February 28, 2024.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235,209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257,471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49,464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284,673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307,677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182,493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201,604</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106,073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95,103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98,159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89,856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91,664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89,646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74,813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76,560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14,833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14,892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17,551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124,431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125,615</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00" w:type="dxa"/>
            <w:vAlign w:val="bottom"/>
          </w:tcPr>
          <w:p>
            <w:pPr>
              <w:spacing w:after="0"/>
              <w:rPr>
                <w:sz w:val="11"/>
                <w:szCs w:val="11"/>
                <w:color w:val="auto"/>
              </w:rPr>
            </w:pPr>
          </w:p>
        </w:tc>
        <w:tc>
          <w:tcPr>
            <w:tcW w:w="166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392"/>
        </w:trPr>
        <w:tc>
          <w:tcPr>
            <w:tcW w:w="8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w:t>
            </w: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quarter ended March 31, 2024, net income was $89.6 million on net sales of $284.7 million. This represents a decrease in net income of $1.9 million as compared to net income of $91.5 million on net sales of $307.7 million for the quarter ended March 31, 2023. Net income attributable to the Partnership for the first quarter of 2024 was $14.8 million as compared to $14.9 million for the first quarter of 2023. Income from operations was $95.1 million for the first quarter of 2024 as compared to $98.2 million for the first quarter of 2023. Income from operations and net income for the first quarter of 2024 as compared to the first quarter of 2023 were lower primarily due to lower ethylene and co-products sales prices as well as lower ethylene sales volumes in the first quarter of 2024 compared to the first quarter of 2023, partially offset by lower ethane feedstock and natural gas costs. Net income attributable to the Partnership for the first quarter of 2024 was comparable with the first quarter of 2023. Net sales for the first quarter of 2024 decreased by $23.0 million as compared to net sales for the first quarter of 2023, mainly due to lower ethylene and co-products sales prices and lower ethylene sales volumes in the first quarter of 2024 compared to the first quarter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Compared with First Quarter 2023</w:t>
      </w:r>
    </w:p>
    <w:p>
      <w:pPr>
        <w:spacing w:after="0" w:line="9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$23.0 million, or 7.5%, to $284.7 million in the first quarter of 2024 from $307.7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in net sales in the first quarter of 2024 was primarily due to lower ethylene and co-products sales prices and lower ethylene sales volumes in the first quarter of 2024 compared to the first quarter of 2023, partially offset by higher co-products sales volumes. Lower average sales prices in the first quarter of 2024 contributed to a 5.9% decrease in net sales compared to the first quarter of 2023. Lower sales volumes in the first quarter of 2024 contributed to a 1.6% decrease in net sales compared to the first quarter of 2023.</w:t>
      </w:r>
    </w:p>
    <w:p>
      <w:pPr>
        <w:spacing w:after="0" w:line="12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$102.2 million in the first quarter of 2024 from $106.1 million in the first quarter of 2023. The lower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was primarily due to lower ethylene and co-products sales prices and lower ethylene sales volumes in the first quarter of 2024 compared to the first quarter of 2023, partially offset by lower ethane feedstock and natural gas costs. Gross profit margin percentage in the first quarter of 2024 was 35.9%, which was comparable to 34.5% for the first quarter of 2023.</w:t>
      </w:r>
    </w:p>
    <w:p>
      <w:pPr>
        <w:spacing w:after="0" w:line="126"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$0.8 million, or 10.1%, to $7.1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2024 as compared to $7.9 million in the first quarter of 2023. The decrease in the first quarter of 2024 was mainly attributable to a reduction in the provision for credit losses recognized and lower service costs in the first quarter of 2024 as compared to the first quarter of 2023.</w:t>
      </w:r>
    </w:p>
    <w:p>
      <w:pPr>
        <w:spacing w:after="0" w:line="119" w:lineRule="exact"/>
        <w:rPr>
          <w:sz w:val="20"/>
          <w:szCs w:val="20"/>
          <w:color w:val="auto"/>
        </w:rPr>
      </w:pPr>
    </w:p>
    <w:p>
      <w:pPr>
        <w:ind w:right="5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$6.6 million in the first quarter of 2024 decreased from $7.3 million in the first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average debt balance outstanding in the first quarter of 2024 as compared to the first quarter of 2023.</w:t>
      </w:r>
    </w:p>
    <w:p>
      <w:pPr>
        <w:spacing w:after="0" w:line="104"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$0.5 to $1.3 million in the first quarter of 2024 from $0.8 in the first quarter of 2023,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interest earned on the balance with Westlake under the Investment Management Agreement due to higher market interest rates.</w:t>
      </w:r>
    </w:p>
    <w:p>
      <w:pPr>
        <w:spacing w:after="0" w:line="104" w:lineRule="exact"/>
        <w:rPr>
          <w:sz w:val="20"/>
          <w:szCs w:val="20"/>
          <w:color w:val="auto"/>
        </w:rPr>
      </w:pPr>
    </w:p>
    <w:p>
      <w:pPr>
        <w:jc w:val="both"/>
        <w:ind w:right="80"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MLP Distributable Cash Flow. </w:t>
      </w:r>
      <w:r>
        <w:rPr>
          <w:rFonts w:ascii="Times New Roman" w:cs="Times New Roman" w:eastAsia="Times New Roman" w:hAnsi="Times New Roman"/>
          <w:sz w:val="17"/>
          <w:szCs w:val="17"/>
          <w:color w:val="auto"/>
        </w:rPr>
        <w:t>MLP distributable cash flow decreased by $0.7 million to $16.9 million in the first quarter of 2024 from$17.6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first quarter of 2023. The decrease in the first quarter of 2024, as compared to the prior-year period, was primarily attributable to higher contribution to turnaround reserves and decreased earnings at OpCo, partially offset by lower distributable cash flow attributable to noncontrolling interest.</w:t>
      </w:r>
    </w:p>
    <w:p>
      <w:pPr>
        <w:spacing w:after="0" w:line="101" w:lineRule="exact"/>
        <w:rPr>
          <w:sz w:val="20"/>
          <w:szCs w:val="20"/>
          <w:color w:val="auto"/>
        </w:rPr>
      </w:pPr>
    </w:p>
    <w:p>
      <w:pPr>
        <w:ind w:right="5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$1.2 million to $124.4 million in the first quarter of 2024 from $125.6 million in the first quarter of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decreased earnings at OpCo.</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THREE MONTHS ENDED MARCH 31, 2024 AND 2023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$104.6 million in the first three months of 2024 compared to cash provided by operating activities of $144.9 million in the first three months of 2023. The $40.3 million decrease in cash flows from operating activities was mainly due to a decrease of $38.0 million in cash used by working capital during the three months ended March 31, 2024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used cash of $9.7 million in the first three months of 2024 as compared to $28.3 million of cash provided in the first three months of 2023, resulting in an overall unfavorable change of $38.0 million. The unfavorable change in working capital was mainly attributable to unfavorable changes in net accounts receivable—Westlake, accounts receivable—third parties, and accrued and other liabilities. The unfavorable change in accounts receivable, net—Westlake was due to a smaller buyer deficiency fee and Shortfall collected in the first three months of 2024 as compared to the first three months of 2023 and lower ethane feedstock costs. Unfavorable changes in accounts receivables— third parties and accrued and other liabilities were due to higher third party sales and lower maintenance costs in the first three months of 2024 as compared to the first three months of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 the first three months of 2024 was $9.8 million as compared to net cash provided by investing activities of $0.2 million in the first three months of 2023, resulting in an overall unfavorable change of $10.0 million in investing cash flows. During the first three months of 2023, there were net maturities of investments of $12.9 million under the Investment Management Agreement, whereas, in the first three months of 2024 there were no investing activities under the Investment Management Agreement. Capital expenditures during the first three months of 2024 was slightly lower than the first three months of 2023. For both the comparative periods, these capital expenditures were primarily related to projects to increase production capacity or reduce costs, maintenance costs and safety and environmental projects at our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three months of 2024 was $97.7 million as compared to net cash used for financing activities of $105.3 million in the first three months of 2023. The outflows in the first three months of 2024 were related to distributions of $81.0 million to the noncontrolling interest retained in OpCo by Westlake and of $16.6 million to unitholders by the Partnership. The cash outflows in the first three months of 2023 were related to distributions of $88.7 million to the noncontrolling interest retained in OpCo by Westlake and of $16.6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March 31, 2024.</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April 30, 2024, the board of directors of Westlake Chemical Partners GP LLC, our general partner, approved a quarterly distribution of $0.4714 per unit payable on May 29, 2024 to unitholders of record as of May 13, 2024, which equates to a total amount of approximately $16.6 million per quarter, or approximately $66.4 million per year in aggregate, based on the number of common units outstanding on March 31, 2024.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three months ended March 31, 2024 and 2023. Total capital expenditures for the three months ended March 31, 2024 and 2023 were $9.8 million and $12.7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our cash and cash equivalents totaled $55.8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$94.5 million of cash invested under the Investment Management Agreement at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March 31, 2024,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March 31, 2024,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2023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March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March 31, 2024,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March 31, 2024 was 7.2%.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March 31, 2024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28, 2024,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2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2024,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320" w:top="118" w:right="8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March 31, 2024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8" Type="http://schemas.openxmlformats.org/officeDocument/2006/relationships/hyperlink" Target="https://www.sec.gov/Archives/edgar/data/1604665/000119312514164760/d715499dex31.htm" TargetMode="External"/><Relationship Id="rId59" Type="http://schemas.openxmlformats.org/officeDocument/2006/relationships/hyperlink" Target="https://www.sec.gov/Archives/edgar/data/1604665/000119312514303305/d756630dex31.htm" TargetMode="External"/><Relationship Id="rId60" Type="http://schemas.openxmlformats.org/officeDocument/2006/relationships/hyperlink" Target="https://www.sec.gov/Archives/edgar/data/1604665/000119312517345554/d493400dex31.htm" TargetMode="External"/><Relationship Id="rId61" Type="http://schemas.openxmlformats.org/officeDocument/2006/relationships/hyperlink" Target="https://www.sec.gov/Archives/edgar/data/1604665/000119312518231463/d583758dex31.htm" TargetMode="External"/><Relationship Id="rId62" Type="http://schemas.openxmlformats.org/officeDocument/2006/relationships/hyperlink" Target="https://www.sec.gov/Archives/edgar/data/1604665/000119312514303305/d756630dex107.htm" TargetMode="External"/><Relationship Id="rId63"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2024-05-02T12:41:20Z</dcterms:created>
  <dcterms:modified xsi:type="dcterms:W3CDTF">2024-05-02T12:41:20Z</dcterms:modified>
</cp:coreProperties>
</file>