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8"/>
          <w:szCs w:val="18"/>
          <w:b w:val="1"/>
          <w:bCs w:val="1"/>
          <w:color w:val="auto"/>
        </w:rPr>
        <w:t>March 31, 2022</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6" w:lineRule="exact"/>
        <w:rPr>
          <w:sz w:val="24"/>
          <w:szCs w:val="24"/>
          <w:color w:val="auto"/>
        </w:rPr>
      </w:pPr>
    </w:p>
    <w:p>
      <w:pPr>
        <w:ind w:right="36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8"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Arial" w:cs="Arial" w:eastAsia="Arial" w:hAnsi="Arial"/>
          <w:sz w:val="18"/>
          <w:szCs w:val="18"/>
          <w:color w:val="auto"/>
        </w:rPr>
        <w:t>x</w:t>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35,214,416 common units outstanding as of April 27, 2022.</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00" w:type="dxa"/>
            <w:vAlign w:val="bottom"/>
          </w:tcPr>
          <w:p>
            <w:pPr>
              <w:spacing w:after="0"/>
              <w:rPr>
                <w:sz w:val="13"/>
                <w:szCs w:val="13"/>
                <w:color w:val="auto"/>
              </w:rPr>
            </w:pPr>
          </w:p>
        </w:tc>
        <w:tc>
          <w:tcPr>
            <w:tcW w:w="9920" w:type="dxa"/>
            <w:vAlign w:val="bottom"/>
          </w:tcPr>
          <w:p>
            <w:pPr>
              <w:spacing w:after="0"/>
              <w:rPr>
                <w:sz w:val="13"/>
                <w:szCs w:val="13"/>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0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042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2)</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3)</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4)</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1)</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1A) 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3"/>
              </w:rPr>
              <w:t>6)</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8240" w:type="dxa"/>
            <w:vAlign w:val="bottom"/>
          </w:tcPr>
          <w:p>
            <w:pPr>
              <w:spacing w:after="0"/>
              <w:rPr>
                <w:sz w:val="19"/>
                <w:szCs w:val="19"/>
                <w:color w:val="auto"/>
              </w:rPr>
            </w:pPr>
          </w:p>
        </w:tc>
        <w:tc>
          <w:tcPr>
            <w:tcW w:w="298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1,043,539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150,135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payable to Westlake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508,000</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(21,092,186 and 21,092,186 units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March 31, 2022 and December 31, 2021, respectively)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481,796</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March 31, 2022 and December 31, 2021, respectively)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293,978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972,698</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1,480,698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5"/>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r>
      <w:tr>
        <w:trPr>
          <w:trHeight w:val="196"/>
        </w:trPr>
        <w:tc>
          <w:tcPr>
            <w:tcW w:w="8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and per unit data)</w:t>
            </w:r>
          </w:p>
        </w:tc>
        <w:tc>
          <w:tcPr>
            <w:tcW w:w="90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219,803</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 ethylene and other sales—third parties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268,207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76,797</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 limited partners' interest in 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per limited partner unit attributable to Westlake Chemical Partners LP per limited partner</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unit (basic and diluted)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limited partner units outstanding (basic and 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21,092,186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21,076,673</w:t>
            </w: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14,122,230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8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481,796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972,698</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(60,688)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481,550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976,232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10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Public and</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8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471,701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915,137</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(62,058)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913,108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60,978</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155,408</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(76,622)</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 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w:t>
            </w: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17,289</w:t>
            </w:r>
          </w:p>
        </w:tc>
      </w:tr>
      <w:tr>
        <w:trPr>
          <w:trHeight w:val="21"/>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common carrier ethylene pipeline (collectively, the "Contributed Assets"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2021 (the "2021 Form 10-K"), filed with the SEC on March 2, 2022. These financial statements have been prepared in conformity with the accounting principles and practices as disclosed in the notes to the consolidated financial statements of the Partnership for the fiscal year ended December 31, 2021.</w:t>
      </w:r>
    </w:p>
    <w:p>
      <w:pPr>
        <w:spacing w:after="0" w:line="13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References to "Westlake" refer collectively to Westlake Corporation (formerly known as Westlake Chemical Corporation) and its subsidiaries, other than the Partnership, OpCo and OpCo GP.</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3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2022, its results of operations for the three months ended March 31, 2022 and 2021 and the changes in its cash position for the three months ended March 31, 2022 and 2021.</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2022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of $23,996 and $22,802 is included in cost of sales in the consolidated statements of operations for the three months ended March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10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on other assets of $7,286 and $4,740 is included in costs of sales in the consolidated statements of operations for the three months ended March 31, 2022 and 2021,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9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On May 2, 2022, the board of directors of Westlake Chemical Partners GP LLC ("Westlake GP"), the Partnership's general partner, declared a quarterly cash distribution for the three months ended March 31, 2022 of $0.4714 per unit. This distribution is payable on May 26, 2022 to unitholders of record as of May 12, 2022.</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15,146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16,593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(1,447)</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35,214,416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35,214,416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35,198,903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35,198,903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The Partnership's distribution for the three months ended March 31, 2022 did not exceed the $1.2938 per unit threshold, and, as a result, no distribution was made with respect to the Partnership's incentive distribution rights to Westlake, as the holder of the Partnership's incentive distribution rights.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Per Common Unit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months ended March 31, 2022 and 2021 were as follows:</w:t>
      </w:r>
    </w:p>
    <w:p>
      <w:pPr>
        <w:spacing w:after="0" w:line="1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Times New Roman" w:cs="Times New Roman" w:eastAsia="Times New Roman" w:hAnsi="Times New Roman"/>
          <w:sz w:val="18"/>
          <w:szCs w:val="18"/>
          <w:color w:val="auto"/>
        </w:rPr>
        <w:t>Distributions per common unit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0.4714</w:t>
        <w:tab/>
        <w:t>$</w:t>
      </w:r>
      <w:r>
        <w:rPr>
          <w:sz w:val="20"/>
          <w:szCs w:val="20"/>
          <w:color w:val="auto"/>
        </w:rPr>
        <w:tab/>
      </w:r>
      <w:r>
        <w:rPr>
          <w:rFonts w:ascii="Times New Roman" w:cs="Times New Roman" w:eastAsia="Times New Roman" w:hAnsi="Times New Roman"/>
          <w:sz w:val="17"/>
          <w:szCs w:val="17"/>
          <w:color w:val="auto"/>
        </w:rPr>
        <w:t>0.4714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March 31, 2022.</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Times New Roman" w:cs="Times New Roman" w:eastAsia="Times New Roman" w:hAnsi="Times New Roman"/>
          <w:sz w:val="18"/>
          <w:szCs w:val="18"/>
          <w:color w:val="auto"/>
        </w:rPr>
        <w:t>Net sales—Westlake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290,657</w:t>
        <w:tab/>
        <w:t>$</w:t>
      </w:r>
      <w:r>
        <w:rPr>
          <w:sz w:val="20"/>
          <w:szCs w:val="20"/>
          <w:color w:val="auto"/>
        </w:rPr>
        <w:tab/>
      </w:r>
      <w:r>
        <w:rPr>
          <w:rFonts w:ascii="Times New Roman" w:cs="Times New Roman" w:eastAsia="Times New Roman" w:hAnsi="Times New Roman"/>
          <w:sz w:val="17"/>
          <w:szCs w:val="17"/>
          <w:color w:val="auto"/>
        </w:rPr>
        <w:t>219,803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10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3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3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200" w:val="left"/>
          <w:tab w:leader="none" w:pos="9800" w:val="left"/>
          <w:tab w:leader="none" w:pos="10740" w:val="left"/>
        </w:tabs>
        <w:rPr>
          <w:sz w:val="20"/>
          <w:szCs w:val="20"/>
          <w:color w:val="auto"/>
        </w:rPr>
      </w:pPr>
      <w:r>
        <w:rPr>
          <w:rFonts w:ascii="Times New Roman" w:cs="Times New Roman" w:eastAsia="Times New Roman" w:hAnsi="Times New Roman"/>
          <w:sz w:val="18"/>
          <w:szCs w:val="18"/>
          <w:color w:val="auto"/>
        </w:rPr>
        <w:t>Services received from Westlake and included in selling, general and administrative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6,566</w:t>
        <w:tab/>
        <w:t>$</w:t>
      </w:r>
      <w:r>
        <w:rPr>
          <w:sz w:val="20"/>
          <w:szCs w:val="20"/>
          <w:color w:val="auto"/>
        </w:rPr>
        <w:tab/>
      </w:r>
      <w:r>
        <w:rPr>
          <w:rFonts w:ascii="Times New Roman" w:cs="Times New Roman" w:eastAsia="Times New Roman" w:hAnsi="Times New Roman"/>
          <w:sz w:val="17"/>
          <w:szCs w:val="17"/>
          <w:color w:val="auto"/>
        </w:rPr>
        <w:t>7,912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3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33655</wp:posOffset>
            </wp:positionV>
            <wp:extent cx="1885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260" w:val="left"/>
          <w:tab w:leader="none" w:pos="9340" w:val="left"/>
          <w:tab w:leader="none" w:pos="9800" w:val="left"/>
          <w:tab w:leader="none" w:pos="10880" w:val="left"/>
        </w:tabs>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750</w:t>
        <w:tab/>
        <w:t>$</w:t>
      </w:r>
      <w:r>
        <w:rPr>
          <w:sz w:val="20"/>
          <w:szCs w:val="20"/>
          <w:color w:val="auto"/>
        </w:rPr>
        <w:tab/>
      </w:r>
      <w:r>
        <w:rPr>
          <w:rFonts w:ascii="Times New Roman" w:cs="Times New Roman" w:eastAsia="Times New Roman" w:hAnsi="Times New Roman"/>
          <w:sz w:val="17"/>
          <w:szCs w:val="17"/>
          <w:color w:val="auto"/>
        </w:rPr>
        <w:t>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43180</wp:posOffset>
            </wp:positionV>
            <wp:extent cx="1885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$52 and $71 was included in the receivable under the Investment Management Agreement balance at March 31, 2022 and December 31, 2021, respectively. Total interest earned related to the Investment Management Agreement was $52 and $67 for the three months ended March 31, 2022 and 2021, respectively.</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111,224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2021, OpCo declared force majeure events related to the flash fire at the Petro 2 facility, OpCo's Petro 1 facility outage, and the severe winter storm. As a result of these events, the Partnership recognized revenue for a buyer deficiency fee of $51,395 and shortfall fee of $58,906 during 2021. The buyer deficiency fee was collected from Westlake in January 2022 and the shortfall fee recognized in 2021 is recoverable during 2022 per the Ethylene Sales Agreement.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109,732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142,791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10,796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 leases and land. Operating lease rentals paid to Westlake for such leases were $686 for the three months ended March 31, 2022 and 2021, and reflected in other charges from Westlake that are included in cost of sales.</w:t>
      </w:r>
    </w:p>
    <w:p>
      <w:pPr>
        <w:spacing w:after="0" w:line="12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Interest on related party debt payable balances for the three months ended March 31, 2022 and 2021 was $2,199 and $2,236, respectively. Interest on related party debt payable is presented as interest expense—Westlake in the consolidated statements of operations. At March 31, 2022 and December 31, 2021, accrued interest on related party debt was $2,213 and $2,176, respectively, and is reflected as a component of accrued liabilities in the consolidated balance sheets.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Westlake accounted for approximately 80.2% and 82.0%, respectively, of the Partnership's net sales.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1"/>
        </w:trPr>
        <w:tc>
          <w:tcPr>
            <w:tcW w:w="82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OpCo Revolver (variable interest rate of London Interbank Offered Rate ("LIBOR") plus 2.0%, scheduled</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maturity of September 25, 2023)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 (variable interest rate of LIBOR plus 2.0%, scheduled maturity of March 19, 2023)</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debt: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MLP Revolver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debt was 2.2% and 2.1% at March 31, 2022 and December 31, 2021,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2022,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debt at March 31, 2022 and December 31, 2021 are summarized in the table below. The Partnership's debt includes the OpCo Revolver and the MLP Revolver at March 31, 2022. The fair value of debt is determined based on the present value of expected future cash flows using a discounted cash flow methodology. Because the Partnership's valuation methodology used for debt requires the use of significant unobservable inputs, the inputs used to measure the fair value of the Partnership's debt are classified as Level 3 within the fair value hierarchy. Inputs used to estimate the fair values of the Partnership's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9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99"/>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7"/>
                <w:szCs w:val="17"/>
                <w:color w:val="auto"/>
              </w:rPr>
            </w:pPr>
          </w:p>
        </w:tc>
        <w:tc>
          <w:tcPr>
            <w:tcW w:w="10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383,574</w:t>
            </w:r>
          </w:p>
        </w:tc>
      </w:tr>
      <w:tr>
        <w:trPr>
          <w:trHeight w:val="886"/>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88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Accrued and other liabilities of $21,391 and $60,895 at March 31, 2022 and December 31, 2021, respectively, primarily comprised of accrued maintenance expense, accrued turnaround costs, accrued capital expenditures and accrued taxes, which were $4,152, $4,430, $4,606 and $3,137, respectively, at March 31, 2022 and $5,597, $40,250, $7,491 and $2,264, respectively, at December 31,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9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$8,056 and $6,272 at March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38"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We expect insurance to cover most of the costs associated with these lawsuits.</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2021 (the "2021 Form 10-K"), as filed with the SEC on March 2, 2022. Unless otherwise indicated, references in this report to "we," "our," "us" or like terms, refer to Westlake Chemical Partners LP (the "Partnership"), Westlake Chemical OpCo LP ("OpCo") and Westlake Chemical OpCo GP LLC ("OpCo GP"). References to "Westlake" refer to Westlake Corporation (formerly known as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Payment for the buyer deficiency fee is scheduled to be received by the Partnership after the conclusion of the year.</w:t>
      </w:r>
    </w:p>
    <w:p>
      <w:pPr>
        <w:spacing w:after="0" w:line="140"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38"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19"/>
        </w:trPr>
        <w:tc>
          <w:tcPr>
            <w:tcW w:w="8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9"/>
                <w:szCs w:val="19"/>
                <w:color w:val="auto"/>
              </w:rPr>
            </w:pPr>
          </w:p>
        </w:tc>
      </w:tr>
      <w:tr>
        <w:trPr>
          <w:trHeight w:val="23"/>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290,657</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219,803</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 ethylene and other sales—third parties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71,743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48,404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362,400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268,207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270,961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180,508</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91,439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87,699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8,673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83,212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79,026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8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(2,236)</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80,988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76,797</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80,825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76,622</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64,631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61,476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15,146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16,245</w:t>
            </w:r>
          </w:p>
        </w:tc>
      </w:tr>
      <w:tr>
        <w:trPr>
          <w:trHeight w:val="225"/>
        </w:trPr>
        <w:tc>
          <w:tcPr>
            <w:tcW w:w="80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114,469</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106,575</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306" w:lineRule="exact"/>
        <w:rPr>
          <w:sz w:val="20"/>
          <w:szCs w:val="20"/>
          <w:color w:val="auto"/>
        </w:rPr>
      </w:pPr>
    </w:p>
    <w:p>
      <w:pPr>
        <w:ind w:left="280" w:hanging="25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16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prices and volume percentage change from prior-year period</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449"/>
        </w:trPr>
        <w:tc>
          <w:tcPr>
            <w:tcW w:w="8020" w:type="dxa"/>
            <w:vAlign w:val="bottom"/>
          </w:tcPr>
          <w:p>
            <w:pPr>
              <w:spacing w:after="0"/>
              <w:rPr>
                <w:sz w:val="24"/>
                <w:szCs w:val="24"/>
                <w:color w:val="auto"/>
              </w:rPr>
            </w:pPr>
          </w:p>
        </w:tc>
        <w:tc>
          <w:tcPr>
            <w:tcW w:w="322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Average industry prices </w:t>
            </w:r>
            <w:r>
              <w:rPr>
                <w:rFonts w:ascii="Times New Roman" w:cs="Times New Roman" w:eastAsia="Times New Roman" w:hAnsi="Times New Roman"/>
                <w:sz w:val="23"/>
                <w:szCs w:val="23"/>
                <w:b w:val="1"/>
                <w:bCs w:val="1"/>
                <w:color w:val="auto"/>
                <w:vertAlign w:val="superscript"/>
              </w:rPr>
              <w:t>(1)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Ethane (cents/lb)</w:t>
            </w: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(cents/lb)</w:t>
            </w: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Ethylene (cents/lb) </w:t>
            </w:r>
            <w:r>
              <w:rPr>
                <w:rFonts w:ascii="Times New Roman" w:cs="Times New Roman" w:eastAsia="Times New Roman" w:hAnsi="Times New Roman"/>
                <w:sz w:val="23"/>
                <w:szCs w:val="23"/>
                <w:color w:val="auto"/>
                <w:vertAlign w:val="superscript"/>
              </w:rPr>
              <w:t>(2)</w:t>
            </w: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4"/>
                <w:szCs w:val="24"/>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49"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pricing data was obtained through IHS Markit ("IHS"). We have not independently verified the data.</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average North American spot prices of ethylene over the period as reported by IHS.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(77,427)</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76,622</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5"/>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disposition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28,898</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16,245</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48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7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155,408</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3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(77,427)</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79,026</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27,542</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For the quarter ended March 31, 2022, net income was $80.8 million on net sales of $362.4 million. This represents an increase in net income of $4.2 million as compared to net income of $76.6 million on net sales of $268.2 million for the quarter ended March 31, 2021. Net income attributable to the Partnership for the first quarter of 2022 was $16.2 million as compared to $15.1 million for the first quarter of 2021, an increase of $1.1 million. Income from operations was $83.2 million for the first quarter of 2022 as compared to $79.0 million for the first quarter of 2021. Net income, net income attributable to the Partnership and operating income for the first quarter of 2022 as compared to the first quarter of 2021 were higher primarily due to increased ethylene sales volumes and prices to Westlake per the terms of the Ethylene Sales Agreement and higher co-products sales, partially offset by a decrease in ethylene sales prices to third parties and higher ethane feedstock and natural gas costs. Net sales for the first quarter of 2022 increased by $94.2 million as compared to net sales for the first quarter of 2021, mainly due to higher production during the current quarter resulting in higher sales volumes and higher prices for co-products sales and ethylene sold to Westlake, partially offset by lower ethylene sales prices to third parties.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2022 Compared with First Quarter 2021</w:t>
      </w:r>
    </w:p>
    <w:p>
      <w:pPr>
        <w:spacing w:after="0" w:line="10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increased by $94.2 million, or 35.1%, to $362.4 million in the first quarter of 2022 from $268.2 million in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The increase in net sales in the first quarter of 2022 was primarily due to higher sales prices and volumes for ethylene and co-products driven by increased production during the first quarter of 2022 compared to the first quarter of 2021. Production volumes during the first quarter of 2021 were lower due to unplanned outages related to Winter storm Uri. The average sales price in the first quarter of 2022 contributed to a 22.0% increase in net sales, primarily due to higher ethylene sales prices to Westlake per the terms of the Ethylene Sales Agreement and co-product sales prices. The average sales volume in the first quarter of 2022 contributed to a 18.1% increase in net sales, primarily due to higher production resulting in increased sales volumes to Westlake and increased co-product sales volumes as compared to the first quarter of 2021.</w:t>
      </w:r>
    </w:p>
    <w:p>
      <w:pPr>
        <w:spacing w:after="0" w:line="129"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$91.4 million for the first quarter of 2022 from $87.7 million for the first quarter of 2021. The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in the first quarter of 2022 was 25.2%, as compared to 32.7% for the first quarter of 2021. The increase in gross profit was primarily due to the higher ethylene sales prices and volumes sold to Westlake and higher co-product sales, partially offset by lower ethylene sales prices to third parties in the first quarter of 2022 compared to the first quarter of 2021. The first quarter 2022 gross profit margin was lower than the first quarter of 2021 mainly due to higher ethane feedstock and natural gas costs, partially offset by higher prices and volumes for co-products sales and ethylene sold to Westlake in the first quarter of 2022.</w:t>
      </w:r>
    </w:p>
    <w:p>
      <w:pPr>
        <w:spacing w:after="0" w:line="128"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$0.5 million, or 5.7%, to $8.2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2022 as compared to $8.7 million in the first quarter of 2021. The decrease in the first quarter of 2022 was mainly attributable to a decrease in service costs, partially offset by an increase in provision for doubtful accounts as compared to the first quarter of 2021.</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of $2.2 million in the first quarter of 2022 was comparable to the first quarter of 2021.</w:t>
      </w:r>
    </w:p>
    <w:p>
      <w:pPr>
        <w:spacing w:after="0" w:line="171"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$3.1 million to $19.3 million in the first quarter of 2022 from $16.2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first quarter of 2021. The increase in the first quarter of 2022, as compared to the prior-year period, was primarily attributable to the increased earnings at OpCo and decreased turnaround reserves, partially offset by higher maintenance expense.</w:t>
      </w:r>
    </w:p>
    <w:p>
      <w:pPr>
        <w:spacing w:after="0" w:line="119" w:lineRule="exact"/>
        <w:rPr>
          <w:sz w:val="20"/>
          <w:szCs w:val="20"/>
          <w:color w:val="auto"/>
        </w:rPr>
      </w:pPr>
    </w:p>
    <w:p>
      <w:pPr>
        <w:jc w:val="both"/>
        <w:ind w:right="5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$7.9 million to $114.5 million in the first quarter of 2022 from $106.6 million in the first quarter of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ethylene sales volumes and prices to Westlake and higher co-product sales, partially offset by lower third party ethylene sales prices, higher ethane feedstock and natural gas costs.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68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THREE MONTHS ENDED MARCH 31, 2022 AND 2021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$104.8 million in the first three months of 2022 compared to cash provided by operating activities of $155.4 million in the first three months of 2021. The $50.6 million decrease in cash flows from operating activities was mainly due to a decrease in cash used from working capital during the three months ended March 31, 2022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liabilities, used cash of $10.7 million in the first three months of 2022 as compared to $51.5 million of cash provided in the first three months of 2021, resulting in an overall unfavorable change of $62.2 million. The unfavorable change in working capital was mainly attributable to an unfavorable change in accounts payable and accrued and other liabilities due to the timing of payment of accruals related to the Petro 2 turnaround activities in 2021, as well as Westlake and third party net accounts receivable due to higher sales prices and volumes in the three months ended March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during the first three months of 2022 was $25.3 million as compared to net cash used for investing activities of $76.6 million in the first three months of 2021, mainly due to decreased net cash used under the Investment Management Agreement, partially offset by increased capital expenditures in the first three months of 2022, as compared to the prior-year period. Capital expenditures during the first three months of 2022 and 2021 were primarily related to projects to improve production capacity or reduce costs, maintenance and safety and environmental projects at our facilities.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during the first three months of 2022 was $77.3 million as compared to net cash used for financing activities of $78.7 million in the first three months of 2021. The outflows during the first three months of 2022 were related to the distribution of $60.7 million to Westlake and of $16.6 million to other unitholders by the Partnership. The cash outflows during the first three months of 2021 were related to the distribution of $62.1 million to Westlake and of $16.6 million to other unitholders by the Partnership.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March 31, 2022.</w:t>
      </w:r>
    </w:p>
    <w:p>
      <w:pPr>
        <w:spacing w:after="0" w:line="12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1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Westlake's credit facility and various indentures do not prevent OpCo from making distributions to 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May 2, 2022, the board of directors of Westlake Chemical Partners GP LLC, our general partner, approved a quarterly distribution of $0.4714 per unit payable on May 26, 2022 to unitholders of record as of May 12, 2022, which equates to a total amount of approximately $16.6 million per quarter, or approximately $66.4 million per year in aggregate, based on the number of common units outstanding on March 31, 2022.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Total capital expenditures for the three months ended March 31, 2022 and 2021 were $20.3 million and $12.7 million, respectively. No such funding was required by OpCo during the three months ended March 31, 2022 and 2021.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2022, our cash and cash equivalents totaled $19.2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6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$111.2 million of cash invested under the Investment Management Agreement at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August and December 2017 and March 2020 (the "OpCo Revolver") that may be used to fund growth projects and working capital needs. The OpCo Revolver is scheduled to mature on September 25, 2023. As of March 31, 2022, outstanding borrowings under the OpCo Revolver totaled $22.6 million and bore interest at the London Interbank Offered Rate ("LIBOR") rate plus 2.0%, which is accrued in arrears quarterly.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(the "MLP Revolver"). The MLP Revolver has a borrowing capacity of $600.0 million and is scheduled to mature in March 2023, although we intend to extend the term prior to the scheduled maturity date.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4.50:1.00 or less. The MLP Revolver also contains certain other customary covenants. The repayment of borrowings under the MLP Revolver is subject to acceleration upon the occurrence of an event of default. As of March 31, 2022, outstanding borrowings under the MLP Revolver totaled $377.1 million and bore interest at the LIBOR rate plus 2.0%,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8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 including the coronavirus ("COVID-19") pandemic and efforts to contain its transmission;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Westlake's plans to respond to the challenges presented by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and workforce availability caused by the COVID-19 pandemic and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90"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2021 Form 10-K and the following:</w:t>
      </w:r>
    </w:p>
    <w:p>
      <w:pPr>
        <w:spacing w:after="0" w:line="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unrest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 particularly COVID-19;</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March 31,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March 31, 2022,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of the debt to March 19, 2023 and to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March 31, 2022 was 2.2%.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March 31, 2022 debt balance.</w:t>
      </w:r>
    </w:p>
    <w:p>
      <w:pPr>
        <w:spacing w:after="0" w:line="13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LIBOR is used as a reference rate for all of our outstanding variable rate debt as of March 31, 2022. The phase-out of LIBOR commenced at the end of 2021 and is expected to conclude by June 30, 2023. We are currently reviewing how the LIBOR phase-out will affect us, but we do not expect the impact to be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2021 Form 10-K, filed on March 2, 2022,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2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Westlake Corporation ("Westlake") has agreed to indemnify the Partnership for certain environmental and other liabilities relating to OpCo's processing facilities and related assets.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Potential Flare Modifications</w:t>
      </w:r>
      <w:r>
        <w:rPr>
          <w:rFonts w:ascii="Times New Roman" w:cs="Times New Roman" w:eastAsia="Times New Roman" w:hAnsi="Times New Roman"/>
          <w:sz w:val="18"/>
          <w:szCs w:val="18"/>
          <w:color w:val="auto"/>
        </w:rPr>
        <w:t>. For several years, the Environmental Protection Agency ("EPA") has been conducting an enforcement initiative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notified Westlake that it believes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$300,000. As discussed above, Westlake is expected to fully indemnify us for such costs.</w:t>
      </w:r>
    </w:p>
    <w:p>
      <w:pPr>
        <w:spacing w:after="0" w:line="128" w:lineRule="exact"/>
        <w:rPr>
          <w:sz w:val="20"/>
          <w:szCs w:val="20"/>
          <w:color w:val="auto"/>
        </w:rPr>
      </w:pPr>
    </w:p>
    <w:p>
      <w:pPr>
        <w:ind w:right="200"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Flash Fire at Petro 2</w:t>
      </w:r>
      <w:r>
        <w:rPr>
          <w:rFonts w:ascii="Times New Roman" w:cs="Times New Roman" w:eastAsia="Times New Roman" w:hAnsi="Times New Roman"/>
          <w:sz w:val="17"/>
          <w:szCs w:val="17"/>
          <w:color w:val="auto"/>
        </w:rPr>
        <w:t>. There are lawsuits pending in connection with the flash fire at the quench tower that occurred in September 2021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Petro 2 turnaround, which are described in Note 12 to the consolidated financial statements included in Item 1 of this Form 10-Q. We expect insurance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most of the costs associated with these lawsuits</w:t>
      </w:r>
      <w:r>
        <w:rPr>
          <w:rFonts w:ascii="Times New Roman" w:cs="Times New Roman" w:eastAsia="Times New Roman" w:hAnsi="Times New Roman"/>
          <w:sz w:val="21"/>
          <w:szCs w:val="21"/>
          <w:color w:val="008080"/>
        </w:rPr>
        <w:t>.</w:t>
      </w:r>
    </w:p>
    <w:p>
      <w:pPr>
        <w:spacing w:after="0" w:line="15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2021 Form 10-K. There have been no material changes from those risk factors.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Limited Partnership Agreement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14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Amendment No. 1 to the First Amended and Restated Agreement of Limited Partnership of Westlake Chemical OpCo LP dated as of</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December 1, 2017 (File No. 01-36567) (incorporated by reference to Exhibit 3.4 to Westlake Chemical Partners LP's Annual Report</w:t>
              </w:r>
            </w:hyperlink>
          </w:p>
        </w:tc>
        <w:tc>
          <w:tcPr>
            <w:tcW w:w="280" w:type="dxa"/>
            <w:vAlign w:val="bottom"/>
            <w:gridSpan w:val="6"/>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3"/>
          </w:tcPr>
          <w:p>
            <w:pPr>
              <w:spacing w:after="0"/>
              <w:rPr>
                <w:sz w:val="13"/>
                <w:szCs w:val="13"/>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Times New Roman" w:cs="Times New Roman" w:eastAsia="Times New Roman" w:hAnsi="Times New Roman"/>
          <w:sz w:val="18"/>
          <w:szCs w:val="18"/>
          <w:color w:val="auto"/>
        </w:rPr>
        <w:t>Date:</w:t>
        <w:tab/>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May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320" w:top="118" w:right="8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4,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May 4,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March 31, 2022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Times New Roman" w:cs="Times New Roman" w:eastAsia="Times New Roman" w:hAnsi="Times New Roman"/>
          <w:sz w:val="18"/>
          <w:szCs w:val="18"/>
          <w:color w:val="auto"/>
        </w:rPr>
        <w:t>Date:</w:t>
        <w:tab/>
        <w:t>May 4,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May 4, 2022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54" Type="http://schemas.openxmlformats.org/officeDocument/2006/relationships/hyperlink" Target="http://www.sec.gov/Archives/edgar/data/1604665/000119312514164760/d715499dex31.htm" TargetMode="External"/><Relationship Id="rId55" Type="http://schemas.openxmlformats.org/officeDocument/2006/relationships/hyperlink" Target="http://www.sec.gov/Archives/edgar/data/1604665/000119312514303305/d756630dex31.htm" TargetMode="External"/><Relationship Id="rId56" Type="http://schemas.openxmlformats.org/officeDocument/2006/relationships/hyperlink" Target="http://www.sec.gov/Archives/edgar/data/1604665/000119312517345554/d493400dex31.htm" TargetMode="External"/><Relationship Id="rId57" Type="http://schemas.openxmlformats.org/officeDocument/2006/relationships/hyperlink" Target="http://www.sec.gov/Archives/edgar/data/1604665/000119312518231463/d583758dex31.htm" TargetMode="External"/><Relationship Id="rId58" Type="http://schemas.openxmlformats.org/officeDocument/2006/relationships/hyperlink" Target="http://www.sec.gov/Archives/edgar/data/1604665/000119312514303305/d756630dex107.htm" TargetMode="External"/><Relationship Id="rId59" Type="http://schemas.openxmlformats.org/officeDocument/2006/relationships/hyperlink" Target="http://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2022-05-04T13:20:04Z</dcterms:created>
  <dcterms:modified xsi:type="dcterms:W3CDTF">2022-05-04T13:20:04Z</dcterms:modified>
</cp:coreProperties>
</file>