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80"/>
          </w:cols>
          <w:pgMar w:left="240" w:top="517" w:right="279" w:bottom="1440" w:gutter="0" w:footer="0" w:header="0"/>
          <w:type w:val="continuous"/>
        </w:sectPr>
      </w:pPr>
    </w:p>
    <w:p>
      <w:pPr>
        <w:spacing w:after="0" w:line="251" w:lineRule="exact"/>
        <w:rPr>
          <w:sz w:val="24"/>
          <w:szCs w:val="24"/>
          <w:color w:val="auto"/>
        </w:rPr>
      </w:pPr>
    </w:p>
    <w:p>
      <w:pPr>
        <w:ind w:left="40" w:right="500"/>
        <w:spacing w:after="0" w:line="418" w:lineRule="auto"/>
        <w:rPr>
          <w:sz w:val="20"/>
          <w:szCs w:val="20"/>
          <w:color w:val="auto"/>
        </w:rPr>
      </w:pPr>
      <w:r>
        <w:rPr>
          <w:rFonts w:ascii="Arial" w:cs="Arial" w:eastAsia="Arial" w:hAnsi="Arial"/>
          <w:sz w:val="16"/>
          <w:szCs w:val="16"/>
          <w:b w:val="1"/>
          <w:bCs w:val="1"/>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Accelerated filer</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2280" w:space="720"/>
            <w:col w:w="4080" w:space="720"/>
            <w:col w:w="2460" w:space="720"/>
            <w:col w:w="400"/>
          </w:cols>
          <w:pgMar w:left="240" w:top="517" w:right="279" w:bottom="1440" w:gutter="0" w:footer="0" w:header="0"/>
          <w:type w:val="continuous"/>
        </w:sectPr>
      </w:pPr>
    </w:p>
    <w:p>
      <w:pPr>
        <w:ind w:right="17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7"/>
          <w:szCs w:val="17"/>
          <w:b w:val="1"/>
          <w:bCs w:val="1"/>
          <w:color w:val="auto"/>
        </w:rPr>
        <w:t>Yes</w:t>
      </w:r>
      <w:r>
        <w:rPr>
          <w:rFonts w:ascii="Arial" w:cs="Arial" w:eastAsia="Arial" w:hAnsi="Arial"/>
          <w:sz w:val="17"/>
          <w:szCs w:val="17"/>
          <w:color w:val="auto"/>
        </w:rPr>
        <w:t xml:space="preserve">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r>
        <w:rPr>
          <w:rFonts w:ascii="Arial" w:cs="Arial" w:eastAsia="Arial" w:hAnsi="Arial"/>
          <w:sz w:val="17"/>
          <w:szCs w:val="17"/>
          <w:color w:val="auto"/>
        </w:rPr>
        <w:t xml:space="preserve"> x The registrant had 14,373,615 common units and 12,686,115 subordinated units outstanding as of October 28, 2015.</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0">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0">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4">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4">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4"/>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192"/>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net—Westlake Chemical Corporation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18,529</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6,634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216,425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196,645</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842,057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51,919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57,733</w:t>
            </w:r>
          </w:p>
        </w:tc>
      </w:tr>
      <w:tr>
        <w:trPr>
          <w:trHeight w:val="297"/>
        </w:trPr>
        <w:tc>
          <w:tcPr>
            <w:tcW w:w="836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1,225,188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1,096,435</w:t>
            </w:r>
          </w:p>
        </w:tc>
      </w:tr>
      <w:tr>
        <w:trPr>
          <w:trHeight w:val="237"/>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payable—third parties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12,614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11,900</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56,511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31,984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227,638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1,848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388,714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261,485</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9 and 16)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unitholders—public (12,937,500 units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Common unitholder—Westlake (1,436,115 units issued and outstanding)</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4,038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Subordinated unitholder—Westlake (12,686,115 units issued and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35,681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General partner—Westlake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(242,572)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87,524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743,049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747,426</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836,474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834,950</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1,225,188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1,096,435</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AND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207,856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289,601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621,438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1,088,561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feedstock sales—third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40,763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137,277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387,596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248,619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392,008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758,715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154,474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473,815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832,304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94,145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164,993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284,900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643,853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17,826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88,314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267,074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621,050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87,187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154,482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263,245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614,352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198,461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87,046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118,173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415,891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Predecessor net income prior to initial public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offering on August 4, 2014</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87,046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49,542</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Partners LP subsequent to initial public offering</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LP per limited partner 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1,436,115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12,686,115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12,686,115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85"/>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87,046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54,557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60"/>
              <w:spacing w:after="0"/>
              <w:rPr>
                <w:sz w:val="20"/>
                <w:szCs w:val="20"/>
                <w:color w:val="auto"/>
              </w:rPr>
            </w:pPr>
            <w:r>
              <w:rPr>
                <w:rFonts w:ascii="Arial" w:cs="Arial" w:eastAsia="Arial" w:hAnsi="Arial"/>
                <w:sz w:val="18"/>
                <w:szCs w:val="18"/>
                <w:color w:val="auto"/>
              </w:rPr>
              <w:t>Interest rate contract: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Change in fair value of 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480"/>
              <w:spacing w:after="0"/>
              <w:rPr>
                <w:sz w:val="20"/>
                <w:szCs w:val="20"/>
                <w:color w:val="auto"/>
              </w:rPr>
            </w:pPr>
            <w:r>
              <w:rPr>
                <w:rFonts w:ascii="Arial" w:cs="Arial" w:eastAsia="Arial" w:hAnsi="Arial"/>
                <w:sz w:val="18"/>
                <w:szCs w:val="18"/>
                <w:color w:val="auto"/>
              </w:rPr>
              <w:t>Reclassification of loss to net income</w:t>
            </w: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86,873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262,505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Comprehensive income attributable to noncontrolling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76,943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49,542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49,542</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income attributable to Westlake</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Chemical Partners LP subsequent to initial public</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34"/>
              <w:spacing w:after="0"/>
              <w:rPr>
                <w:sz w:val="20"/>
                <w:szCs w:val="20"/>
                <w:color w:val="auto"/>
              </w:rPr>
            </w:pPr>
            <w:r>
              <w:rPr>
                <w:rFonts w:ascii="Arial" w:cs="Arial" w:eastAsia="Arial" w:hAnsi="Arial"/>
                <w:sz w:val="18"/>
                <w:szCs w:val="18"/>
                <w:color w:val="auto"/>
              </w:rPr>
              <w:t>9,930</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34"/>
              <w:spacing w:after="0"/>
              <w:rPr>
                <w:sz w:val="20"/>
                <w:szCs w:val="20"/>
                <w:color w:val="auto"/>
              </w:rPr>
            </w:pPr>
            <w:r>
              <w:rPr>
                <w:rFonts w:ascii="Arial" w:cs="Arial" w:eastAsia="Arial" w:hAnsi="Arial"/>
                <w:sz w:val="18"/>
                <w:szCs w:val="18"/>
                <w:color w:val="auto"/>
              </w:rPr>
              <w:t>28,873</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2"/>
        </w:trPr>
        <w:tc>
          <w:tcPr>
            <w:tcW w:w="5100" w:type="dxa"/>
            <w:vAlign w:val="bottom"/>
          </w:tcPr>
          <w:p>
            <w:pPr>
              <w:ind w:left="120"/>
              <w:spacing w:after="0"/>
              <w:rPr>
                <w:sz w:val="20"/>
                <w:szCs w:val="20"/>
                <w:color w:val="auto"/>
              </w:rPr>
            </w:pPr>
            <w:r>
              <w:rPr>
                <w:rFonts w:ascii="Arial" w:cs="Arial" w:eastAsia="Arial" w:hAnsi="Arial"/>
                <w:sz w:val="18"/>
                <w:szCs w:val="18"/>
                <w:color w:val="auto"/>
              </w:rPr>
              <w:t>offering</w:t>
            </w:r>
          </w:p>
        </w:tc>
        <w:tc>
          <w:tcPr>
            <w:tcW w:w="28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WESTLAKE CHEMICAL PARTNERS LP COMBINED AND CONSOLIDATED STATEMENTS OF CHANGES IN EQUITY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i w:val="1"/>
                <w:iCs w:val="1"/>
                <w:color w:val="auto"/>
                <w:w w:val="83"/>
              </w:rPr>
              <w:t>Predecessor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9"/>
              </w:rPr>
              <w:t>Partnership</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Subordinated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General</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8"/>
                <w:szCs w:val="18"/>
                <w:color w:val="auto"/>
                <w:w w:val="95"/>
              </w:rPr>
              <w:t>—</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8"/>
                <w:szCs w:val="18"/>
                <w:color w:val="auto"/>
                <w:w w:val="97"/>
              </w:rPr>
              <w:t>—</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8"/>
                <w:szCs w:val="18"/>
                <w:color w:val="auto"/>
                <w:w w:val="97"/>
              </w:rPr>
              <w:t>—</w:t>
            </w:r>
          </w:p>
        </w:tc>
        <w:tc>
          <w:tcPr>
            <w:tcW w:w="140" w:type="dxa"/>
            <w:vAlign w:val="bottom"/>
          </w:tcPr>
          <w:p>
            <w:pPr>
              <w:spacing w:after="0"/>
              <w:rPr>
                <w:sz w:val="6"/>
                <w:szCs w:val="6"/>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8"/>
                <w:szCs w:val="18"/>
                <w:color w:val="auto"/>
                <w:w w:val="98"/>
              </w:rPr>
              <w:t>—</w:t>
            </w: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85"/>
              </w:rPr>
              <w:t>Interests</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Public</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 of dollars)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455,432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455,432</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Net income from January 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2014 through</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August 3, 2014</w:t>
            </w:r>
          </w:p>
        </w:tc>
        <w:tc>
          <w:tcPr>
            <w:tcW w:w="1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361,334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distributions to Westlake</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(448,101)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Predecessor net liabilities not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assumed by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OpCo</w:t>
            </w:r>
          </w:p>
        </w:tc>
        <w:tc>
          <w:tcPr>
            <w:tcW w:w="1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239,706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August 4, 2014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to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initial public offering)</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608,371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608,371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8"/>
              </w:rPr>
              <w:t>Allocation of net investment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31,479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573,329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initial public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offering,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finance and other offering</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286,088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286,088</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Distribution to the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in OpCo</w:t>
            </w: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(151,729)</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Purchase of additional interest</w:t>
            </w:r>
          </w:p>
        </w:tc>
        <w:tc>
          <w:tcPr>
            <w:tcW w:w="14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OpCo</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Net income from August 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2014 through</w:t>
            </w:r>
          </w:p>
        </w:tc>
        <w:tc>
          <w:tcPr>
            <w:tcW w:w="14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20"/>
              <w:spacing w:after="0"/>
              <w:rPr>
                <w:sz w:val="20"/>
                <w:szCs w:val="20"/>
                <w:color w:val="auto"/>
              </w:rPr>
            </w:pPr>
            <w:r>
              <w:rPr>
                <w:rFonts w:ascii="Arial" w:cs="Arial" w:eastAsia="Arial" w:hAnsi="Arial"/>
                <w:sz w:val="18"/>
                <w:szCs w:val="18"/>
                <w:color w:val="auto"/>
              </w:rPr>
              <w:t>September 30, 2014</w:t>
            </w: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Balances at 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288,487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33,830</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713,714</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797,287</w:t>
            </w:r>
          </w:p>
        </w:tc>
        <w:tc>
          <w:tcPr>
            <w:tcW w:w="0" w:type="dxa"/>
            <w:vAlign w:val="bottom"/>
          </w:tcPr>
          <w:p>
            <w:pPr>
              <w:spacing w:after="0"/>
              <w:rPr>
                <w:sz w:val="1"/>
                <w:szCs w:val="1"/>
                <w:color w:val="auto"/>
              </w:rPr>
            </w:pPr>
          </w:p>
        </w:tc>
      </w:tr>
      <w:tr>
        <w:trPr>
          <w:trHeight w:val="241"/>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4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747,426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233,632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262,678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Quarterly distributions to</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unitholders</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distributions to</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retained in OpCo by</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Westlake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(238,009)</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Balances at September 30,</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293,282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4,360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38,528</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743,049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836,474</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260" w:right="2840"/>
        <w:spacing w:after="0" w:line="275" w:lineRule="auto"/>
        <w:rPr>
          <w:sz w:val="20"/>
          <w:szCs w:val="20"/>
          <w:color w:val="auto"/>
        </w:rPr>
      </w:pPr>
      <w:r>
        <w:rPr>
          <w:rFonts w:ascii="Arial" w:cs="Arial" w:eastAsia="Arial" w:hAnsi="Arial"/>
          <w:sz w:val="18"/>
          <w:szCs w:val="18"/>
          <w:b w:val="1"/>
          <w:bCs w:val="1"/>
          <w:color w:val="auto"/>
        </w:rPr>
        <w:t>WESTLAKE CHEMICAL PARTNERS LP COMBINED AND CONSOLIDATED STATEMENTS OF CASH FLOWS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385"/>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415,891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60,637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58,501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Income from equity method investment, net of dividends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(23,637)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25,769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10,498</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485,990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(144,348)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Settlements of derivative instruments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(144,481)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141,161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 with proceeds from the initial public offering</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proceeds from issuance of common units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286,088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initial public offering distributed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distributions to Westlake prior to initial public offering</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(448,101)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unitholders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(251,521)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89,988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154,257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89,988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combined and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AND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6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Westlake Chemical Partners LP (the "Partnership") is a Delaware limited partnership formed in March 2014 to operate, acquire and develop facilities and related assets for the processing of natural gas liquids. On August 4, 2014, the Partnership completed its initial public offering (the "IPO") of 12,937,500 common units representing limited partner interests. 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OpCo owns three natural gas liquids processing facilities and a common carrier ethylene pipeline.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80" w:firstLine="392"/>
        <w:spacing w:after="0" w:line="291" w:lineRule="auto"/>
        <w:rPr>
          <w:sz w:val="20"/>
          <w:szCs w:val="20"/>
          <w:color w:val="auto"/>
        </w:rPr>
      </w:pPr>
      <w:r>
        <w:rPr>
          <w:rFonts w:ascii="Arial" w:cs="Arial" w:eastAsia="Arial" w:hAnsi="Arial"/>
          <w:sz w:val="16"/>
          <w:szCs w:val="16"/>
          <w:color w:val="auto"/>
        </w:rPr>
        <w:t>The accompanying unaudited combined and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combined and consolidated financial statements should be read in conjunction with the December 31, 2014 combined and consolidated financial statements and notes thereto of the Partnership included in the annual report on Form 10-K for the fiscal year ended December 31, 2014 (the "2014 Form 10-K"), filed with the SEC on March 9, 2015. These financial statements have been prepared in conformity with the accounting principles and practices as disclosed in the notes to the combined and consolidated financial statements of the Partnership for the fiscal year ended December 31, 2014.</w:t>
      </w:r>
    </w:p>
    <w:p>
      <w:pPr>
        <w:spacing w:after="0" w:line="11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Unless the context otherwise requires, references in this report to the "Predecessor" refer to Westlake Chemical Partners LP Predecessor, the Partnership's predecessor for accounting purposes and refer to the time periods prior to the IPO. References in this report to the Partnership used in the present tense or prospectively refer to Westlake Chemical Partners LP and refer to the periods subsequent to the IPO. References to "Westlake" refer collectively to Westlake Chemical Corporation and its subsidiaries, other than the Partnership, OpCo and OpCo GP.</w:t>
      </w:r>
    </w:p>
    <w:p>
      <w:pPr>
        <w:spacing w:after="0" w:line="117" w:lineRule="exact"/>
        <w:rPr>
          <w:sz w:val="20"/>
          <w:szCs w:val="20"/>
          <w:color w:val="auto"/>
        </w:rPr>
      </w:pPr>
    </w:p>
    <w:p>
      <w:pPr>
        <w:ind w:right="80" w:firstLine="392"/>
        <w:spacing w:after="0" w:line="271" w:lineRule="auto"/>
        <w:rPr>
          <w:sz w:val="20"/>
          <w:szCs w:val="20"/>
          <w:color w:val="auto"/>
        </w:rPr>
      </w:pPr>
      <w:r>
        <w:rPr>
          <w:rFonts w:ascii="Arial" w:cs="Arial" w:eastAsia="Arial" w:hAnsi="Arial"/>
          <w:sz w:val="17"/>
          <w:szCs w:val="17"/>
          <w:color w:val="auto"/>
        </w:rPr>
        <w:t>The Partnership holds a 13.3% limited partner interest and the entire non-economic general partner interest in OpCo. The remaining 86.7%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86.7% is recorded as noncontrolling interest in the Partnership's consolidated financial statements.</w:t>
      </w:r>
    </w:p>
    <w:p>
      <w:pPr>
        <w:spacing w:after="0" w:line="125" w:lineRule="exact"/>
        <w:rPr>
          <w:sz w:val="20"/>
          <w:szCs w:val="20"/>
          <w:color w:val="auto"/>
        </w:rPr>
      </w:pPr>
    </w:p>
    <w:p>
      <w:pPr>
        <w:ind w:right="180" w:firstLine="392"/>
        <w:spacing w:after="0" w:line="279" w:lineRule="auto"/>
        <w:rPr>
          <w:sz w:val="20"/>
          <w:szCs w:val="20"/>
          <w:color w:val="auto"/>
        </w:rPr>
      </w:pPr>
      <w:r>
        <w:rPr>
          <w:rFonts w:ascii="Arial" w:cs="Arial" w:eastAsia="Arial" w:hAnsi="Arial"/>
          <w:sz w:val="17"/>
          <w:szCs w:val="17"/>
          <w:color w:val="auto"/>
        </w:rPr>
        <w:t>Financial information of the Predecessor is derived from the financial statements and accounting records of Westlake. Subsequent to the IPO, the Partnership's financial position, results of operations, changes in equity and cash flows consist of the consolidated activities and balances of the Partnership. The Partnership's consolidated financial statements include the accounts of the Partnership and its consolidated subsidiary, OpCo. The combined and consolidated financial statements for the three and nine months ended September 30, 2014 were prepared as follows:</w:t>
      </w:r>
    </w:p>
    <w:p>
      <w:pPr>
        <w:spacing w:after="0" w:line="36" w:lineRule="exact"/>
        <w:rPr>
          <w:sz w:val="20"/>
          <w:szCs w:val="20"/>
          <w:color w:val="auto"/>
        </w:rPr>
      </w:pPr>
    </w:p>
    <w:p>
      <w:pPr>
        <w:ind w:left="660" w:right="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combined and consolidated statement of operations for the three months ended September 30, 2014 consists of the consolidated results of the Partnership for the period from August 4, 2014 through September 30, 2014 and the combined results of the Predecessor for the period from July 1, 2014 through August 3, 2014. The combined and consolidated statement of operations for the nine months ended September 30, 2014 consists of the consolidated results of the Partnership for the period from August 4, 2014 through September 30, 2014 and the combined results of the Predecessor for the period from January 1, 2014 through August 3, 2014.</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consolidated statement of other comprehensive income for the three and nine months ended September 30, 2014 consists of the consolidated results of the Partnership for the period from August 4, 2014 through September 30, 2014.</w:t>
      </w:r>
    </w:p>
    <w:p>
      <w:pPr>
        <w:spacing w:after="0" w:line="35" w:lineRule="exact"/>
        <w:rPr>
          <w:rFonts w:ascii="Arial" w:cs="Arial" w:eastAsia="Arial" w:hAnsi="Arial"/>
          <w:sz w:val="18"/>
          <w:szCs w:val="18"/>
          <w:color w:val="auto"/>
        </w:rPr>
      </w:pPr>
    </w:p>
    <w:p>
      <w:pPr>
        <w:ind w:left="660" w:right="20" w:hanging="328"/>
        <w:spacing w:after="0" w:line="33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combined and consolidated statement of changes in equity for the nine months ended September 30, 2014 consists of the combined activity for the Predecessor prior to August 4, 2014, and the consolidated activity for the Partnership completed at and subsequent to the IPO on August 4, 2014.</w:t>
      </w:r>
    </w:p>
    <w:p>
      <w:pPr>
        <w:spacing w:after="0" w:line="1"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combined and consolidated statement of cash flows for the nine months ended September 30, 2014 consists of the consolidated results of the Partnership for the period from August 4, 2014 through September 30, 2014 and the combined results of the Predecessor for the period from January 1, 2014 through August 3, 2014.</w:t>
      </w:r>
    </w:p>
    <w:p>
      <w:pPr>
        <w:spacing w:after="0" w:line="12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combined and consolidated interim financial statements reflect all adjustments (consisting only of normal recurring adjustments) that are necessary for a fair statement of the Partnership's financial position as of September 30, 2015, its results of operations for the three and nine months ended September 30, 2015 and 2014 and the changes in its cash position for the nine months ended September 30, 2015 and 2014.</w:t>
      </w:r>
    </w:p>
    <w:p>
      <w:pPr>
        <w:spacing w:after="0" w:line="13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2015 or any other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9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July 2015, the FASB deferred the effective date for the revenue recognition standard. The accounting standard will now be effective for reporting periods beginning after December 15, 2017. The Partnership is in the process of evaluating the impact that the new accounting guidance will have on its consolidated financial position,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Income Statement Presentation by Eliminating the Concept of Extraordinary Items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January 2015, the FASB issued an accounting standards update to simplify income statement classification by removing the concept of extraordinary items from U.S. GAAP. Under the new standard, an unusual and infrequent event or transaction is no longer allowed to be separately disclosed as "extraordinary." The standard retains the existing requirement to separately present items that are of an unusual nature or occur infrequently on a pre-tax basis within income from continuing operations. The new guidance also requires similar separate presentation of items that are both unusual and infrequent on a pre-tax basis within income from continuing operations. The standard allows for either prospective or retrospective application. If adopted prospectively, both the nature and amount of any subsequent adjustments to previously reported extraordinary items must be disclosed. The accounting standard will be effective for reporting periods beginning after December 15, 2015 and is not expected to have an impact on the Partnership's consolidated financial position,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w:t>
      </w:r>
    </w:p>
    <w:p>
      <w:pPr>
        <w:spacing w:after="0" w:line="9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In February 2015, the FASB issued an accounting standards update making certain changes to the current consolidation guidance. The amendments affect both the variable interest entity and voting interest entity consolidation models. The new standard changes the consideration of substantive rights, related party interests and fees paid to the decision maker when applying the variable interest entity consolidation model and eliminate certain guidance for limited partnerships and similar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entities under the voting interest consolidation model. The accounting standard will be effective for reporting periods beginning after December 15, 2015 and is not expected to have an impact on the Partnership's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Historical Earnings per Unit of Master Limited Partnership Dropdown Transactions</w:t>
      </w:r>
    </w:p>
    <w:p>
      <w:pPr>
        <w:spacing w:after="0" w:line="90" w:lineRule="exact"/>
        <w:rPr>
          <w:sz w:val="20"/>
          <w:szCs w:val="20"/>
          <w:color w:val="auto"/>
        </w:rPr>
      </w:pPr>
    </w:p>
    <w:p>
      <w:pPr>
        <w:jc w:val="both"/>
        <w:ind w:right="180" w:firstLine="405"/>
        <w:spacing w:after="0" w:line="302" w:lineRule="auto"/>
        <w:rPr>
          <w:sz w:val="20"/>
          <w:szCs w:val="20"/>
          <w:color w:val="auto"/>
        </w:rPr>
      </w:pPr>
      <w:r>
        <w:rPr>
          <w:rFonts w:ascii="Arial" w:cs="Arial" w:eastAsia="Arial" w:hAnsi="Arial"/>
          <w:sz w:val="16"/>
          <w:szCs w:val="16"/>
          <w:color w:val="auto"/>
        </w:rPr>
        <w:t>In April 2015, the FASB issued an accounting standard update requiring that the earnings of transferred net assets from a general partner prior to the dropdown date of the net assets to a master limited partnership be allocated entirely to the general partner when calculating earnings per unit under the two class method. As a result, previously reported earnings per unit of the limited partners will not change as a result of a dropdown transaction. The accounting standard will be effective for reporting periods and interim periods within those reporting periods beginning after December 15,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90" w:lineRule="exact"/>
        <w:rPr>
          <w:sz w:val="20"/>
          <w:szCs w:val="20"/>
          <w:color w:val="auto"/>
        </w:rPr>
      </w:pPr>
    </w:p>
    <w:p>
      <w:pPr>
        <w:ind w:right="360" w:firstLine="405"/>
        <w:spacing w:after="0" w:line="273" w:lineRule="auto"/>
        <w:rPr>
          <w:sz w:val="20"/>
          <w:szCs w:val="20"/>
          <w:color w:val="auto"/>
        </w:rPr>
      </w:pPr>
      <w:r>
        <w:rPr>
          <w:rFonts w:ascii="Arial" w:cs="Arial" w:eastAsia="Arial" w:hAnsi="Arial"/>
          <w:sz w:val="17"/>
          <w:szCs w:val="17"/>
          <w:color w:val="auto"/>
        </w:rPr>
        <w:t>In July 2015, the FASB issued an accounting standards update that requires entities to measure inventory at the lower of cost or net realizable value rather than at the lower of cost or market. Net realizable value is the estimated selling price in the ordinary course of business, less reasonably predictable costs of completion, disposal and transportation. Under the new standard, entities will no longer need to calculate other measures of "market." The new accounting guidance applies only to inventories for which cost is determined by methods other than last-in first-out and the retail inventory method. The accounting standard will be effective for reporting periods beginning after December 15, 2016 and is not expected to have a significant impact on the Partnership's consolidated financial position, results of operations and cash flows.</w:t>
      </w:r>
    </w:p>
    <w:p>
      <w:pPr>
        <w:spacing w:after="0" w:line="201" w:lineRule="exact"/>
        <w:rPr>
          <w:sz w:val="20"/>
          <w:szCs w:val="20"/>
          <w:color w:val="auto"/>
        </w:rPr>
      </w:pPr>
    </w:p>
    <w:p>
      <w:pPr>
        <w:ind w:right="9520" w:firstLine="8"/>
        <w:spacing w:after="0" w:line="390"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b w:val="1"/>
          <w:bCs w:val="1"/>
          <w:i w:val="1"/>
          <w:iCs w:val="1"/>
          <w:color w:val="auto"/>
        </w:rPr>
        <w:t>Cash Equivalents</w:t>
      </w:r>
    </w:p>
    <w:p>
      <w:pPr>
        <w:ind w:right="40" w:firstLine="405"/>
        <w:spacing w:after="0" w:line="264" w:lineRule="auto"/>
        <w:rPr>
          <w:sz w:val="20"/>
          <w:szCs w:val="20"/>
          <w:color w:val="auto"/>
        </w:rPr>
      </w:pPr>
      <w:r>
        <w:rPr>
          <w:rFonts w:ascii="Arial" w:cs="Arial" w:eastAsia="Arial" w:hAnsi="Arial"/>
          <w:sz w:val="18"/>
          <w:szCs w:val="18"/>
          <w:color w:val="auto"/>
        </w:rPr>
        <w:t>The Partnership had $75,025 and $40,003 of held-to-maturity securities with original maturities of three months or less, primarily consisting of corporate debt securities, classified as cash equivalents at September 30, 2015 and December 31, 2014, respectively. The Partnership's investments in held-to-maturity securities are held at amortized cost, which approximates fair value.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37,520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6,257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As of September 30, 2015, the Partnership had property, plant and equipment, net totaling $962,221. The Partnership assesses these assets for impairment whenever events or changes in circumstances indicate that the carrying amount of an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Depreciation expense on property, plant and equipment of $16,231 and $14,900 is included in cost of sales in the combined and consolidated statements of operations for the three months ended September 30, 2015 and 2014, respectively. Depreciation expense on property, plant and equipment of $48,006 and $45,104 is included in cost of sales in the combined and consolidated statements of operations for the nine months ended September 30, 2015 and 2014,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Assets</w:t>
      </w:r>
    </w:p>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Amortization expense on other assets of $4,211 and $4,319 is included in the combined and consolidated statements of operations for the three months ended September 30, 2015 and 2014, respectively. Amortization expense on other assets of $12,631 and $13,397 is included in the combined and consolidated statements of operations for the nine months ended September 30, 2015 and 2014,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Limited Partner Unit</w:t>
      </w:r>
    </w:p>
    <w:p>
      <w:pPr>
        <w:spacing w:after="0" w:line="9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for the period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Basic and diluted net income per unit are the same because the Partnership does not have any potentially dilutive units outstanding for the periods presented.</w:t>
      </w:r>
    </w:p>
    <w:p>
      <w:pPr>
        <w:spacing w:after="0" w:line="104"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On October 28, 2015, the board of directors of Westlake Chemical Partners GP LLC ("Westlake GP"), the Partnership's general partner, declared a quarterly cash distribution for the period from July 1, 2015 through September 30, 2015 of $0.2994 per unit, or $8,102 in total. This distribution is payable on November 27, 2015 to unitholders of record as of November 9, 2015.</w:t>
      </w:r>
    </w:p>
    <w:p>
      <w:pPr>
        <w:spacing w:after="0" w:line="127" w:lineRule="exact"/>
        <w:rPr>
          <w:sz w:val="20"/>
          <w:szCs w:val="20"/>
          <w:color w:val="auto"/>
        </w:rPr>
      </w:pPr>
    </w:p>
    <w:p>
      <w:pPr>
        <w:jc w:val="both"/>
        <w:ind w:right="180" w:firstLine="392"/>
        <w:spacing w:after="0" w:line="279" w:lineRule="auto"/>
        <w:rPr>
          <w:sz w:val="20"/>
          <w:szCs w:val="20"/>
          <w:color w:val="auto"/>
        </w:rPr>
      </w:pPr>
      <w:r>
        <w:rPr>
          <w:rFonts w:ascii="Arial" w:cs="Arial" w:eastAsia="Arial" w:hAnsi="Arial"/>
          <w:sz w:val="17"/>
          <w:szCs w:val="17"/>
          <w:color w:val="auto"/>
        </w:rPr>
        <w:t>On July 29, 2015, the board of directors of Westlake GP declared a quarterly cash distribution for the period from April 1, 2015 through June 30, 2015 of $0.2910 per unit, or $7,874 in total. This distribution was paid on August 27, 2015 to unitholders of record as of August 13, 2015. On April 29, 2015, the board of directors of Westlake GP declared a quarterly cash distribution for the period from January 1, 2015 through March 31, 2015 of $0.2829 per unit, or $7,655 in total. This distribution was paid on May 27, 2015 to unitholders of record as of May 12,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10,103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2,449</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80"/>
              <w:spacing w:after="0"/>
              <w:rPr>
                <w:sz w:val="20"/>
                <w:szCs w:val="20"/>
                <w:color w:val="auto"/>
              </w:rPr>
            </w:pPr>
            <w:r>
              <w:rPr>
                <w:rFonts w:ascii="Arial" w:cs="Arial" w:eastAsia="Arial" w:hAnsi="Arial"/>
                <w:sz w:val="18"/>
                <w:szCs w:val="18"/>
                <w:color w:val="auto"/>
              </w:rPr>
              <w:t>subordinated units</w:t>
            </w:r>
          </w:p>
        </w:tc>
        <w:tc>
          <w:tcPr>
            <w:tcW w:w="2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11,079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2,162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excess of distribution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59"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4"/>
                <w:szCs w:val="14"/>
                <w:color w:val="auto"/>
              </w:rPr>
            </w:pPr>
          </w:p>
        </w:tc>
        <w:tc>
          <w:tcPr>
            <w:tcW w:w="134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4,304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3,798</w:t>
            </w:r>
          </w:p>
        </w:tc>
        <w:tc>
          <w:tcPr>
            <w:tcW w:w="1280" w:type="dxa"/>
            <w:vAlign w:val="bottom"/>
            <w:gridSpan w:val="2"/>
          </w:tcPr>
          <w:p>
            <w:pPr>
              <w:jc w:val="right"/>
              <w:ind w:right="98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4,738</w:t>
            </w:r>
          </w:p>
        </w:tc>
        <w:tc>
          <w:tcPr>
            <w:tcW w:w="1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10,103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Nine Months Ended September 30, 2015</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80" w:type="dxa"/>
            <w:vAlign w:val="bottom"/>
          </w:tcPr>
          <w:p>
            <w:pPr>
              <w:jc w:val="center"/>
              <w:ind w:left="222"/>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12,552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11,079</w:t>
            </w:r>
          </w:p>
        </w:tc>
        <w:tc>
          <w:tcPr>
            <w:tcW w:w="1280" w:type="dxa"/>
            <w:vAlign w:val="bottom"/>
            <w:gridSpan w:val="2"/>
          </w:tcPr>
          <w:p>
            <w:pPr>
              <w:jc w:val="right"/>
              <w:ind w:right="98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23,631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15,429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13,617</w:t>
            </w:r>
          </w:p>
        </w:tc>
        <w:tc>
          <w:tcPr>
            <w:tcW w:w="100" w:type="dxa"/>
            <w:vAlign w:val="bottom"/>
            <w:tcBorders>
              <w:bottom w:val="single" w:sz="8" w:color="CCEEFF"/>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82"/>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29,046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OpCo sells ethylene to Westlake under the Ethylene Sales Agreement. Additionally, each of the Partnership and OpCo from time to time provide other services or products for which it charges Westlake a fee. Prior to the IPO, the Predecessor sold the majority of its ethylene to Westlake for use in Westlake's downstream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207,856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289,601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621,438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1,088,561</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Charges for goods and services purchased by the Partnership and OpCo from Westlake and included in cost of sales relate primarily to feedstock purchased under the Feedstock Supply Agreement and services provided under the Services and Secondment Agreement. Prior to the IPO, services provided by Westlake and included in cost of sales related primarily to services provided by employees of Westlake Management Services, Inc., a subsidiary of Westlake. The cost of services provided by employees of Westlake Management Services, Inc. was allocated to the Predecessor's operations primarily on the basis of direct usage.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232,584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63,108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20,457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53,948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47,000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96,209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76,987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286,532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110,108</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Prior to the IPO, the Predecessor was allocated costs incurred by Westlake on its behalf for similar functions. These allocations were based primarily on the basis of direct usage when identifiable, with the remainder allocated on the basis of fixed assets, headcount or other measure. Management believes the allocations of expenses incurred by Westlake on the Predecessor's behalf are reasonable and reflect all costs related to the operations of the Predecessor. Nevertheless, the financial information of the Predecessor may not have included all of the expenses that would have been incurred had the Predecessor been a stand-alone company during the periods prior to the IPO.</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4,772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15,901</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 Prior to the IPO, salaries and benefits of Westlake Management Services, Inc. were allocated to the Predecessor primarily on the basis of direct usage.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as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2,074</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and Accounts Payable to Related Parties</w:t>
      </w:r>
    </w:p>
    <w:p>
      <w:pPr>
        <w:spacing w:after="0" w:line="9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Partnership's accounts receivable from Westlake result primarily from ethylene sales to Westlake under the Ethylene Sales Agreement. The Partnership's accounts payable to Westlake result primarily from feedstock purchases under the Feedstock Supply Agreement and services provided under the Services and Secondment Agreement and the Omnibus Agreement.</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receivable and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414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net—Westlake</w:t>
            </w:r>
          </w:p>
        </w:tc>
        <w:tc>
          <w:tcPr>
            <w:tcW w:w="4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18,529</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Accounts payable—Westlake</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(7,470)</w:t>
            </w:r>
          </w:p>
        </w:tc>
      </w:tr>
      <w:tr>
        <w:trPr>
          <w:trHeight w:val="486"/>
        </w:trPr>
        <w:tc>
          <w:tcPr>
            <w:tcW w:w="4140" w:type="dxa"/>
            <w:vAlign w:val="bottom"/>
          </w:tcPr>
          <w:p>
            <w:pPr>
              <w:spacing w:after="0"/>
              <w:rPr>
                <w:sz w:val="24"/>
                <w:szCs w:val="24"/>
                <w:color w:val="auto"/>
              </w:rPr>
            </w:pPr>
          </w:p>
        </w:tc>
        <w:tc>
          <w:tcPr>
            <w:tcW w:w="4220" w:type="dxa"/>
            <w:vAlign w:val="bottom"/>
          </w:tcPr>
          <w:p>
            <w:pPr>
              <w:jc w:val="right"/>
              <w:ind w:right="24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OpCo assumed promissory notes payable to Westlake and entered into a senior unsecured revolving credit facility with Westlake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IPO. Prior to the IPO, the Predecessor funded certain capital expenditures through promissory notes payable to Westlake, a portion of which were assumed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in connection with the IPO. See Note 9 for description of related party debt payable balances. Interest on related party debt payable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2015 and 2014 were $1,054 and $2,137, respectively, and for the nine months ended September 30, 2015 and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$3,794 and $9,833, respectively, and are reflected as a component of other income (expense) in the combined and consolidated statements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capitalized as a component of property, plant and equipment on related party debt was $1,284 for the three months ended September 30, 2015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$3,394 for the nine months ended September 30, 2015. At September 30, 2015 and December 31, 2014, accrued interest on related party debt was $2,284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$2,403, respectively, and is reflected as a component of accrued liabilities in the consolidated balance sheets.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330,495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227,638</w:t>
            </w:r>
          </w:p>
        </w:tc>
      </w:tr>
      <w:tr>
        <w:trPr>
          <w:trHeight w:val="27"/>
        </w:trPr>
        <w:tc>
          <w:tcPr>
            <w:tcW w:w="8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OpCo, together with other subsidiaries of Westlake not included in these combined and consolidated financial statements, is a guarantor under Westlake's revolving credit facility and the indentures governing its senior notes. As of September 30, 2015 and December 31, 2014, Westlake had outstanding letters of credit totaling $29,953 and $31,392 under its revolving credit facility and $754,000 and $754,000 outstanding under its senior notes (less the unamortized discount of $803 and $892), respectively.</w:t>
      </w:r>
    </w:p>
    <w:p>
      <w:pPr>
        <w:spacing w:after="0" w:line="133"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indentures governing Westlake's senior notes prevent OpCo from making distributions to the Partnership if any default or event of default (as defined in the indentures) exists. However, Westlake's credit facility does not prevent OpCo from making distributions to the Partnership.</w:t>
      </w:r>
    </w:p>
    <w:p>
      <w:pPr>
        <w:spacing w:after="0" w:line="7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August 2015, the Partnership entered into an interest rate contract with Westlake to fix the LIBOR component of the interest rate for a portion of the MLP Revolver balance. See note 11 for additional information on the interest rate contract.</w:t>
      </w:r>
    </w:p>
    <w:p>
      <w:pPr>
        <w:spacing w:after="0" w:line="116"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OpCo has entered into two site lease agreements with Westlake in connection with the IPO, and each has a term of 50 years. Pursuant to the site lease agreements, OpCo pays Westlake one dollar per site per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scheduled maturity of August 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167,116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20"/>
              <w:spacing w:after="0"/>
              <w:rPr>
                <w:sz w:val="20"/>
                <w:szCs w:val="20"/>
                <w:color w:val="auto"/>
              </w:rPr>
            </w:pPr>
            <w:r>
              <w:rPr>
                <w:rFonts w:ascii="Arial" w:cs="Arial" w:eastAsia="Arial" w:hAnsi="Arial"/>
                <w:sz w:val="18"/>
                <w:szCs w:val="18"/>
                <w:color w:val="auto"/>
              </w:rPr>
              <w:t>3.0%, original scheduled maturity of August 4, 2019)</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163,379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60,522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April 29, 2018)</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330,495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227,638</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2013, three intercompany promissory notes were issued for capital expenditures incurred by Westlake on behalf of the Predecessor's operations (together, the "August 2013 Promissory Notes"). In connection with the IPO, OpCo assumed a portion of the August 2013 Promissory Notes. Proceeds drawn under the August 2013 Promissory Notes during the nine months ended September 30, 2014 were used to fund capital expenditures at the Predecessor's ethylene plants.</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connection with the IPO on August 4, 2014, OpCo entered into a $600,000 senior unsecured revolving credit facility agreement with Westlake (the "OpCo Revolver"). The OpCo Revolver accrues interest quarterly at a rate of LIBOR plus 3.0%,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which may be paid-in-kind as an addition to the principal at OpCo's option. Proceeds drawn under the OpCo Revolver during the nine months ended September 30, 2015 were used to fund capital expenditures at the Partnership's ethylene plants.</w:t>
      </w:r>
    </w:p>
    <w:p>
      <w:pPr>
        <w:spacing w:after="0" w:line="116"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On April 29, 2015, the Partnership entered into a $300,000 revolving credit facility agreement with Westlake (the "MLP Revolver") to fund the Partnership's purchase of an additional 2.7% newly-issued, limited partner interest in OpCo for $135,341. Borrowings under the MLP Revolver bear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During August 2015, the Partnership entered into an interest rate contract with Westlake to fix the LIBOR component of the interest rate for a portion of the MLP Revolver balance. See note 11 for additional information on the interest rate contract.</w:t>
      </w:r>
    </w:p>
    <w:p>
      <w:pPr>
        <w:spacing w:after="0" w:line="11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2015, the Partnership was in compliance with all of the covenants under the August 2013 Promissory Notes, the OpCo Revolver and the MLP Revolver.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4"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sets forth the amounts included in accumulated other comprehensive loss for the nine months ended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99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September 30, 2015</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contract—Loss recognized on cash flow hedge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Interest rate contract—Loss reclassified to net income on cash flow hedge</w:t>
            </w:r>
          </w:p>
        </w:tc>
        <w:tc>
          <w:tcPr>
            <w:tcW w:w="12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50</w:t>
            </w:r>
          </w:p>
        </w:tc>
      </w:tr>
      <w:tr>
        <w:trPr>
          <w:trHeight w:val="27"/>
        </w:trPr>
        <w:tc>
          <w:tcPr>
            <w:tcW w:w="9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9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accounting guidance for derivative instruments and hedging activities requires that the Partnership and the Predecessor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derivative instruments that were designated as fair value hedges for the nine months ended September 30, 2015 and 2014.</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Risk Management</w:t>
      </w:r>
    </w:p>
    <w:p>
      <w:pPr>
        <w:spacing w:after="0" w:line="90"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Predecessor utilized commodity derivative instruments to reduce price risks by purchasing or selling futures on established exchanges. The Predecessor took both fixed and variable positions, depending upon anticipated future physical purchases and sales of these commodities. The fair value of derivative financial instruments was estimated using quoted market prices in active markets and observable market-based inputs or unobservable inputs that were corroborated by market data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when active markets were not available. The Predecessor assessed both counterparty as well as its own nonperformance risk when measuring the fair value of derivative liabilities. The Predecessor did not consider its nonperformance risk to be significant. The Partnership has not entered into any commodity derivative instruments since the date of the IPO, August 4, 2014.</w:t>
      </w:r>
    </w:p>
    <w:p>
      <w:pPr>
        <w:spacing w:after="0" w:line="12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Partnership had no non-designated hedging instruments for the nine months ended September 30, 2015. Gains and losses from changes in the fair value of derivative instruments that are not designated as hedging instruments were included in gross profit in the combined and consolidated statements of operations for the three and nine months ended September 30, 2014 as follows:</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 of Gain (Loss)</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 w:type="dxa"/>
            <w:vAlign w:val="bottom"/>
            <w:vMerge w:val="restart"/>
          </w:tcPr>
          <w:p>
            <w:pPr>
              <w:spacing w:after="0"/>
              <w:rPr>
                <w:sz w:val="12"/>
                <w:szCs w:val="12"/>
                <w:color w:val="auto"/>
              </w:rPr>
            </w:pPr>
          </w:p>
        </w:tc>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24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forward contracts</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 Management</w:t>
      </w:r>
    </w:p>
    <w:p>
      <w:pPr>
        <w:spacing w:after="0" w:line="9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During August 2015, the Partnership entered into an interest rate contract with Westlake to reduce the risks of variability of the interest rates under the MLP Revolver. The interest rate contract fixed the LIBOR component of the interest rate for a portion of the MLP Revolver balance. This contract was designated as a cash flow hedge. With the exception of this interest rate contract, the Partnership did not have any other derivative financial instruments during the three and nine months ended September 30, 2015. As of and for the three and nine months ended September 30, 2014, neither the Partnership nor the Predecessor had any interest rate contracts.</w:t>
      </w:r>
    </w:p>
    <w:p>
      <w:pPr>
        <w:spacing w:after="0" w:line="13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There were no open derivatives as of December 31, 2014. The fair value of the derivative instrument on the Partnership's consolidated balance sheet as of September 30, 2015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tcBorders>
              <w:bottom w:val="single" w:sz="8" w:color="auto"/>
            </w:tcBorders>
            <w:gridSpan w:val="2"/>
          </w:tcPr>
          <w:p>
            <w:pPr>
              <w:ind w:left="2420"/>
              <w:spacing w:after="0"/>
              <w:rPr>
                <w:sz w:val="20"/>
                <w:szCs w:val="20"/>
                <w:color w:val="auto"/>
              </w:rPr>
            </w:pPr>
            <w:r>
              <w:rPr>
                <w:rFonts w:ascii="Arial" w:cs="Arial" w:eastAsia="Arial" w:hAnsi="Arial"/>
                <w:sz w:val="14"/>
                <w:szCs w:val="14"/>
                <w:b w:val="1"/>
                <w:bCs w:val="1"/>
                <w:color w:val="auto"/>
              </w:rPr>
              <w:t>Derivative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Fair Value as of</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2"/>
                <w:szCs w:val="12"/>
                <w:color w:val="auto"/>
              </w:rPr>
            </w:pPr>
          </w:p>
        </w:tc>
        <w:tc>
          <w:tcPr>
            <w:tcW w:w="45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05"/>
        <w:spacing w:after="0" w:line="342" w:lineRule="auto"/>
        <w:rPr>
          <w:sz w:val="20"/>
          <w:szCs w:val="20"/>
          <w:color w:val="auto"/>
        </w:rPr>
      </w:pPr>
      <w:r>
        <w:rPr>
          <w:rFonts w:ascii="Arial" w:cs="Arial" w:eastAsia="Arial" w:hAnsi="Arial"/>
          <w:sz w:val="16"/>
          <w:szCs w:val="16"/>
          <w:color w:val="auto"/>
        </w:rPr>
        <w:t>The following tables present the effect of derivative instrument designated as cash flow hedge on the combined and consolidated statements of operations and the consolidated statements of comprehensive income for the three and nine months ended September 30, 2015:</w:t>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2"/>
              </w:rPr>
              <w:t>Location of Gain (Loss)</w:t>
            </w:r>
          </w:p>
        </w:tc>
        <w:tc>
          <w:tcPr>
            <w:tcW w:w="19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5"/>
              </w:rPr>
              <w:t>Three Months Ended</w:t>
            </w:r>
          </w:p>
        </w:tc>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Derivative in Cash Flow Hedging Relationship</w:t>
            </w:r>
          </w:p>
        </w:tc>
        <w:tc>
          <w:tcPr>
            <w:tcW w:w="352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9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vMerge w:val="continue"/>
          </w:tcPr>
          <w:p>
            <w:pPr>
              <w:spacing w:after="0"/>
              <w:rPr>
                <w:sz w:val="16"/>
                <w:szCs w:val="16"/>
                <w:color w:val="auto"/>
              </w:rPr>
            </w:pPr>
          </w:p>
        </w:tc>
        <w:tc>
          <w:tcPr>
            <w:tcW w:w="352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Statement of Operations</w:t>
            </w:r>
          </w:p>
        </w:tc>
        <w:tc>
          <w:tcPr>
            <w:tcW w:w="192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September 30, 2015</w:t>
            </w:r>
          </w:p>
        </w:tc>
        <w:tc>
          <w:tcPr>
            <w:tcW w:w="1380" w:type="dxa"/>
            <w:vAlign w:val="bottom"/>
          </w:tcPr>
          <w:p>
            <w:pPr>
              <w:ind w:left="160"/>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contract—Loss reclassified from</w:t>
            </w:r>
          </w:p>
        </w:tc>
        <w:tc>
          <w:tcPr>
            <w:tcW w:w="10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9"/>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 in Cash Flow Hedging Relationship</w:t>
            </w: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gridSpan w:val="2"/>
            <w:vMerge w:val="continue"/>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September 30, 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1"/>
              </w:rPr>
              <w:t>September 30, 2015</w:t>
            </w:r>
          </w:p>
        </w:tc>
        <w:tc>
          <w:tcPr>
            <w:tcW w:w="0" w:type="dxa"/>
            <w:vAlign w:val="bottom"/>
          </w:tcPr>
          <w:p>
            <w:pPr>
              <w:spacing w:after="0"/>
              <w:rPr>
                <w:sz w:val="1"/>
                <w:szCs w:val="1"/>
                <w:color w:val="auto"/>
              </w:rPr>
            </w:pPr>
          </w:p>
        </w:tc>
      </w:tr>
      <w:tr>
        <w:trPr>
          <w:trHeight w:val="243"/>
        </w:trPr>
        <w:tc>
          <w:tcPr>
            <w:tcW w:w="8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rate contract—Change in value recognized in 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a derivative instrument during the three and nine months ended September 30, 2015.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There were no assets or liabilities accounted for at fair value on a recurring basis as of December 31, 2014. The following table summarizes, by level within the fair value hierarchy, the Partnership's liability under the interest rate contract that was accounted for at fair value on a recurring basis at September 30,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900" w:type="dxa"/>
            <w:vAlign w:val="bottom"/>
            <w:tcBorders>
              <w:bottom w:val="single" w:sz="8" w:color="auto"/>
            </w:tcBorders>
          </w:tcPr>
          <w:p>
            <w:pPr>
              <w:spacing w:after="0"/>
              <w:rPr>
                <w:sz w:val="16"/>
                <w:szCs w:val="16"/>
                <w:color w:val="auto"/>
              </w:rPr>
            </w:pPr>
          </w:p>
        </w:tc>
      </w:tr>
      <w:tr>
        <w:trPr>
          <w:trHeight w:val="264"/>
        </w:trPr>
        <w:tc>
          <w:tcPr>
            <w:tcW w:w="8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80" w:type="dxa"/>
            <w:vAlign w:val="bottom"/>
          </w:tcPr>
          <w:p>
            <w:pPr>
              <w:spacing w:after="0"/>
              <w:rPr>
                <w:sz w:val="22"/>
                <w:szCs w:val="22"/>
                <w:color w:val="auto"/>
              </w:rPr>
            </w:pPr>
          </w:p>
        </w:tc>
        <w:tc>
          <w:tcPr>
            <w:tcW w:w="90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Total</w:t>
            </w: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Liability—Interest rate contract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17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 month LIBOR forward curve). There were no transfers in or out of Levels 1 and 2 of the fair value hierarchy for the nine months ended September 30, 2015 and 2014.</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2015 and December 31, 2014 are summarized in the table below. The Partnership's long-term debt includes the August 2013 Promissory Notes, the OpCo Revolver and the MLP Revolver.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2015</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020" w:type="dxa"/>
            <w:vAlign w:val="bottom"/>
            <w:gridSpan w:val="2"/>
          </w:tcPr>
          <w:p>
            <w:pPr>
              <w:jc w:val="center"/>
              <w:ind w:right="64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167,116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167,116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163,379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170,613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60,522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60,522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135,341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134,514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9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operating results were included in Westlake's consolidated U.S. federal and state income tax returns. Amounts presented in the combined financial statements pertaining to the period prior to the IPO relate to income taxes that have been determined on a separate tax return basis and the Predecessor's contribution to Westlake Chemical Corporation's net operating losses and tax credits have been included in the Predecessor's combined financial statements.</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effective income tax rates were 0.2% and 0.2% for the three and nine months ended September 30, 2015, respectively. The effective income tax rates for the three and nine months ended September 30, 2015 are not comparable to the effective income tax rate for the prior-year comparative periods as the Partnership is not subject to federal income taxes subsequent to the IPO. The effective income tax rate of the Predecessor was 35.4% for the period from January 1, 2014 through August 3, 2014. The effective income tax rate for the 2014 period prior to the IPO was above the U.S. federal statutory rate of 35.0% primarily due to state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taxes, mostly offset by the domestic manufacturing deduction and state income tax credits. The Partnership's effective tax rate was less than one percent for the 2014 period subsequent to the IPO.</w:t>
      </w:r>
    </w:p>
    <w:p>
      <w:pPr>
        <w:spacing w:after="0" w:line="193" w:lineRule="exact"/>
        <w:rPr>
          <w:sz w:val="20"/>
          <w:szCs w:val="20"/>
          <w:color w:val="auto"/>
        </w:rPr>
      </w:pPr>
    </w:p>
    <w:p>
      <w:pPr>
        <w:ind w:right="9080" w:firstLine="8"/>
        <w:spacing w:after="0" w:line="390" w:lineRule="auto"/>
        <w:tabs>
          <w:tab w:leader="none" w:pos="27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140" w:firstLine="405"/>
        <w:spacing w:after="0" w:line="259" w:lineRule="auto"/>
        <w:rPr>
          <w:sz w:val="20"/>
          <w:szCs w:val="20"/>
          <w:color w:val="auto"/>
        </w:rPr>
      </w:pPr>
      <w:r>
        <w:rPr>
          <w:rFonts w:ascii="Arial" w:cs="Arial" w:eastAsia="Arial" w:hAnsi="Arial"/>
          <w:sz w:val="18"/>
          <w:szCs w:val="18"/>
          <w:color w:val="auto"/>
        </w:rPr>
        <w:t>Accrued liabilities were $22,352 and $11,900 at September 30, 2015 and December 31, 2014, respectively. The accrual related to capital expenditures, which is a component of accrued liabilities, was $14,452 at September 30, 2015. Accrued taxes, interest on long-term debt and the accrual related to capital expenditures, which are components of accrued liabilities, were $1,622, $2,403, and $5,026 at December 31, 2014, respectively.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Operating Activity</w:t>
      </w:r>
    </w:p>
    <w:p>
      <w:pPr>
        <w:spacing w:after="0" w:line="9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Predecessor settled $2,089 and $9,530 of its total interest expense incurred on long-term debt payable to Westlake as an addition to principal on debt outstanding for the three and nine months ended September 30,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reducing additions to property, plant and equipment was $15,850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The change in capital expenditure accrual reducing additions to property, plant and equipment was $8,564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Major Customer and Concentration of Credit Risk</w:t>
      </w:r>
    </w:p>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During the three months ended September 30, 2015 and 2014, Westlake accounted for approximately 83.6% and 73.9%, respectively, of the Partnership's and the Predecessor's net sales. During the nine months ended September 30, 2015 and 2014, Westlake accounted for approximately 81.9% and 73.7%, respectively, of the Partnership's and the Predecessor's net sales.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Partnership is subject to environmental laws and regulations that can impose civil and criminal sanctions and that may require it to mitigate the effects of contamination caused by the release or disposal of hazardous substances into the environment. Because several of the Partnership's processing sites have a history of industrial use, it is impossible to predict precisely what effect these legal requirements will have on the Partnership. Westlake has agreed to indemnify the Partnership for liabilities that occurred or existed prior to August 4, 2014.</w:t>
      </w:r>
    </w:p>
    <w:p>
      <w:pPr>
        <w:spacing w:after="0" w:line="13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i w:val="1"/>
          <w:iCs w:val="1"/>
          <w:color w:val="auto"/>
        </w:rPr>
        <w:t>Contract Disputes with Goodrich and PolyOne</w:t>
      </w:r>
      <w:r>
        <w:rPr>
          <w:rFonts w:ascii="Arial" w:cs="Arial" w:eastAsia="Arial" w:hAnsi="Arial"/>
          <w:sz w:val="16"/>
          <w:szCs w:val="16"/>
          <w:color w:val="auto"/>
        </w:rPr>
        <w:t>. In connection with the 1990 and 1997 acquisitions of the Goodrich Corporation ("Goodrich")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facility in Calvert City, Kentucky, which is a portion of the B.F. Goodrich superfund site, Goodrich agreed to indemnify Westlake for any liabilities related to preexisting contamination at the site. Westlake agreed to indemnify Goodrich for post-closing contamination caused by Westlake's operations. The soil and groundwater at the site had been extensively contaminated under Goodrich's operations. In 1993, Goodrich spun off the predecessor of PolyOne Corporation ("PolyOne"), and that predecessor assumed Goodrich's indemnification obligations relating to preexisting contamination.</w:t>
      </w:r>
    </w:p>
    <w:p>
      <w:pPr>
        <w:spacing w:after="0" w:line="10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2003, litigation arose among Westlake, Goodrich and PolyOne with respect to the allocation of the cost of remediating contamination at the site. The parties settled this litigation in December 2007, and the case was dismissed. In the settlement the parties agreed that, among other things: (1) PolyOne would pay 100.0% of the costs (with specified exceptions), net of recoveries or credits from third parties, incurred with respect to environmental issues at the Calvert City site from August 1, 2007 forward; (2) either Westlake or PolyOne might, from time to time in the future (but not more than once every five years), institute an arbitration proceeding to adjust that percentage; and (3) Westlake and PolyOne would negotiate a new environmental remediation utilities and services agreement to cover Westlake's provision to or on behalf of PolyOne of certain environmental remediation services at the site. The current environmental remediation activities at the Calvert City site do not have a specified termination date but are expected to last for the foreseeable future. The costs incurred by Westlake that have been invoiced to PolyOne to provide the environmental remediation services were $2,805 in 2014. By letter dated March 16, 2010, PolyOne notified Westlake that it was initiating an arbitration proceeding under the settlement agreement. In this proceeding, PolyOne seeks to readjust the percentage allocation of costs and to recover approximately $1,400 from Westlake in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reimbursement of previously paid remediation costs. The arbitration is currently stayed pending the outcome of discussions between other parties and their insurance carriers.</w:t>
      </w:r>
    </w:p>
    <w:p>
      <w:pPr>
        <w:spacing w:after="0" w:line="116"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i w:val="1"/>
          <w:iCs w:val="1"/>
          <w:color w:val="auto"/>
        </w:rPr>
        <w:t>State Administrative Proceedings</w:t>
      </w:r>
      <w:r>
        <w:rPr>
          <w:rFonts w:ascii="Arial" w:cs="Arial" w:eastAsia="Arial" w:hAnsi="Arial"/>
          <w:sz w:val="16"/>
          <w:szCs w:val="16"/>
          <w:color w:val="auto"/>
        </w:rPr>
        <w:t>. There are several administrative proceedings in Kentucky involving Westlake, Goodrich and PolyOne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manufacturing site in Calvert City, which includes OpCo's processing facility in Calvert City. In 2003, the Kentucky Environmental and Public Protection Cabinet (the "Cabinet") re-issued Goodrich's Resource Conservation and Recovery Act ("RCRA") permit which requires Goodrich to remediate contamination at the Calvert City manufacturing site. Both Goodrich and PolyOne challenged various terms of the permit in an attempt to shift Goodrich's clean-up obligations under the permit to Westlake. Westlake intervened in the proceedings. The Cabinet has suspended all corrective action under the RCRA permit in deference to a remedial investigation and feasibility study ("RIFS") being conducted, under the auspices of the U.S. Environmental Protection Agency ("EPA") pursuant to an Administrative Settlement Agreement ("AOC"), which became effective on December 9, 2009. See "Federal Administrative Proceedings" below. Periodic status conferences will be held to evaluate whether additional proceedings will be required.</w:t>
      </w:r>
    </w:p>
    <w:p>
      <w:pPr>
        <w:spacing w:after="0" w:line="112"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i w:val="1"/>
          <w:iCs w:val="1"/>
          <w:color w:val="auto"/>
        </w:rPr>
        <w:t>Federal Administrative Proceedings</w:t>
      </w:r>
      <w:r>
        <w:rPr>
          <w:rFonts w:ascii="Arial" w:cs="Arial" w:eastAsia="Arial" w:hAnsi="Arial"/>
          <w:sz w:val="17"/>
          <w:szCs w:val="17"/>
          <w:color w:val="auto"/>
        </w:rPr>
        <w:t>. In May 2009, the Cabinet sent a letter to the EPA requesting the EPA's assistance in addressing contamination at</w:t>
      </w:r>
      <w:r>
        <w:rPr>
          <w:rFonts w:ascii="Arial" w:cs="Arial" w:eastAsia="Arial" w:hAnsi="Arial"/>
          <w:sz w:val="17"/>
          <w:szCs w:val="17"/>
          <w:i w:val="1"/>
          <w:iCs w:val="1"/>
          <w:color w:val="auto"/>
        </w:rPr>
        <w:t xml:space="preserve"> </w:t>
      </w:r>
      <w:r>
        <w:rPr>
          <w:rFonts w:ascii="Arial" w:cs="Arial" w:eastAsia="Arial" w:hAnsi="Arial"/>
          <w:sz w:val="17"/>
          <w:szCs w:val="17"/>
          <w:color w:val="auto"/>
        </w:rPr>
        <w:t>the Calvert City site under the Comprehensive Environmental Response, Compensation, and Liability Act ("CERCLA"). In its response to the Cabinet, the EPA stated that it concurred with the Cabinet's request and would incorporate work previously conducted under the Cabinet's RCRA authority into the EPA's cleanup efforts under CERCLA. Since 1983, the EPA has been addressing contamination at an abandoned landfill adjacent to the Partnership's plant which had been operated by Goodrich and which was being remediated pursuant to CERCLA. The EPA has directed Goodrich and PolyOne to conduct additional investigation activities at the landfill and at the Calvert City site. In June 2009, the EPA notified Westlake that Westlake may have potential liability under section 107(a) of CERCLA at its plant site. Liability under section 107(a) of CERCLA is strict and joint and several. The EPA also identified Goodrich and PolyOne, among others, as potentially responsible parties at the plant site. Westlake negotiated, in conjunction with the other potentially responsible parties, an AOC and an order to conduct an RIFS. Due to the Partnership's ownership and current operation of the property, the Partnership may be subject to additional requirements and liabilities under CERCLA.</w:t>
      </w:r>
    </w:p>
    <w:p>
      <w:pPr>
        <w:spacing w:after="0" w:line="124" w:lineRule="exact"/>
        <w:rPr>
          <w:sz w:val="20"/>
          <w:szCs w:val="20"/>
          <w:color w:val="auto"/>
        </w:rPr>
      </w:pPr>
    </w:p>
    <w:p>
      <w:pPr>
        <w:ind w:firstLine="392"/>
        <w:spacing w:after="0" w:line="287" w:lineRule="auto"/>
        <w:rPr>
          <w:sz w:val="20"/>
          <w:szCs w:val="20"/>
          <w:color w:val="auto"/>
        </w:rPr>
      </w:pPr>
      <w:r>
        <w:rPr>
          <w:rFonts w:ascii="Arial" w:cs="Arial" w:eastAsia="Arial" w:hAnsi="Arial"/>
          <w:sz w:val="16"/>
          <w:szCs w:val="16"/>
          <w:i w:val="1"/>
          <w:iCs w:val="1"/>
          <w:color w:val="auto"/>
        </w:rPr>
        <w:t>Potential Flare Modifications</w:t>
      </w:r>
      <w:r>
        <w:rPr>
          <w:rFonts w:ascii="Arial" w:cs="Arial" w:eastAsia="Arial" w:hAnsi="Arial"/>
          <w:sz w:val="16"/>
          <w:szCs w:val="16"/>
          <w:color w:val="auto"/>
        </w:rPr>
        <w:t>. For several years, the EPA has been conducting an enforcement initiative against petroleum refineries and petrochemical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plants with respect to emissions from flares. A number of companies have entered into consent agreements with the EPA requiring both modifications to reduce flare emissions and the installation of additional equipment to better track flare operations and emissions. On April 21, 2014, Westlake received a Clean Air Act Section 114 Information Request from the EPA which sought information regarding flares at the Calvert City and Lake Charles facilities. Westlake submitted information pursuant to such request, including information regarding three flares that the Partnership owns. The EPA has informed Westlake that the information provided leads the EPA to believe that some of the flares are out of compliance with applicable standards. The EPA has demanded that Westlake conduct additional flare sampling and provide supplemental information. Westlake is currently in negotiations with the EPA regarding these demands, some of which are applicable to the Partnership's flares. The EPA has indicated that it is seeking a consent decree with that would obligate Westlake to take corrective actions relating to the alleged noncompliance. Westlake has not agreed that any flares are out of compliance or that any corrective actions are warranted. Depending on the outcome of Westlake's negotiations with the EPA, additional controls on emissions from the Partnership's flares may be required and these could result in increased capital and operating costs.</w:t>
      </w:r>
    </w:p>
    <w:p>
      <w:pPr>
        <w:spacing w:after="0" w:line="119"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i w:val="1"/>
          <w:iCs w:val="1"/>
          <w:color w:val="auto"/>
        </w:rPr>
        <w:t>Louisiana Notice of Violations</w:t>
      </w:r>
      <w:r>
        <w:rPr>
          <w:rFonts w:ascii="Arial" w:cs="Arial" w:eastAsia="Arial" w:hAnsi="Arial"/>
          <w:sz w:val="17"/>
          <w:szCs w:val="17"/>
          <w:color w:val="auto"/>
        </w:rPr>
        <w:t>. The Louisiana Department of Environmental Quality ("LDEQ") has issued notices of violations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Partnership's assets, and those of Westlake, for various air compliance issues. The Partnership and Westlake are working with LDEQ to settle these claims, and a global settlement of all claims is being discussed. While settlement may result in a total civil penalty of approximately $200, such a settlement will likely cover assets owned by the Partnership and Westlake, and to the extent it covers the Partnership's assets, Westlake has agreed to indemnify the Partnership for liabilities to the extent such liabilities occurred or existed prior to August 4, 2014.</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routine legal proceedings incidental to the conduct of its business. The Partnership does not believe that any of these routine legal proceedings will have a material adverse effect on its financial condition, results of operations or cash flows.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COMBINED AND CONSOLIDATED FINANCIAL STATEMENTS -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October 28, 2015, the board of directors of Westlake GP declared a quarterly distribution for the period from July 1, 2015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of $0.2994 per unit or $8,102 in total. This distribution is payable on November 27, 2015 to unitholders of record as of November 9, 2015.</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240" w:top="125" w:right="5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Unless the context otherwise requires, references in this report to the "Predecessor" refer to Westlake Chemical Partners LP Predecessor, our predecessor for accounting purposes, and refer to the time periods prior to the completion of our initial public offering on August 4, 2014 (the "IPO"). Unless otherwise indicated, references in this report to "we," "our," "us" or like terms used in the present tense or prospectively, or in reference to the period subsequent to the IPO, refer to Westlake Chemical Partners LP (the "Partnership"), Westlake Chemical OpCo LP ("OpCo") and Westlake Chemical OpCo GP LLC ("OpCo GP"). References to "Westlake" refer to Westlake Chemical Corporation and its consolidated subsidiaries other than the Partnership, OpCo GP and OpCo.</w:t>
      </w:r>
    </w:p>
    <w:p>
      <w:pPr>
        <w:spacing w:after="0" w:line="139"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section should be read in conjunction with the accompanying combined and consolidated financial statements and the notes thereto and the combined and consolidated financial statements and notes thereto included in Westlake Chemical Partners LP's annual report on Form 10-K for the fiscal year ended December 31, 2014 (the "2014 Form 10-K"), as filed with the SEC on March 9, 2015.</w:t>
      </w:r>
    </w:p>
    <w:p>
      <w:pPr>
        <w:spacing w:after="0" w:line="13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discussion contains forward-looking statements. Please read "Forward-Looking Statements" for a discussion of limitations inherent in such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Initial Public Offering</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August 4, 2014, the Partnership closed its IPO of 12,937,500 common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Additional Interests in OpCo</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29, 2015, we purchased an additional 2.7% newly-issued limited partner interest in OpCo for approximately $135.3 million, resulting in an aggregate 13.3% limited partner interest in OpCo effective April 1, 2015. In order to fund this purchase, we entered into a revolving credit facility (the "MLP Revolver") with a subsidiary of Westlake, which has a total borrowing capacity of $300.0 million. We intend to rely on the MLP Revolver in making any additional purchases of limited partner interests in OpCo in the future. For more information on the MLP Revolver, please see "—Liquidity and Capital Resources—Indebtedness—MLP Revolver."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We are a Delaware limited partnership formed by Westlake to operate, acquire and develop facilities and related assets for the processing of natural gas liquids. Currently, our sole revenue generating asset is our 13.3% limited partner interest in OpCo, a limited partnership formed by Westlake and us in anticipation of the IPO to own and operate a natural gas liquids processing business. We control OpCo through our ownership of its general partner. Westlake retains the remaining 86.7% limited partner interest in OpCo as well as significant interest in us through its ownership of our general partner, 52.2% of our limited partner units (consisting of 1,436,115 common units and all of the subordinated units) and our incentive distribution rights. OpCo's assets include (1) two natural gas liquids processing facilities ("Petro 1" and "Petro 2" and, collectively, "Lake Charles Olefins") at Westlake's Lake Charles, Louisiana site; (2) one natural gas liquids processing facility ("Calvert City Olefins") at Westlake's Calvert City, Kentucky site; and (3) a 200-mile common carrier ethylene pipeline (the "Longview Pipeline") that runs from Mont Belvieu, Texas to the chemical facility in Longview, Texas.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generate revenue primarily by selling ethylene and the resulting co-products we produce. In connection with the IPO, OpCo and Westlake entered into an ethylene sales agreement (the "Ethylene Sales Agreement") pursuant to which we generate a substantial majority of our revenue. This agreement is a long-term, fee-based agreement with a minimum purchase commitment and includes variable pricing based on OpCo's actual feedstock and natural gas costs and estimated other costs of producing ethylene, plus a fixed margin per pound of $0.10 less revenue from co-products sales. We expect Westlake will take volumes in excess of the minimum commitment under the Ethylene Sales Agreement if we produce more than our planned production.</w:t>
      </w:r>
    </w:p>
    <w:p>
      <w:pPr>
        <w:spacing w:after="0" w:line="104"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sell ethylene production in excess of volumes sold to Westlake, as well as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Historically, the third-party ethylene and associated co-products sales have generated greater than 25% of our total revenues. The significant drop in crude oil prices towards the end of 2014 and continuing through the third quarter of 2015 may create volatility in the North American and global markets, which may result in reduced prices and margins for third-party ethylene and associated co-products sales in 2015 and 2016.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connection with the IPO, OpCo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We expect that OpCo will also purchase the ethane and other feedstocks to produce ethylene and resulting co-products to sell to unrelated third parties from Westlake Petrochemicals LLC.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processing capacity;</w:t>
      </w:r>
    </w:p>
    <w:p>
      <w:pPr>
        <w:spacing w:after="0" w:line="9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or increase capacity at our existing processing facilities, or add additional processing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repair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processing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unit.</w:t>
      </w:r>
    </w:p>
    <w:p>
      <w:pPr>
        <w:spacing w:after="0" w:line="125"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directly affects our profitability and cash flows.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We use each of MLP distributable cash flow and EBITDA to analyze our performance. We define distributable cash flow as net income plus depreciation and amortization, less contributions for turnaround reserves and maintenance capital expenditures. We define MLP distributable cash flow as distributable cash flow attributable to periods subsequent to the date of the IPO less distributable cash flow attributable to Westlake's noncontrolling interest in OpCo.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cash flow from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94"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The consolidated results of operations for the three months ended September 30, 2014 consist of the consolidated results of the Partnership for the period from August 4, 2014 through September 30, 2014 and the combined results of the Predecessor for the period from July 1, 2014 through August 3, 2014. The consolidated results of operations for the nine months ended September 30, 2014 consist of the consolidated results of the Partnership for the period from August 4, 2014 through September 30, 2014 and the combined results of the Predecessor for the period from January 1, 2014 through August 3, 2014. Our results of operations subsequent to the IPO are not comparable to the Predecessor's historical results of operations for the reasons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Co-products and Excess Feedstock Sales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There are differences in the way the Predecessor generated and recorded revenue and the way we generate and record revenue from ethylene sales to Westlake. The Predecessor generally recognized revenue for ethylene sold internally based on a transfer pricing formula intended to approximate the fair market value of the commodity. Subsequent to the IPO, a substantial majority of our revenue from ethylene sales is generated from sales of ethylene to Westlake under the Ethylene Sales Agreement. The Ethylene Sales Agreement contains minimum purchase commitments and pricing that is expected to generate a fixed margin of $0.10 per pound. The price per pound of ethylene sold under the Ethylene Sales Agreement is lower than historical prices charged by the Predecessor for ethylene sold internally. As such, there will be a significant decrease in revenue from ethylene sales to Westlake for periods after the IPO compared with the Predecessor's historical revenue.</w:t>
      </w:r>
    </w:p>
    <w:p>
      <w:pPr>
        <w:spacing w:after="0" w:line="124"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Predecessor's third-party sales consisted of ethylene, feedstock and associated co-products sales. With respect to third-party ethylene sales, the Predecessor also resold externally procured ethylene to third parties. Subsequent to the IPO, the ethylene procurement and reselling activities of the Predecessor remained with Westlake. In addition, the Predecessor's net sales included revenue from sales to third parties of excess feedstock not used in the ethylene production process. Following the closing of the IPO, we do not generate revenues from the sale of excess feedstock to third parties as all of the Predecessor's feedstock risk-management activities remained with Westlake. However, we sell all of our co-products volume to third parties in a manner consistent with the Predecessor. As such, there are no significant changes to revenue related to the sale of co-products, as compared to the Predecessor's historical revenue from co-products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Predecessor's selling, general and administrative expenses included direct and indirect charges for the management and operation of our ethylene and other transportation assets allocated by Westlake for general corporate services such as treasury, information technology, legal, corporate tax, human resources, executive compensation, and other financial and administrative services. These expenses were charged or allocated to the Predecessor based on the nature of the expense and the Predecessor's proportionate share of fixed assets, headcount or other measure, as deemed appropriate. Following the closing of the IPO, under the Services and Secondment Agreement and Omnibus Agreement, Westlake continues to charge us a</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combination of direct and allocated charges for similar general corporate services as those charged to the Predecessor historically. We also incur certain annual general and administrative expenses as a result of being a separate publicly traded partnership which were not reflected in the periods prior to the IPO.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Partnership is a limited partnership and is treated as a partnership for U.S. federal income tax purposes and, therefore, is not liable for entity-level federal income taxes. The Partnership is, however, subject to state and local income taxes. The Predecessor's tax provision was determined on a separate return basis. Accordingly, we expect our tax provision to be significantly reduced as compared to that of the Predecessor.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At the closing of the IPO, Westlake contributed a 5.8% limited partner interest and the general partner interest in OpCo to us. Immediately following the IPO, we used the IPO net proceeds to acquire an additional 4.8% limited partner interest in OpCo directly from OpCo and Westlake retained the remaining</w:t>
      </w:r>
    </w:p>
    <w:p>
      <w:pPr>
        <w:ind w:right="80"/>
        <w:spacing w:after="0" w:line="277" w:lineRule="auto"/>
        <w:rPr>
          <w:sz w:val="20"/>
          <w:szCs w:val="20"/>
          <w:color w:val="auto"/>
        </w:rPr>
      </w:pPr>
      <w:r>
        <w:rPr>
          <w:rFonts w:ascii="Arial" w:cs="Arial" w:eastAsia="Arial" w:hAnsi="Arial"/>
          <w:sz w:val="17"/>
          <w:szCs w:val="17"/>
          <w:color w:val="auto"/>
        </w:rPr>
        <w:t>89.4% limited partner interest in OpCo, which is recorded as noncontrolling interest in our consolidated financial statements. In April 2015, we purchased an additional 2.7% newly-issued limited partner interest in OpCo, resulting in an aggregate 13.3% limited partner interest in OpCo effective April 1, 2015. Westlake owns the remaining 86.7% limited partner interest in OpCo. See "Purchase of Additional Interests in OpCo"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production, subject to a maximum commitment of 3.8 billion pounds of ethylene per year, with an option to purchase an additional 95% of actual monthly production in excess of the planned production.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processing facilities.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The table below and descriptions that follow represent the consolidated results of operations of the Partnership for the three and nine months ended September 30, 2015. The combined and consolidated results of operations for the three and nine months ended September 30, 2014 consist of the consolidated results of the Partnership for the period from August 4, 2014 through September 30, 2014 and the combined results of the Predecessor for the period prior to the IPO. Our consolidated results of operations subsequent to the IPO are not comparable to the Predecessor's historical combined results of operations for the reasons discussed under "Factors Affecting the Comparability of Our Financial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79"/>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207,856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289,601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1,088,561</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Net co-product, ethylene and feedstock sales—third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parties</w:t>
            </w: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40,763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102,407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137,277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387,596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248,619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758,715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1,476,157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154,474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227,015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473,815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832,304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643,853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621,050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614,352</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198,461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415,891</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Less: Predecessor net income prior to initial public</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offering on August 4, 2014</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63,616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54,557</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interest in OpCo</w:t>
            </w: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76,943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49,542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233,632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49,542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10,103</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29,046</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Partners LP subsequent to initial public offering</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9,475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5,265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27,671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5,265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108,683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175,838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327,676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682,686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80" w:hanging="245"/>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income from the Predecessor's equity stake in a pipeline joint venture that was not contributed to the Partnership in connection with the IPO.</w:t>
      </w:r>
    </w:p>
    <w:p>
      <w:pPr>
        <w:spacing w:after="0" w:line="140" w:lineRule="exact"/>
        <w:rPr>
          <w:rFonts w:ascii="Arial" w:cs="Arial" w:eastAsia="Arial" w:hAnsi="Arial"/>
          <w:sz w:val="16"/>
          <w:szCs w:val="16"/>
          <w:color w:val="auto"/>
        </w:rPr>
      </w:pPr>
    </w:p>
    <w:p>
      <w:pPr>
        <w:ind w:left="280" w:hanging="245"/>
        <w:spacing w:after="0"/>
        <w:tabs>
          <w:tab w:leader="none" w:pos="2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Non GAAP financial measure. See the "Reconciliation of MLP Distributable Cash Flow to Net Income and Net Cash Provided by Operating Activities."</w:t>
      </w:r>
    </w:p>
    <w:p>
      <w:pPr>
        <w:spacing w:after="0" w:line="140" w:lineRule="exact"/>
        <w:rPr>
          <w:rFonts w:ascii="Arial" w:cs="Arial" w:eastAsia="Arial" w:hAnsi="Arial"/>
          <w:sz w:val="16"/>
          <w:szCs w:val="16"/>
          <w:color w:val="auto"/>
        </w:rPr>
      </w:pPr>
    </w:p>
    <w:p>
      <w:pPr>
        <w:ind w:left="280" w:hanging="245"/>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 GAAP financial measure. See the "Reconciliation of EBITDA to Net Income and Net Cash Provided by Operating Activities."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2015</w:t>
            </w: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Nine Months Ended September 30, 2015</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Volume</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88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40" w:type="dxa"/>
            <w:vAlign w:val="bottom"/>
            <w:gridSpan w:val="2"/>
            <w:vMerge w:val="continue"/>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sales prices and volume percentage change</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from prior year period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386"/>
        </w:trPr>
        <w:tc>
          <w:tcPr>
            <w:tcW w:w="4880" w:type="dxa"/>
            <w:vAlign w:val="bottom"/>
          </w:tcPr>
          <w:p>
            <w:pPr>
              <w:spacing w:after="0"/>
              <w:rPr>
                <w:sz w:val="24"/>
                <w:szCs w:val="24"/>
                <w:color w:val="auto"/>
              </w:rPr>
            </w:pPr>
          </w:p>
        </w:tc>
        <w:tc>
          <w:tcPr>
            <w:tcW w:w="3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 September 30,</w:t>
            </w:r>
          </w:p>
        </w:tc>
        <w:tc>
          <w:tcPr>
            <w:tcW w:w="322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48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15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Propane (cents/lb)</w:t>
            </w: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540" w:type="dxa"/>
            <w:vAlign w:val="bottom"/>
          </w:tcPr>
          <w:p>
            <w:pPr>
              <w:jc w:val="right"/>
              <w:ind w:right="156"/>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580" w:type="dxa"/>
            <w:vAlign w:val="bottom"/>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540" w:type="dxa"/>
            <w:vAlign w:val="bottom"/>
          </w:tcPr>
          <w:p>
            <w:pPr>
              <w:jc w:val="right"/>
              <w:ind w:right="136"/>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_____________</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pricing data was obtained from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MLP distributable cash flow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27,671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160" w:type="dxa"/>
            <w:vAlign w:val="bottom"/>
            <w:shd w:val="clear" w:color="auto" w:fill="CCEEFF"/>
          </w:tcPr>
          <w:p>
            <w:pPr>
              <w:ind w:left="480"/>
              <w:spacing w:after="0" w:line="257" w:lineRule="exact"/>
              <w:rPr>
                <w:sz w:val="20"/>
                <w:szCs w:val="20"/>
                <w:color w:val="auto"/>
              </w:rPr>
            </w:pPr>
            <w:r>
              <w:rPr>
                <w:rFonts w:ascii="Arial" w:cs="Arial" w:eastAsia="Arial" w:hAnsi="Arial"/>
                <w:sz w:val="18"/>
                <w:szCs w:val="18"/>
                <w:color w:val="auto"/>
              </w:rPr>
              <w:t xml:space="preserve">noncontrolling interest in OpCo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72,833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51,652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225,565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51,652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361,334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18,145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48,946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5,839</w:t>
            </w:r>
          </w:p>
        </w:tc>
      </w:tr>
      <w:tr>
        <w:trPr>
          <w:trHeight w:val="270"/>
        </w:trPr>
        <w:tc>
          <w:tcPr>
            <w:tcW w:w="51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Contribution to turnaround reserves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21,133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16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(12,683)</w:t>
            </w: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415,891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14,229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of joint venture, net of dividends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8,267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101,304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107,069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331,203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485,990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ind w:left="40" w:right="680" w:hanging="5"/>
        <w:spacing w:after="0" w:line="277" w:lineRule="auto"/>
        <w:tabs>
          <w:tab w:leader="none" w:pos="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Westlake Partners' initial public offering was on August 4, 2014. The 2014 balances include amounts for the period from August 4, 2014 through September 30, 2014 only.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108,683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175,838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327,676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682,686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(9,833)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87,046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118,173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262,678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415,891</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equity method investment, net of dividends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Loss from disposition of fixed assets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101,304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107,069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331,203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485,990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quarter ended September 30, 2015, net income was $87.0 million on net sales of $248.6 million. This represents a decrease in net income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$31.2 million as compared to the quarter ended September 30, 2014 net income of $118.2 million on net sales of $392.0 million. Net sales for the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2015 decreased by $143.4 million as compared to net sales for the third quarter of 2014 due to a lower average sales price of ethylene sold to Westlake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execution of the Ethylene Sales Agreement in connection with the IPO. Ethylene co-products average sales prices were also lower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2015 as compared to the prior-year period, primarily due to the decline in the market price of the co-products. Income from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$88.3 million for the third quarter of 2015 as compared to $156.1 million for the third quarter of 2014. Income from operations for the third quarter of 2015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prior-year period decreased mainly as result of the execution of the Ethylene Sales Agreement and the decline in the market price of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partially offset by lower feedstock and energy costs during the third quarter of 2015.</w:t>
      </w:r>
    </w:p>
    <w:p>
      <w:pPr>
        <w:spacing w:after="0" w:line="15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For the nine months ended September 30, 2015, net income was $262.7 million on net sales of $758.7 million. This represents a decrease in net income of $153.2 million as compared to the nine months ended September 30, 2014 net income of $415.9 million on net sales of $1,476.2 million. Net sales for the nine months ended September 30, 2015 decreased by $717.5 million as compared to net sales for the nine months ended September 30, 2014 due to a lower average sales price of ethylene sold to Westlake resulting from the execution of the Ethylene Sales Agreement. Ethylene co-products average sales prices were also lower for the first nine months of 2015 as compared to the prior-year period, primarily due to the decline in market price of the co-products. Income from operations was $267.1 million for the nine months ended September 30, 2015 as compared to $621.1 million for the nine months ended September 30, 2014. Income from operations for the nine months ended September 30, 2015 decreased as compared to the prior-year period mainly as result of the execution of the Ethylene Sales Agreement and the decline in the market prices of co-products, partially offset by lower feedstock and energy costs and increased ethylene production as a result of the completion of the feedstock conversion and ethylene expansion project at Calvert City Olefins in April 2014.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2015 Compared with Third Quarter 2014</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by $143.4 million, or 36.6%, to $248.6 million in the third quarter of 2015 from $392.0 million in the third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primarily due to a lower average sales price of ethylene sold to Westlake resulting from the execution of the Ethylene Sales Agreement and lower volume of ethylene sold to third parties primarily due to retention by Westlake of the Predecessor's ethylene procurement and reselling activities in connection with the IPO, partially offset by increased volume of ethylene sold to Westlake for the three months ended September 30, 2015 as compared to the prior-year period. Further, ethylene co-products sales prices were also significantly lower for the third quarter of 2015 as compared to the prior-year period, primarily due to the decline in market prices of the co-products, which resulted in a decrease in sales to third parties. Overall average sales price for the third quarter of 2015 decreased by 31.3% as compared to the third quarter of 2014. Overall sales volumes decreased by 5.2% as compared to the third quarter of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decreased to 37.9% for the third quarter of 2015 from 42.1% for the third quarter of 2014,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 reduction in margin for ethylene sold to Westlake resulting from the execution of the Ethylene Sales Agreement. The decrease was largely offset by a significant drop in feedstock prices and a decrease in energy costs. Overall, sales prices decreased an average of 31.3% for the third quarter of 2015 as compared to the third quarter of 2014.</w:t>
      </w:r>
    </w:p>
    <w:p>
      <w:pPr>
        <w:spacing w:after="0" w:line="13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$3.1 million, or 34.8%, to $5.8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2015 as compared to $8.9 million in the third quarter of 2014. The decrease was mainly attributable to a decrease in the allocation from Westlake of labor costs mainly attributable to the Predecessor's operations retained by Westlake after the closing of the IPO, partially offset by incremental selling, general and administrative expenses incurred by the Partnership subsequent to the IPO as a result of being a separate publicly-traded partnership.</w:t>
      </w:r>
    </w:p>
    <w:p>
      <w:pPr>
        <w:spacing w:after="0" w:line="10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$1.0 million to $1.1 million in the third quarter of 2015 from $2.1 million in the third quarter of 2014,</w:t>
      </w:r>
      <w:r>
        <w:rPr>
          <w:rFonts w:ascii="Arial" w:cs="Arial" w:eastAsia="Arial" w:hAnsi="Arial"/>
          <w:sz w:val="17"/>
          <w:szCs w:val="17"/>
          <w:i w:val="1"/>
          <w:iCs w:val="1"/>
          <w:color w:val="auto"/>
        </w:rPr>
        <w:t xml:space="preserve"> </w:t>
      </w:r>
      <w:r>
        <w:rPr>
          <w:rFonts w:ascii="Arial" w:cs="Arial" w:eastAsia="Arial" w:hAnsi="Arial"/>
          <w:sz w:val="17"/>
          <w:szCs w:val="17"/>
          <w:color w:val="auto"/>
        </w:rPr>
        <w:t>due to the lower average debt balance as well as lower average interest rate in the third quarter of 2015 as compared to the prior-year period. The lower average interest rate in the third quarter of 2015 as compared to the prior-year period was due to the repayment in 2015 of a significant portion of the August 2013 Promissory Notes, which bear a higher interest rate as compared to our other outstanding debt.</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$0.6 million in the third quarter of 2015 from $0.5 million in the third quarter of 2014,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absence of income attributable to the Predecessor's equity stake in a natural gas liquids pipeline joint venture that was not contributed to us in connection with the IPO.</w:t>
      </w:r>
    </w:p>
    <w:p>
      <w:pPr>
        <w:spacing w:after="0" w:line="127"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0.2% for the third quarter of 2015 as compared to 23.5% for the third quarter of 2014. The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for the third quarter of 2015 is not comparable to the effective income tax rate for the prior-year period as the Partnership is not subject to federal income taxes subsequent to the IPO.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by $717.5 million, or 48.6%, to $758.7 million in the nine months ended September 30, 2015 from $1,476.2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2014, primarily due to a lower average sales price of ethylene sold to Westlake resulting from the execution of the Ethylene Sales Agreement and lower volume of ethylene sold to third parties primarily due to retention by Westlake of the Predecessor's ethylene procurement and reselling activities in connection with the IPO, partially offset by increased volume of ethylene sold to Westlake for the nine months ended September 30, 2015 as compared to the prior-year period. Further, ethylene co-products sales prices were also significantly lower for the nine months ended September 30, 2015 as compared to the prior-year period, primarily due to the decline in market prices of the co-products, which resulted in a decrease in sales to third parties. This decrease was partially offset by increased volume of co-product sales to third parties. Overall average sales price for the nine months ended September 30, 2015 decreased by 40.7% as compared to the nine months ended September 30, 2014. Overall sales volumes decreased by 7.9% as compared to the nine months ended September 30, 2014.</w:t>
      </w:r>
    </w:p>
    <w:p>
      <w:pPr>
        <w:spacing w:after="0" w:line="128" w:lineRule="exact"/>
        <w:rPr>
          <w:sz w:val="20"/>
          <w:szCs w:val="20"/>
          <w:color w:val="auto"/>
        </w:rPr>
      </w:pPr>
    </w:p>
    <w:p>
      <w:pPr>
        <w:jc w:val="both"/>
        <w:ind w:right="20"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margin percentage decreased to 37.6% for the nine months ended September 30, 2015 from 43.6%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primarily due to a reduction in margin for ethylene sold to Westlake resulting from the execution of the Ethylene Sales Agreement. The decrease was largely offset by a significant drop in feedstock prices, a decrease in energy costs and the completion of the Calvert City Olefins conversion and expansion project in April 2014. Overall, sales prices decreased an average of 40.7% for the nine months ended September 30, 2015 as compared to the nine months ended September 30, 2014.</w:t>
      </w:r>
    </w:p>
    <w:p>
      <w:pPr>
        <w:spacing w:after="0" w:line="13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decreased $5.0 million, or 21.9%, to $17.8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2015 as compared to $22.8 million in the nine months ended September 30, 2014. The decrease was mainly attributable to a decrease in the allocation from Westlake of labor costs mainly attributable to the Predecessor's operations retained by Westlake after the closing of the IPO, partially offset by incremental selling, general and administrative expenses incurred by the Partnership subsequent to the IPO as a result of being a separate publicly-traded partnership.</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$6.0 million to $3.8 million in the nine months ended September 30, 2015 from $9.8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2014, due to the lower average debt balance as well as lower average interest rate in the nine months ended September 30, 2015 as compared to the prior-year period. The lower average interest rate in the nine months ended September 30, 2015 as compared to the prior-year period was due to the repayment in 2015 of a significant portion of the August 2013 Promissory Notes, which bear a higher interest rate as compared to our other outstanding debt.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$3.1 million in the nine months ended September 30, 2015 from $3.1 million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2014, primarily due to the absence of income attributable to the Predecessor's equity stake in a natural gas liquids pipeline joint venture that was not contributed to us in connection with the IPO.</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was 0.2% for the nine months ended September 30, 2015 as compared to 32.3%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The effective income tax rate for the nine months ended September 30, 2015 is not comparable to the effective income tax rate for the prior-year period as the Partnership is not subject to federal income taxes subsequent to the IPO.</w:t>
      </w:r>
    </w:p>
    <w:p>
      <w:pPr>
        <w:spacing w:after="0" w:line="204" w:lineRule="exact"/>
        <w:rPr>
          <w:sz w:val="20"/>
          <w:szCs w:val="20"/>
          <w:color w:val="auto"/>
        </w:rPr>
      </w:pPr>
    </w:p>
    <w:p>
      <w:pPr>
        <w:ind w:right="3620"/>
        <w:spacing w:after="0" w:line="346"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2015 AND 2014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Operating activities provided cash of $331.2 million in the first nine months of 2015 compared to cash provided by operating activities of $486.0 million in the first nine months of 2014. The $154.8 million decrease in cash flows from operating activities was mainly due to a decrease in income from operations and a decrease in the use of cash for working capital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Net cash used for investing activities during the first nine months of 2015 was $152.6 million as compared to net cash used for investing activities of $144.5 million in the first nine months of 2014. Capital expenditures were $152.6 million in the first nine months of 2015 compared to $144.3 million in the first nine months of 2014. Capital expenditures in the first nine months of 2015 were primarily incurred on the Petro 1 facility to increase ethylene production capacity as further discussed under "Liquidity and Capital Resources - Capital Expenditures" below. Capital expenditures in the first nine months of 2014 were mainly incurred on the feedstock conversion and ethylene expansion project at Calvert City Olefins.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Net cash used for financing activities during the first nine months of 2015 was $158.1 million as compared to net cash used for financing activities of $251.5 million in the first nine months of 2014. The activity during the first nine months of 2015 was primarily related to the repayment of $135.3 million of the August 2013 Promissory Notes and the total distributions of $261.0 million to the unitholders and Westlake by the Partnership and OpCo for the quarters ended December 31, 2014, March 31, 2015 and June 30, 2015. The repayment and distributions were partially offset by the borrowing under the MLP Revolver to fund the purchase of an additional 2.7% limited partner interest in OpCo for $135.3 million and borrowings under the OpCo Revolver of $102.9 million. The activity during the period from January 1, 2014 through August 3, 2014 was primarily related to the Predecessor’s $448.1 million distribution to Westlake, partially offset by borrowings of $119.8 million under the Predecessor’s unsecured promissory note agreements with Westlake. The activity during the period from August 4, 2014 through September 30, 2014 was primarily related to the Partnership's receipt of net proceeds from the IPO, as well as borrowings of $21.4 million under our intercompany credit facility with Westlake, partially offset by a $151.7 million distribution to Westlake for pre-formation capital expenditures and a $78.9 million repayment of borrowings outstanding under the unsecured promissory note agreements assumed by OpCo at the closing of the IPO.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Historically, the Predecessor's principal sources of liquidity were cash from operations and funding from Westlake. As a participant in Westlake's centralized cash management system, the Predecessor's cash receipts were deposited in Westlake's or its affiliates' bank accounts and cash disbursements were made from those accounts. In addition to the cash generated by its operations, the Predecessor also entered into certain financing arrangements with Westlake to satisfy its capital and operating expenditure requirements. The Predecessor separately recorded costs associated with financing its operations resulting from financing arrangements entered into with Westlake.</w:t>
      </w:r>
    </w:p>
    <w:p>
      <w:pPr>
        <w:spacing w:after="0" w:line="13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the IPO, we established separate bank accounts, but Westlake continues to provide treasury services on our behalf under the Services and Secondment Agreement. Our sources of liquidity include cash generated from operations, the OpCo Revolver, the MLP Revolver and, if necessary, the issuance of additional equity interests or debt. We believe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generated from these sources will be sufficient to meet our short-term working capital requirements and long-term capital expenditure requirements and to make quarterly cash distributions. Westlake may also provide other direct and indirect financing to us from time to time.</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order to fund non-annual turnaround expenditures, we caused OpCo to use $55.4 million from the net proceeds of the IPO to fund its initial balance for turnaround activities. We intend to cause OpCo to reserve approximately $29.3 million during each twelve-month period for turnaround activities. Each of OpCo's processing facilities requires turnaround maintenance approximately every five years. By creating an initial balance and reserving additional cash annually, we intend to reduce the variability in OpCo's cash flow. The initial balance of turnaround reserve will account for the period that the processing facilities were under Westlake's ownership following the last major turnaround and prior to the entry into the Ethylene Sales Agreement. Westlake's purchase price for ethylene purchased under the Ethylene Sales Agreement includes a component (adjusted annually) designed to cover, over the long term, substantially all of OpCo's turnaround expenditures.</w:t>
      </w:r>
    </w:p>
    <w:p>
      <w:pPr>
        <w:spacing w:after="0" w:line="13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cash is generated from cash distributions from OpCo. OpCo is a restricted subsidiary and guarantor under Westlake's credit facility and the indentures governing its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1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On October 28, 2015, the board of directors of Westlake Chemical Partners GP LLC, our general partner, approved a quarterly distribution of $0.2994 per unit payable on November 27, 2015 to unitholders of record on November 9, 2015, which equates to approximately $8.1 million per quarter, or approximately $32.4 million per year in aggregate, based on the number of common and subordinated units outstanding on September 30, 2015.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April 2011, Westlake announced an expansion program to increase the ethylene production capacity of both Petro 1 and Petro 2 ethylene facilities in Lake Charles. The expansion of Petro 2 was completed in the first quarter of 2013 and increased ethylene production capacity by approximately 240 million pounds annually. We currently plan to begin the upgrade and capacity expansion of Petro 1 during the second quarter of 2016. This project is currently estimated to cost in the range of $275.0 million to $335.0 million and is expected to add approximately 250 million pounds of ethylene capacity annually. As of September 30, 2015, we had incurred a total cost of approximately $150.8 million on this capital project.</w:t>
      </w:r>
    </w:p>
    <w:p>
      <w:pPr>
        <w:spacing w:after="0" w:line="119" w:lineRule="exact"/>
        <w:rPr>
          <w:sz w:val="20"/>
          <w:szCs w:val="20"/>
          <w:color w:val="auto"/>
        </w:rPr>
      </w:pPr>
    </w:p>
    <w:p>
      <w:pPr>
        <w:jc w:val="both"/>
        <w:ind w:right="1060" w:firstLine="432"/>
        <w:spacing w:after="0" w:line="342" w:lineRule="auto"/>
        <w:rPr>
          <w:sz w:val="20"/>
          <w:szCs w:val="20"/>
          <w:color w:val="auto"/>
        </w:rPr>
      </w:pPr>
      <w:r>
        <w:rPr>
          <w:rFonts w:ascii="Arial" w:cs="Arial" w:eastAsia="Arial" w:hAnsi="Arial"/>
          <w:sz w:val="16"/>
          <w:szCs w:val="16"/>
          <w:color w:val="auto"/>
        </w:rPr>
        <w:t>In April 2014, the Predecessor completed the feedstock conversion and ethylene expansion project at Calvert City Olefins that resulted in approximately 180 million pounds of additional annual capacity and also provided OpCo with 100% ethane feedstock capability at the facility.</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Westlake has historically funded capital expenditures related to Lake Charles Olefins and Calvert City Olefins. During the period from January 1,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through August 3, 2014, Westlake loaned the Predecessor a principal amount of approximately $121.1 million, all of which was used for capital expenditures.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from August 4, 2014 through December 31, 2014 and during the nine months ended September 30, 2015, Westlake loaned OpCo $60.5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$102.9 million, respectively, all of which was used for capital expenditures. Capital expenditures for 2015 are expected to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$233.0 million, of which $152.6 million was spent during the nine months ended September 30, 2015. We expect that Westlake will loan additional cash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OpCo to fund its expansion capital expenditures in the future, but Westlake is under no obligation to do so.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ind w:right="80" w:firstLine="392"/>
        <w:spacing w:after="0" w:line="272" w:lineRule="auto"/>
        <w:rPr>
          <w:sz w:val="20"/>
          <w:szCs w:val="20"/>
          <w:color w:val="auto"/>
        </w:rPr>
      </w:pPr>
      <w:r>
        <w:rPr>
          <w:rFonts w:ascii="Arial" w:cs="Arial" w:eastAsia="Arial" w:hAnsi="Arial"/>
          <w:sz w:val="17"/>
          <w:szCs w:val="17"/>
          <w:color w:val="auto"/>
        </w:rPr>
        <w:t>OpCo assumed $246.1 million of indebtedness under three intercompany promissory notes incurred by Westlake on behalf of the Predecessor (the "August 2013 Promissory Notes") in connection with the closing of the IPO. Using proceeds from the IPO, OpCo repaid $78.9 million of the outstanding principal amount of the August 2013 Promissory Notes during 2014. During the nine months ended September 30, 2015, OpCo repaid $135.3 million of the outstanding principal amount of the remaining August 2013 Promissory Notes. As of September 30, 2015, $31.8 million of the principal amount of the August 2013 Promissory Notes was still outstanding. The August 2013 Promissory Notes have a ten-year term and bear interest at the prime rate plus a 1.5% margin, which is accrued in arrears quarterly. OpCo has the right at any time to prepay the August 2013 Promissory Notes, in whole or in part, without any premium or penalty. The August 2013 Promissory Notes mature in August 2023.</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380" w:firstLine="392"/>
        <w:spacing w:after="0" w:line="286"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(OpCo Revolver") that may be used to fund growth projects and working capital needs. As of September 30, 2015, outstanding borrowings under the OpCo Revolver totaled $163.4 million and bore interest at the LIBOR rate plus 3.0%, which is accrued in arrears quarterly. The OpCo Revolver matures in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April 2015 we entered into a $300.0 million senior, unsecured revolving credit agreement with Westlake Chemical Finance Corporation, an affiliate of Westlake ("MLP Revolver"). The MLP Revolver is scheduled to mature on April 29, 2018.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September 30, 2015, there were $135.3 million principal amount of borrowings outstanding under the MLP Revolver. We intend to use the MLP Revolver to purchase additional limited partnership interests in OpCo in the future, in the event OpCo desires to sell such additional interests to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9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 with Westlake, including our expectations regarding any additional volumes of ethylene Westlake may take in excess of its minimum commitment under the Ethylene Sales Agreement and the possibility of obtaining additional financing from Westlake;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sources of feedstock purchases;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price and availability of electricity;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prevailing economic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ground, grade or water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inclement or hazardous weather conditions, including flooding, and the physical impacts of climate change;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hazards;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and regulations (or the interpretation thereof);</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acquire or maintain necessary permits;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necessary production equipment or replacement parts;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difficulties or failures;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disputes;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late delivery of raw materials;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collecting receivables;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of our customers to take delivery;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price and availability of transportation;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fires, explosions or other accidents;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borrow funds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proposed regulations by the U.S. Treasury Department and the IRS on our status as a partnership for U.S. federal income tax purposes.</w:t>
      </w:r>
    </w:p>
    <w:p>
      <w:pPr>
        <w:spacing w:after="0" w:line="194"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"Risk Factors" in the 2014 Form 10-K and as discussed in Part II "Other Information", Item 1A "Risk Factors" within this Quarterly Report on Form 10-Q.</w:t>
      </w:r>
    </w:p>
    <w:p>
      <w:pPr>
        <w:spacing w:after="0" w:line="10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 substantial portion of the Predecessor's and the Partnership's products and raw materials are commodities whose prices fluctuate as market supply and demand fundamentals change. Accordingly, the Predecessor's and our product margins and level of profitability tend to fluctuate with changes in the business cycle. The Predecessor tried to protect against such instability through various business strategies. These strategies included ethylene feedstock flexibility and the use of derivative instruments in certain instances to reduce price volatility risk on feedstocks. In connection with the IPO, Westlake retained the Predecessor's open derivative positions. Since the IPO, the Partnership has not entered into any commodities derivative transaction. As such, as of September 30, 2015, we had no open derivative positions.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We are exposed to interest rate risk with respect to our variable rate debt. At September 30, 2015, we had variable rate debt of $330.5 million outstanding, all of which was owed to wholly owned subsidiaries of Westlake, $31.8 million of which accrues interest at a variable rate of prime plus 150 basis points, $163.4 million of which accrues interest at a variable rate of LIBOR plus 300 basis points and the remaining $135.3 million of which accrues interest at a variable rate of LIBOR plus 200 basis points. Historically, neither the Partnership nor the Predecessor engaged in hedging of variable rate debt. During August 2015, the Partnership entered into an interest rate contract with Westlake to fix the LIBOR component of the interest rate for a portion of the debt. The weighted average variable interest rate of our variable rate debt (excluding the effectively fixed rate debt through the interest rate contract) as of September 30, 2015 was 3.20%. We will continue to be subject to interest rate risk with respect to our variable rate debt as well as the risk of higher interest cost if and when these debts are refinanced. An increase in our average interest rate on variable rate debt (excluding the effectively fixed rate debt portion through the interest rate contract) by 1% would increase our annual interest expense by approximately $2.6 million, based on the September 30, 2015 debt balance.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 and Changes in Internal Control Over Financial Reporting</w:t>
      </w:r>
    </w:p>
    <w:p>
      <w:pPr>
        <w:spacing w:after="0" w:line="9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SEC, as required by Section 404 of the Sarbanes-Oxley Act, adopted rules that generally require every registrant that files reports with the SEC to include a management report on such registrant's internal control over financial reporting in its annual report. In addition, our independent registered public accounting firm must attest to our internal control over financial reporting. Our first annual report on Form 10-K did not include a report of management's assessment regarding internal control over financial reporting or an attestation report of our independent registered public accounting firm due to a transition period established by SEC rules applicable to new public companies. We are required to provide an assessment of the effectiveness of our internal control over financial reporting and comply with the auditor attestation requirement of Section 404 of the Sarbanes Oxley-Act as of December 31, 2015. There were no changes in our internal control over financial reporting that occurred during the three months ended September 30, 2015 that have materially affected, or are reasonably likely to materially affect, our internal control over financial reporting.</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2014 Form 10-K, filed on March 9, 2015, contained a description of various legal proceedings in which we are involved, including environmental proceedings. See Note 16 to the unaudited combined and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discussion of risk factors, please read Item IA, "Risk Factors" in the 2014 Form 10-K and in our Quarterly Report for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There have been no material changes from those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3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Treasurer and Director of</w:t>
      </w:r>
    </w:p>
    <w:p>
      <w:pPr>
        <w:jc w:val="center"/>
        <w:ind w:left="7300"/>
        <w:spacing w:after="0" w:line="221" w:lineRule="auto"/>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240" w:top="125" w:right="7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Executive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6300" w:type="dxa"/>
            <w:vAlign w:val="bottom"/>
            <w:gridSpan w:val="2"/>
          </w:tcPr>
          <w:p>
            <w:pPr>
              <w:spacing w:after="0"/>
              <w:rPr>
                <w:sz w:val="20"/>
                <w:szCs w:val="20"/>
                <w:color w:val="auto"/>
              </w:rPr>
            </w:pPr>
            <w:r>
              <w:rPr>
                <w:rFonts w:ascii="Arial" w:cs="Arial" w:eastAsia="Arial" w:hAnsi="Arial"/>
                <w:sz w:val="18"/>
                <w:szCs w:val="18"/>
                <w:color w:val="auto"/>
              </w:rPr>
              <w:t>Rule 13a – 14(a) / 15d – 14(a) Certification (Principal Financial Officer)</w:t>
            </w:r>
          </w:p>
        </w:tc>
      </w:tr>
      <w:tr>
        <w:trPr>
          <w:trHeight w:val="39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2"/>
              </w:rPr>
              <w:t>Section 1350 Certification (Principal Executive Officer and Principal Financial Officer)</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440" w:type="dxa"/>
            <w:vAlign w:val="bottom"/>
          </w:tcPr>
          <w:p>
            <w:pPr>
              <w:spacing w:after="0"/>
              <w:rPr>
                <w:sz w:val="21"/>
                <w:szCs w:val="21"/>
                <w:color w:val="auto"/>
              </w:rPr>
            </w:pPr>
          </w:p>
        </w:tc>
        <w:tc>
          <w:tcPr>
            <w:tcW w:w="586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125" w:right="1440"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440" w:hanging="685"/>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440" w:hanging="685"/>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Senior Vice President, Chief Financial Officer, Treasurer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September 30, 2015 as filed with the Securities and Exchange Commission on the date hereof (the "Report"), I, Albert Chao, President, Chief Executive Officer and Director of the Partnership, and I, M. Steven Bender, Senior Vice President, Chief Financial Officer, Treasurer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Senior Vice President, Chief Financial Officer,</w:t>
      </w:r>
    </w:p>
    <w:p>
      <w:pPr>
        <w:jc w:val="center"/>
        <w:ind w:left="7080"/>
        <w:spacing w:after="0" w:line="226" w:lineRule="auto"/>
        <w:rPr>
          <w:sz w:val="20"/>
          <w:szCs w:val="20"/>
          <w:color w:val="auto"/>
        </w:rPr>
      </w:pPr>
      <w:r>
        <w:rPr>
          <w:rFonts w:ascii="Arial" w:cs="Arial" w:eastAsia="Arial" w:hAnsi="Arial"/>
          <w:sz w:val="14"/>
          <w:szCs w:val="14"/>
          <w:b w:val="1"/>
          <w:bCs w:val="1"/>
          <w:color w:val="auto"/>
        </w:rPr>
        <w:t>Treasurer and Director of</w:t>
      </w:r>
    </w:p>
    <w:p>
      <w:pPr>
        <w:jc w:val="center"/>
        <w:ind w:left="708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2020-01-25T00:56:36Z</dcterms:created>
  <dcterms:modified xsi:type="dcterms:W3CDTF">2020-01-25T00:56:36Z</dcterms:modified>
</cp:coreProperties>
</file>