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193040</wp:posOffset>
            </wp:positionV>
            <wp:extent cx="3310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144145</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right="1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740"/>
        <w:spacing w:after="0"/>
        <w:tabs>
          <w:tab w:leader="none" w:pos="4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214630</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125095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32-0436529</w:t>
      </w:r>
    </w:p>
    <w:p>
      <w:pPr>
        <w:spacing w:after="0" w:line="82" w:lineRule="exact"/>
        <w:rPr>
          <w:sz w:val="24"/>
          <w:szCs w:val="24"/>
          <w:color w:val="auto"/>
        </w:rPr>
      </w:pPr>
    </w:p>
    <w:p>
      <w:pPr>
        <w:sectPr>
          <w:pgSz w:w="11900" w:h="16838" w:orient="portrait"/>
          <w:cols w:equalWidth="0" w:num="2">
            <w:col w:w="7520" w:space="720"/>
            <w:col w:w="3140"/>
          </w:cols>
          <w:pgMar w:left="240" w:top="517" w:right="27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0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7240" w:space="720"/>
            <w:col w:w="3420"/>
          </w:cols>
          <w:pgMar w:left="240" w:top="517"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2801 Post Oak Boulevard, Suite 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77056</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585-2900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380"/>
          </w:cols>
          <w:pgMar w:left="240" w:top="517" w:right="279" w:bottom="1440" w:gutter="0" w:footer="0" w:header="0"/>
          <w:type w:val="continuous"/>
        </w:sectPr>
      </w:pPr>
    </w:p>
    <w:p>
      <w:pPr>
        <w:spacing w:after="0" w:line="7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smaller reporting company, or an emerging growth company. See definitions of "large accelerated filer," "accelerated filer", "smaller reporting company" and "emerging growth company" in Rule 12b-2 of the Exchange Act (Check one):</w:t>
      </w:r>
    </w:p>
    <w:p>
      <w:pPr>
        <w:spacing w:after="0" w:line="25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4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620"/>
              <w:spacing w:after="0"/>
              <w:rPr>
                <w:sz w:val="20"/>
                <w:szCs w:val="20"/>
                <w:color w:val="auto"/>
              </w:rPr>
            </w:pPr>
            <w:r>
              <w:rPr>
                <w:rFonts w:ascii="Arial" w:cs="Arial" w:eastAsia="Arial" w:hAnsi="Arial"/>
                <w:sz w:val="18"/>
                <w:szCs w:val="18"/>
                <w:b w:val="1"/>
                <w:bCs w:val="1"/>
                <w:color w:val="auto"/>
              </w:rPr>
              <w:t>Accelerated filer</w:t>
            </w:r>
          </w:p>
        </w:tc>
        <w:tc>
          <w:tcPr>
            <w:tcW w:w="7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419"/>
        </w:trPr>
        <w:tc>
          <w:tcPr>
            <w:tcW w:w="236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4780" w:type="dxa"/>
            <w:vAlign w:val="bottom"/>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260" w:type="dxa"/>
            <w:vAlign w:val="bottom"/>
          </w:tcPr>
          <w:p>
            <w:pPr>
              <w:ind w:left="620"/>
              <w:spacing w:after="0"/>
              <w:rPr>
                <w:sz w:val="20"/>
                <w:szCs w:val="20"/>
                <w:color w:val="auto"/>
              </w:rPr>
            </w:pPr>
            <w:r>
              <w:rPr>
                <w:rFonts w:ascii="Arial" w:cs="Arial" w:eastAsia="Arial" w:hAnsi="Arial"/>
                <w:sz w:val="18"/>
                <w:szCs w:val="18"/>
                <w:b w:val="1"/>
                <w:bCs w:val="1"/>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60" w:type="dxa"/>
            <w:vAlign w:val="bottom"/>
          </w:tcPr>
          <w:p>
            <w:pPr>
              <w:ind w:left="620"/>
              <w:spacing w:after="0"/>
              <w:rPr>
                <w:sz w:val="20"/>
                <w:szCs w:val="20"/>
                <w:color w:val="auto"/>
              </w:rPr>
            </w:pPr>
            <w:r>
              <w:rPr>
                <w:rFonts w:ascii="Arial" w:cs="Arial" w:eastAsia="Arial" w:hAnsi="Arial"/>
                <w:sz w:val="18"/>
                <w:szCs w:val="18"/>
                <w:b w:val="1"/>
                <w:bCs w:val="1"/>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78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x The registrant had 14,373,615 common units and 12,686,115 subordinated units outstanding as of April 26, 2017.</w:t>
      </w:r>
    </w:p>
    <w:p>
      <w:pPr>
        <w:sectPr>
          <w:pgSz w:w="11900" w:h="16838" w:orient="portrait"/>
          <w:cols w:equalWidth="0" w:num="1">
            <w:col w:w="11380"/>
          </w:cols>
          <w:pgMar w:left="240" w:top="517"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006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58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580" w:type="dxa"/>
            <w:vAlign w:val="bottom"/>
            <w:gridSpan w:val="3"/>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8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19">
              <w:r>
                <w:rPr>
                  <w:rFonts w:ascii="Arial" w:cs="Arial" w:eastAsia="Arial" w:hAnsi="Arial"/>
                  <w:sz w:val="18"/>
                  <w:szCs w:val="18"/>
                  <w:color w:val="auto"/>
                  <w:w w:val="99"/>
                </w:rPr>
                <w:t>2)</w:t>
              </w:r>
            </w:hyperlink>
          </w:p>
        </w:tc>
        <w:tc>
          <w:tcPr>
            <w:tcW w:w="10060" w:type="dxa"/>
            <w:vAlign w:val="bottom"/>
          </w:tcPr>
          <w:p>
            <w:pPr>
              <w:ind w:left="20"/>
              <w:spacing w:after="0"/>
              <w:rPr>
                <w:rFonts w:ascii="Arial" w:cs="Arial" w:eastAsia="Arial" w:hAnsi="Arial"/>
                <w:sz w:val="18"/>
                <w:szCs w:val="18"/>
                <w:color w:val="auto"/>
              </w:rPr>
            </w:pPr>
            <w:hyperlink w:anchor="page19">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7">
              <w:r>
                <w:rPr>
                  <w:rFonts w:ascii="Arial" w:cs="Arial" w:eastAsia="Arial" w:hAnsi="Arial"/>
                  <w:sz w:val="18"/>
                  <w:szCs w:val="18"/>
                  <w:color w:val="auto"/>
                  <w:w w:val="99"/>
                </w:rPr>
                <w:t>3)</w:t>
              </w:r>
            </w:hyperlink>
          </w:p>
        </w:tc>
        <w:tc>
          <w:tcPr>
            <w:tcW w:w="10060" w:type="dxa"/>
            <w:vAlign w:val="bottom"/>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8">
              <w:r>
                <w:rPr>
                  <w:rFonts w:ascii="Arial" w:cs="Arial" w:eastAsia="Arial" w:hAnsi="Arial"/>
                  <w:sz w:val="18"/>
                  <w:szCs w:val="18"/>
                  <w:color w:val="auto"/>
                  <w:w w:val="99"/>
                </w:rPr>
                <w:t>4)</w:t>
              </w:r>
            </w:hyperlink>
          </w:p>
        </w:tc>
        <w:tc>
          <w:tcPr>
            <w:tcW w:w="10060" w:type="dxa"/>
            <w:vAlign w:val="bottom"/>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594"/>
        </w:trPr>
        <w:tc>
          <w:tcPr>
            <w:tcW w:w="10580" w:type="dxa"/>
            <w:vAlign w:val="bottom"/>
            <w:gridSpan w:val="3"/>
          </w:tcPr>
          <w:p>
            <w:pPr>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300" w:type="dxa"/>
            <w:vAlign w:val="bottom"/>
            <w:gridSpan w:val="2"/>
          </w:tcPr>
          <w:p>
            <w:pPr>
              <w:ind w:left="60"/>
              <w:spacing w:after="0"/>
              <w:rPr>
                <w:rFonts w:ascii="Arial" w:cs="Arial" w:eastAsia="Arial" w:hAnsi="Arial"/>
                <w:sz w:val="18"/>
                <w:szCs w:val="18"/>
                <w:color w:val="auto"/>
              </w:rPr>
            </w:pPr>
            <w:hyperlink w:anchor="page29">
              <w:r>
                <w:rPr>
                  <w:rFonts w:ascii="Arial" w:cs="Arial" w:eastAsia="Arial" w:hAnsi="Arial"/>
                  <w:sz w:val="18"/>
                  <w:szCs w:val="18"/>
                  <w:color w:val="auto"/>
                </w:rPr>
                <w:t>1A) Risk Factors</w:t>
              </w:r>
            </w:hyperlink>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9">
              <w:r>
                <w:rPr>
                  <w:rFonts w:ascii="Arial" w:cs="Arial" w:eastAsia="Arial" w:hAnsi="Arial"/>
                  <w:sz w:val="18"/>
                  <w:szCs w:val="18"/>
                  <w:color w:val="auto"/>
                  <w:w w:val="99"/>
                </w:rPr>
                <w:t>6)</w:t>
              </w:r>
            </w:hyperlink>
          </w:p>
        </w:tc>
        <w:tc>
          <w:tcPr>
            <w:tcW w:w="10060" w:type="dxa"/>
            <w:vAlign w:val="bottom"/>
          </w:tcPr>
          <w:p>
            <w:pPr>
              <w:ind w:left="20"/>
              <w:spacing w:after="0"/>
              <w:rPr>
                <w:rFonts w:ascii="Arial" w:cs="Arial" w:eastAsia="Arial" w:hAnsi="Arial"/>
                <w:sz w:val="18"/>
                <w:szCs w:val="18"/>
                <w:color w:val="auto"/>
              </w:rPr>
            </w:pPr>
            <w:hyperlink w:anchor="page29">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74"/>
        </w:trPr>
        <w:tc>
          <w:tcPr>
            <w:tcW w:w="8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192"/>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except unit amounts)</w:t>
            </w:r>
          </w:p>
        </w:tc>
      </w:tr>
      <w:tr>
        <w:trPr>
          <w:trHeight w:val="256"/>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122,974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88,900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receivable—Westlake Chemical Corporation ("Westlake")</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82,065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126,977</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net—third parties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3,934</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229,832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232,165</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1,223,239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1,222,238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charges and other assets, net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97,915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95,011</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assets, net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100,825</w:t>
            </w:r>
          </w:p>
        </w:tc>
      </w:tr>
      <w:tr>
        <w:trPr>
          <w:trHeight w:val="297"/>
        </w:trPr>
        <w:tc>
          <w:tcPr>
            <w:tcW w:w="836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1,556,800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1,555,228</w:t>
            </w:r>
          </w:p>
        </w:tc>
      </w:tr>
      <w:tr>
        <w:trPr>
          <w:trHeight w:val="237"/>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payable—Westlake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12,130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payable—third parties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15,295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9,930</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15,717</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46,645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37,777</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594,629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1,736</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648,815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634,265</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unitholders—public (12,937,500 units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297,367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Common unitholder—Westlake (1,436,115 units issued and outstanding)</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4,813</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Subordinated unitholder—Westlake (12,686,115 units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42,534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General partner—Westlake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(242,341)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(242,430)</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102,859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102,484</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805,126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818,479</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907,985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920,963</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1,556,800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1,555,228</w:t>
            </w: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4"/>
        </w:trPr>
        <w:tc>
          <w:tcPr>
            <w:tcW w:w="8360" w:type="dxa"/>
            <w:vAlign w:val="bottom"/>
          </w:tcPr>
          <w:p>
            <w:pPr>
              <w:spacing w:after="0"/>
              <w:rPr>
                <w:sz w:val="23"/>
                <w:szCs w:val="23"/>
                <w:color w:val="auto"/>
              </w:rPr>
            </w:pPr>
          </w:p>
        </w:tc>
        <w:tc>
          <w:tcPr>
            <w:tcW w:w="306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(in thousands of dollars, except unit amounts and</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per unit data)</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212,930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231,260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 parties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64,518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21,344</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277,448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252,604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179,487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142,190</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97,961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110,414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90,133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104,317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86,331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103,170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86,028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102,771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76,264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90,687</w:t>
            </w:r>
          </w:p>
        </w:tc>
        <w:tc>
          <w:tcPr>
            <w:tcW w:w="0" w:type="dxa"/>
            <w:vAlign w:val="bottom"/>
          </w:tcPr>
          <w:p>
            <w:pPr>
              <w:spacing w:after="0"/>
              <w:rPr>
                <w:sz w:val="1"/>
                <w:szCs w:val="1"/>
                <w:color w:val="auto"/>
              </w:rPr>
            </w:pP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Westlake Chemical Partners LP</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9,764</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12,084</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per limited partner unit attributable to Westlake Chemical Partners LP</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 (basic and diluted)</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12,937,500</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1,436,115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12,686,115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8"/>
                <w:szCs w:val="18"/>
                <w:color w:val="auto"/>
              </w:rPr>
              <w:t>Distributions per common unit</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0.3450</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0.3080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385"/>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86,028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102,771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Interest rate contract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fair value of cash flow hedge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Reclassification of loss to net income</w:t>
            </w: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96</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86,117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102,040</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noncontrolling interest in OpCo</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76,264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90,687</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Comprehensive income attributable to Westlake Chemical Partners LP</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9,853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11,353</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Subordinated</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General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Unitholders</w:t>
            </w:r>
            <w:r>
              <w:rPr>
                <w:rFonts w:ascii="Arial" w:cs="Arial" w:eastAsia="Arial" w:hAnsi="Arial"/>
                <w:sz w:val="14"/>
                <w:szCs w:val="14"/>
                <w:color w:val="auto"/>
                <w:w w:val="93"/>
              </w:rPr>
              <w:t>—</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4"/>
                <w:szCs w:val="14"/>
                <w:color w:val="auto"/>
                <w:w w:val="97"/>
              </w:rPr>
              <w:t>—</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Unitholder</w:t>
            </w:r>
            <w:r>
              <w:rPr>
                <w:rFonts w:ascii="Arial" w:cs="Arial" w:eastAsia="Arial" w:hAnsi="Arial"/>
                <w:sz w:val="14"/>
                <w:szCs w:val="14"/>
                <w:color w:val="auto"/>
                <w:w w:val="95"/>
              </w:rPr>
              <w:t>—</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4"/>
                <w:szCs w:val="14"/>
                <w:color w:val="auto"/>
                <w:w w:val="98"/>
              </w:rPr>
              <w:t>—</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2"/>
                <w:szCs w:val="12"/>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Public</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5"/>
              </w:rPr>
              <w:t>in OpCo</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6"/>
          </w:tcPr>
          <w:p>
            <w:pPr>
              <w:ind w:left="680"/>
              <w:spacing w:after="0"/>
              <w:rPr>
                <w:sz w:val="20"/>
                <w:szCs w:val="20"/>
                <w:color w:val="auto"/>
              </w:rPr>
            </w:pPr>
            <w:r>
              <w:rPr>
                <w:rFonts w:ascii="Arial" w:cs="Arial" w:eastAsia="Arial" w:hAnsi="Arial"/>
                <w:sz w:val="14"/>
                <w:szCs w:val="14"/>
                <w:b w:val="1"/>
                <w:bCs w:val="1"/>
                <w:color w:val="auto"/>
                <w:w w:val="99"/>
              </w:rPr>
              <w:t>(in thousands of dollars)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294,565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750,606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847,167</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5,777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90,687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102,771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effect of cash flow hedge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(8,334)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retained in</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OpCo by Westlake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(75,650)</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Balances at March 31, 2016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296,357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4,701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41,543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(242,570)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765,643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865,223</w:t>
            </w:r>
          </w:p>
        </w:tc>
        <w:tc>
          <w:tcPr>
            <w:tcW w:w="0" w:type="dxa"/>
            <w:vAlign w:val="bottom"/>
          </w:tcPr>
          <w:p>
            <w:pPr>
              <w:spacing w:after="0"/>
              <w:rPr>
                <w:sz w:val="1"/>
                <w:szCs w:val="1"/>
                <w:color w:val="auto"/>
              </w:rPr>
            </w:pPr>
          </w:p>
        </w:tc>
      </w:tr>
      <w:tr>
        <w:trPr>
          <w:trHeight w:val="487"/>
        </w:trPr>
        <w:tc>
          <w:tcPr>
            <w:tcW w:w="3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2016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297,367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42,534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(242,430)</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818,479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920,963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86,028</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Net effect of cash flow hedge</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interest retained in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60"/>
              <w:spacing w:after="0"/>
              <w:rPr>
                <w:sz w:val="20"/>
                <w:szCs w:val="20"/>
                <w:color w:val="auto"/>
              </w:rPr>
            </w:pPr>
            <w:r>
              <w:rPr>
                <w:rFonts w:ascii="Arial" w:cs="Arial" w:eastAsia="Arial" w:hAnsi="Arial"/>
                <w:sz w:val="18"/>
                <w:szCs w:val="18"/>
                <w:color w:val="auto"/>
              </w:rPr>
              <w:t>OpCo by Westlake</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(89,617)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(89,617)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297,462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42,626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805,126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907,985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385"/>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86,028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102,771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20,396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(Gain)/loss from disposition of property, plant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involuntary conversion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5,862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1,289</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7,610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(3,895)</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149,078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112,575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(79,091)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recovery for involuntary conversion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(78,993)</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59,519</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payable to Westlake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(75,650)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unitholders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(8,334)</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(24,465)</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88,900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169,559</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122,974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178,676</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44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 In connection with the IPO, the Partnership acquired a 10.6% interest in Westlake Chemical OpCo LP ("OpCo") and a 100% interest in Westlake Chemical OpCo GP LLC ("OpCo GP"), which is the general partner of OpCo. On April 29, 2015, the Partnership purchased an additional 2.7% newly-issued limited partner interest in OpCo for approximately $135,341, resulting in an aggregate 13.3% limited partner interest in OpCo effective April 1, 2015. OpCo owns three ethylene production facilities and a common carrier ethylene pipeline.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392"/>
        <w:spacing w:after="0" w:line="272" w:lineRule="auto"/>
        <w:rPr>
          <w:sz w:val="20"/>
          <w:szCs w:val="20"/>
          <w:color w:val="auto"/>
        </w:rPr>
      </w:pPr>
      <w:r>
        <w:rPr>
          <w:rFonts w:ascii="Arial" w:cs="Arial" w:eastAsia="Arial" w:hAnsi="Arial"/>
          <w:sz w:val="17"/>
          <w:szCs w:val="17"/>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December 31, 2016 combined and consolidated financial statements and notes thereto of the Partnership included in the annual report on Form 10-K for the fiscal year ended December 31, 2016 (the "2016 Form 10-K"), filed with the SEC on March 7, 2017. These financial statements have been prepared in conformity with the accounting principles and practices as disclosed in the notes to the combined and consolidated financial statements of the Partnership for the fiscal year ended December 31, 2016.</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References to "Westlake" refer collectively to Westlake Chemical Corporation and its subsidiaries, other than the Partnership, OpCo and OpCo GP.</w:t>
      </w:r>
    </w:p>
    <w:p>
      <w:pPr>
        <w:spacing w:after="0" w:line="183" w:lineRule="exact"/>
        <w:rPr>
          <w:sz w:val="20"/>
          <w:szCs w:val="20"/>
          <w:color w:val="auto"/>
        </w:rPr>
      </w:pPr>
    </w:p>
    <w:p>
      <w:pPr>
        <w:ind w:right="60" w:firstLine="392"/>
        <w:spacing w:after="0" w:line="271" w:lineRule="auto"/>
        <w:rPr>
          <w:sz w:val="20"/>
          <w:szCs w:val="20"/>
          <w:color w:val="auto"/>
        </w:rPr>
      </w:pPr>
      <w:r>
        <w:rPr>
          <w:rFonts w:ascii="Arial" w:cs="Arial" w:eastAsia="Arial" w:hAnsi="Arial"/>
          <w:sz w:val="17"/>
          <w:szCs w:val="17"/>
          <w:color w:val="auto"/>
        </w:rPr>
        <w:t>The Partnership holds a 13.3% limited partner interest and the entire non-economic general partner interest in OpCo. The remaining 86.7% limited partner interest in OpCo is owned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86.7% is recorded as noncontrolling interest in the Partnership's consolidated financial statements.</w:t>
      </w:r>
    </w:p>
    <w:p>
      <w:pPr>
        <w:spacing w:after="0" w:line="125"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March 31, 2017, its results of operations for the three months ended March 31, 2017 and 2016 and the changes in its cash position for the three months ended March 31, 2017 and 2016.</w:t>
      </w:r>
    </w:p>
    <w:p>
      <w:pPr>
        <w:spacing w:after="0" w:line="9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2017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(ASU No. 2014-09)</w:t>
      </w:r>
    </w:p>
    <w:p>
      <w:pPr>
        <w:spacing w:after="0" w:line="9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In 2016, the FASB issued various additional authoritative guidance for the new revenue recognition standard. The accounting standard will be effective for reporting periods beginning after December 15, 2017. The Partnership is in the process of evaluating the impact that the new accounting standard will have on its consolidated financial position,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No. 2016-02)</w:t>
      </w:r>
    </w:p>
    <w:p>
      <w:pPr>
        <w:spacing w:after="0" w:line="9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 February 2016, the FASB issued an accounting standards update on a new lease standard that will supersede the existing lease guidance. The standard requires a lessee to recognize assets and liabilities related to long-term leases that are classified as operating leases under current guidance on its balance sheet. An asset would be recognized related to the right to use the underlying asset and a liability would be recognized related to the obligation to make lease payments over the term of the lease. The standard also requires expanded disclosures related to leases. The accounting standard will be effective for reporting periods beginning after December 15, 2018. The Partnership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The Partnership is in the process of evaluating the impact that the new accounting guidance will have on its consolidated financial position, results of operations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(ASU No. 2016-15)</w:t>
      </w:r>
    </w:p>
    <w:p>
      <w:pPr>
        <w:spacing w:after="0" w:line="90"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In August 2016, the FASB issued an accounting standards update providing new guidance on the classification of certain cash receipts and payments including debt extinguishment costs, debt prepayment costs, settlement of zero-coupon debt instruments, contingent consideration payments, proceeds from the settlement of insurance claims and life insurance policies and distributions received from equity method investees in the statement of cash flows. This update is required to be applied using the retrospective transition method to each period presented unless it is impracticable to be applied retrospectively. In such situation, this guidance is to be applied prospectively. The accounting standard will be effective for reporting periods beginning after December 15, 2017. The Partnership is in the process of evaluating the impact that the new accounting guidance will have on its consolidated financial position, results of operations and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(ASU No. 2017-01)</w:t>
      </w:r>
    </w:p>
    <w:p>
      <w:pPr>
        <w:spacing w:after="0" w:line="90" w:lineRule="exact"/>
        <w:rPr>
          <w:sz w:val="20"/>
          <w:szCs w:val="20"/>
          <w:color w:val="auto"/>
        </w:rPr>
      </w:pPr>
    </w:p>
    <w:p>
      <w:pPr>
        <w:ind w:right="280" w:firstLine="405"/>
        <w:spacing w:after="0" w:line="297" w:lineRule="auto"/>
        <w:rPr>
          <w:sz w:val="20"/>
          <w:szCs w:val="20"/>
          <w:color w:val="auto"/>
        </w:rPr>
      </w:pPr>
      <w:r>
        <w:rPr>
          <w:rFonts w:ascii="Arial" w:cs="Arial" w:eastAsia="Arial" w:hAnsi="Arial"/>
          <w:sz w:val="16"/>
          <w:szCs w:val="16"/>
          <w:color w:val="auto"/>
        </w:rPr>
        <w:t>In January 2017, the FASB issued an accounting standards update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by more closely aligning it with how outputs are described in the FASB ASC Topic 606, Revenue from contracts with customers. The accounting standard will be effective for reporting periods beginning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after December 15, 2017. The Partnership is in the process of evaluating the impact that the new accounting guidance will have on its consolidated financial position, results of operations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Gains and Losses from the Derecognition of Nonfinancial Assets (ASU No. 2017-05)</w:t>
      </w:r>
    </w:p>
    <w:p>
      <w:pPr>
        <w:spacing w:after="0" w:line="90"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February 2017, the FASB issued an accounting standards update to clarify the scope of guidance related to other income—gains and losses from the derecognition of nonfinancial assets, and to add guidance for partial sales of nonfinancial assets. The new guidance clarifies that an in substance nonfinancial asset is an asset or group of assets for which substantially all of the fair value consists of nonfinancial assets and the group or subsidiary is not a business. The guidance also outlines that when an entity transfers its controlling interest in a nonfinancial asset, but retains a noncontrolling interest, it will measure the retained interest at fair value resulting in full gain or loss recognition upon sale of the controlling interest. The accounting standard will be effective for reporting periods beginning after December 15, 2017. The Partnership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the Consolidation Analysis (ASU No. 2016-17)</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October 2016, the FASB issued an accounting standards update making certain changes to the current consolidation guidance. The amendments affect reporting entities that are required to evaluate whether they should consolidate a variable interest entity in certain situations involving entities under common control. Specifically, the amendments change the evaluation of whether a reporting entity is the primary beneficiary of a variable interest entity by changing how a reporting entity that is a single decision maker of a variable interest entity treats indirect interests in the entity held through related parties that are under common control with the reporting entity. The amendments became effective for annual periods beginning after December 15, 2016. The Partnership adopted this accounting standard effective January 1, 2017, and the adoption did not have any impact on the Partnership’s consolidated financial position, results of operations and cash flow.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4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11,913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11,349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w:t>
            </w:r>
          </w:p>
        </w:tc>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4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19,863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60" w:type="dxa"/>
            <w:vAlign w:val="bottom"/>
            <w:vMerge w:val="continue"/>
          </w:tcPr>
          <w:p>
            <w:pPr>
              <w:spacing w:after="0"/>
              <w:rPr>
                <w:sz w:val="24"/>
                <w:szCs w:val="24"/>
                <w:color w:val="auto"/>
              </w:rPr>
            </w:pPr>
          </w:p>
        </w:tc>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60" w:type="dxa"/>
            <w:vAlign w:val="bottom"/>
          </w:tcPr>
          <w:p>
            <w:pPr>
              <w:ind w:left="440"/>
              <w:spacing w:after="0"/>
              <w:rPr>
                <w:sz w:val="20"/>
                <w:szCs w:val="20"/>
                <w:color w:val="auto"/>
              </w:rPr>
            </w:pPr>
            <w:r>
              <w:rPr>
                <w:rFonts w:ascii="Arial" w:cs="Arial" w:eastAsia="Arial" w:hAnsi="Arial"/>
                <w:sz w:val="18"/>
                <w:szCs w:val="18"/>
                <w:color w:val="auto"/>
              </w:rPr>
              <w:t>Inventories consist of the following:</w:t>
            </w:r>
          </w:p>
        </w:tc>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4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4,776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94"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As of March 31, 2017, the Partnership had property, plant and equipment, net totaling $1,223,239. The Partnership assesses these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and uncertainties associated with governmental actions. Long-lived assets assessed for impairment are grouped at the lowest level for which identifiable cash flows are largely independent of the cash flows of other assets and liabilities.</w:t>
      </w:r>
    </w:p>
    <w:p>
      <w:pPr>
        <w:spacing w:after="0" w:line="11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Depreciation expense on property, plant and equipment of $23,413 and $16,553 is included in cost of sales in the consolidated statements of operations for the three months ended March 31, 2017 and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Assets</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Amortization expense on other assets of $6,737 and $3,843 is included in costs of sales in the consolidated statements of operations for the three months ended March 31, 2017 and 2016,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Distributions and Net Income Per Limited Partner Unit</w:t>
      </w:r>
    </w:p>
    <w:p>
      <w:pPr>
        <w:spacing w:after="0" w:line="175" w:lineRule="exact"/>
        <w:rPr>
          <w:sz w:val="20"/>
          <w:szCs w:val="20"/>
          <w:color w:val="auto"/>
        </w:rPr>
      </w:pPr>
    </w:p>
    <w:p>
      <w:pPr>
        <w:ind w:right="120" w:firstLine="392"/>
        <w:spacing w:after="0" w:line="312" w:lineRule="auto"/>
        <w:rPr>
          <w:sz w:val="20"/>
          <w:szCs w:val="20"/>
          <w:color w:val="auto"/>
        </w:rPr>
      </w:pPr>
      <w:r>
        <w:rPr>
          <w:rFonts w:ascii="Arial" w:cs="Arial" w:eastAsia="Arial" w:hAnsi="Arial"/>
          <w:sz w:val="16"/>
          <w:szCs w:val="16"/>
          <w:color w:val="auto"/>
        </w:rPr>
        <w:t>On May 1, 2017, the board of directors of Westlake Chemical Partners GP LLC ("Westlake GP"), the Partnership's general partner, declared a quarterly cash distribution for the period from January 1, 2017 through March 31, 2017 of $0.3549 per unit and of $231 to the holders of the Partnership's incentive distribution rights ("IDR Holders"). This distribution is payable on May 30, 2017 to unitholders and IDR Holders of record as of May 15, 2017.</w:t>
      </w:r>
    </w:p>
    <w:p>
      <w:pPr>
        <w:spacing w:after="0" w:line="1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Partnership Agreement provides that the Partnership will distribute cash each quarter during the subordination period in the following manner: first, to the holders of common units, until each common unit has received the minimum quarterly distribution of $0.2750, plus any arrearages from prior quarters; second, to the holders of subordinated units, until each subordinated unit has received the minimum quarterly distribution of $0.2750; and third, to the holders of common and subordinated units, pro-rata, until each unit has received a distribution of $0.3163. If cash distributions to the Partnership's unitholders exceed $0.3163 per common unit and subordinated unit in any quarter, the Partnership's unitholders and Westlake, as the holder of the Partnership's incentive distribution rights, will receive distributions according to the following percentage allocations: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$0.3163 up to $0.3438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Above $0.3438 up to $0.4125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$0.4125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For the three months ended March 31, 2017, the Partnership's distribution exceeded the $0.3163 per common and subordinated unit target, which resulted in distributions to the IDR 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260" w:firstLine="392"/>
        <w:spacing w:after="0" w:line="277" w:lineRule="auto"/>
        <w:rPr>
          <w:sz w:val="20"/>
          <w:szCs w:val="20"/>
          <w:color w:val="auto"/>
        </w:rPr>
      </w:pPr>
      <w:r>
        <w:rPr>
          <w:rFonts w:ascii="Arial" w:cs="Arial" w:eastAsia="Arial" w:hAnsi="Arial"/>
          <w:sz w:val="18"/>
          <w:szCs w:val="18"/>
          <w:color w:val="auto"/>
        </w:rPr>
        <w:t>The distributions are declared subsequent to quarter end; therefore, the table below represents total distributions declared from earnings of the related periods pertaining to such distributions.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12,084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Limited partners' distribution declared on common units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Limited partners' distribution declared on subordinated units</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4,019</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declared with respect to the incentive distribution rights</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(Distribution in excess of net income) net income in excess of distribution</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3,509</w:t>
            </w:r>
          </w:p>
        </w:tc>
      </w:tr>
      <w:tr>
        <w:trPr>
          <w:trHeight w:val="20"/>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Net income attributable to the Partnership is allocated to the unitholders in accordance with their respective ownership percentages in preparation of the consolidated statement of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71"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Three Months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Limited Partners'</w:t>
            </w:r>
          </w:p>
        </w:tc>
        <w:tc>
          <w:tcPr>
            <w:tcW w:w="140" w:type="dxa"/>
            <w:vAlign w:val="bottom"/>
          </w:tcPr>
          <w:p>
            <w:pPr>
              <w:spacing w:after="0"/>
              <w:rPr>
                <w:sz w:val="13"/>
                <w:szCs w:val="13"/>
                <w:color w:val="auto"/>
              </w:rPr>
            </w:pPr>
          </w:p>
        </w:tc>
        <w:tc>
          <w:tcPr>
            <w:tcW w:w="134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3"/>
                <w:szCs w:val="13"/>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40" w:type="dxa"/>
            <w:vAlign w:val="bottom"/>
          </w:tcPr>
          <w:p>
            <w:pPr>
              <w:spacing w:after="0"/>
              <w:rPr>
                <w:sz w:val="16"/>
                <w:szCs w:val="16"/>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1"/>
              </w:rPr>
              <w:t>Rights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5,101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4,502</w:t>
            </w:r>
          </w:p>
        </w:tc>
        <w:tc>
          <w:tcPr>
            <w:tcW w:w="1200" w:type="dxa"/>
            <w:vAlign w:val="bottom"/>
            <w:gridSpan w:val="2"/>
          </w:tcPr>
          <w:p>
            <w:pPr>
              <w:jc w:val="right"/>
              <w:ind w:right="90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231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in excess of net income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5,064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4,469</w:t>
            </w: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231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9,764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 2016</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40" w:type="dxa"/>
            <w:vAlign w:val="bottom"/>
          </w:tcPr>
          <w:p>
            <w:pPr>
              <w:spacing w:after="0"/>
              <w:rPr>
                <w:sz w:val="13"/>
                <w:szCs w:val="13"/>
                <w:color w:val="auto"/>
              </w:rPr>
            </w:pPr>
          </w:p>
        </w:tc>
        <w:tc>
          <w:tcPr>
            <w:tcW w:w="134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3"/>
                <w:szCs w:val="13"/>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40" w:type="dxa"/>
            <w:vAlign w:val="bottom"/>
          </w:tcPr>
          <w:p>
            <w:pPr>
              <w:spacing w:after="0"/>
              <w:rPr>
                <w:sz w:val="16"/>
                <w:szCs w:val="16"/>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1"/>
              </w:rPr>
              <w:t>Rights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4,554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4,019</w:t>
            </w:r>
          </w:p>
        </w:tc>
        <w:tc>
          <w:tcPr>
            <w:tcW w:w="1200" w:type="dxa"/>
            <w:vAlign w:val="bottom"/>
            <w:gridSpan w:val="2"/>
          </w:tcPr>
          <w:p>
            <w:pPr>
              <w:jc w:val="right"/>
              <w:ind w:right="90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6,418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5,664</w:t>
            </w: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12,084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OpCo sells ethylene to Westlake under the Amended Ethylene Sales Agreement. Additionally, the Partnership and OpCo from time to time provide other services or products for which each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120" w:val="left"/>
          <w:tab w:leader="none" w:pos="9960" w:val="left"/>
          <w:tab w:leader="none" w:pos="10700" w:val="left"/>
        </w:tabs>
        <w:rPr>
          <w:sz w:val="20"/>
          <w:szCs w:val="20"/>
          <w:color w:val="auto"/>
        </w:rPr>
      </w:pPr>
      <w:r>
        <w:rPr>
          <w:rFonts w:ascii="Arial" w:cs="Arial" w:eastAsia="Arial" w:hAnsi="Arial"/>
          <w:sz w:val="18"/>
          <w:szCs w:val="18"/>
          <w:color w:val="auto"/>
        </w:rPr>
        <w:t>Net sales—Westlake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212,930</w:t>
        <w:tab/>
        <w:t>$</w:t>
      </w:r>
      <w:r>
        <w:rPr>
          <w:sz w:val="20"/>
          <w:szCs w:val="20"/>
          <w:color w:val="auto"/>
        </w:rPr>
        <w:tab/>
      </w:r>
      <w:r>
        <w:rPr>
          <w:rFonts w:ascii="Arial" w:cs="Arial" w:eastAsia="Arial" w:hAnsi="Arial"/>
          <w:sz w:val="16"/>
          <w:szCs w:val="16"/>
          <w:color w:val="auto"/>
        </w:rPr>
        <w:t>231,260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3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 of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66,108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 sales</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25,417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20,453</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122,530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86,561</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 general and administrative</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6,732</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220" w:val="left"/>
          <w:tab w:leader="none" w:pos="9960" w:val="left"/>
          <w:tab w:leader="none" w:pos="10880" w:val="left"/>
        </w:tabs>
        <w:rPr>
          <w:sz w:val="20"/>
          <w:szCs w:val="20"/>
          <w:color w:val="auto"/>
        </w:rPr>
      </w:pPr>
      <w:r>
        <w:rPr>
          <w:rFonts w:ascii="Arial" w:cs="Arial" w:eastAsia="Arial" w:hAnsi="Arial"/>
          <w:sz w:val="18"/>
          <w:szCs w:val="18"/>
          <w:color w:val="auto"/>
        </w:rPr>
        <w:t>Goods and services purchased from Westlake and capitalized as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10,384</w:t>
        <w:tab/>
        <w:t>$</w:t>
      </w:r>
      <w:r>
        <w:rPr>
          <w:sz w:val="20"/>
          <w:szCs w:val="20"/>
          <w:color w:val="auto"/>
        </w:rPr>
        <w:tab/>
      </w:r>
      <w:r>
        <w:rPr>
          <w:rFonts w:ascii="Arial" w:cs="Arial" w:eastAsia="Arial" w:hAnsi="Arial"/>
          <w:sz w:val="16"/>
          <w:szCs w:val="16"/>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and Accounts Payable to Related Parties</w:t>
      </w:r>
    </w:p>
    <w:p>
      <w:pPr>
        <w:spacing w:after="0" w:line="9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The Partnership's accounts receivable from Westlake result primarily from ethylene sales to Westlake and the shortfall recoverable from Westlake under the Ethylene Sales Agreement. Under the Ethylene Sales Agreement, if production costs billed to Westlake on an annual basis are less than 95% of the actual production costs incurred by OpCo during the year, OpCo is entitled to recover the shortfall in the subsequent year. The shortfall is recognized in the period when such production activities occur. The shortfall recognized in 2016 is recoverable during 2017, per the Ethylene Sales Agreement. During 2016, Calvert City Olefins experienced a shutdown caused by a mechanical failure, which resulted in a force majeure event under the Ethylene Sales Agreement. Based on the annual year-end measurement, a buyer deficiency fee of $13,106 was recognized as a receivable from Westlake and as a component of net sales in the consolidated financial statements as of and for the year ended December 31, 2016. The buyer deficiency fee was collected from Westlake in January 2017.</w:t>
      </w:r>
    </w:p>
    <w:p>
      <w:pPr>
        <w:spacing w:after="0" w:line="32"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receivable and accounts payable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receivable—Westlake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82,065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126,977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Accounts payable—Westlake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(12,130)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connection with the IPO, OpCo assumed promissory notes payable to Westlake ("the August 2013 Promissory Notes") and entered into a senior unsecured revolving credit facility with Westlake. In April 2015, the Partnership entered into an unsecured revolving credit facility with Westlake. See Note 8 for a description of related party debt payable balances. Interest on related party debt payable balances for the three months ended March 31, 2017 and 2016 was $5,460 and $1,231, respectively. Interest on related party debt payable is presented as interest expense—Westlake in the consolidated statements of operations. Interest capitalized as a component of plant and equipment on related party debt was $398 and $2,386 for the three months ended March 31, 2017 and 2016, respectively. At March 31, 2017 and December 31, 2016, accrued interest on related party debt was $5,842 and $5,517, respectively, and is reflected as a component of accrued liabilities in the consolidated balance sheets.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600,206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594,629</w:t>
            </w: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OpCo, together with other subsidiaries of Westlake not included in these consolidated financial statements, were guarantors under Westlake's revolving credit facility and the indentures governing its senior notes. During August 2016, OpCo and certain subsidiaries of Westlake were released from their guarantees.</w:t>
      </w:r>
    </w:p>
    <w:p>
      <w:pPr>
        <w:spacing w:after="0" w:line="127"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In 2015, the Partnership entered into an interest rate contract with Westlake to fix the London Interbank Offered Rate ("LIBOR") component of the interest rate for a portion of the MLP Revolver balance. See Note 10 for additional information on the interest rate contract.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380" w:firstLine="392"/>
        <w:spacing w:after="0" w:line="277" w:lineRule="auto"/>
        <w:rPr>
          <w:sz w:val="20"/>
          <w:szCs w:val="20"/>
          <w:color w:val="auto"/>
        </w:rPr>
      </w:pPr>
      <w:r>
        <w:rPr>
          <w:rFonts w:ascii="Arial" w:cs="Arial" w:eastAsia="Arial" w:hAnsi="Arial"/>
          <w:sz w:val="18"/>
          <w:szCs w:val="18"/>
          <w:color w:val="auto"/>
        </w:rPr>
        <w:t>OpCo has two site lease agreements with Westlake, and each has a term of 50 years. Pursuant to the site lease agreements, OpCo pays Westlake one dollar per site per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2013 Promissory Notes (variable interest rate of prime plus 1.5%, original</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scheduled maturity of August 1, 2023)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31,775</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OpCo Revolver (variable interest rate of LIBOR plus 3.0%, original scheduled maturity of</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tcPr>
          <w:p>
            <w:pPr>
              <w:ind w:left="160"/>
              <w:spacing w:after="0"/>
              <w:rPr>
                <w:sz w:val="20"/>
                <w:szCs w:val="20"/>
                <w:color w:val="auto"/>
              </w:rPr>
            </w:pPr>
            <w:r>
              <w:rPr>
                <w:rFonts w:ascii="Arial" w:cs="Arial" w:eastAsia="Arial" w:hAnsi="Arial"/>
                <w:sz w:val="18"/>
                <w:szCs w:val="18"/>
                <w:color w:val="auto"/>
              </w:rPr>
              <w:t>August 4, 2019)</w:t>
            </w:r>
          </w:p>
        </w:tc>
        <w:tc>
          <w:tcPr>
            <w:tcW w:w="26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433,090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427,513</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 (variable interest rate of LIBOR plus 2.0%, original scheduled maturity of</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April 29, 2018)</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135,341</w:t>
            </w:r>
          </w:p>
        </w:tc>
      </w:tr>
      <w:tr>
        <w:trPr>
          <w:trHeight w:val="237"/>
        </w:trPr>
        <w:tc>
          <w:tcPr>
            <w:tcW w:w="83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600,206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594,629</w:t>
            </w:r>
          </w:p>
        </w:tc>
      </w:tr>
      <w:tr>
        <w:trPr>
          <w:trHeight w:val="27"/>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interest rate on all long-term debt was 3.86% and 3.72% at March 31, 2017 and December 31, 2016, respectively.</w:t>
      </w:r>
    </w:p>
    <w:p>
      <w:pPr>
        <w:spacing w:after="0" w:line="17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March 31, 2017, the Partnership was in compliance with all of the covenants under the August 2013 Promissory Notes, the OpCo Revolver and the MLP Revolver.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94"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color w:val="auto"/>
        </w:rPr>
        <w:t>Accumulated other comprehensive income or loss primarily reflects the effective portion of the gain or loss on derivative instrument designated and qualified as a cash flow hedge. Gain or loss amounts related to a cash flow hedge recorded in accumulated other comprehensive income or loss are reclassified to income in the same period in which the underlying hedged forecasted transaction affects income. If it becomes probable that a forecasted transaction will not occur, the related net gain or loss in accumulated other comprehensive income or loss is immediately reclassified into income.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accumulated other comprehensive income (loss)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Interest rate contract—Other comprehensive income (loss) before reclassification</w:t>
            </w: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(827)</w:t>
            </w:r>
          </w:p>
        </w:tc>
      </w:tr>
      <w:tr>
        <w:trPr>
          <w:trHeight w:val="27"/>
        </w:trPr>
        <w:tc>
          <w:tcPr>
            <w:tcW w:w="8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contract—Amounts reclassified from accumulated other comprehensive loss</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5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into net income</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Balances at March 31,</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(451)</w:t>
            </w:r>
          </w:p>
        </w:tc>
      </w:tr>
      <w:tr>
        <w:trPr>
          <w:trHeight w:val="20"/>
        </w:trPr>
        <w:tc>
          <w:tcPr>
            <w:tcW w:w="8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w:t>
      </w:r>
    </w:p>
    <w:p>
      <w:pPr>
        <w:spacing w:after="0" w:line="94"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The accounting guidance for derivative instruments and hedging activities requires that the Partnership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9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During August 2015, the Partnership entered into an interest rate contract with Westlake designed to reduce the risks of variability of the interest rate under the MLP Revolver. The interest rate contract fixed the LIBOR component of the interest rate for a portion of the MLP Revolver balance. This contract was designated as a cash flow hedge. With the exception of this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interest rate contract, the Partnership did not have any other derivative financial instruments during the three months ended March 31, 2017 and 2016.</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derivative instrument on the Partnership's consolidated balance sheets were as follows:</w:t>
      </w:r>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rPr>
              <w:t>Derivative Assets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942"/>
              <w:spacing w:after="0"/>
              <w:rPr>
                <w:sz w:val="20"/>
                <w:szCs w:val="20"/>
                <w:color w:val="auto"/>
              </w:rPr>
            </w:pPr>
            <w:r>
              <w:rPr>
                <w:rFonts w:ascii="Arial" w:cs="Arial" w:eastAsia="Arial" w:hAnsi="Arial"/>
                <w:sz w:val="14"/>
                <w:szCs w:val="14"/>
                <w:b w:val="1"/>
                <w:bCs w:val="1"/>
                <w:color w:val="auto"/>
                <w:w w:val="92"/>
              </w:rPr>
              <w:t>Fair Value as of</w:t>
            </w:r>
          </w:p>
        </w:tc>
        <w:tc>
          <w:tcPr>
            <w:tcW w:w="0" w:type="dxa"/>
            <w:vAlign w:val="bottom"/>
          </w:tcPr>
          <w:p>
            <w:pPr>
              <w:spacing w:after="0"/>
              <w:rPr>
                <w:sz w:val="1"/>
                <w:szCs w:val="1"/>
                <w:color w:val="auto"/>
              </w:rPr>
            </w:pPr>
          </w:p>
        </w:tc>
      </w:tr>
      <w:tr>
        <w:trPr>
          <w:trHeight w:val="152"/>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20" w:type="dxa"/>
            <w:vAlign w:val="bottom"/>
            <w:vMerge w:val="restart"/>
          </w:tcPr>
          <w:p>
            <w:pPr>
              <w:spacing w:after="0"/>
              <w:rPr>
                <w:sz w:val="13"/>
                <w:szCs w:val="13"/>
                <w:color w:val="auto"/>
              </w:rPr>
            </w:pPr>
          </w:p>
        </w:tc>
        <w:tc>
          <w:tcPr>
            <w:tcW w:w="308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Balance Sheet Location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9"/>
              </w:rPr>
              <w:t>March 31,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8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3"/>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Deferred charges and other assets, net</w:t>
            </w:r>
          </w:p>
        </w:tc>
        <w:tc>
          <w:tcPr>
            <w:tcW w:w="2460" w:type="dxa"/>
            <w:vAlign w:val="bottom"/>
            <w:gridSpan w:val="3"/>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362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60" w:firstLine="405"/>
        <w:spacing w:after="0" w:line="277" w:lineRule="auto"/>
        <w:rPr>
          <w:sz w:val="20"/>
          <w:szCs w:val="20"/>
          <w:color w:val="auto"/>
        </w:rPr>
      </w:pPr>
      <w:r>
        <w:rPr>
          <w:rFonts w:ascii="Arial" w:cs="Arial" w:eastAsia="Arial" w:hAnsi="Arial"/>
          <w:sz w:val="18"/>
          <w:szCs w:val="18"/>
          <w:color w:val="auto"/>
        </w:rPr>
        <w:t>The following tables present the effect of the derivative instrument designated as cash flow hedge on the consolidated statements of operations and the consolidated statements of comprehensive income for the three months ended March 31, 2017 and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4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Location of Loss Recognized in Statement of Operations</w:t>
            </w: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contract—Loss reclassified</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accumulated other</w:t>
            </w:r>
          </w:p>
        </w:tc>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7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4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rate contract—Adjustments to fair value recognized in other comprehensive income</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ineffective portion of the derivative instrument during the three months ended March 31, 2017 and 2016.</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11 for the fair value of derivative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tables summarize, by level within the fair value hierarchy, the Partnership's liability and asset under the interest rate contract that was accounted for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 2017</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spacing w:after="0"/>
              <w:rPr>
                <w:sz w:val="22"/>
                <w:szCs w:val="22"/>
                <w:color w:val="auto"/>
              </w:rPr>
            </w:pPr>
          </w:p>
        </w:tc>
        <w:tc>
          <w:tcPr>
            <w:tcW w:w="45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4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860" w:type="dxa"/>
            <w:vAlign w:val="bottom"/>
          </w:tcPr>
          <w:p>
            <w:pPr>
              <w:ind w:left="40"/>
              <w:spacing w:after="0"/>
              <w:rPr>
                <w:sz w:val="20"/>
                <w:szCs w:val="20"/>
                <w:color w:val="auto"/>
              </w:rPr>
            </w:pPr>
            <w:r>
              <w:rPr>
                <w:rFonts w:ascii="Arial" w:cs="Arial" w:eastAsia="Arial" w:hAnsi="Arial"/>
                <w:sz w:val="18"/>
                <w:szCs w:val="18"/>
                <w:color w:val="auto"/>
              </w:rPr>
              <w:t>Asset—Interest rate contract</w:t>
            </w:r>
          </w:p>
        </w:tc>
        <w:tc>
          <w:tcPr>
            <w:tcW w:w="4500" w:type="dxa"/>
            <w:vAlign w:val="bottom"/>
          </w:tcPr>
          <w:p>
            <w:pPr>
              <w:spacing w:after="0"/>
              <w:rPr>
                <w:sz w:val="22"/>
                <w:szCs w:val="22"/>
                <w:color w:val="auto"/>
              </w:rPr>
            </w:pPr>
          </w:p>
        </w:tc>
        <w:tc>
          <w:tcPr>
            <w:tcW w:w="960" w:type="dxa"/>
            <w:vAlign w:val="bottom"/>
            <w:tcBorders>
              <w:bottom w:val="single" w:sz="8" w:color="auto"/>
            </w:tcBorders>
          </w:tcPr>
          <w:p>
            <w:pPr>
              <w:jc w:val="right"/>
              <w:ind w:right="76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8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December 31, 2016</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spacing w:after="0"/>
              <w:rPr>
                <w:sz w:val="22"/>
                <w:szCs w:val="22"/>
                <w:color w:val="auto"/>
              </w:rPr>
            </w:pPr>
          </w:p>
        </w:tc>
        <w:tc>
          <w:tcPr>
            <w:tcW w:w="45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4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860" w:type="dxa"/>
            <w:vAlign w:val="bottom"/>
          </w:tcPr>
          <w:p>
            <w:pPr>
              <w:ind w:left="40"/>
              <w:spacing w:after="0"/>
              <w:rPr>
                <w:sz w:val="20"/>
                <w:szCs w:val="20"/>
                <w:color w:val="auto"/>
              </w:rPr>
            </w:pPr>
            <w:r>
              <w:rPr>
                <w:rFonts w:ascii="Arial" w:cs="Arial" w:eastAsia="Arial" w:hAnsi="Arial"/>
                <w:sz w:val="18"/>
                <w:szCs w:val="18"/>
                <w:color w:val="auto"/>
              </w:rPr>
              <w:t>Asset—Interest rate contract</w:t>
            </w:r>
          </w:p>
        </w:tc>
        <w:tc>
          <w:tcPr>
            <w:tcW w:w="5460" w:type="dxa"/>
            <w:vAlign w:val="bottom"/>
            <w:gridSpan w:val="2"/>
          </w:tcPr>
          <w:p>
            <w:pPr>
              <w:jc w:val="right"/>
              <w:ind w:right="762"/>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9"/>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500" w:type="dxa"/>
            <w:vAlign w:val="bottom"/>
            <w:vMerge w:val="restart"/>
          </w:tcPr>
          <w:p>
            <w:pPr>
              <w:jc w:val="right"/>
              <w:ind w:right="2470"/>
              <w:spacing w:after="0"/>
              <w:rPr>
                <w:sz w:val="20"/>
                <w:szCs w:val="20"/>
                <w:color w:val="auto"/>
              </w:rPr>
            </w:pPr>
            <w:r>
              <w:rPr>
                <w:rFonts w:ascii="Arial" w:cs="Arial" w:eastAsia="Arial" w:hAnsi="Arial"/>
                <w:sz w:val="18"/>
                <w:szCs w:val="18"/>
                <w:color w:val="auto"/>
              </w:rPr>
              <w:t>14</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6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fair value of the Level 2 interest rate contract is determined using standard valuation methodologies which incorporate relevant contract terms along with readily available market data (i.e. the 3-month LIBOR forward curve). There were no transfers in or out of Levels 1 and 2 of the fair value hierarchy during the three months ended March 31, 2017.</w:t>
      </w:r>
    </w:p>
    <w:p>
      <w:pPr>
        <w:spacing w:after="0" w:line="12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Partnership has other financial assets and liabilities subject to fair value measures. These financial assets and liabilities include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March 31, 2017 and December 31, 2016 are summarized in the table below. The Partnership's long-term debt includes the August 2013 Promissory Notes, the OpCo Revolver and the MLP Revolver.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2017</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3"/>
                <w:szCs w:val="13"/>
                <w:color w:val="auto"/>
              </w:rPr>
            </w:pPr>
          </w:p>
        </w:tc>
        <w:tc>
          <w:tcPr>
            <w:tcW w:w="108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6"/>
                <w:szCs w:val="16"/>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920" w:type="dxa"/>
            <w:vAlign w:val="bottom"/>
          </w:tcPr>
          <w:p>
            <w:pPr>
              <w:jc w:val="right"/>
              <w:ind w:right="477"/>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2013 Promissory Notes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433,090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449,408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427,513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442,716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135,341</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135,218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135,341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134,835</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right="9100" w:firstLine="8"/>
        <w:spacing w:after="0" w:line="390" w:lineRule="auto"/>
        <w:tabs>
          <w:tab w:leader="none" w:pos="27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140" w:firstLine="405"/>
        <w:spacing w:after="0" w:line="259" w:lineRule="auto"/>
        <w:rPr>
          <w:sz w:val="20"/>
          <w:szCs w:val="20"/>
          <w:color w:val="auto"/>
        </w:rPr>
      </w:pPr>
      <w:r>
        <w:rPr>
          <w:rFonts w:ascii="Arial" w:cs="Arial" w:eastAsia="Arial" w:hAnsi="Arial"/>
          <w:sz w:val="18"/>
          <w:szCs w:val="18"/>
          <w:color w:val="auto"/>
        </w:rPr>
        <w:t>Accrued liabilities were $24,122 and $15,717 at March 31, 2017 and December 31, 2016, respectively. The capital expenditures accrual, accrued interest, accrued taxes, turnaround costs accrual and accrued maintenance, which are components of accrued liabilities, were $6,729, $5,842, $2,227, $4,162 and $3,115, respectively, at March 31, 2017, and $2,647, $5,517, $1,497, $945 and $2,586, respectively, at December 31, 2016. No other component of accrued liabilities was more than five percent of total current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 in capital expenditure accrual reducing additions to property, plant and equipment was $1,159 for the three months ended March 31, 2017.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change in capital expenditure accrual reducing additions to property, plant and equipment was $13,719 for the three months ended March 31, 2016.</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Recovery</w:t>
      </w:r>
    </w:p>
    <w:p>
      <w:pPr>
        <w:spacing w:after="0" w:line="171"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During the three months ended March 31, 2017, the Partnership received an insurance recovery of approximately $1,555 related to the Calvert City Olefins unplanned shut-down during 2016. The insurance recovery is included in other income in the consolidated statement of operations for the three months ended March 31,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Major Customer and Concentration of Credit Risk</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months ended March 31, 2017 and 2016, Westlake accounted for approximately 76.7% and 91.6%, respectively, of the Partnership's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auto"/>
        </w:rPr>
        <w:t>Potential Flare Modifications</w:t>
      </w:r>
      <w:r>
        <w:rPr>
          <w:rFonts w:ascii="Arial" w:cs="Arial" w:eastAsia="Arial" w:hAnsi="Arial"/>
          <w:sz w:val="18"/>
          <w:szCs w:val="18"/>
          <w:color w:val="auto"/>
        </w:rPr>
        <w:t>. For several years, the EPA has been conducting an enforcement initiative against petroleum refineries and petrochemical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Westlake believes the resolution of these matters may require the payment of a monetary sanction in excess of $100.</w:t>
      </w:r>
    </w:p>
    <w:p>
      <w:pPr>
        <w:spacing w:after="0" w:line="13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i w:val="1"/>
          <w:iCs w:val="1"/>
          <w:color w:val="auto"/>
        </w:rPr>
        <w:t>Louisiana Notice of Violations</w:t>
      </w:r>
      <w:r>
        <w:rPr>
          <w:rFonts w:ascii="Arial" w:cs="Arial" w:eastAsia="Arial" w:hAnsi="Arial"/>
          <w:sz w:val="18"/>
          <w:szCs w:val="18"/>
          <w:color w:val="auto"/>
        </w:rPr>
        <w:t>. The Louisiana Department of Environmental Quality ("LDEQ") has issued notices of violations ("NOVs")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assets, and those of Westlake, for various air and water compliance issues. The Partnership and Westlake negotiated two settlement agreements with the LDEQ fully resolving the NOVs as well as additional violations alleged by the LDEQ though not made the subject of any specific NOV for a combined $192 in civil penalties.</w:t>
      </w:r>
    </w:p>
    <w:p>
      <w:pPr>
        <w:spacing w:after="0" w:line="133"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4" w:lineRule="exact"/>
        <w:rPr>
          <w:sz w:val="20"/>
          <w:szCs w:val="20"/>
          <w:color w:val="auto"/>
        </w:rPr>
      </w:pPr>
    </w:p>
    <w:p>
      <w:pPr>
        <w:ind w:right="9680" w:firstLine="8"/>
        <w:spacing w:after="0" w:line="346" w:lineRule="auto"/>
        <w:tabs>
          <w:tab w:leader="none" w:pos="27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b w:val="1"/>
          <w:bCs w:val="1"/>
          <w:i w:val="1"/>
          <w:iCs w:val="1"/>
          <w:color w:val="auto"/>
        </w:rPr>
        <w:t>Distribution</w:t>
      </w:r>
    </w:p>
    <w:p>
      <w:pPr>
        <w:spacing w:after="0" w:line="1" w:lineRule="exact"/>
        <w:rPr>
          <w:sz w:val="20"/>
          <w:szCs w:val="20"/>
          <w:color w:val="auto"/>
        </w:rPr>
      </w:pPr>
    </w:p>
    <w:p>
      <w:pPr>
        <w:ind w:right="80" w:firstLine="405"/>
        <w:spacing w:after="0" w:line="334" w:lineRule="auto"/>
        <w:rPr>
          <w:sz w:val="20"/>
          <w:szCs w:val="20"/>
          <w:color w:val="auto"/>
        </w:rPr>
      </w:pPr>
      <w:r>
        <w:rPr>
          <w:rFonts w:ascii="Arial" w:cs="Arial" w:eastAsia="Arial" w:hAnsi="Arial"/>
          <w:sz w:val="16"/>
          <w:szCs w:val="16"/>
          <w:color w:val="auto"/>
        </w:rPr>
        <w:t>On May 1, 2017, the board of directors of Westlake GP declared a quarterly distribution for the period from January 1, 2017 through March 31, 2017 of $0.3549 per unit and $231 to IDR Holders. This distribution is payable on May 30, 2017 to unitholders and IDR Holders of record as of May 15,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Subsequent events were evaluated through the date on which the financial statements were issued.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section should be read in conjunction with the accompanying consolidated financial statements and the notes thereto and the combined and consolidated financial statements and notes thereto included in Westlake Chemical Partners LP's annual report on Form 10-K for the fiscal year ended December 31, 2016 (the "2016 Form 10-K"), as filed with the SEC on March 7, 2017.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On August 4, 2014, we closed our initial public offering (the "IPO'") of 12,937,500 common units. We are a Delaware limited partnership formed by Westlake to operate, acquire and develop ethylene production facilities and related assets. Currently, our sole revenue generating asset is our 13.3% limited partner interest in OpCo, a limited partnership formed by Westlake and us in anticipation of the IPO to own and operate an ethylene production business. We control OpCo through our ownership of its general partner. Westlake retains the remaining 86.7% limited partner interest in OpCo as well as significant interest in us through its ownership of our general partner, 52.2% of our limited partner units (consisting of 1,436,115 common units and all of the subordinated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w:t>
      </w:r>
    </w:p>
    <w:p>
      <w:pPr>
        <w:spacing w:after="0" w:line="5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Maintenance Capital Expenditures and Turnaround Costs</w:t>
      </w:r>
    </w:p>
    <w:p>
      <w:pPr>
        <w:spacing w:after="0" w:line="9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MLP Distributable Cash Flow and EBITDA</w:t>
      </w:r>
    </w:p>
    <w:p>
      <w:pPr>
        <w:spacing w:after="0" w:line="9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use each of MLP distributable cash flow and EBITDA to analyze our performance. We define distributable cash flow as net income plus depreciation and amortization, less contributions for turnaround reserves and maintenance capital expenditures.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3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net cash provided by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the operations of our predecessor.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We completed the upgrade and capacity expansion of our Calvert City Olefins facility in April 2017. The expansion, along with other initiatives, is expected to increase ethylene capacity of Calvert City Olefins by approximately 100 million pounds annually to a total annual ethylene capacity of 730 million pounds.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385"/>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212,930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231,260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 parties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21,344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277,448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252,604</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179,487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142,190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97,961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110,414</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90,133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104,317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86,331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103,170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86,028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102,771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76,264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90,687</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Westlake Chemical Partners LP</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9,764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12,084</w:t>
            </w:r>
          </w:p>
        </w:tc>
      </w:tr>
      <w:tr>
        <w:trPr>
          <w:trHeight w:val="257"/>
        </w:trPr>
        <w:tc>
          <w:tcPr>
            <w:tcW w:w="83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9,515</w:t>
            </w:r>
          </w:p>
        </w:tc>
      </w:tr>
      <w:tr>
        <w:trPr>
          <w:trHeight w:val="283"/>
        </w:trPr>
        <w:tc>
          <w:tcPr>
            <w:tcW w:w="836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121,941</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124,797</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____________</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391" w:lineRule="exact"/>
        <w:rPr>
          <w:sz w:val="20"/>
          <w:szCs w:val="20"/>
          <w:color w:val="auto"/>
        </w:rPr>
      </w:pPr>
    </w:p>
    <w:p>
      <w:pPr>
        <w:ind w:left="280" w:hanging="245"/>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117" w:lineRule="exact"/>
        <w:rPr>
          <w:rFonts w:ascii="Arial" w:cs="Arial" w:eastAsia="Arial" w:hAnsi="Arial"/>
          <w:sz w:val="18"/>
          <w:szCs w:val="18"/>
          <w:color w:val="auto"/>
        </w:rPr>
      </w:pPr>
    </w:p>
    <w:p>
      <w:pPr>
        <w:ind w:left="280" w:hanging="245"/>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"Reconciliation of EBITDA to Net Income and Net Cash Provided by Operating Activities"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Three Months Ended March 31, 2017</w:t>
            </w:r>
          </w:p>
        </w:tc>
        <w:tc>
          <w:tcPr>
            <w:tcW w:w="0" w:type="dxa"/>
            <w:vAlign w:val="bottom"/>
          </w:tcPr>
          <w:p>
            <w:pPr>
              <w:spacing w:after="0"/>
              <w:rPr>
                <w:sz w:val="1"/>
                <w:szCs w:val="1"/>
                <w:color w:val="auto"/>
              </w:rPr>
            </w:pPr>
          </w:p>
        </w:tc>
      </w:tr>
      <w:tr>
        <w:trPr>
          <w:trHeight w:val="152"/>
        </w:trPr>
        <w:tc>
          <w:tcPr>
            <w:tcW w:w="8200" w:type="dxa"/>
            <w:vAlign w:val="bottom"/>
          </w:tcPr>
          <w:p>
            <w:pPr>
              <w:spacing w:after="0"/>
              <w:rPr>
                <w:sz w:val="13"/>
                <w:szCs w:val="13"/>
                <w:color w:val="auto"/>
              </w:rPr>
            </w:pPr>
          </w:p>
        </w:tc>
        <w:tc>
          <w:tcPr>
            <w:tcW w:w="166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82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Sales Price</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prices and volume percentage change from prior-year period</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561"/>
        </w:trPr>
        <w:tc>
          <w:tcPr>
            <w:tcW w:w="8200" w:type="dxa"/>
            <w:vAlign w:val="bottom"/>
          </w:tcPr>
          <w:p>
            <w:pPr>
              <w:spacing w:after="0"/>
              <w:rPr>
                <w:sz w:val="24"/>
                <w:szCs w:val="24"/>
                <w:color w:val="auto"/>
              </w:rPr>
            </w:pPr>
          </w:p>
        </w:tc>
        <w:tc>
          <w:tcPr>
            <w:tcW w:w="322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Ethane (cents/lb)</w:t>
            </w:r>
          </w:p>
        </w:tc>
        <w:tc>
          <w:tcPr>
            <w:tcW w:w="1560" w:type="dxa"/>
            <w:vAlign w:val="bottom"/>
          </w:tcPr>
          <w:p>
            <w:pPr>
              <w:jc w:val="right"/>
              <w:ind w:right="1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560" w:type="dxa"/>
            <w:vAlign w:val="bottom"/>
          </w:tcPr>
          <w:p>
            <w:pPr>
              <w:jc w:val="right"/>
              <w:ind w:right="96"/>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15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6"/>
        </w:trPr>
        <w:tc>
          <w:tcPr>
            <w:tcW w:w="820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560" w:type="dxa"/>
            <w:vAlign w:val="bottom"/>
          </w:tcPr>
          <w:p>
            <w:pPr>
              <w:jc w:val="right"/>
              <w:ind w:right="1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2"/>
                <w:szCs w:val="22"/>
                <w:color w:val="auto"/>
              </w:rPr>
            </w:pPr>
          </w:p>
        </w:tc>
        <w:tc>
          <w:tcPr>
            <w:tcW w:w="1560" w:type="dxa"/>
            <w:vAlign w:val="bottom"/>
          </w:tcPr>
          <w:p>
            <w:pPr>
              <w:jc w:val="right"/>
              <w:ind w:right="96"/>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_____________</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pricing data was obtained through IHS Chemical. We have not independently verified the data.</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 Chemical.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2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149,078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112,575</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(9,298)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Gain/(loss) from disposition of fixed assets</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86,028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102,771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30,150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20,396</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Contribution to turnaround reserves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(33,610)</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Incentive distribution rights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 noncontrolling interest in OpCo</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(73,916)</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MLP distributable cash flow</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11,447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9,515</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_____________</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36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 maintenance capital expenditures in the first three months of 2017 as compared to the first three months of 2016 are primarily related to the Lake Charles Petro 1 facility maintenance capital expenditures incurred in the first three months of 2016.</w:t>
      </w:r>
    </w:p>
    <w:p>
      <w:pPr>
        <w:spacing w:after="0" w:line="8" w:lineRule="exact"/>
        <w:rPr>
          <w:rFonts w:ascii="Arial" w:cs="Arial" w:eastAsia="Arial" w:hAnsi="Arial"/>
          <w:sz w:val="18"/>
          <w:szCs w:val="18"/>
          <w:color w:val="auto"/>
        </w:rPr>
      </w:pPr>
    </w:p>
    <w:p>
      <w:pPr>
        <w:jc w:val="both"/>
        <w:ind w:left="500" w:right="580" w:hanging="49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depreciation and amortization in the first three months of 2017 as compared to the first three months of 2016 are primarily related to the increase in the property, plant and equipment and the turnaround deferred costs associated with the Lake Charles Petro 1 facility expansion and turnaround project that was completed in July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and Net Cash Provided by Operating Activities</w:t>
      </w:r>
    </w:p>
    <w:p>
      <w:pPr>
        <w:spacing w:after="0" w:line="9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8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2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5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149,078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112,575</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3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(9,298)</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Gain/(loss) from disposition of fixed assets</w:t>
            </w:r>
          </w:p>
        </w:tc>
        <w:tc>
          <w:tcPr>
            <w:tcW w:w="3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4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86,028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102,771</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3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30,150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20,396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3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121,941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124,797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20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For the quarter ended March 31, 2017, net income was $86.0 million on net sales of $277.4 million. This represents a decrease in net income of $16.8 million as compared to the quarter ended March 31, 2016 net income of $102.8 million on net sales of $252.6 million. Net income attributable to Westlake Chemical Partners LP for the quarter ended March 31, 2017 was $9.8 million as compared to $12.1 million for the quarter ended March 31, 2016, a decline of $2.3 million which was consistent with the decline in net income. Net sales for the first quarter of 2017 increased by $24.8 million as compared to net sales for the first quarter of 2016 mainly attributable to higher sales prices to third parties and to Westlake, partially offset by the Shortfall of approximately $11.8 million recognized in the first quarter of 2016 as compared to the first quarter of 2017. Income from operations was $90.1 million for the first quarter of 2017 as compared to $104.3 million for the first quarter of 2016. Income from operations and net income for the first quarter of 2017 decreased mainly as a result of the Shortfall of approximately $11.8 million recognized in the first quarter of 2016 as compared to the first quarter of 2017, higher depreciation and amortization expense and higher selling, general and administrative expenses in the first quarter of 2017 as compared to the first quarter of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2017 Compared with First Quarter 2016</w:t>
      </w:r>
    </w:p>
    <w:p>
      <w:pPr>
        <w:spacing w:after="0" w:line="9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Total net sales increased by $24.8 million, or 9.8%, to $277.4 million in the first quarter of 2017 from $252.6 million in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2016. The overall increase in sales price of ethylene and related co-products for the first quarter of 2017 by 9.3% was primarily due to higher third party sales prices, partially offset by the Shortfall recognized as a component of net sales for the first quarter of 2016, as compared to the first quarter of 2017. Sales volumes for the first quarter of 2017 contributed an increase in net sales of 0.5%, as compared to the first quarter of 2016, due to higher third party sales, partially offset by lower sales volume to Westlake. Ethylene production at the Lake Charles Petro I facility increased during the first quarter of 2017 as a result of the upgrade and capacity expansion that was completed in July 2016, partially offset by lower production rates at the Lake Charles Petro 2 facility and at the Calvert City Olefins facility due to the upgrade and expansion that began at the facility in March 2017, as compared to the first quarter of 2016.</w:t>
      </w:r>
    </w:p>
    <w:p>
      <w:pPr>
        <w:spacing w:after="0" w:line="113"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to $98.0 million for the first quarter of 2017 from $110.4 million for the first quarter of 2016. The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margin in the first quarter of 2017 was 35.3%, as compared with 43.7% for the first quarter of 2016. The first quarter 2017 gross profit margin was lower due to the recognition of the Shortfall in the first quarter of 2016 and higher depreciation and amortization expense in the first quarter of 2017 as a result of the 2016 Lake Charles Petro 1 facility expansion and turnaround, partially offset by a higher sales volume to third parties, as compared to the first quarter of 2016.</w:t>
      </w:r>
    </w:p>
    <w:p>
      <w:pPr>
        <w:spacing w:after="0" w:line="134"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by $1.7 million, or 27.9%, to $7.8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2017 as compared to $6.1 million in the first quarter of 2016. The increase was mainly attributable to an increase in the allowance for bad debt accounts and general and administrative expense allocation from Westlake during the first quarter 2017, as compared to the prior-year period.</w:t>
      </w:r>
    </w:p>
    <w:p>
      <w:pPr>
        <w:spacing w:after="0" w:line="93"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$4.3 million to $5.5 million in the first quarter of 2017 from $1.2 million in the first quarter of 2016,</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due to decreased capitalized interest on major projects in the first quarter of 2017 as compared to the first quarter of 2016 and a higher average debt balance to fund the capital expenditures related to the Lake Charles Petro 1 upgrade and expansion in 2016 and Calvert City Olefins upgrade and expansion that began in March 2017, as compared to the first quarter of 2016.</w:t>
      </w:r>
    </w:p>
    <w:p>
      <w:pPr>
        <w:spacing w:after="0" w:line="13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increase in other income in the first quarter of 2017 as compared to the first quarter of 2016, was primarily due to the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 insurance recovery received for the Calvert City Olefins unplanned shut-down in 2016.</w:t>
      </w:r>
    </w:p>
    <w:p>
      <w:pPr>
        <w:spacing w:after="0" w:line="193" w:lineRule="exact"/>
        <w:rPr>
          <w:sz w:val="20"/>
          <w:szCs w:val="20"/>
          <w:color w:val="auto"/>
        </w:rPr>
      </w:pPr>
    </w:p>
    <w:p>
      <w:pPr>
        <w:ind w:right="3840"/>
        <w:spacing w:after="0" w:line="346" w:lineRule="auto"/>
        <w:rPr>
          <w:sz w:val="20"/>
          <w:szCs w:val="20"/>
          <w:color w:val="auto"/>
        </w:rPr>
      </w:pPr>
      <w:r>
        <w:rPr>
          <w:rFonts w:ascii="Arial" w:cs="Arial" w:eastAsia="Arial" w:hAnsi="Arial"/>
          <w:sz w:val="18"/>
          <w:szCs w:val="18"/>
          <w:b w:val="1"/>
          <w:bCs w:val="1"/>
          <w:color w:val="auto"/>
        </w:rPr>
        <w:t xml:space="preserve">CASH FLOW DISCUSSION FOR THE THREE MONTHS ENDED MARCH 31, 2017 AND 2016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Operating activities provided cash of $149.1 million in the first three months of 2017 compared to cash provided by operating activities of $112.6 million in the first three months of 2016. The $36.5 million increase in cash flows from operating activities was mainly due to an increase in cash provided by working capital as compared to the prior-year period. These increases were largely offset by the decrease in net income and increase in outflows related to the turnaround for the first three months of 2017, as compared to the first three months of 2016.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provided cash of $43.2 million in the first three months of 2017 as compared to $7.1 million of cash used in the first three months of 2016, resulting in an overall favorable change of $50.3 million. The change in working capital is mainly</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attributable to the favorable change in the Westlake accounts receivable balance offset by an unfavorable change in third party accounts receivable balance at March 31, 2017, as compared to the prior-year period. The increase in depreciation and amortization expense as compared to the same period in 2016 is directly related to the upgrade, expansion, and turnaround project for the Lake Charles Petro 1 facility that was completed in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Net cash used for investing activities during the first three months of 2017 was $21.5 million as compared to net cash used for investing activities of $79.0 million in the first three months of 2016, mainly due to decreased capital expenditures in the first three months of 2017 as compared to the prior-year period. Capital expenditures during the first quarter of 2017 were primarily incurred for the Calvert City expansion while the same period in 2016 primarily reflected capital expenditures for the Lake Charles Petro 1 facility expansions and upgrade. The Lake Charles Petro 1 facility expansion and turnaround project was completed in July 2016.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Net cash used for financing activities during the first three months of 2017 was $93.5 million as compared to net cash used for financing activities of $24.5 million in the first three months of 2016. The cash outflows during the first three months of 2017 were related to the distribution of $89.6 million to Westlake and of $9.5 million to other unitholders by the Partnership and the repayment of $11.4 million of borrowings under the OpCo Revolver as compared to the distribution of $75.7 million to Westlake and of $8.3 million to other unitholders during the first three months of 2016. The distributions and repayment in the first three months of 2017 were partially offset by borrowings under the OpCo Revolver of $17.0 million to fund capital expenditures. The distributions in the first three months of 2016 were partially offset by borrowing under the OpCo Revolver of $59.5 million primarily to fund capital expenditures and our working capital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common units representing limited partner interests of the Partnership, other classes of units representing limited partners interests of the Partnership or debt securities.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24"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1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Our cash is generated from cash distributions from OpCo. OpCo was a restricted subsidiary and guarantor under Westlake's credit facility and the indentures governing its senior notes until August 2016. These guarantees were released during August 2016.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On May 1, 2017, the board of directors of Westlake Chemical Partners GP LLC, our general partner, approved a quarterly distribution of $0.3549 per unit payable on May 30, 2017 to unitholders of record as of May 15, 2017 and a distribution to the incentive distribution rights holders ("IDR Holders"), which equates to a total amount of approximately $9.8 million per quarter, or approximately $39.2 million per year in aggregate (in each case, including the distribution to the IDR Holders), based on the number of common and subordinated units outstanding on March 31, 2017. We do not have a legal or contractual obligation to pay distributions on a quarterly basis or any other basis at our minimum quarterly distribution rate or any other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We completed the upgrade and capacity expansion of Calvert City Olefins in April 2017. The expansion, along with other initiatives, is expected to increase ethylene capacity of Calvert City Olefins by approximately 100 million pounds annually to an annual ethylene capacity of 730 million pounds.</w:t>
      </w:r>
    </w:p>
    <w:p>
      <w:pPr>
        <w:spacing w:after="0" w:line="7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Westlake has historically funded expansion capital expenditures related to Lake Charles Olefins and Calvert City Olefins. During the three months ended March 31, 2017 and 2016, Westlake loaned OpCo $17.0 million and $59.5 million, respectively, of which $17.0 million and $56.9 million was used to fund the expansion capital expenditures in the first three months of 2017 and 2016, respectively, while the additional $2.6 million borrowed during the first quarter of 2016 was used for working capital purposes. The total capital expenditures, which includes expansion and capital maintenance costs, for 2017 are expected to be approximately $71.2 million, of which $23.2 million was spent during the three months ended March 31, 2017. We expect that Westlake will loan additional cash to OpCo to fund its expansion capital expenditures in the future, but Westlake is under no obligation to do so.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As of March 31, 2017, our cash and cash equivalents totaled $123 million. In addition, we have a revolving credit facility with Westlake available to supplement cash if needed, as described under "Indebtedness"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2013 Promissory Notes</w:t>
      </w:r>
    </w:p>
    <w:p>
      <w:pPr>
        <w:spacing w:after="0" w:line="90"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In connection with the closing of the IPO, OpCo assumed $246.1 million of indebtedness under three intercompany promissory notes (the "August 2013 Promissory Notes"). As of March 31, 2017, $31.8 million of the principal amount of the August 2013 Promissory Notes was still outstanding. The August 2013 Promissory Notes have a ten-year term and bear interest at the prime rate plus a 1.5% margin, which is accrued in arrears quarterly. OpCo has the right at any time to prepay the August 2013 Promissory Notes, in whole or in part, without any premium or penalty. The August 2013 Promissory Notes mature in August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In connection with the IPO, OpCo entered into a $600.0 million revolving credit facility with Westlake (OpCo Revolver") that may be used to fund growth projects and working capital needs. As of March 31, 2017, outstanding borrowings under the OpCo Revolver totaled $433.1 million and bore interest at the LIBOR rate plus 3.0%, which is accrued in arrears quarterly. The OpCo Revolver matures in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9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In 2015, we entered into a $300.0 million senior, unsecured revolving credit agreement with Westlake Chemical Finance Corporation, an affiliate of Westlake ("MLP Revolver"). The MLP Revolver is scheduled to mature on April 29, 2018.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March 31, 2017, outstanding borrowings under the MLP Revolver totaled $135.3 million. We intend to use the MLP Revolver to purchase additional limited partnership interests in OpCo in the future, in the event OpCo desires to sell such additional interests to us. We are evaluating refinancing alternatives as we approach the maturity of the MLP Revolver.</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3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funding and results of capital projects, such as OpCo's plan to increase the ethylene capacity of the ethylene production facility at Calvert City Olefins;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meet our liquidity needs, including refinancing alternatives related to the MLP Revolver;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171"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5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in "Risk Factors" in the 2016 Form 10-K and the following:</w:t>
      </w:r>
    </w:p>
    <w:p>
      <w:pPr>
        <w:spacing w:after="0" w:line="229" w:lineRule="exact"/>
        <w:rPr>
          <w:sz w:val="20"/>
          <w:szCs w:val="20"/>
          <w:color w:val="auto"/>
        </w:rPr>
      </w:pPr>
    </w:p>
    <w:p>
      <w:pPr>
        <w:ind w:left="900" w:hanging="325"/>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90" w:lineRule="exact"/>
        <w:rPr>
          <w:rFonts w:ascii="Arial" w:cs="Arial" w:eastAsia="Arial" w:hAnsi="Arial"/>
          <w:sz w:val="18"/>
          <w:szCs w:val="18"/>
          <w:color w:val="auto"/>
        </w:rPr>
      </w:pPr>
    </w:p>
    <w:p>
      <w:pPr>
        <w:ind w:left="880" w:right="80" w:hanging="359"/>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the Commonwealth of Independent States (including Ukraine) and elsewhere;</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current and potential governmental regulatory actions in the United States and regulatory actions and political unrest in other countries;</w:t>
      </w:r>
    </w:p>
    <w:p>
      <w:pPr>
        <w:spacing w:after="0" w:line="101" w:lineRule="exact"/>
        <w:rPr>
          <w:rFonts w:ascii="Arial" w:cs="Arial" w:eastAsia="Arial" w:hAnsi="Arial"/>
          <w:sz w:val="17"/>
          <w:szCs w:val="17"/>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25" w:right="2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880" w:right="20" w:hanging="359"/>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35"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90" w:lineRule="exact"/>
        <w:rPr>
          <w:rFonts w:ascii="Arial" w:cs="Arial" w:eastAsia="Arial" w:hAnsi="Arial"/>
          <w:sz w:val="18"/>
          <w:szCs w:val="18"/>
          <w:color w:val="auto"/>
        </w:rPr>
      </w:pPr>
    </w:p>
    <w:p>
      <w:pPr>
        <w:ind w:left="880" w:hanging="359"/>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are exposed to interest rate risk with respect to our outstanding debt, all of which is variable rate debt. At March 31, 2017, we had variable rate debt of $600.2 million outstanding, all of which was owed to wholly owned subsidiaries of Westlake, $31.8 million of which accrues interest at a variable rate of prime plus 150 basis points, $433.1 million of which accrues interest at a variable rate of LIBOR plus 300 basis points and the remaining $135.3 million of which accrues interest at a variable rate of LIBOR plus 200 basis points. During August 2015, the Partnership entered into an interest rate contract with Westlake to fix the LIBOR component of the interest rate for a portion of the debt. The weighted average variable interest rate of our debt, excluding the effectively fixed rate portion through the interest rate contract, as of March 31, 2017 was 4.0%. We will continue to be subject to interest rate risk with respect to our variable rate debt as well as the risk of higher interest cost if and when this debt is refinanced. A hypothetical increase in our average interest rate on variable rate debt (excluding the effectively fixed rate debt portion through the interest rate contract) by 100 basis points would increase our annual interest expense by approximately $5.3 million, based on the March 31, 2017 debt balance.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Senior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4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2017 that have materially affected, or are reasonably likely to materially affect, our internal control over financial reporting.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2016 Form 10-K, filed on March 7, 2017, contained a description of various legal proceedings in which we are involved, including environmental proceedings. See Note 14 to the unaudited consolidated financial statements within this Quarterly Report on Form 10-Q for a description of certain of those proceedings, which information is incorporated by reference herein. In addition, under the Omnibus Agreement, Westlake has agreed to indemnify the Partnership for certain environmental and other liabilities relating to OpCo's processing facilities and related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For a discussion of risk factors, please read Item IA, "Risk Factors" in the 2016 Form 10-K. There have been no material changes from those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32.1†</w:t>
            </w:r>
          </w:p>
        </w:tc>
        <w:tc>
          <w:tcPr>
            <w:tcW w:w="6300" w:type="dxa"/>
            <w:vAlign w:val="bottom"/>
            <w:gridSpan w:val="2"/>
          </w:tcPr>
          <w:p>
            <w:pPr>
              <w:spacing w:after="0"/>
              <w:rPr>
                <w:sz w:val="20"/>
                <w:szCs w:val="20"/>
                <w:color w:val="auto"/>
              </w:rPr>
            </w:pPr>
            <w:r>
              <w:rPr>
                <w:rFonts w:ascii="Arial" w:cs="Arial" w:eastAsia="Arial" w:hAnsi="Arial"/>
                <w:sz w:val="18"/>
                <w:szCs w:val="18"/>
                <w:color w:val="auto"/>
                <w:w w:val="92"/>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240" w:top="125"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WESTLAKE CHEMICAL PARTNERS LP</w:t>
      </w:r>
    </w:p>
    <w:p>
      <w:pPr>
        <w:spacing w:after="0" w:line="337" w:lineRule="exact"/>
        <w:rPr>
          <w:sz w:val="20"/>
          <w:szCs w:val="20"/>
          <w:color w:val="auto"/>
        </w:rPr>
      </w:pPr>
    </w:p>
    <w:p>
      <w:pPr>
        <w:ind w:left="40"/>
        <w:spacing w:after="0"/>
        <w:tabs>
          <w:tab w:leader="none" w:pos="600" w:val="left"/>
          <w:tab w:leader="none" w:pos="6540" w:val="left"/>
          <w:tab w:leader="none" w:pos="8500" w:val="left"/>
          <w:tab w:leader="none" w:pos="8860" w:val="left"/>
        </w:tabs>
        <w:rPr>
          <w:sz w:val="20"/>
          <w:szCs w:val="20"/>
          <w:color w:val="auto"/>
        </w:rPr>
      </w:pPr>
      <w:r>
        <w:rPr>
          <w:rFonts w:ascii="Arial" w:cs="Arial" w:eastAsia="Arial" w:hAnsi="Arial"/>
          <w:sz w:val="18"/>
          <w:szCs w:val="18"/>
          <w:color w:val="auto"/>
        </w:rPr>
        <w:t>Date:</w:t>
        <w:tab/>
        <w:t>May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820"/>
        <w:spacing w:after="0"/>
        <w:rPr>
          <w:sz w:val="20"/>
          <w:szCs w:val="20"/>
          <w:color w:val="auto"/>
        </w:rPr>
      </w:pPr>
      <w:r>
        <w:rPr>
          <w:rFonts w:ascii="Arial" w:cs="Arial" w:eastAsia="Arial" w:hAnsi="Arial"/>
          <w:sz w:val="13"/>
          <w:szCs w:val="13"/>
          <w:b w:val="1"/>
          <w:bCs w:val="1"/>
          <w:color w:val="auto"/>
        </w:rPr>
        <w:t>President, Chief Executive Officer and Director of</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600" w:val="left"/>
          <w:tab w:leader="none" w:pos="6540" w:val="left"/>
          <w:tab w:leader="none" w:pos="8300" w:val="left"/>
          <w:tab w:leader="none" w:pos="8660" w:val="left"/>
        </w:tabs>
        <w:rPr>
          <w:sz w:val="20"/>
          <w:szCs w:val="20"/>
          <w:color w:val="auto"/>
        </w:rPr>
      </w:pPr>
      <w:r>
        <w:rPr>
          <w:rFonts w:ascii="Arial" w:cs="Arial" w:eastAsia="Arial" w:hAnsi="Arial"/>
          <w:sz w:val="18"/>
          <w:szCs w:val="18"/>
          <w:color w:val="auto"/>
        </w:rPr>
        <w:t>Date:</w:t>
        <w:tab/>
        <w:t>May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Senior Vice President, Chief Financial Officer and</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3"/>
          <w:szCs w:val="13"/>
          <w:b w:val="1"/>
          <w:bCs w:val="1"/>
          <w:color w:val="auto"/>
        </w:rPr>
        <w:t>Director of 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5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240" w:top="125" w:right="7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tcPr>
          <w:p>
            <w:pPr>
              <w:ind w:left="31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32.1†</w:t>
            </w:r>
          </w:p>
        </w:tc>
        <w:tc>
          <w:tcPr>
            <w:tcW w:w="6300" w:type="dxa"/>
            <w:vAlign w:val="bottom"/>
            <w:gridSpan w:val="2"/>
          </w:tcPr>
          <w:p>
            <w:pPr>
              <w:spacing w:after="0"/>
              <w:rPr>
                <w:sz w:val="20"/>
                <w:szCs w:val="20"/>
                <w:color w:val="auto"/>
              </w:rPr>
            </w:pPr>
            <w:r>
              <w:rPr>
                <w:rFonts w:ascii="Arial" w:cs="Arial" w:eastAsia="Arial" w:hAnsi="Arial"/>
                <w:sz w:val="18"/>
                <w:szCs w:val="18"/>
                <w:color w:val="auto"/>
                <w:w w:val="92"/>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440" w:type="dxa"/>
            <w:vAlign w:val="bottom"/>
          </w:tcPr>
          <w:p>
            <w:pPr>
              <w:spacing w:after="0"/>
              <w:rPr>
                <w:sz w:val="21"/>
                <w:szCs w:val="21"/>
                <w:color w:val="auto"/>
              </w:rPr>
            </w:pPr>
          </w:p>
        </w:tc>
        <w:tc>
          <w:tcPr>
            <w:tcW w:w="586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125"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700" w:val="left"/>
          <w:tab w:leader="none" w:pos="8440" w:val="left"/>
          <w:tab w:leader="none" w:pos="8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 2017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2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00" w:val="left"/>
          <w:tab w:leader="none" w:pos="8380" w:val="left"/>
        </w:tabs>
        <w:rPr>
          <w:sz w:val="20"/>
          <w:szCs w:val="20"/>
          <w:color w:val="auto"/>
        </w:rPr>
      </w:pPr>
      <w:r>
        <w:rPr>
          <w:rFonts w:ascii="Arial" w:cs="Arial" w:eastAsia="Arial" w:hAnsi="Arial"/>
          <w:sz w:val="18"/>
          <w:szCs w:val="18"/>
          <w:color w:val="auto"/>
        </w:rPr>
        <w:t>Date:</w:t>
        <w:tab/>
        <w:t>May 3, 2017</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Senior Vice President, Chief Financial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March 31, 2017 as filed with the Securities and Exchange Commission on the date hereof (the "Report"), I, Albert Chao, President, Chief Executive Officer and Director of the Partnership, and I, M. Steven Bender, Senior Vice President, Chief Financial Officer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600" w:val="left"/>
          <w:tab w:leader="none" w:pos="8380" w:val="left"/>
          <w:tab w:leader="none" w:pos="8740" w:val="left"/>
        </w:tabs>
        <w:rPr>
          <w:sz w:val="20"/>
          <w:szCs w:val="20"/>
          <w:color w:val="auto"/>
        </w:rPr>
      </w:pPr>
      <w:r>
        <w:rPr>
          <w:rFonts w:ascii="Arial" w:cs="Arial" w:eastAsia="Arial" w:hAnsi="Arial"/>
          <w:sz w:val="18"/>
          <w:szCs w:val="18"/>
          <w:color w:val="auto"/>
        </w:rPr>
        <w:t>Date:</w:t>
        <w:tab/>
        <w:t>May 3, 2017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Executive Officer)</w:t>
      </w:r>
    </w:p>
    <w:p>
      <w:pPr>
        <w:spacing w:after="0" w:line="385" w:lineRule="exact"/>
        <w:rPr>
          <w:sz w:val="20"/>
          <w:szCs w:val="20"/>
          <w:color w:val="auto"/>
        </w:rPr>
      </w:pPr>
    </w:p>
    <w:p>
      <w:pPr>
        <w:ind w:left="40"/>
        <w:spacing w:after="0"/>
        <w:tabs>
          <w:tab w:leader="none" w:pos="600" w:val="left"/>
          <w:tab w:leader="none" w:pos="8180" w:val="left"/>
          <w:tab w:leader="none" w:pos="8540" w:val="left"/>
        </w:tabs>
        <w:rPr>
          <w:sz w:val="20"/>
          <w:szCs w:val="20"/>
          <w:color w:val="auto"/>
        </w:rPr>
      </w:pPr>
      <w:r>
        <w:rPr>
          <w:rFonts w:ascii="Arial" w:cs="Arial" w:eastAsia="Arial" w:hAnsi="Arial"/>
          <w:sz w:val="18"/>
          <w:szCs w:val="18"/>
          <w:color w:val="auto"/>
        </w:rPr>
        <w:t>Date:</w:t>
        <w:tab/>
        <w:t>May 3, 2017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Senior Vice President, Chief Financial Officer and</w:t>
      </w:r>
    </w:p>
    <w:p>
      <w:pPr>
        <w:jc w:val="center"/>
        <w:ind w:left="7080"/>
        <w:spacing w:after="0" w:line="226" w:lineRule="auto"/>
        <w:rPr>
          <w:sz w:val="20"/>
          <w:szCs w:val="20"/>
          <w:color w:val="auto"/>
        </w:rPr>
      </w:pPr>
      <w:r>
        <w:rPr>
          <w:rFonts w:ascii="Arial" w:cs="Arial" w:eastAsia="Arial" w:hAnsi="Arial"/>
          <w:sz w:val="14"/>
          <w:szCs w:val="14"/>
          <w:b w:val="1"/>
          <w:bCs w:val="1"/>
          <w:color w:val="auto"/>
        </w:rPr>
        <w:t>Director of 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2"/>
    </w:lvl>
  </w:abstractNum>
  <w:abstractNum w:abstractNumId="4">
    <w:nsid w:val="1F16E9E8"/>
    <w:multiLevelType w:val="hybridMultilevel"/>
    <w:lvl w:ilvl="0">
      <w:lvlJc w:val="left"/>
      <w:lvlText w:val="%1."/>
      <w:numFmt w:val="decimal"/>
      <w:start w:val="15"/>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2020-01-17T06:39:48Z</dcterms:created>
  <dcterms:modified xsi:type="dcterms:W3CDTF">2020-01-17T06:39:48Z</dcterms:modified>
</cp:coreProperties>
</file>