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98425</wp:posOffset>
            </wp:positionV>
            <wp:extent cx="33686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118110</wp:posOffset>
            </wp:positionV>
            <wp:extent cx="33686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64" w:lineRule="exact"/>
        <w:rPr>
          <w:sz w:val="24"/>
          <w:szCs w:val="24"/>
          <w:color w:val="auto"/>
        </w:rPr>
      </w:pPr>
    </w:p>
    <w:p>
      <w:pPr>
        <w:ind w:left="700" w:hanging="65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3" w:lineRule="exact"/>
        <w:rPr>
          <w:sz w:val="24"/>
          <w:szCs w:val="24"/>
          <w:color w:val="auto"/>
        </w:rPr>
      </w:pPr>
    </w:p>
    <w:p>
      <w:pPr>
        <w:ind w:left="700"/>
        <w:spacing w:after="0"/>
        <w:tabs>
          <w:tab w:leader="none" w:pos="378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6"/>
          <w:szCs w:val="16"/>
          <w:b w:val="1"/>
          <w:bCs w:val="1"/>
          <w:color w:val="auto"/>
        </w:rPr>
        <w:t>December 31, 2020</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680" w:hanging="641"/>
        <w:spacing w:after="0" w:line="187" w:lineRule="auto"/>
        <w:tabs>
          <w:tab w:leader="none" w:pos="680" w:val="left"/>
        </w:tabs>
        <w:numPr>
          <w:ilvl w:val="0"/>
          <w:numId w:val="2"/>
        </w:numPr>
        <w:rPr>
          <w:rFonts w:ascii="MS PGothic" w:cs="MS PGothic" w:eastAsia="MS PGothic" w:hAnsi="MS PGothic"/>
          <w:sz w:val="7"/>
          <w:szCs w:val="7"/>
          <w:color w:val="auto"/>
        </w:rPr>
      </w:pPr>
      <w:r>
        <w:rPr>
          <w:rFonts w:ascii="Arial" w:cs="Arial" w:eastAsia="Arial" w:hAnsi="Arial"/>
          <w:sz w:val="7"/>
          <w:szCs w:val="7"/>
          <w:b w:val="1"/>
          <w:bCs w:val="1"/>
          <w:color w:val="auto"/>
        </w:rPr>
        <w:t>TRANSITION REPORT PURSUANT TO SECTION 13 OR 15(d) OF THE SECURITIES EXCHANGE ACT OF 1934</w:t>
      </w:r>
    </w:p>
    <w:p>
      <w:pPr>
        <w:spacing w:after="0" w:line="216" w:lineRule="exact"/>
        <w:rPr>
          <w:sz w:val="24"/>
          <w:szCs w:val="24"/>
          <w:color w:val="auto"/>
        </w:rPr>
      </w:pPr>
    </w:p>
    <w:p>
      <w:pPr>
        <w:ind w:left="68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154305</wp:posOffset>
            </wp:positionV>
            <wp:extent cx="33686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Westlake Chemical Partners LP</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47625</wp:posOffset>
            </wp:positionV>
            <wp:extent cx="33686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26" w:lineRule="exact"/>
        <w:rPr>
          <w:sz w:val="24"/>
          <w:szCs w:val="24"/>
          <w:color w:val="auto"/>
        </w:rPr>
      </w:pPr>
    </w:p>
    <w:tbl>
      <w:tblPr>
        <w:tblLayout w:type="fixed"/>
        <w:tblInd w:w="50" w:type="dxa"/>
        <w:tblCellMar>
          <w:top w:w="0" w:type="dxa"/>
          <w:left w:w="0" w:type="dxa"/>
          <w:bottom w:w="0" w:type="dxa"/>
          <w:right w:w="0" w:type="dxa"/>
        </w:tblCellMar>
      </w:tblPr>
      <w:tr>
        <w:trPr>
          <w:trHeight w:val="225"/>
        </w:trPr>
        <w:tc>
          <w:tcPr>
            <w:tcW w:w="3740" w:type="dxa"/>
            <w:vAlign w:val="bottom"/>
            <w:gridSpan w:val="3"/>
          </w:tcPr>
          <w:p>
            <w:pPr>
              <w:jc w:val="center"/>
              <w:ind w:left="1617"/>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gridSpan w:val="2"/>
          </w:tcPr>
          <w:p>
            <w:pPr>
              <w:jc w:val="center"/>
              <w:ind w:left="541"/>
              <w:spacing w:after="0"/>
              <w:rPr>
                <w:sz w:val="20"/>
                <w:szCs w:val="20"/>
                <w:color w:val="auto"/>
              </w:rPr>
            </w:pPr>
            <w:r>
              <w:rPr>
                <w:rFonts w:ascii="Arial" w:cs="Arial" w:eastAsia="Arial" w:hAnsi="Arial"/>
                <w:sz w:val="18"/>
                <w:szCs w:val="18"/>
                <w:b w:val="1"/>
                <w:bCs w:val="1"/>
                <w:color w:val="auto"/>
                <w:w w:val="89"/>
              </w:rPr>
              <w:t>32-0436529</w:t>
            </w:r>
          </w:p>
        </w:tc>
        <w:tc>
          <w:tcPr>
            <w:tcW w:w="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740" w:type="dxa"/>
            <w:vAlign w:val="bottom"/>
            <w:gridSpan w:val="3"/>
          </w:tcPr>
          <w:p>
            <w:pPr>
              <w:jc w:val="center"/>
              <w:ind w:left="1617"/>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40" w:type="dxa"/>
            <w:vAlign w:val="bottom"/>
            <w:gridSpan w:val="3"/>
          </w:tcPr>
          <w:p>
            <w:pPr>
              <w:jc w:val="center"/>
              <w:ind w:left="1617"/>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Identification No.)</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2801 Post Oak Boulevard, Suite 600</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Houston, Texas 77056</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jc w:val="center"/>
              <w:ind w:left="758"/>
              <w:spacing w:after="0"/>
              <w:rPr>
                <w:sz w:val="20"/>
                <w:szCs w:val="20"/>
                <w:color w:val="auto"/>
              </w:rPr>
            </w:pPr>
            <w:r>
              <w:rPr>
                <w:rFonts w:ascii="Arial" w:cs="Arial" w:eastAsia="Arial" w:hAnsi="Arial"/>
                <w:sz w:val="18"/>
                <w:szCs w:val="18"/>
                <w:b w:val="1"/>
                <w:bCs w:val="1"/>
                <w:color w:val="auto"/>
                <w:w w:val="90"/>
              </w:rPr>
              <w:t>(713) 585-2900</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9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gridSpan w:val="2"/>
          </w:tcPr>
          <w:p>
            <w:pPr>
              <w:spacing w:after="0"/>
              <w:rPr>
                <w:sz w:val="9"/>
                <w:szCs w:val="9"/>
                <w:color w:val="auto"/>
              </w:rPr>
            </w:pPr>
          </w:p>
        </w:tc>
        <w:tc>
          <w:tcPr>
            <w:tcW w:w="1660" w:type="dxa"/>
            <w:vAlign w:val="bottom"/>
            <w:tcBorders>
              <w:bottom w:val="single" w:sz="8" w:color="auto"/>
            </w:tcBorders>
            <w:gridSpan w:val="2"/>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gridSpan w:val="5"/>
          </w:tcPr>
          <w:p>
            <w:pPr>
              <w:ind w:left="16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Borders>
              <w:bottom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jc w:val="center"/>
              <w:ind w:right="458"/>
              <w:spacing w:after="0"/>
              <w:rPr>
                <w:sz w:val="20"/>
                <w:szCs w:val="20"/>
                <w:color w:val="auto"/>
              </w:rPr>
            </w:pPr>
            <w:r>
              <w:rPr>
                <w:rFonts w:ascii="Arial" w:cs="Arial" w:eastAsia="Arial" w:hAnsi="Arial"/>
                <w:sz w:val="14"/>
                <w:szCs w:val="14"/>
                <w:b w:val="1"/>
                <w:bCs w:val="1"/>
                <w:color w:val="auto"/>
                <w:w w:val="92"/>
              </w:rPr>
              <w:t>Trading Symbol(s)</w:t>
            </w:r>
          </w:p>
        </w:tc>
        <w:tc>
          <w:tcPr>
            <w:tcW w:w="880" w:type="dxa"/>
            <w:vAlign w:val="bottom"/>
            <w:tcBorders>
              <w:bottom w:val="single" w:sz="8" w:color="auto"/>
            </w:tcBorders>
          </w:tcPr>
          <w:p>
            <w:pPr>
              <w:spacing w:after="0"/>
              <w:rPr>
                <w:sz w:val="15"/>
                <w:szCs w:val="15"/>
                <w:color w:val="auto"/>
              </w:rPr>
            </w:pPr>
          </w:p>
        </w:tc>
        <w:tc>
          <w:tcPr>
            <w:tcW w:w="3740" w:type="dxa"/>
            <w:vAlign w:val="bottom"/>
            <w:tcBorders>
              <w:bottom w:val="single" w:sz="8" w:color="auto"/>
              <w:right w:val="single" w:sz="8" w:color="auto"/>
            </w:tcBorders>
            <w:gridSpan w:val="4"/>
          </w:tcPr>
          <w:p>
            <w:pPr>
              <w:jc w:val="center"/>
              <w:ind w:right="81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0"/>
        </w:trPr>
        <w:tc>
          <w:tcPr>
            <w:tcW w:w="3240" w:type="dxa"/>
            <w:vAlign w:val="bottom"/>
            <w:tcBorders>
              <w:left w:val="single" w:sz="8" w:color="auto"/>
              <w:right w:val="single" w:sz="8" w:color="auto"/>
            </w:tcBorders>
            <w:gridSpan w:val="2"/>
          </w:tcPr>
          <w:p>
            <w:pPr>
              <w:jc w:val="center"/>
              <w:spacing w:after="0" w:line="170" w:lineRule="exact"/>
              <w:rPr>
                <w:sz w:val="20"/>
                <w:szCs w:val="20"/>
                <w:color w:val="auto"/>
              </w:rPr>
            </w:pPr>
            <w:r>
              <w:rPr>
                <w:rFonts w:ascii="Arial" w:cs="Arial" w:eastAsia="Arial" w:hAnsi="Arial"/>
                <w:sz w:val="18"/>
                <w:szCs w:val="18"/>
                <w:b w:val="1"/>
                <w:bCs w:val="1"/>
                <w:color w:val="auto"/>
                <w:w w:val="90"/>
              </w:rPr>
              <w:t>Common units representing limited</w:t>
            </w:r>
          </w:p>
        </w:tc>
        <w:tc>
          <w:tcPr>
            <w:tcW w:w="500" w:type="dxa"/>
            <w:vAlign w:val="bottom"/>
          </w:tcPr>
          <w:p>
            <w:pPr>
              <w:spacing w:after="0"/>
              <w:rPr>
                <w:sz w:val="14"/>
                <w:szCs w:val="14"/>
                <w:color w:val="auto"/>
              </w:rPr>
            </w:pPr>
          </w:p>
        </w:tc>
        <w:tc>
          <w:tcPr>
            <w:tcW w:w="2840" w:type="dxa"/>
            <w:vAlign w:val="bottom"/>
            <w:tcBorders>
              <w:right w:val="single" w:sz="8" w:color="auto"/>
            </w:tcBorders>
          </w:tcPr>
          <w:p>
            <w:pPr>
              <w:jc w:val="center"/>
              <w:ind w:right="438"/>
              <w:spacing w:after="0" w:line="170" w:lineRule="exact"/>
              <w:rPr>
                <w:sz w:val="20"/>
                <w:szCs w:val="20"/>
                <w:color w:val="auto"/>
              </w:rPr>
            </w:pPr>
            <w:r>
              <w:rPr>
                <w:rFonts w:ascii="Arial" w:cs="Arial" w:eastAsia="Arial" w:hAnsi="Arial"/>
                <w:sz w:val="18"/>
                <w:szCs w:val="18"/>
                <w:b w:val="1"/>
                <w:bCs w:val="1"/>
                <w:color w:val="auto"/>
              </w:rPr>
              <w:t>WLKP</w:t>
            </w:r>
          </w:p>
        </w:tc>
        <w:tc>
          <w:tcPr>
            <w:tcW w:w="880" w:type="dxa"/>
            <w:vAlign w:val="bottom"/>
          </w:tcPr>
          <w:p>
            <w:pPr>
              <w:spacing w:after="0"/>
              <w:rPr>
                <w:sz w:val="14"/>
                <w:szCs w:val="14"/>
                <w:color w:val="auto"/>
              </w:rPr>
            </w:pPr>
          </w:p>
        </w:tc>
        <w:tc>
          <w:tcPr>
            <w:tcW w:w="3740" w:type="dxa"/>
            <w:vAlign w:val="bottom"/>
            <w:tcBorders>
              <w:right w:val="single" w:sz="8" w:color="auto"/>
            </w:tcBorders>
            <w:gridSpan w:val="4"/>
          </w:tcPr>
          <w:p>
            <w:pPr>
              <w:jc w:val="center"/>
              <w:ind w:right="830"/>
              <w:spacing w:after="0" w:line="170"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30"/>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partner interests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2940" w:type="dxa"/>
            <w:vAlign w:val="bottom"/>
          </w:tcPr>
          <w:p>
            <w:pPr>
              <w:spacing w:after="0"/>
              <w:rPr>
                <w:sz w:val="24"/>
                <w:szCs w:val="24"/>
                <w:color w:val="auto"/>
              </w:rPr>
            </w:pPr>
          </w:p>
        </w:tc>
        <w:tc>
          <w:tcPr>
            <w:tcW w:w="6040" w:type="dxa"/>
            <w:vAlign w:val="bottom"/>
            <w:gridSpan w:val="6"/>
          </w:tcPr>
          <w:p>
            <w:pPr>
              <w:jc w:val="center"/>
              <w:ind w:right="760"/>
              <w:spacing w:after="0"/>
              <w:rPr>
                <w:sz w:val="20"/>
                <w:szCs w:val="20"/>
                <w:color w:val="auto"/>
              </w:rPr>
            </w:pPr>
            <w:r>
              <w:rPr>
                <w:rFonts w:ascii="Arial" w:cs="Arial" w:eastAsia="Arial" w:hAnsi="Arial"/>
                <w:sz w:val="18"/>
                <w:szCs w:val="18"/>
                <w:b w:val="1"/>
                <w:bCs w:val="1"/>
                <w:color w:val="auto"/>
                <w:w w:val="89"/>
              </w:rPr>
              <w:t>Securities registered pursuant to Section 12(g) of the Act: NONE</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5300" w:type="dxa"/>
            <w:vAlign w:val="bottom"/>
            <w:tcBorders>
              <w:bottom w:val="single" w:sz="8" w:color="auto"/>
            </w:tcBorders>
            <w:gridSpan w:val="5"/>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5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8980" w:type="dxa"/>
            <w:vAlign w:val="bottom"/>
            <w:gridSpan w:val="7"/>
          </w:tcPr>
          <w:p>
            <w:pPr>
              <w:ind w:left="38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80" w:type="dxa"/>
            <w:vAlign w:val="bottom"/>
            <w:gridSpan w:val="7"/>
          </w:tcPr>
          <w:p>
            <w:pPr>
              <w:ind w:left="38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5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140" w:firstLine="40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12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2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820" w:type="dxa"/>
            <w:vAlign w:val="bottom"/>
          </w:tcPr>
          <w:p>
            <w:pPr>
              <w:ind w:left="222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10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right="4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4"/>
          <w:szCs w:val="24"/>
          <w:color w:val="auto"/>
        </w:rPr>
      </w:pPr>
    </w:p>
    <w:p>
      <w:pPr>
        <w:ind w:left="420"/>
        <w:spacing w:after="0" w:line="207" w:lineRule="exact"/>
        <w:tabs>
          <w:tab w:leader="none" w:pos="7980" w:val="left"/>
          <w:tab w:leader="none" w:pos="8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right="20" w:firstLine="405"/>
        <w:spacing w:after="0" w:line="301" w:lineRule="auto"/>
        <w:rPr>
          <w:sz w:val="20"/>
          <w:szCs w:val="20"/>
          <w:color w:val="auto"/>
        </w:rPr>
      </w:pPr>
      <w:r>
        <w:rPr>
          <w:rFonts w:ascii="Arial" w:cs="Arial" w:eastAsia="Arial" w:hAnsi="Arial"/>
          <w:sz w:val="16"/>
          <w:szCs w:val="16"/>
          <w:color w:val="auto"/>
        </w:rPr>
        <w:t>The aggregate market value of registrant's common units held by non-affiliates of the registrant on June 30, 2020, the end of the registrant's most recently completed second fiscal quarter, based on the closing price on June 30, 2020 of $18.94 on the New York Stock Exchange, was approximately $366.8 million. Common units held by executive officers and directors of the registrant and its affiliates are not included in the computation. The registrant, solely for the purpose of this required presentation, has deemed its directors and executive officers and those of its affiliates to be affiliates.</w:t>
      </w:r>
    </w:p>
    <w:p>
      <w:pPr>
        <w:spacing w:after="0" w:line="4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February 23, 2021, the registrant had 35,198,903 common units and no subordinated units outstanding.</w:t>
      </w:r>
    </w:p>
    <w:p>
      <w:pPr>
        <w:sectPr>
          <w:pgSz w:w="11900" w:h="16838" w:orient="portrait"/>
          <w:cols w:equalWidth="0" w:num="1">
            <w:col w:w="11240"/>
          </w:cols>
          <w:pgMar w:left="320" w:top="229" w:right="339" w:bottom="52"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960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7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Item</w:t>
            </w:r>
          </w:p>
        </w:tc>
        <w:tc>
          <w:tcPr>
            <w:tcW w:w="9600" w:type="dxa"/>
            <w:vAlign w:val="bottom"/>
          </w:tcPr>
          <w:p>
            <w:pPr>
              <w:jc w:val="center"/>
              <w:spacing w:after="0"/>
              <w:rPr>
                <w:rFonts w:ascii="Arial" w:cs="Arial" w:eastAsia="Arial" w:hAnsi="Arial"/>
                <w:sz w:val="18"/>
                <w:szCs w:val="18"/>
                <w:b w:val="1"/>
                <w:bCs w:val="1"/>
                <w:color w:val="auto"/>
                <w:w w:val="98"/>
              </w:rPr>
            </w:pPr>
            <w:hyperlink w:anchor="page5">
              <w:r>
                <w:rPr>
                  <w:rFonts w:ascii="Arial" w:cs="Arial" w:eastAsia="Arial" w:hAnsi="Arial"/>
                  <w:sz w:val="18"/>
                  <w:szCs w:val="18"/>
                  <w:b w:val="1"/>
                  <w:bCs w:val="1"/>
                  <w:color w:val="auto"/>
                  <w:w w:val="98"/>
                </w:rPr>
                <w:t>PART I</w:t>
              </w:r>
            </w:hyperlink>
          </w:p>
        </w:tc>
        <w:tc>
          <w:tcPr>
            <w:tcW w:w="8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720" w:type="dxa"/>
            <w:vAlign w:val="bottom"/>
            <w:vMerge w:val="continue"/>
          </w:tcPr>
          <w:p>
            <w:pPr>
              <w:spacing w:after="0"/>
              <w:rPr>
                <w:sz w:val="24"/>
                <w:szCs w:val="24"/>
                <w:color w:val="auto"/>
              </w:rPr>
            </w:pPr>
          </w:p>
        </w:tc>
        <w:tc>
          <w:tcPr>
            <w:tcW w:w="9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tc>
        <w:tc>
          <w:tcPr>
            <w:tcW w:w="9600" w:type="dxa"/>
            <w:vAlign w:val="bottom"/>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Business</w:t>
              </w:r>
            </w:hyperlink>
          </w:p>
        </w:tc>
        <w:tc>
          <w:tcPr>
            <w:tcW w:w="8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1A)</w:t>
              </w:r>
            </w:hyperlink>
          </w:p>
        </w:tc>
        <w:tc>
          <w:tcPr>
            <w:tcW w:w="9600" w:type="dxa"/>
            <w:vAlign w:val="bottom"/>
          </w:tcPr>
          <w:p>
            <w:pPr>
              <w:ind w:left="60"/>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88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7</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1B)</w:t>
              </w:r>
            </w:hyperlink>
          </w:p>
        </w:tc>
        <w:tc>
          <w:tcPr>
            <w:tcW w:w="9600" w:type="dxa"/>
            <w:vAlign w:val="bottom"/>
          </w:tcPr>
          <w:p>
            <w:pPr>
              <w:ind w:left="60"/>
              <w:spacing w:after="0"/>
              <w:rPr>
                <w:rFonts w:ascii="Arial" w:cs="Arial" w:eastAsia="Arial" w:hAnsi="Arial"/>
                <w:sz w:val="18"/>
                <w:szCs w:val="18"/>
                <w:color w:val="auto"/>
              </w:rPr>
            </w:pPr>
            <w:hyperlink w:anchor="page30">
              <w:r>
                <w:rPr>
                  <w:rFonts w:ascii="Arial" w:cs="Arial" w:eastAsia="Arial" w:hAnsi="Arial"/>
                  <w:sz w:val="18"/>
                  <w:szCs w:val="18"/>
                  <w:color w:val="auto"/>
                </w:rPr>
                <w:t>Unresolved Staff Comments</w:t>
              </w:r>
            </w:hyperlink>
          </w:p>
        </w:tc>
        <w:tc>
          <w:tcPr>
            <w:tcW w:w="8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w:t>
              </w:r>
            </w:hyperlink>
          </w:p>
        </w:tc>
        <w:tc>
          <w:tcPr>
            <w:tcW w:w="960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Properties</w:t>
              </w:r>
            </w:hyperlink>
          </w:p>
        </w:tc>
        <w:tc>
          <w:tcPr>
            <w:tcW w:w="8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w:t>
              </w:r>
            </w:hyperlink>
          </w:p>
        </w:tc>
        <w:tc>
          <w:tcPr>
            <w:tcW w:w="960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Legal Proceedings</w:t>
              </w:r>
            </w:hyperlink>
          </w:p>
        </w:tc>
        <w:tc>
          <w:tcPr>
            <w:tcW w:w="8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4)</w:t>
              </w:r>
            </w:hyperlink>
          </w:p>
        </w:tc>
        <w:tc>
          <w:tcPr>
            <w:tcW w:w="960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Mine Safety Disclosure</w:t>
              </w:r>
            </w:hyperlink>
          </w:p>
        </w:tc>
        <w:tc>
          <w:tcPr>
            <w:tcW w:w="8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26</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720" w:type="dxa"/>
            <w:vAlign w:val="bottom"/>
          </w:tcPr>
          <w:p>
            <w:pPr>
              <w:spacing w:after="0"/>
              <w:rPr>
                <w:sz w:val="24"/>
                <w:szCs w:val="24"/>
                <w:color w:val="auto"/>
              </w:rPr>
            </w:pPr>
          </w:p>
        </w:tc>
        <w:tc>
          <w:tcPr>
            <w:tcW w:w="9600" w:type="dxa"/>
            <w:vAlign w:val="bottom"/>
          </w:tcPr>
          <w:p>
            <w:pPr>
              <w:jc w:val="center"/>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PART II</w:t>
              </w:r>
            </w:hyperlink>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9600" w:type="dxa"/>
            <w:vAlign w:val="bottom"/>
          </w:tcPr>
          <w:p>
            <w:pPr>
              <w:ind w:left="60"/>
              <w:spacing w:after="0"/>
              <w:rPr>
                <w:rFonts w:ascii="Arial" w:cs="Arial" w:eastAsia="Arial" w:hAnsi="Arial"/>
                <w:sz w:val="18"/>
                <w:szCs w:val="18"/>
                <w:color w:val="auto"/>
              </w:rPr>
            </w:pPr>
            <w:hyperlink w:anchor="page32">
              <w:r>
                <w:rPr>
                  <w:rFonts w:ascii="Arial" w:cs="Arial" w:eastAsia="Arial" w:hAnsi="Arial"/>
                  <w:sz w:val="18"/>
                  <w:szCs w:val="18"/>
                  <w:color w:val="auto"/>
                </w:rPr>
                <w:t>Market for Registrant's Common Equity, Related Stockholder Matters and Issuer Purchases</w:t>
              </w:r>
            </w:hyperlink>
          </w:p>
        </w:tc>
        <w:tc>
          <w:tcPr>
            <w:tcW w:w="8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9600" w:type="dxa"/>
            <w:vAlign w:val="bottom"/>
          </w:tcPr>
          <w:p>
            <w:pPr>
              <w:ind w:left="200"/>
              <w:spacing w:after="0"/>
              <w:rPr>
                <w:rFonts w:ascii="Arial" w:cs="Arial" w:eastAsia="Arial" w:hAnsi="Arial"/>
                <w:sz w:val="18"/>
                <w:szCs w:val="18"/>
                <w:color w:val="auto"/>
              </w:rPr>
            </w:pPr>
            <w:hyperlink w:anchor="page32">
              <w:r>
                <w:rPr>
                  <w:rFonts w:ascii="Arial" w:cs="Arial" w:eastAsia="Arial" w:hAnsi="Arial"/>
                  <w:sz w:val="18"/>
                  <w:szCs w:val="18"/>
                  <w:color w:val="auto"/>
                </w:rPr>
                <w:t>of Equity Securities</w:t>
              </w:r>
            </w:hyperlink>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6)</w:t>
              </w:r>
            </w:hyperlink>
          </w:p>
        </w:tc>
        <w:tc>
          <w:tcPr>
            <w:tcW w:w="9600" w:type="dxa"/>
            <w:vAlign w:val="bottom"/>
          </w:tcPr>
          <w:p>
            <w:pPr>
              <w:ind w:left="60"/>
              <w:spacing w:after="0"/>
              <w:rPr>
                <w:rFonts w:ascii="Arial" w:cs="Arial" w:eastAsia="Arial" w:hAnsi="Arial"/>
                <w:sz w:val="18"/>
                <w:szCs w:val="18"/>
                <w:color w:val="auto"/>
              </w:rPr>
            </w:pPr>
            <w:hyperlink w:anchor="page33">
              <w:r>
                <w:rPr>
                  <w:rFonts w:ascii="Arial" w:cs="Arial" w:eastAsia="Arial" w:hAnsi="Arial"/>
                  <w:sz w:val="18"/>
                  <w:szCs w:val="18"/>
                  <w:color w:val="auto"/>
                </w:rPr>
                <w:t xml:space="preserve">Selected Financial </w:t>
              </w:r>
            </w:hyperlink>
            <w:r>
              <w:rPr>
                <w:rFonts w:ascii="Arial" w:cs="Arial" w:eastAsia="Arial" w:hAnsi="Arial"/>
                <w:sz w:val="18"/>
                <w:szCs w:val="18"/>
                <w:color w:val="auto"/>
              </w:rPr>
              <w:t>Data</w:t>
            </w:r>
          </w:p>
        </w:tc>
        <w:tc>
          <w:tcPr>
            <w:tcW w:w="8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29</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7)</w:t>
              </w:r>
            </w:hyperlink>
          </w:p>
        </w:tc>
        <w:tc>
          <w:tcPr>
            <w:tcW w:w="9600" w:type="dxa"/>
            <w:vAlign w:val="bottom"/>
          </w:tcPr>
          <w:p>
            <w:pPr>
              <w:ind w:left="60"/>
              <w:spacing w:after="0"/>
              <w:rPr>
                <w:rFonts w:ascii="Arial" w:cs="Arial" w:eastAsia="Arial" w:hAnsi="Arial"/>
                <w:sz w:val="18"/>
                <w:szCs w:val="18"/>
                <w:color w:val="auto"/>
              </w:rPr>
            </w:pPr>
            <w:hyperlink w:anchor="page36">
              <w:r>
                <w:rPr>
                  <w:rFonts w:ascii="Arial" w:cs="Arial" w:eastAsia="Arial" w:hAnsi="Arial"/>
                  <w:sz w:val="18"/>
                  <w:szCs w:val="18"/>
                  <w:color w:val="auto"/>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7A)</w:t>
              </w:r>
            </w:hyperlink>
          </w:p>
        </w:tc>
        <w:tc>
          <w:tcPr>
            <w:tcW w:w="9600" w:type="dxa"/>
            <w:vAlign w:val="bottom"/>
          </w:tcPr>
          <w:p>
            <w:pPr>
              <w:ind w:left="60"/>
              <w:spacing w:after="0"/>
              <w:rPr>
                <w:rFonts w:ascii="Arial" w:cs="Arial" w:eastAsia="Arial" w:hAnsi="Arial"/>
                <w:sz w:val="18"/>
                <w:szCs w:val="18"/>
                <w:color w:val="auto"/>
              </w:rPr>
            </w:pPr>
            <w:hyperlink w:anchor="page48">
              <w:r>
                <w:rPr>
                  <w:rFonts w:ascii="Arial" w:cs="Arial" w:eastAsia="Arial" w:hAnsi="Arial"/>
                  <w:sz w:val="18"/>
                  <w:szCs w:val="18"/>
                  <w:color w:val="auto"/>
                </w:rPr>
                <w:t>Quantitative and Qualitative Disclosures about Market Risk</w:t>
              </w:r>
            </w:hyperlink>
          </w:p>
        </w:tc>
        <w:tc>
          <w:tcPr>
            <w:tcW w:w="88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8)</w:t>
              </w:r>
            </w:hyperlink>
          </w:p>
        </w:tc>
        <w:tc>
          <w:tcPr>
            <w:tcW w:w="9600" w:type="dxa"/>
            <w:vAlign w:val="bottom"/>
          </w:tcPr>
          <w:p>
            <w:pPr>
              <w:ind w:left="60"/>
              <w:spacing w:after="0"/>
              <w:rPr>
                <w:rFonts w:ascii="Arial" w:cs="Arial" w:eastAsia="Arial" w:hAnsi="Arial"/>
                <w:sz w:val="18"/>
                <w:szCs w:val="18"/>
                <w:color w:val="auto"/>
              </w:rPr>
            </w:pPr>
            <w:hyperlink w:anchor="page48">
              <w:r>
                <w:rPr>
                  <w:rFonts w:ascii="Arial" w:cs="Arial" w:eastAsia="Arial" w:hAnsi="Arial"/>
                  <w:sz w:val="18"/>
                  <w:szCs w:val="18"/>
                  <w:color w:val="auto"/>
                </w:rPr>
                <w:t>Financial Statements and Supplementary Data</w:t>
              </w:r>
            </w:hyperlink>
          </w:p>
        </w:tc>
        <w:tc>
          <w:tcPr>
            <w:tcW w:w="88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9)</w:t>
              </w:r>
            </w:hyperlink>
          </w:p>
        </w:tc>
        <w:tc>
          <w:tcPr>
            <w:tcW w:w="9600" w:type="dxa"/>
            <w:vAlign w:val="bottom"/>
          </w:tcPr>
          <w:p>
            <w:pPr>
              <w:ind w:left="60"/>
              <w:spacing w:after="0"/>
              <w:rPr>
                <w:rFonts w:ascii="Arial" w:cs="Arial" w:eastAsia="Arial" w:hAnsi="Arial"/>
                <w:sz w:val="18"/>
                <w:szCs w:val="18"/>
                <w:color w:val="auto"/>
              </w:rPr>
            </w:pPr>
            <w:hyperlink w:anchor="page74">
              <w:r>
                <w:rPr>
                  <w:rFonts w:ascii="Arial" w:cs="Arial" w:eastAsia="Arial" w:hAnsi="Arial"/>
                  <w:sz w:val="18"/>
                  <w:szCs w:val="18"/>
                  <w:color w:val="auto"/>
                </w:rPr>
                <w:t>Changes in and Disagreements with Accountants on Accounting and Financial Disclosure</w:t>
              </w:r>
            </w:hyperlink>
          </w:p>
        </w:tc>
        <w:tc>
          <w:tcPr>
            <w:tcW w:w="88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69</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9A)</w:t>
              </w:r>
            </w:hyperlink>
          </w:p>
        </w:tc>
        <w:tc>
          <w:tcPr>
            <w:tcW w:w="9600" w:type="dxa"/>
            <w:vAlign w:val="bottom"/>
          </w:tcPr>
          <w:p>
            <w:pPr>
              <w:ind w:left="60"/>
              <w:spacing w:after="0"/>
              <w:rPr>
                <w:rFonts w:ascii="Arial" w:cs="Arial" w:eastAsia="Arial" w:hAnsi="Arial"/>
                <w:sz w:val="18"/>
                <w:szCs w:val="18"/>
                <w:color w:val="auto"/>
              </w:rPr>
            </w:pPr>
            <w:hyperlink w:anchor="page74">
              <w:r>
                <w:rPr>
                  <w:rFonts w:ascii="Arial" w:cs="Arial" w:eastAsia="Arial" w:hAnsi="Arial"/>
                  <w:sz w:val="18"/>
                  <w:szCs w:val="18"/>
                  <w:color w:val="auto"/>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69</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9B)</w:t>
              </w:r>
            </w:hyperlink>
          </w:p>
        </w:tc>
        <w:tc>
          <w:tcPr>
            <w:tcW w:w="9600" w:type="dxa"/>
            <w:vAlign w:val="bottom"/>
          </w:tcPr>
          <w:p>
            <w:pPr>
              <w:ind w:left="60"/>
              <w:spacing w:after="0"/>
              <w:rPr>
                <w:rFonts w:ascii="Arial" w:cs="Arial" w:eastAsia="Arial" w:hAnsi="Arial"/>
                <w:sz w:val="18"/>
                <w:szCs w:val="18"/>
                <w:color w:val="auto"/>
              </w:rPr>
            </w:pPr>
            <w:hyperlink w:anchor="page74">
              <w:r>
                <w:rPr>
                  <w:rFonts w:ascii="Arial" w:cs="Arial" w:eastAsia="Arial" w:hAnsi="Arial"/>
                  <w:sz w:val="18"/>
                  <w:szCs w:val="18"/>
                  <w:color w:val="auto"/>
                </w:rPr>
                <w:t>Other Information</w:t>
              </w:r>
            </w:hyperlink>
          </w:p>
        </w:tc>
        <w:tc>
          <w:tcPr>
            <w:tcW w:w="88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69</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720" w:type="dxa"/>
            <w:vAlign w:val="bottom"/>
          </w:tcPr>
          <w:p>
            <w:pPr>
              <w:spacing w:after="0"/>
              <w:rPr>
                <w:sz w:val="24"/>
                <w:szCs w:val="24"/>
                <w:color w:val="auto"/>
              </w:rPr>
            </w:pPr>
          </w:p>
        </w:tc>
        <w:tc>
          <w:tcPr>
            <w:tcW w:w="9600" w:type="dxa"/>
            <w:vAlign w:val="bottom"/>
          </w:tcPr>
          <w:p>
            <w:pPr>
              <w:jc w:val="center"/>
              <w:spacing w:after="0"/>
              <w:rPr>
                <w:rFonts w:ascii="Arial" w:cs="Arial" w:eastAsia="Arial" w:hAnsi="Arial"/>
                <w:sz w:val="18"/>
                <w:szCs w:val="18"/>
                <w:b w:val="1"/>
                <w:bCs w:val="1"/>
                <w:color w:val="auto"/>
              </w:rPr>
            </w:pPr>
            <w:hyperlink w:anchor="page74">
              <w:r>
                <w:rPr>
                  <w:rFonts w:ascii="Arial" w:cs="Arial" w:eastAsia="Arial" w:hAnsi="Arial"/>
                  <w:sz w:val="18"/>
                  <w:szCs w:val="18"/>
                  <w:b w:val="1"/>
                  <w:bCs w:val="1"/>
                  <w:color w:val="auto"/>
                </w:rPr>
                <w:t>PART III</w:t>
              </w:r>
            </w:hyperlink>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10)</w:t>
              </w:r>
            </w:hyperlink>
          </w:p>
        </w:tc>
        <w:tc>
          <w:tcPr>
            <w:tcW w:w="9600" w:type="dxa"/>
            <w:vAlign w:val="bottom"/>
          </w:tcPr>
          <w:p>
            <w:pPr>
              <w:ind w:left="60"/>
              <w:spacing w:after="0"/>
              <w:rPr>
                <w:rFonts w:ascii="Arial" w:cs="Arial" w:eastAsia="Arial" w:hAnsi="Arial"/>
                <w:sz w:val="18"/>
                <w:szCs w:val="18"/>
                <w:color w:val="auto"/>
              </w:rPr>
            </w:pPr>
            <w:hyperlink w:anchor="page75">
              <w:r>
                <w:rPr>
                  <w:rFonts w:ascii="Arial" w:cs="Arial" w:eastAsia="Arial" w:hAnsi="Arial"/>
                  <w:sz w:val="18"/>
                  <w:szCs w:val="18"/>
                  <w:color w:val="auto"/>
                </w:rPr>
                <w:t>Directors, Executive Officers and Corporate Governance</w:t>
              </w:r>
            </w:hyperlink>
          </w:p>
        </w:tc>
        <w:tc>
          <w:tcPr>
            <w:tcW w:w="88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70</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11)</w:t>
              </w:r>
            </w:hyperlink>
          </w:p>
        </w:tc>
        <w:tc>
          <w:tcPr>
            <w:tcW w:w="9600" w:type="dxa"/>
            <w:vAlign w:val="bottom"/>
          </w:tcPr>
          <w:p>
            <w:pPr>
              <w:ind w:left="60"/>
              <w:spacing w:after="0"/>
              <w:rPr>
                <w:rFonts w:ascii="Arial" w:cs="Arial" w:eastAsia="Arial" w:hAnsi="Arial"/>
                <w:sz w:val="18"/>
                <w:szCs w:val="18"/>
                <w:color w:val="auto"/>
              </w:rPr>
            </w:pPr>
            <w:hyperlink w:anchor="page79">
              <w:r>
                <w:rPr>
                  <w:rFonts w:ascii="Arial" w:cs="Arial" w:eastAsia="Arial" w:hAnsi="Arial"/>
                  <w:sz w:val="18"/>
                  <w:szCs w:val="18"/>
                  <w:color w:val="auto"/>
                </w:rPr>
                <w:t>Executive Compensation</w:t>
              </w:r>
            </w:hyperlink>
          </w:p>
        </w:tc>
        <w:tc>
          <w:tcPr>
            <w:tcW w:w="88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12)</w:t>
              </w:r>
            </w:hyperlink>
          </w:p>
        </w:tc>
        <w:tc>
          <w:tcPr>
            <w:tcW w:w="9600" w:type="dxa"/>
            <w:vAlign w:val="bottom"/>
          </w:tcPr>
          <w:p>
            <w:pPr>
              <w:ind w:left="60"/>
              <w:spacing w:after="0"/>
              <w:rPr>
                <w:rFonts w:ascii="Arial" w:cs="Arial" w:eastAsia="Arial" w:hAnsi="Arial"/>
                <w:sz w:val="18"/>
                <w:szCs w:val="18"/>
                <w:color w:val="auto"/>
              </w:rPr>
            </w:pPr>
            <w:hyperlink w:anchor="page85">
              <w:r>
                <w:rPr>
                  <w:rFonts w:ascii="Arial" w:cs="Arial" w:eastAsia="Arial" w:hAnsi="Arial"/>
                  <w:sz w:val="18"/>
                  <w:szCs w:val="18"/>
                  <w:color w:val="auto"/>
                </w:rPr>
                <w:t>Security Ownership of Certain Beneficial Owners and Management and Related Stockholder Matters</w:t>
              </w:r>
            </w:hyperlink>
          </w:p>
        </w:tc>
        <w:tc>
          <w:tcPr>
            <w:tcW w:w="88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13)</w:t>
              </w:r>
            </w:hyperlink>
          </w:p>
        </w:tc>
        <w:tc>
          <w:tcPr>
            <w:tcW w:w="9600" w:type="dxa"/>
            <w:vAlign w:val="bottom"/>
          </w:tcPr>
          <w:p>
            <w:pPr>
              <w:ind w:left="60"/>
              <w:spacing w:after="0"/>
              <w:rPr>
                <w:rFonts w:ascii="Arial" w:cs="Arial" w:eastAsia="Arial" w:hAnsi="Arial"/>
                <w:sz w:val="18"/>
                <w:szCs w:val="18"/>
                <w:color w:val="auto"/>
              </w:rPr>
            </w:pPr>
            <w:hyperlink w:anchor="page88">
              <w:r>
                <w:rPr>
                  <w:rFonts w:ascii="Arial" w:cs="Arial" w:eastAsia="Arial" w:hAnsi="Arial"/>
                  <w:sz w:val="18"/>
                  <w:szCs w:val="18"/>
                  <w:color w:val="auto"/>
                </w:rPr>
                <w:t>Certain Relationships and Related Transactions, and Director Independence</w:t>
              </w:r>
            </w:hyperlink>
          </w:p>
        </w:tc>
        <w:tc>
          <w:tcPr>
            <w:tcW w:w="8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14)</w:t>
              </w:r>
            </w:hyperlink>
          </w:p>
        </w:tc>
        <w:tc>
          <w:tcPr>
            <w:tcW w:w="9600" w:type="dxa"/>
            <w:vAlign w:val="bottom"/>
          </w:tcPr>
          <w:p>
            <w:pPr>
              <w:ind w:left="60"/>
              <w:spacing w:after="0"/>
              <w:rPr>
                <w:rFonts w:ascii="Arial" w:cs="Arial" w:eastAsia="Arial" w:hAnsi="Arial"/>
                <w:sz w:val="18"/>
                <w:szCs w:val="18"/>
                <w:color w:val="auto"/>
              </w:rPr>
            </w:pPr>
            <w:hyperlink w:anchor="page91">
              <w:r>
                <w:rPr>
                  <w:rFonts w:ascii="Arial" w:cs="Arial" w:eastAsia="Arial" w:hAnsi="Arial"/>
                  <w:sz w:val="18"/>
                  <w:szCs w:val="18"/>
                  <w:color w:val="auto"/>
                </w:rPr>
                <w:t>Principal Accountant Fees and Services</w:t>
              </w:r>
            </w:hyperlink>
          </w:p>
        </w:tc>
        <w:tc>
          <w:tcPr>
            <w:tcW w:w="88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86</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 w:type="dxa"/>
            <w:vAlign w:val="bottom"/>
          </w:tcPr>
          <w:p>
            <w:pPr>
              <w:spacing w:after="0"/>
              <w:rPr>
                <w:sz w:val="24"/>
                <w:szCs w:val="24"/>
                <w:color w:val="auto"/>
              </w:rPr>
            </w:pPr>
          </w:p>
        </w:tc>
        <w:tc>
          <w:tcPr>
            <w:tcW w:w="9600" w:type="dxa"/>
            <w:vAlign w:val="bottom"/>
          </w:tcPr>
          <w:p>
            <w:pPr>
              <w:jc w:val="center"/>
              <w:spacing w:after="0"/>
              <w:rPr>
                <w:rFonts w:ascii="Arial" w:cs="Arial" w:eastAsia="Arial" w:hAnsi="Arial"/>
                <w:sz w:val="18"/>
                <w:szCs w:val="18"/>
                <w:b w:val="1"/>
                <w:bCs w:val="1"/>
                <w:color w:val="auto"/>
              </w:rPr>
            </w:pPr>
            <w:hyperlink w:anchor="page91">
              <w:r>
                <w:rPr>
                  <w:rFonts w:ascii="Arial" w:cs="Arial" w:eastAsia="Arial" w:hAnsi="Arial"/>
                  <w:sz w:val="18"/>
                  <w:szCs w:val="18"/>
                  <w:b w:val="1"/>
                  <w:bCs w:val="1"/>
                  <w:color w:val="auto"/>
                </w:rPr>
                <w:t>PART IV</w:t>
              </w:r>
            </w:hyperlink>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2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15)</w:t>
              </w:r>
            </w:hyperlink>
          </w:p>
        </w:tc>
        <w:tc>
          <w:tcPr>
            <w:tcW w:w="9600" w:type="dxa"/>
            <w:vAlign w:val="bottom"/>
          </w:tcPr>
          <w:p>
            <w:pPr>
              <w:ind w:left="60"/>
              <w:spacing w:after="0"/>
              <w:rPr>
                <w:rFonts w:ascii="Arial" w:cs="Arial" w:eastAsia="Arial" w:hAnsi="Arial"/>
                <w:sz w:val="18"/>
                <w:szCs w:val="18"/>
                <w:color w:val="auto"/>
              </w:rPr>
            </w:pPr>
            <w:hyperlink w:anchor="page92">
              <w:r>
                <w:rPr>
                  <w:rFonts w:ascii="Arial" w:cs="Arial" w:eastAsia="Arial" w:hAnsi="Arial"/>
                  <w:sz w:val="18"/>
                  <w:szCs w:val="18"/>
                  <w:color w:val="auto"/>
                </w:rPr>
                <w:t>Exhibits and Financial Statement Schedules</w:t>
              </w:r>
            </w:hyperlink>
          </w:p>
        </w:tc>
        <w:tc>
          <w:tcPr>
            <w:tcW w:w="88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87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16)</w:t>
              </w:r>
            </w:hyperlink>
          </w:p>
        </w:tc>
        <w:tc>
          <w:tcPr>
            <w:tcW w:w="9600" w:type="dxa"/>
            <w:vAlign w:val="bottom"/>
          </w:tcPr>
          <w:p>
            <w:pPr>
              <w:ind w:left="60"/>
              <w:spacing w:after="0"/>
              <w:rPr>
                <w:rFonts w:ascii="Arial" w:cs="Arial" w:eastAsia="Arial" w:hAnsi="Arial"/>
                <w:sz w:val="18"/>
                <w:szCs w:val="18"/>
                <w:color w:val="auto"/>
              </w:rPr>
            </w:pPr>
            <w:hyperlink w:anchor="page96">
              <w:r>
                <w:rPr>
                  <w:rFonts w:ascii="Arial" w:cs="Arial" w:eastAsia="Arial" w:hAnsi="Arial"/>
                  <w:sz w:val="18"/>
                  <w:szCs w:val="18"/>
                  <w:color w:val="auto"/>
                </w:rPr>
                <w:t>Form 10-K Summary</w:t>
              </w:r>
            </w:hyperlink>
          </w:p>
        </w:tc>
        <w:tc>
          <w:tcPr>
            <w:tcW w:w="88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91</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3"/>
        </w:trPr>
        <w:tc>
          <w:tcPr>
            <w:tcW w:w="72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Unless otherwise indicated, references in this Annual Report on Form 10-K (this "report") to "we," "our," "us" or like terms refer to Westlake Chemical Partners LP ("Westlake Chemical Partners LP" or the "Partnership"), Westlake Chemical OpCo LP ("OpCo") and Westlake Chemical OpCo GP LLC ("OpCo GP"). References to "Westlake" refer to Westlake Chemical Corporation and its consolidated subsidiaries other than the Partnership, OpCo GP and OpCo. Unless the context otherwise requires, references to our "board of directors" or our "directors" refer to the board of directors of our general partner and such board's directors, respectively.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jc w:val="both"/>
        <w:ind w:right="140" w:firstLine="324"/>
        <w:spacing w:after="0" w:line="287" w:lineRule="auto"/>
        <w:rPr>
          <w:sz w:val="20"/>
          <w:szCs w:val="20"/>
          <w:color w:val="auto"/>
        </w:rPr>
      </w:pPr>
      <w:r>
        <w:rPr>
          <w:rFonts w:ascii="Arial" w:cs="Arial" w:eastAsia="Arial" w:hAnsi="Arial"/>
          <w:sz w:val="16"/>
          <w:szCs w:val="16"/>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1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widespread outbreak of an illness or any other communicable disease, or any other public health crisis, including the COVID-19 pandemic and efforts to contain its transmission;</w:t>
      </w:r>
    </w:p>
    <w:p>
      <w:pPr>
        <w:spacing w:after="0" w:line="35"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Westlake's plans to respond to the challenges presented by the COVID-19 epidemic, including planned reductions of costs, increases of operational efficiencies and lowering of capital spending, as well as the timing and deferral of the planned turnaround at OpCo's Petro 2 ethylene unit;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funding and results of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quarterly distributions and the manner of making such distributions;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Partnership's At-the-Market program and the use of any net proceeds from any sales under that program;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receipt of any buyer deficiency fee under the Ethylene Sales Agreement;</w:t>
      </w:r>
    </w:p>
    <w:p>
      <w:pPr>
        <w:spacing w:after="0" w:line="90"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indemnification from Westlake for environmental and other losses;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17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statements are subject to a number of assumptions, risks and uncertainties, including those described in "Part 1. Item 1A. Risk Factors" of this report and the following:</w:t>
      </w:r>
    </w:p>
    <w:p>
      <w:pPr>
        <w:spacing w:after="0" w:line="13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 crude oil prices reducing the cost advantage of ethane-based ethylene producers;</w:t>
      </w:r>
    </w:p>
    <w:p>
      <w:pPr>
        <w:spacing w:after="0" w:line="9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 particularly COVID-19;</w:t>
      </w:r>
    </w:p>
    <w:p>
      <w:pPr>
        <w:spacing w:after="0" w:line="7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Industry and Market Data</w:t>
      </w:r>
    </w:p>
    <w:p>
      <w:pPr>
        <w:spacing w:after="0" w:line="175"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Industry and market data used throughout this report were obtained through internal research, surveys and studies conducted by unrelated third parties and publicly available industry and general publications, including information from IHS Markit ("IHS").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Production Capacity</w:t>
      </w:r>
    </w:p>
    <w:p>
      <w:pPr>
        <w:spacing w:after="0" w:line="175" w:lineRule="exact"/>
        <w:rPr>
          <w:sz w:val="20"/>
          <w:szCs w:val="20"/>
          <w:color w:val="auto"/>
        </w:rPr>
      </w:pPr>
    </w:p>
    <w:p>
      <w:pPr>
        <w:jc w:val="both"/>
        <w:ind w:right="20" w:firstLine="445"/>
        <w:spacing w:after="0" w:line="301" w:lineRule="auto"/>
        <w:rPr>
          <w:sz w:val="20"/>
          <w:szCs w:val="20"/>
          <w:color w:val="auto"/>
        </w:rPr>
      </w:pPr>
      <w:r>
        <w:rPr>
          <w:rFonts w:ascii="Arial" w:cs="Arial" w:eastAsia="Arial" w:hAnsi="Arial"/>
          <w:sz w:val="16"/>
          <w:szCs w:val="16"/>
          <w:color w:val="auto"/>
        </w:rPr>
        <w:t>Unless we state otherwise, annual production capacity estimates used throughout this report represent rated capacity of the facilities at December 31, 2020.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We are a Delaware limited partnership formed by Westlake in March 2014 to operate, acquire and develop ethylene production facilities and related assets. On August 4, 2014, we completed our initial public offering (the "IPO") of 12,937,500 common units representing limited partner interests. In connection with the IPO, we acquired an initial 10.6% interest in OpCo and a 100% interest in OpCo GP, which is the general partner of OpCo. As of December 31, 2018, we had an aggregate 18.3% limited partner interest in OpCo.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7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Our business and operations are conducted through OpCo. Because we own OpCo's general partner, we have control over all of OpCo's assets and operations. As of December 31, 2020, Westlake held a 77.2% limited partner interest in OpCo and held a 40.1% limited partner interest in us (consisting of 14,122,230 common units), our general partner interest and our incentive distribution rights.</w:t>
      </w:r>
    </w:p>
    <w:p>
      <w:pPr>
        <w:spacing w:after="0" w:line="130"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OpCo's assets are comprised of three ethylene production facilities, which primarily convert ethane into ethylene and have an aggregate annual capacity of approximately 3.7 billion pounds, and a 200-mile ethylene pipeline. OpCo derives substantially all of its revenue from these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 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22.8% limited partner interest in OpCo.</w:t>
      </w:r>
    </w:p>
    <w:p>
      <w:pPr>
        <w:spacing w:after="0" w:line="112"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Among other agreements entered into in connection with the closing of the IPO, OpCo entered into a 12-year ethylene sales agreement with Westlake,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ethane (and any other feedstocks) required for OpCo to produce ethylene under the Ethylene Sales Agreement (the "Feedstock Supply Agreement"). OpCo primarily uses ethane (a component of natural gas liquids, or NGLs) to produce ethylene.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Westlake Chemical Partners LP</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simplified diagram depicts our organizational structure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74930</wp:posOffset>
            </wp:positionV>
            <wp:extent cx="5657850" cy="4577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457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Common Units</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r>
      <w:tr>
        <w:trPr>
          <w:trHeight w:val="229"/>
        </w:trPr>
        <w:tc>
          <w:tcPr>
            <w:tcW w:w="8700" w:type="dxa"/>
            <w:vAlign w:val="bottom"/>
          </w:tcPr>
          <w:p>
            <w:pPr>
              <w:ind w:left="440"/>
              <w:spacing w:after="0"/>
              <w:rPr>
                <w:sz w:val="20"/>
                <w:szCs w:val="20"/>
                <w:color w:val="auto"/>
              </w:rPr>
            </w:pPr>
            <w:r>
              <w:rPr>
                <w:rFonts w:ascii="Arial" w:cs="Arial" w:eastAsia="Arial" w:hAnsi="Arial"/>
                <w:sz w:val="18"/>
                <w:szCs w:val="18"/>
                <w:color w:val="auto"/>
              </w:rPr>
              <w:t>Interests of Westlake:</w:t>
            </w: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87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Common Units</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r>
      <w:tr>
        <w:trPr>
          <w:trHeight w:val="230"/>
        </w:trPr>
        <w:tc>
          <w:tcPr>
            <w:tcW w:w="8700" w:type="dxa"/>
            <w:vAlign w:val="bottom"/>
          </w:tcPr>
          <w:p>
            <w:pPr>
              <w:ind w:left="760"/>
              <w:spacing w:after="0"/>
              <w:rPr>
                <w:sz w:val="20"/>
                <w:szCs w:val="20"/>
                <w:color w:val="auto"/>
              </w:rPr>
            </w:pPr>
            <w:r>
              <w:rPr>
                <w:rFonts w:ascii="Arial" w:cs="Arial" w:eastAsia="Arial" w:hAnsi="Arial"/>
                <w:sz w:val="18"/>
                <w:szCs w:val="18"/>
                <w:color w:val="auto"/>
              </w:rPr>
              <w:t>Non-Economic General Partner Interest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87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Incentive Distribution Rights</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r>
      <w:tr>
        <w:trPr>
          <w:trHeight w:val="223"/>
        </w:trPr>
        <w:tc>
          <w:tcPr>
            <w:tcW w:w="87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100.0</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right="20" w:hanging="412"/>
        <w:spacing w:after="0" w:line="277" w:lineRule="auto"/>
        <w:tabs>
          <w:tab w:leader="none" w:pos="40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 and Operations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sole revenue generating asset is our 22.8% limited partner interest in OpCo. We also own the general partner interest of OpCo. OpCo owns:</w:t>
      </w:r>
    </w:p>
    <w:p>
      <w:pPr>
        <w:spacing w:after="0" w:line="127" w:lineRule="exact"/>
        <w:rPr>
          <w:sz w:val="20"/>
          <w:szCs w:val="20"/>
          <w:color w:val="auto"/>
        </w:rPr>
      </w:pPr>
    </w:p>
    <w:p>
      <w:pPr>
        <w:ind w:left="660" w:right="3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ethylene production facilities at Westlake's Lake Charles, Louisiana site ("Petro 1" and "Petro 2," collectively referred to as "Lake Charles Olefins"), with an annual combined capacity of approximately 3.0 billion pounds;</w:t>
      </w:r>
    </w:p>
    <w:p>
      <w:pPr>
        <w:spacing w:after="0" w:line="4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ethylene production facility at Westlake's Calvert City, Kentucky site ("Calvert City Olefins"), with an annual capacity of approximately 730 million pounds; and</w:t>
      </w:r>
    </w:p>
    <w:p>
      <w:pPr>
        <w:spacing w:after="0" w:line="35"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200-mile common carrier ethylene pipeline that runs from Mont Belvieu, Texas to the Longview, Texas chemical site, which includes Westlake's Longview PE production facility (the "Longview Pipeline").</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the owner of the general partner interest of OpCo, we control all aspects of the management of OpCo, including its cash distribution policy. See "—OpCo's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OpCo's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Production Facilities</w:t>
      </w:r>
      <w:r>
        <w:rPr>
          <w:rFonts w:ascii="Arial" w:cs="Arial" w:eastAsia="Arial" w:hAnsi="Arial"/>
          <w:sz w:val="18"/>
          <w:szCs w:val="18"/>
          <w:color w:val="auto"/>
        </w:rPr>
        <w:t>.</w:t>
      </w:r>
    </w:p>
    <w:p>
      <w:pPr>
        <w:spacing w:after="0" w:line="9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OpCo operates three ethylene production facilities that are situated on real property leased to OpCo by Westlake pursuant to 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regarding OpCo's ethylene production facilities as of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Production</w:t>
            </w:r>
          </w:p>
        </w:tc>
        <w:tc>
          <w:tcPr>
            <w:tcW w:w="1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Capacity</w:t>
            </w:r>
          </w:p>
        </w:tc>
        <w:tc>
          <w:tcPr>
            <w:tcW w:w="1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Primary Uses of</w:t>
            </w:r>
          </w:p>
        </w:tc>
        <w:tc>
          <w:tcPr>
            <w:tcW w:w="0" w:type="dxa"/>
            <w:vAlign w:val="bottom"/>
          </w:tcPr>
          <w:p>
            <w:pPr>
              <w:spacing w:after="0"/>
              <w:rPr>
                <w:sz w:val="1"/>
                <w:szCs w:val="1"/>
                <w:color w:val="auto"/>
              </w:rPr>
            </w:pPr>
          </w:p>
        </w:tc>
      </w:tr>
      <w:tr>
        <w:trPr>
          <w:trHeight w:val="135"/>
        </w:trPr>
        <w:tc>
          <w:tcPr>
            <w:tcW w:w="4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Plant Location (Description)</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(millions of</w:t>
            </w:r>
          </w:p>
        </w:tc>
        <w:tc>
          <w:tcPr>
            <w:tcW w:w="100" w:type="dxa"/>
            <w:vAlign w:val="bottom"/>
          </w:tcPr>
          <w:p>
            <w:pPr>
              <w:spacing w:after="0"/>
              <w:rPr>
                <w:sz w:val="11"/>
                <w:szCs w:val="11"/>
                <w:color w:val="auto"/>
              </w:rPr>
            </w:pPr>
          </w:p>
        </w:tc>
        <w:tc>
          <w:tcPr>
            <w:tcW w:w="3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Feedstock</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6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pounds)</w:t>
            </w:r>
          </w:p>
        </w:tc>
        <w:tc>
          <w:tcPr>
            <w:tcW w:w="100" w:type="dxa"/>
            <w:vAlign w:val="bottom"/>
          </w:tcPr>
          <w:p>
            <w:pPr>
              <w:spacing w:after="0"/>
              <w:rPr>
                <w:sz w:val="16"/>
                <w:szCs w:val="16"/>
                <w:color w:val="auto"/>
              </w:rPr>
            </w:pPr>
          </w:p>
        </w:tc>
        <w:tc>
          <w:tcPr>
            <w:tcW w:w="388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Ethylene</w:t>
            </w:r>
          </w:p>
        </w:tc>
        <w:tc>
          <w:tcPr>
            <w:tcW w:w="0" w:type="dxa"/>
            <w:vAlign w:val="bottom"/>
          </w:tcPr>
          <w:p>
            <w:pPr>
              <w:spacing w:after="0"/>
              <w:rPr>
                <w:sz w:val="1"/>
                <w:szCs w:val="1"/>
                <w:color w:val="auto"/>
              </w:rPr>
            </w:pPr>
          </w:p>
        </w:tc>
      </w:tr>
      <w:tr>
        <w:trPr>
          <w:trHeight w:val="224"/>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Lake Charles, Louisiana (Petro 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Ethane</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175"/>
        </w:trPr>
        <w:tc>
          <w:tcPr>
            <w:tcW w:w="4360" w:type="dxa"/>
            <w:vAlign w:val="bottom"/>
            <w:gridSpan w:val="2"/>
            <w:vMerge w:val="restart"/>
          </w:tcPr>
          <w:p>
            <w:pPr>
              <w:ind w:left="20"/>
              <w:spacing w:after="0"/>
              <w:rPr>
                <w:sz w:val="20"/>
                <w:szCs w:val="20"/>
                <w:color w:val="auto"/>
              </w:rPr>
            </w:pPr>
            <w:r>
              <w:rPr>
                <w:rFonts w:ascii="Arial" w:cs="Arial" w:eastAsia="Arial" w:hAnsi="Arial"/>
                <w:sz w:val="18"/>
                <w:szCs w:val="18"/>
                <w:color w:val="auto"/>
              </w:rPr>
              <w:t>Lake Charles, Louisiana (Petro 2)</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5"/>
                <w:szCs w:val="15"/>
                <w:color w:val="auto"/>
              </w:rPr>
            </w:pPr>
          </w:p>
        </w:tc>
        <w:tc>
          <w:tcPr>
            <w:tcW w:w="3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Ethane, ethane/propane mix, propane,</w:t>
            </w:r>
          </w:p>
        </w:tc>
        <w:tc>
          <w:tcPr>
            <w:tcW w:w="1480" w:type="dxa"/>
            <w:vAlign w:val="bottom"/>
            <w:vMerge w:val="restart"/>
          </w:tcPr>
          <w:p>
            <w:pPr>
              <w:ind w:left="2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29"/>
        </w:trPr>
        <w:tc>
          <w:tcPr>
            <w:tcW w:w="4360" w:type="dxa"/>
            <w:vAlign w:val="bottom"/>
            <w:gridSpan w:val="2"/>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butane or naphtha</w:t>
            </w: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Calvert City, Kentucky (Calvert City Olefins)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Ethane or propane</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PVC</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Lake Charles Olefins</w:t>
      </w:r>
    </w:p>
    <w:p>
      <w:pPr>
        <w:spacing w:after="0" w:line="104"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Two of OpCo's ethylene production facilities, which we refer to as Petro 1 and Petro 2 and, collectively, as Lake Charles Olefins, are located at Westlake's Lake Charles site. The combined capacity of these two ethylene production facilities is approximately 3.0 billion pounds per year.</w:t>
      </w:r>
    </w:p>
    <w:p>
      <w:pPr>
        <w:spacing w:after="0" w:line="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Within Westlake's Lake Charles site, Petro 1 and Petro 2 are connected by pipeline systems to Westlake's polyethylene plants. Westlake may use the ethylene it purchases from OpCo at its Lake Charles facilities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3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addition, OpCo produces ethylene co-products including chemical grade propylene, crude butadiene, pyrolysis gasoline and hydrogen. OpCo sells its output of these co-products to external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 City Olefins</w:t>
      </w:r>
    </w:p>
    <w:p>
      <w:pPr>
        <w:spacing w:after="0" w:line="9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One of OpCo's ethylene production facilities is located at Westlake's Calvert City site, which we refer to as Calvert City Olefins. The capacity of Calvert City Olefins is approximately 730 million pounds per year.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90"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has perpetual and paid-up licenses for steam cracking and process recovery technology used at its ethylene plants.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Agreements with Westlake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Except as otherwise indicated, the agreements described below became effective on August 4, 2014, concurrent with the closing of the IPO.</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takes are rebated to Westlake. Under specified circumstances, unrecovered costs may be carried forward for recovery in subsequent years.</w:t>
      </w:r>
    </w:p>
    <w:p>
      <w:pPr>
        <w:spacing w:after="0" w:line="45"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13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16"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Pursuant to the Ethylene Sales Agreement, Westlake's obligation to pay for the annual minimum commitment (95% of OpCo's budgeted ethylene production), which is measured on an annual basis, is not reduced for the first 45 days of a force majeure event, but is reduced for the portion of a force majeure event extending beyond the 45th day. In the event of a force majeure event, the Partnership recognizes buyer deficiency fees representing fixed margin and unavoided operating and maintenance capital expenditures and maintenance expenses per pound of volume committed by Westlake during the force majeure event.</w:t>
      </w:r>
    </w:p>
    <w:p>
      <w:pPr>
        <w:spacing w:after="0" w:line="13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133"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sells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104"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OpCo and Westlake are parties 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10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OpCo and Westlake are parties to two 50-year site lease agreements (the "Site Leases"). Under the Site Leases, OpCo leases the real property underlying Calvert City Olefins and Lake Charles Olefins and is granted certain use and access right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77"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OpCo and Westlake are parties to an exchange agreement, which had an initial term through August 1, 2015 and continues on an annual basis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104"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90"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On August 17, 2017, we, OpCo and Westlake executed an Investment Management Agreement that authorizes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w:t>
      </w:r>
    </w:p>
    <w:p>
      <w:pPr>
        <w:spacing w:after="0" w:line="133"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See "Liquidity and Capital Resources" in Item 7. "Management's Discussion and Analysis" for discussions of the Partnership's and OpCo's debt agreements with Westlake and "Interest Rate Risk" in Item 7A. "Quantitative and Qualitative Disclosures about Market Risk" for the Partnership's interest rate contract with Westlake.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7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As is common in our industry, we and OpCo are subject to environmental laws and regulations related to the use, storage, handling, generation, transportation, emission, discharge, disposal and remediation of, and exposure to, hazardous and non-hazardous substances and wastes in all of the jurisdictions in which we do business. National, state or provincial and local standards regulating air, water and land quality affect substantially all of our manufacturing locations. Compliance with such laws and regulations has required and will continue to require capital expenditures and increase operating costs. Pursuant to our arrangement with Westlake, Westlake will indemnify us for liabilities that occurred or existed (in connection with compliance with such laws and regulations) prior to August 4, 2014.</w:t>
      </w:r>
    </w:p>
    <w:p>
      <w:pPr>
        <w:spacing w:after="0" w:line="138"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It is our policy to comply with all environmental, health and safety requirements in the jurisdictions in which we and OpCo operate and to provide safe and environmentally sound workplaces for our employees. In some cases, compliance can be achieved only by incurring capital expenditures. In 2020, OpCo incurred capital expenditures of $4.5 million related to environmental compliance. We estimate that OpCo will make capital expenditures of approximately $2.8 million in 2021 and $12.8 million in 2022, respectively, related to environmental compliance. The expected 2022 capital expenditures are relatively higher than the amounts OpCo has spent related to environmental compliance in recent years due to increased capital expenditures of approximately $11.4 million related to corrective actions required by the Environmental Protection Agency (the "EPA") to resolve the flare enforcement matter discussed below. Under the Omnibus Agreement, Westlake is required to indemnify us against costs incurred as a result of such corrective actions. See "Business—Our Agreements with Westlake—</w:t>
      </w:r>
      <w:r>
        <w:rPr>
          <w:rFonts w:ascii="Arial" w:cs="Arial" w:eastAsia="Arial" w:hAnsi="Arial"/>
          <w:sz w:val="16"/>
          <w:szCs w:val="16"/>
          <w:i w:val="1"/>
          <w:iCs w:val="1"/>
          <w:color w:val="auto"/>
        </w:rPr>
        <w:t>Omnibus Agreement</w:t>
      </w:r>
      <w:r>
        <w:rPr>
          <w:rFonts w:ascii="Arial" w:cs="Arial" w:eastAsia="Arial" w:hAnsi="Arial"/>
          <w:sz w:val="16"/>
          <w:szCs w:val="16"/>
          <w:color w:val="auto"/>
        </w:rPr>
        <w:t>." The majority of the 2021, and the remainder of the 2022, estimated expenditures are related to equipment replacement and upgrades. We anticipate that stringent environmental regulations will continue to be imposed on us and the industry in general. Under the Ethylene Sales Agreement, we may be entitled to charge Westlake a monthly surcharge as a result of complying with certain changes in law after our IPO. See "Business—Our Agreements with Westlake—</w:t>
      </w:r>
      <w:r>
        <w:rPr>
          <w:rFonts w:ascii="Arial" w:cs="Arial" w:eastAsia="Arial" w:hAnsi="Arial"/>
          <w:sz w:val="16"/>
          <w:szCs w:val="16"/>
          <w:i w:val="1"/>
          <w:iCs w:val="1"/>
          <w:color w:val="auto"/>
        </w:rPr>
        <w:t>Ethylene Sales Agreement.</w:t>
      </w:r>
      <w:r>
        <w:rPr>
          <w:rFonts w:ascii="Arial" w:cs="Arial" w:eastAsia="Arial" w:hAnsi="Arial"/>
          <w:sz w:val="16"/>
          <w:szCs w:val="16"/>
          <w:color w:val="auto"/>
        </w:rPr>
        <w:t>" Although we cannot predict with certainty future expenditures, management believes that our current spending trends will continue.</w:t>
      </w:r>
    </w:p>
    <w:p>
      <w:pPr>
        <w:spacing w:after="0" w:line="11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Potential Flare Modifications</w:t>
      </w:r>
      <w:r>
        <w:rPr>
          <w:rFonts w:ascii="Arial" w:cs="Arial" w:eastAsia="Arial" w:hAnsi="Arial"/>
          <w:sz w:val="18"/>
          <w:szCs w:val="18"/>
          <w:color w:val="auto"/>
        </w:rPr>
        <w:t>. For several years, the EPA has been conducting an enforcement initiative against petroleum refineries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$300,000. As discussed above, Westlake is expected to fully indemnify us for such costs.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Also, see the discussion of our environmental matters contained in "Item 1A. Risk Factors" and "Item 3—Legal Proceedings"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Neither we nor OpCo has any employees. Under the Services and Secondment Agreement with Westlake, Westlake seconds employees to OpCo to allow OpCo to operate its facilities. Such seconded employees are under OpCo's control while they work on OpCo's facilities. As of December 31, 2020, 144 employees were seconded to OpCo. Of these, 25 are covered by collective bargaining agreements that expire on November 1, 2024. There have been no strikes, lockouts or work stoppages at OpCo's facilities. We believe that Westlake's relationship with the local union officials and bargaining committees is open and positive.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the ordinary conduct of our business, we and Westlake and our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jc w:val="both"/>
        <w:ind w:right="200" w:firstLine="405"/>
        <w:spacing w:after="0" w:line="311" w:lineRule="auto"/>
        <w:rPr>
          <w:sz w:val="20"/>
          <w:szCs w:val="20"/>
          <w:color w:val="auto"/>
        </w:rPr>
      </w:pPr>
      <w:r>
        <w:rPr>
          <w:rFonts w:ascii="Arial" w:cs="Arial" w:eastAsia="Arial" w:hAnsi="Arial"/>
          <w:sz w:val="16"/>
          <w:szCs w:val="16"/>
          <w:color w:val="auto"/>
        </w:rPr>
        <w:t>Due to the Ethylene Sales Agreement and integration with Westlake, OpCo does not directly compete with other ethylene producers for 95% of the planned volumes it produces. It is only on the 5% of planned ethylene volumes not sold to Westlake where OpCo competes with other regional merchant ethylene producers, including LyondellBasell Industries, N.V., Shell Chemical Company, BASF Corporation and Motiva Enterprises LLC.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Our website address is www.wlkpartners.com</w:t>
      </w:r>
      <w:r>
        <w:rPr>
          <w:rFonts w:ascii="Arial" w:cs="Arial" w:eastAsia="Arial" w:hAnsi="Arial"/>
          <w:sz w:val="16"/>
          <w:szCs w:val="16"/>
          <w:i w:val="1"/>
          <w:iCs w:val="1"/>
          <w:color w:val="auto"/>
        </w:rPr>
        <w:t>.</w:t>
      </w:r>
      <w:r>
        <w:rPr>
          <w:rFonts w:ascii="Arial" w:cs="Arial" w:eastAsia="Arial" w:hAnsi="Arial"/>
          <w:sz w:val="16"/>
          <w:szCs w:val="16"/>
          <w:color w:val="auto"/>
        </w:rPr>
        <w:t xml:space="preserve"> Our website content is available for information purposes only. It should not be relied upon for investment purposes, nor is it incorporated by reference in this Form 10-K. We make available on this website under "Investor Relations/SEC Filings," free of charge, our annual reports on Form 10-K, quarterly reports on Form 10-Q, current reports on Form 8-K and amendments to those materials as soon as reasonably practicable after we electronically file those materials with, or furnish those materials to, the Securities Exchange Commission (the "SEC"). The SEC also maintains a website at www.sec.gov that contains reports, proxy statements and other information regarding SEC registrants, including us.</w:t>
      </w:r>
    </w:p>
    <w:p>
      <w:pPr>
        <w:spacing w:after="0" w:line="10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We intend to satisfy the requirement under Item 5.05 of Form 8-K to disclose any amendments to our Code of Ethics and any waiver from a</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provision of our Code of Ethics by posting such information on our website at www.wlkpartners.com under "Investor Relations/Corporate Governance."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Inherent in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Relationship with Westlake</w:t>
      </w:r>
    </w:p>
    <w:p>
      <w:pPr>
        <w:spacing w:after="0" w:line="252" w:lineRule="exact"/>
        <w:rPr>
          <w:sz w:val="20"/>
          <w:szCs w:val="20"/>
          <w:color w:val="auto"/>
        </w:rPr>
      </w:pPr>
    </w:p>
    <w:p>
      <w:pPr>
        <w:ind w:left="660" w:right="60" w:hanging="328"/>
        <w:spacing w:after="0" w:line="241"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26" w:lineRule="exact"/>
        <w:rPr>
          <w:rFonts w:ascii="Arial" w:cs="Arial" w:eastAsia="Arial" w:hAnsi="Arial"/>
          <w:sz w:val="22"/>
          <w:szCs w:val="22"/>
          <w:color w:val="auto"/>
        </w:rPr>
      </w:pPr>
    </w:p>
    <w:p>
      <w:pPr>
        <w:ind w:left="660" w:right="18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OpCo is subject to the credit risk of Westlake on a substantial majority of its revenues, and Westlake's leverage and creditworthiness could adversely affect our ability to make distributions to our unitholders. The ongoing coronavirus (COVID-19) pandemic could materially adversely affect Westlake's business, financial condition and results of operations.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OpCo is a restricted subsidiary under certain indentures governing Westlake's senior notes.</w:t>
      </w:r>
    </w:p>
    <w:p>
      <w:pPr>
        <w:spacing w:after="0" w:line="2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ethylene sales price charged under the Ethylene Sales Agreement is designed to permit OpCo to cover the substantial majority of its operating costs, but not our public partnership and other OpCo costs, which reduce our net operating profit.</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200" w:hanging="328"/>
        <w:spacing w:after="0" w:line="238"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27" w:lineRule="exact"/>
        <w:rPr>
          <w:rFonts w:ascii="Arial" w:cs="Arial" w:eastAsia="Arial" w:hAnsi="Arial"/>
          <w:sz w:val="22"/>
          <w:szCs w:val="22"/>
          <w:color w:val="auto"/>
        </w:rPr>
      </w:pPr>
    </w:p>
    <w:p>
      <w:pPr>
        <w:ind w:left="660" w:right="20" w:hanging="328"/>
        <w:spacing w:after="0" w:line="254" w:lineRule="auto"/>
        <w:tabs>
          <w:tab w:leader="none" w:pos="655" w:val="left"/>
        </w:tabs>
        <w:numPr>
          <w:ilvl w:val="0"/>
          <w:numId w:val="8"/>
        </w:numPr>
        <w:rPr>
          <w:rFonts w:ascii="Arial" w:cs="Arial" w:eastAsia="Arial" w:hAnsi="Arial"/>
          <w:sz w:val="21"/>
          <w:szCs w:val="21"/>
          <w:color w:val="auto"/>
        </w:rPr>
      </w:pPr>
      <w:r>
        <w:rPr>
          <w:rFonts w:ascii="Arial" w:cs="Arial" w:eastAsia="Arial" w:hAnsi="Arial"/>
          <w:sz w:val="17"/>
          <w:szCs w:val="17"/>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OpCo depends upon Westlake for numerous services and for its labor force.</w:t>
      </w:r>
    </w:p>
    <w:p>
      <w:pPr>
        <w:spacing w:after="0" w:line="26" w:lineRule="exact"/>
        <w:rPr>
          <w:rFonts w:ascii="Arial" w:cs="Arial" w:eastAsia="Arial" w:hAnsi="Arial"/>
          <w:sz w:val="22"/>
          <w:szCs w:val="22"/>
          <w:color w:val="auto"/>
        </w:rPr>
      </w:pPr>
    </w:p>
    <w:p>
      <w:pPr>
        <w:ind w:left="660" w:right="240" w:hanging="328"/>
        <w:spacing w:after="0" w:line="297"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6"/>
          <w:szCs w:val="16"/>
          <w:color w:val="auto"/>
        </w:rPr>
        <w:t>Cost reimbursements due to our general partner and Westlake for services provided to us or on our behalf reduce our earnings and therefore our cash available for distribution to our unitholders. The amount and timing of such reimbursements are determined by our general partner.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Operations</w:t>
      </w:r>
    </w:p>
    <w:p>
      <w:pPr>
        <w:spacing w:after="0" w:line="252" w:lineRule="exact"/>
        <w:rPr>
          <w:sz w:val="20"/>
          <w:szCs w:val="20"/>
          <w:color w:val="auto"/>
        </w:rPr>
      </w:pPr>
    </w:p>
    <w:p>
      <w:pPr>
        <w:ind w:left="660" w:right="220" w:hanging="328"/>
        <w:spacing w:after="0" w:line="249" w:lineRule="auto"/>
        <w:tabs>
          <w:tab w:leader="none" w:pos="655" w:val="left"/>
        </w:tabs>
        <w:numPr>
          <w:ilvl w:val="0"/>
          <w:numId w:val="9"/>
        </w:numPr>
        <w:rPr>
          <w:rFonts w:ascii="Arial" w:cs="Arial" w:eastAsia="Arial" w:hAnsi="Arial"/>
          <w:sz w:val="21"/>
          <w:szCs w:val="21"/>
          <w:color w:val="auto"/>
        </w:rPr>
      </w:pPr>
      <w:r>
        <w:rPr>
          <w:rFonts w:ascii="Arial" w:cs="Arial" w:eastAsia="Arial" w:hAnsi="Arial"/>
          <w:sz w:val="17"/>
          <w:szCs w:val="17"/>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9" w:lineRule="exact"/>
        <w:rPr>
          <w:rFonts w:ascii="Arial" w:cs="Arial" w:eastAsia="Arial" w:hAnsi="Arial"/>
          <w:sz w:val="21"/>
          <w:szCs w:val="21"/>
          <w:color w:val="auto"/>
        </w:rPr>
      </w:pPr>
    </w:p>
    <w:p>
      <w:pPr>
        <w:ind w:left="660" w:right="24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1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Partnership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w:t>
      </w:r>
    </w:p>
    <w:p>
      <w:pPr>
        <w:spacing w:after="0" w:line="252" w:lineRule="exact"/>
        <w:rPr>
          <w:sz w:val="20"/>
          <w:szCs w:val="20"/>
          <w:color w:val="auto"/>
        </w:rPr>
      </w:pPr>
    </w:p>
    <w:p>
      <w:pPr>
        <w:ind w:left="660" w:right="100" w:hanging="328"/>
        <w:spacing w:after="0" w:line="238"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general partner has limited its liability regarding our obligations.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partnership agreement replaces our general partner's fiduciary duties to holders of our units.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Westlake and other affiliates of our general partner may compete with us.</w:t>
      </w:r>
    </w:p>
    <w:p>
      <w:pPr>
        <w:spacing w:after="0" w:line="27" w:lineRule="exact"/>
        <w:rPr>
          <w:rFonts w:ascii="Arial" w:cs="Arial" w:eastAsia="Arial" w:hAnsi="Arial"/>
          <w:sz w:val="22"/>
          <w:szCs w:val="22"/>
          <w:color w:val="auto"/>
        </w:rPr>
      </w:pPr>
    </w:p>
    <w:p>
      <w:pPr>
        <w:ind w:left="660" w:right="30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Holders of our common units have limited voting rights and are not entitled to elect our general partner or its directors, which could reduce the price at which our common units trade.</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Even if holders of our common units are dissatisfied, they cannot currently remove our general partner without its consent.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Control of our general partner may be transferred to a third party without unitholder consent.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general partner has a call right that may require unitholders to sell their common units at an undesirable time or price.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to Unitholders</w:t>
      </w:r>
    </w:p>
    <w:p>
      <w:pPr>
        <w:spacing w:after="0" w:line="252" w:lineRule="exact"/>
        <w:rPr>
          <w:sz w:val="20"/>
          <w:szCs w:val="20"/>
          <w:color w:val="auto"/>
        </w:rPr>
      </w:pPr>
    </w:p>
    <w:p>
      <w:pPr>
        <w:ind w:left="660" w:right="8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board of directors may modify or revoke our cash distribution policy at any time at its discretion. Our partnership agreement does not require us to pay any distributions at all.</w:t>
      </w:r>
    </w:p>
    <w:p>
      <w:pPr>
        <w:spacing w:after="0" w:line="16"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We expect to distribute a significant portion of our available cash to our partners, which could limit our ability to grow and make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Our Common Units</w:t>
      </w:r>
    </w:p>
    <w:p>
      <w:pPr>
        <w:spacing w:after="0" w:line="252" w:lineRule="exact"/>
        <w:rPr>
          <w:sz w:val="20"/>
          <w:szCs w:val="20"/>
          <w:color w:val="auto"/>
        </w:rPr>
      </w:pPr>
    </w:p>
    <w:p>
      <w:pPr>
        <w:ind w:left="5580" w:right="2000" w:hanging="5248"/>
        <w:spacing w:after="0" w:line="866" w:lineRule="auto"/>
        <w:tabs>
          <w:tab w:leader="none" w:pos="652"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 may issue additional units without unitholder approval, which would dilute existing unitholder ownership interests.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2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market price of our common units could be adversely affected by sales of substantial amounts of our common units in the public or private markets, including sales by Westlake or other large holders.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Risks</w:t>
      </w:r>
    </w:p>
    <w:p>
      <w:pPr>
        <w:spacing w:after="0" w:line="212" w:lineRule="exact"/>
        <w:rPr>
          <w:sz w:val="20"/>
          <w:szCs w:val="20"/>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tax treatment depends on our status as a partnership for federal income tax purposes, and not being subject to a material amount of entity-level taxation. Our cash available for distribution to unitholders may be substantially reduced if we become subject to entity-level taxation as a result of the Internal Revenue Service ("IRS") treating us as a corporation or legislative, judicial or administrative changes, and may also be reduced by any audit adjustments if imposed directly on the partnership.</w:t>
      </w:r>
    </w:p>
    <w:p>
      <w:pPr>
        <w:spacing w:after="0" w:line="2" w:lineRule="exact"/>
        <w:rPr>
          <w:rFonts w:ascii="Arial" w:cs="Arial" w:eastAsia="Arial" w:hAnsi="Arial"/>
          <w:sz w:val="18"/>
          <w:szCs w:val="18"/>
          <w:color w:val="auto"/>
        </w:rPr>
      </w:pPr>
    </w:p>
    <w:p>
      <w:pPr>
        <w:jc w:val="both"/>
        <w:ind w:left="660" w:right="2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unitholders do not receive any cash distributions from us, unitholders will be required to pay taxes on their share of our taxable income, including their share of income from the cancellation of debt. A unitholder's share of our taxable income may be increased as a result of the IRS successfully contesting any of the federal income tax positions we take.</w:t>
      </w:r>
    </w:p>
    <w:p>
      <w:pPr>
        <w:spacing w:after="0" w:line="1" w:lineRule="exact"/>
        <w:rPr>
          <w:rFonts w:ascii="Arial" w:cs="Arial" w:eastAsia="Arial" w:hAnsi="Arial"/>
          <w:sz w:val="18"/>
          <w:szCs w:val="18"/>
          <w:color w:val="auto"/>
        </w:rPr>
      </w:pPr>
    </w:p>
    <w:p>
      <w:pPr>
        <w:ind w:left="660" w:right="14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Tax-exempt entities and non-U.S. unitholders face unique tax issues from owning our common units that may result in adverse tax consequences to them.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Inherent in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Relationship with Westlake</w:t>
      </w:r>
    </w:p>
    <w:p>
      <w:pPr>
        <w:spacing w:after="0" w:line="25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53"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any of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other than under certain circumstances relating to the occurrence of force majeure. We expect that each of OpCo's facilities will have a turnaround approximately once every five years and will not operate for typically between 30 and 60 days during each turnaround by itself. However, the duration of a turnaround by itself may be longer than expected or may cost more than originally estimated. Furthermore, expansions may also coincide with turnarounds, which may complicate and delay the completion of such turnarounds.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46"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Westlake may be unable to generate enough cash flow from operations to meet its minimum obligations under the Ethylene Sales Agreement if its business is adversely impacted by competition, operational problems, general adverse economic conditions or the inability to obtain feedstock. For example, sustained lower prices of crude oil, such as the prices experienced since 2014 (as of December 31, 2020, approximately 55% lower than their 2014 peak levels) have led and may lead to lower margins for Westlake in the United States. If Westlake were unable to meet its minimum payment obligations to OpCo as a result of any one or more of these factors, our ability to make distributions to our unitholders would be reduced or eliminated. The level of payments made by Westlake will depend upon its ability to pay its minimum obligations under the Ethylene Sales Agreement and its ability and election to increase volumes above the minimums specified in the Ethylene Sales Agreement, which in turn are dependent upon, among other things, the level of production at Westlake's other facilities.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which will fluctuate from quarter to quarter based on the following factors, some of which are beyond our control:</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35"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and cyclical downturns in the chemicals industry and other industries which materially and adversely impact Westlake and our other customers;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Westlake's inability to perform, or any other default on its obligations, under the Ethylene Sales Agreement;</w:t>
      </w:r>
    </w:p>
    <w:p>
      <w:pPr>
        <w:spacing w:after="0" w:line="103"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environmental remediation at OpCo's facilities not covered by Westlake or third parties;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expected operating levels of OpCo's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OpCo's ability to meet minimum volume requirements, yield standards and ethylene quality requirements in the Ethylene Sales Agreement;</w:t>
      </w:r>
    </w:p>
    <w:p>
      <w:pPr>
        <w:spacing w:after="0" w:line="101"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OpCo's ability to renew the Ethylene Sales Agreement or to enter into new, long-term agreements for the sale of ethylene under terms similar or more favorable;</w:t>
      </w:r>
    </w:p>
    <w:p>
      <w:pPr>
        <w:spacing w:after="0" w:line="48" w:lineRule="exact"/>
        <w:rPr>
          <w:rFonts w:ascii="Arial" w:cs="Arial" w:eastAsia="Arial" w:hAnsi="Arial"/>
          <w:sz w:val="18"/>
          <w:szCs w:val="18"/>
          <w:color w:val="auto"/>
        </w:rPr>
      </w:pPr>
    </w:p>
    <w:p>
      <w:pPr>
        <w:ind w:left="660" w:hanging="328"/>
        <w:spacing w:after="0" w:line="311"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marketplace that may affect supply and demand for ethane or ethylene, including decreased availability of ethane (which may result from greater restrictions on hydraulic fracturing, any reduction in hydraulic fracturing due to low crude oil prices or exports of natural gas liquids from the United States, for example), increased production of ethylene or export of ethane or ethylene from the United States;</w:t>
      </w:r>
    </w:p>
    <w:p>
      <w:pPr>
        <w:spacing w:after="0" w:line="27"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overall levels of production, production capacity, pricing and/or margins for ethylene;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OpCo's ability to secure adequate supplies of ethane, other feedstocks and natural gas from Westlake or third parties;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use higher priced or less attractive feedstock due to the unavailability of ethane;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effects of pipeline, railroad, barge, truck and other transportation performance and costs, including any transportation disruptions;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labor;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employees and workplace safety;</w:t>
      </w:r>
    </w:p>
    <w:p>
      <w:pPr>
        <w:spacing w:after="0" w:line="10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product specifications for the ethylene that we produce;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insurance markets and the level, types and costs of coverage available, and the financial ability of our insurers to meet their obligations;</w:t>
      </w:r>
    </w:p>
    <w:p>
      <w:pPr>
        <w:spacing w:after="0" w:line="113" w:lineRule="exact"/>
        <w:rPr>
          <w:rFonts w:ascii="Arial" w:cs="Arial" w:eastAsia="Arial" w:hAnsi="Arial"/>
          <w:sz w:val="16"/>
          <w:szCs w:val="16"/>
          <w:color w:val="auto"/>
        </w:rPr>
      </w:pPr>
    </w:p>
    <w:p>
      <w:pPr>
        <w:ind w:left="660" w:right="8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new, statutes, regulations or governmental policies by federal, state and local authorities with respect to protection of the environment;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rules and/or tax laws or their interpretations;</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nonperformance or force majeure by, or disputes with or changes in contract terms with, Westlake, our other major customers, suppliers, dealers, distributors or other business partners;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new, statutes, regulations, governmental policies and taxes, or their interpretations.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actual amount of cash we will have available for distribution will depend on other factors, including:</w:t>
      </w:r>
    </w:p>
    <w:p>
      <w:pPr>
        <w:spacing w:after="0" w:line="104" w:lineRule="exact"/>
        <w:rPr>
          <w:sz w:val="20"/>
          <w:szCs w:val="20"/>
          <w:color w:val="auto"/>
        </w:rPr>
      </w:pPr>
    </w:p>
    <w:p>
      <w:pPr>
        <w:ind w:left="660" w:right="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cash we or OpCo are able to generate from sales of ethylene, and associated co-products, to third parties, which will be impacted by changes in prices for ethane (or other feedstocks), natural gas, ethylene and co-products and sustained lower prices of crude oil, such as those experienced in recent years, and could be less than the margin we earn from ethylene sales to Westlake;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capital expenditures we or OpCo make;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construction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or OpCo's working capital needs;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or OpCo's ability to borrow funds (including under our or OpCo's revolving credit facilities) and access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or OpCo's debt service requirements and other liabilities;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contained in our or OpCo's existing or future debt agreements;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 The ongoing coronavirus (COVID-19) pandemic could materially adversely affect Westlake's business, financial condition and results of operations.</w:t>
      </w:r>
    </w:p>
    <w:p>
      <w:pPr>
        <w:spacing w:after="0" w:line="62"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would be reduced or eliminated. Westlake has not pledged any assets to us as security for the performance of its obligations.</w:t>
      </w:r>
    </w:p>
    <w:p>
      <w:pPr>
        <w:spacing w:after="0" w:line="4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49"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 ongoing coronavirus (COVID-19) outbreak, which the World Health Organization declared as a pandemic on March 11, 2020, has continued to be a rapidly evolving situation. It has resulted in authorities implementing numerous measures to try to contain the disease, such as travel bans and restrictions, quarantines, shelter-in-place orders and shutdowns, among others. Westlake, which provides us operating services, has modified certain business practices (including those related to employee travel, employee work locations and employee work practices), to comply with government restrictions and implement, where appropriate, practices encouraged by governmental and health authorities. However, the quarantine of personnel or the inability to access our or Westlake's facilities could adversely affect our and Westlake's operations. We or Westlake may take further actions as required by government authorities from time to time or that we or Westlake determine are in the best interests of our employees, customers, Westlake's partners and suppliers. There is no certainty that such measures will be sufficient to mitigate the risks posed by the disease, and our ability to perform certain functions could be harmed.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is a restricted subsidiary under certain indentures governing Westlake's senior notes.</w:t>
      </w:r>
    </w:p>
    <w:p>
      <w:pPr>
        <w:spacing w:after="0" w:line="9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All of our cash is currently generated from cash distributions from OpCo. Certain indentures governing Westlake's senior notes impose significant operating and financial restrictions on OpCo. These restrictions limit OpCo's ability to:</w:t>
      </w:r>
    </w:p>
    <w:p>
      <w:pPr>
        <w:spacing w:after="0" w:line="4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all or substantially all of its assets or consolidate or merge with or into other companies.</w:t>
      </w:r>
    </w:p>
    <w:p>
      <w:pPr>
        <w:spacing w:after="0" w:line="104"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w:t>
      </w:r>
    </w:p>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ethylene sales price charged under the Ethylene Sales Agreement is designed to permit OpCo to cover the substantial majority of its operating costs, but not our public partnership and other OpCo costs, which reduce our net operating profit.</w:t>
      </w:r>
    </w:p>
    <w:p>
      <w:pPr>
        <w:spacing w:after="0" w:line="3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price is not designed to allow OpCo to recover any capital expenditures related to expansion, or operational efficiency. The ethylene sales price also does not increase to cover our public partnership costs. Both of these costs reduce our net operating profit.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fee structure of the Ethylene Sales Agreement may limit OpCo's ability to take advantage of favorable market developments in the future.</w:t>
      </w:r>
    </w:p>
    <w:p>
      <w:pPr>
        <w:spacing w:after="0" w:line="113"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62"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Westlake's obligations under the Ethylene Sales Agreement, the Feedstock Supply Agreement and the related Services and Secondment Agreement will become terminable by either party commencing December 31, 2026. If OpCo were unable to reach agreement with Westlake on an extension or replacement of these agreements, then our ability to make distributions on our common units could be materially adversely affected and the value of our common units could decline.</w:t>
      </w:r>
    </w:p>
    <w:p>
      <w:pPr>
        <w:spacing w:after="0" w:line="21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4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depends upon Westlake for numerous services and for its labor force.</w:t>
      </w:r>
    </w:p>
    <w:p>
      <w:pPr>
        <w:spacing w:after="0" w:line="90"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Pursuant to the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and other assets.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OpCo's ability to receive greater cash flows from increased production may be limited by the Ethylene Sales Agreement.</w:t>
      </w:r>
    </w:p>
    <w:p>
      <w:pPr>
        <w:spacing w:after="0" w:line="90"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1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Cost reimbursements due to our general partner and Westlake for services provided to us or on our behalf reduce our earnings and therefore our cash available for distribution to our unitholders. The amount and timing of such reimbursements are determined by our general partner.</w:t>
      </w:r>
    </w:p>
    <w:p>
      <w:pPr>
        <w:spacing w:after="0" w:line="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are obligated under our partnership agreement to reimburse our general partner and its affiliates for all expenses they incur and payments they make on our behalf, including expenses we and OpCo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determines the expenses that are allocable to us. The reimbursement of expenses and payment of fees, if any, to our general partner and its affiliates reduce the amount of our earnings and, thereby, our ability to distribute cash to our unitholders.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Operations</w:t>
      </w:r>
    </w:p>
    <w:p>
      <w:pPr>
        <w:spacing w:after="0" w:line="25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2"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2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For example, OpCo's Lake Charles facility was shut down for a significant period of time in the months of August, September and October 2020 in the aftermath of Hurricanes Laura and Delta. Any similar or other sustained disruption in OpCo's ability to meet its supply obligations under the Ethylene Sales Agreement could have a material adverse effect on our results of operations and therefore our ability to distribute cash to unitholders.</w:t>
      </w:r>
    </w:p>
    <w:p>
      <w:pPr>
        <w:spacing w:after="0" w:line="2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4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amount of cash we have available for distribution depends primarily upon our cash flow, including cash flow from reserves and working capital or borrowings (including any under our and OpCo's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and OpCo's revolving credit facilities when we do not have sufficient cash flows to pay cash distributions.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mistaken assumptions about revenues and costs, including synergies;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successfully integrate the businesses we acquire;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hire, train or retain qualified personnel to manage and operate our business and newly acquired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assumption of unknown liabilities;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difficulties in connection with operating in new product areas or new geographic areas;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or key employee losses at the acquired businesses.</w:t>
      </w:r>
    </w:p>
    <w:p>
      <w:pPr>
        <w:spacing w:after="0" w:line="171"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2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establish cash reserves in order to cover turnaround expenditures, the amounts we reserve may not be sufficient to fully cover such expenditures.</w:t>
      </w:r>
    </w:p>
    <w:p>
      <w:pPr>
        <w:spacing w:after="0" w:line="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Many of the assets we use to produce ethylene are generally long-lived assets. As a result, some of those assets have been in service for many decades. The age and condition of these assets could result in increased maintenance or repair expenditures. In addition, while we establish certain cash reserves to cover our expected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production facilities process volatile and hazardous materials that subject us to operating risks that could adversely affect our operating results.</w:t>
      </w:r>
    </w:p>
    <w:p>
      <w:pPr>
        <w:spacing w:after="0" w:line="13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operations are subject to the usual hazards associated with commodity chemical manufacturing and the related use, storage, transportation and disposal of feedstocks, products and wastes, including:</w:t>
      </w:r>
    </w:p>
    <w:p>
      <w:pPr>
        <w:spacing w:after="0" w:line="4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explosions;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environmental risks; and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104" w:lineRule="exact"/>
        <w:rPr>
          <w:sz w:val="20"/>
          <w:szCs w:val="20"/>
          <w:color w:val="auto"/>
        </w:rPr>
      </w:pPr>
    </w:p>
    <w:p>
      <w:pPr>
        <w:ind w:firstLine="405"/>
        <w:spacing w:after="0" w:line="272" w:lineRule="auto"/>
        <w:rPr>
          <w:sz w:val="20"/>
          <w:szCs w:val="20"/>
          <w:color w:val="auto"/>
        </w:rPr>
      </w:pPr>
      <w:r>
        <w:rPr>
          <w:rFonts w:ascii="Arial" w:cs="Arial" w:eastAsia="Arial" w:hAnsi="Arial"/>
          <w:sz w:val="16"/>
          <w:szCs w:val="16"/>
          <w:color w:val="auto"/>
        </w:rPr>
        <w:t>We use hazardous substances and generate hazardous wastes and emissions in our manufacturing operations. Our industry is highly regulated and monitored by various environmental regulatory authorities such as the EPA.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46"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In April 2016, the EPA issued an Information Collection Request ("ICR") for ethylene production facilities to inform the agency's mandatory Risk and Technology Review of the existing ethylene maximum available technology ("MACT") rule, which regulates the emissions of organic Hazardous Air Pollutants (HAP) including benzene, toluene and xylene among others. The EPA evaluated companies' responses and testing data from the ICR and published a final rule amending the ethylene MACT rule in July 2020. Among other things, the final rule strengthens heat exchange system and storage vessel control requirements, adds monitoring and operational requirements for flares, and removes exemptions for periods of startup, shutdown, and malfunctions. Our operations also produce greenhouse gas ("GHG") emissions, which have been the subject of increased scrutiny and regulation.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processing results in GHG emissions, these and other GHG laws and regulations could affect our costs of doing business.</w:t>
      </w:r>
    </w:p>
    <w:p>
      <w:pPr>
        <w:spacing w:after="0" w:line="3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6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and similar state laws impose joint and several liability for the costs of remedial investigations and actions on the entities that are deemed responsible for a release of hazardous substances into the environment, including entities that have generated hazardous substances or arranged for their transportation or disposal, as well as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104" w:lineRule="exact"/>
        <w:rPr>
          <w:sz w:val="20"/>
          <w:szCs w:val="20"/>
          <w:color w:val="auto"/>
        </w:rPr>
      </w:pPr>
    </w:p>
    <w:p>
      <w:pPr>
        <w:ind w:right="20" w:firstLine="405"/>
        <w:spacing w:after="0" w:line="253" w:lineRule="auto"/>
        <w:rPr>
          <w:sz w:val="20"/>
          <w:szCs w:val="20"/>
          <w:color w:val="auto"/>
        </w:rPr>
      </w:pPr>
      <w:r>
        <w:rPr>
          <w:rFonts w:ascii="Arial" w:cs="Arial" w:eastAsia="Arial" w:hAnsi="Arial"/>
          <w:sz w:val="17"/>
          <w:szCs w:val="17"/>
          <w:color w:val="auto"/>
        </w:rPr>
        <w:t>Information technology system failures, network disruptions and breaches of data security due to internal or external factors including cyber-attacks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Westlake, which manages our security protocol under the omnibus agreement, has taken steps to address these concerns by implementing network security and internal control measures, including employee training, comprehensive monitoring of our networks and systems, maintenance of backup and protective systems and disaster recovery and incident response plans, Westlake's employees, systems, networks, products, facilities and services remain potentially vulnerable to sophisticated cyber-assault, especially while certain employees are working remotely during the COVID-19 pandemic, and, as such, there can be no assurance that a system failure, network disruption or data security breach will not have a material adverse effect on our operations, business, financial condition, operating results or cash flow.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90"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Terrorist activities, anti-terrorist efforts and other armed conflicts involving the U.S. or other jurisdictions could adversely affect the U.S.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Partnership Structure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4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71" w:lineRule="exact"/>
        <w:rPr>
          <w:sz w:val="20"/>
          <w:szCs w:val="20"/>
          <w:color w:val="auto"/>
        </w:rPr>
      </w:pPr>
    </w:p>
    <w:p>
      <w:pPr>
        <w:ind w:left="660" w:right="3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Westlake, in exercising certain rights under our partnership agreement;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Westlake to pursue a business strategy that favors us;</w:t>
      </w:r>
    </w:p>
    <w:p>
      <w:pPr>
        <w:spacing w:after="0" w:line="90"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except in limited circumstances, our general partner has the power and authority to conduct our business without unitholder approval;</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1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35"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w:t>
      </w:r>
    </w:p>
    <w:p>
      <w:pPr>
        <w:spacing w:after="0" w:line="62"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may cause us to borrow funds in order to permit the payment of cash distributions, even if the purpose or effect of the borrowing is to make incentive distributions or may cause us not to borrow funds to pay cash distributions when we do not otherwise have the funds to pay such cash distributions;</w:t>
      </w:r>
    </w:p>
    <w:p>
      <w:pPr>
        <w:spacing w:after="0" w:line="62" w:lineRule="exact"/>
        <w:rPr>
          <w:rFonts w:ascii="Arial" w:cs="Arial" w:eastAsia="Arial" w:hAnsi="Arial"/>
          <w:sz w:val="18"/>
          <w:szCs w:val="18"/>
          <w:color w:val="auto"/>
        </w:rPr>
      </w:pPr>
    </w:p>
    <w:p>
      <w:pPr>
        <w:jc w:val="both"/>
        <w:ind w:left="660" w:right="20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the incentive distribution rights;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and its affiliates are reimbursable by us;</w:t>
      </w:r>
    </w:p>
    <w:p>
      <w:pPr>
        <w:spacing w:after="0" w:line="10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general partner may exercise its right to call and purchase common units if it and its affiliates own more than 80% of the common units;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that it and its affiliates owe to 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 and</w:t>
      </w:r>
    </w:p>
    <w:p>
      <w:pPr>
        <w:spacing w:after="0" w:line="90"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62" w:lineRule="exact"/>
        <w:rPr>
          <w:sz w:val="20"/>
          <w:szCs w:val="20"/>
          <w:color w:val="auto"/>
        </w:rPr>
      </w:pPr>
    </w:p>
    <w:p>
      <w:pPr>
        <w:jc w:val="both"/>
        <w:ind w:right="20" w:firstLine="405"/>
        <w:spacing w:after="0" w:line="248" w:lineRule="auto"/>
        <w:rPr>
          <w:sz w:val="20"/>
          <w:szCs w:val="20"/>
          <w:color w:val="auto"/>
        </w:rPr>
      </w:pPr>
      <w:r>
        <w:rPr>
          <w:rFonts w:ascii="Arial" w:cs="Arial" w:eastAsia="Arial" w:hAnsi="Arial"/>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Please read "—Risks Relating to Our Partnership Structure—</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Partner—Westlake and other affiliates of our general partner may compete with us</w:t>
      </w:r>
      <w:r>
        <w:rPr>
          <w:rFonts w:ascii="Arial" w:cs="Arial" w:eastAsia="Arial" w:hAnsi="Arial"/>
          <w:sz w:val="18"/>
          <w:szCs w:val="18"/>
          <w:color w:val="auto"/>
        </w:rPr>
        <w:t>"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limited its liability regarding our obligations.</w:t>
      </w:r>
    </w:p>
    <w:p>
      <w:pPr>
        <w:spacing w:after="0" w:line="90"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Our general partner has limited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holders of our units.</w:t>
      </w:r>
    </w:p>
    <w:p>
      <w:pPr>
        <w:spacing w:after="0" w:line="10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2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how to allocate business opportunities among us and its affiliates;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to exercise its call right;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to exercise its registration rights;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to elect to reset target distribution levels; and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the partnership or amendment to the partnership agreement.</w:t>
      </w:r>
    </w:p>
    <w:p>
      <w:pPr>
        <w:spacing w:after="0" w:line="9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49"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11" w:lineRule="exact"/>
        <w:rPr>
          <w:sz w:val="20"/>
          <w:szCs w:val="20"/>
          <w:color w:val="auto"/>
        </w:rPr>
      </w:pPr>
    </w:p>
    <w:p>
      <w:pPr>
        <w:ind w:left="660" w:right="40" w:hanging="328"/>
        <w:spacing w:after="0" w:line="286"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43" w:lineRule="exact"/>
        <w:rPr>
          <w:rFonts w:ascii="Arial" w:cs="Arial" w:eastAsia="Arial" w:hAnsi="Arial"/>
          <w:sz w:val="17"/>
          <w:szCs w:val="17"/>
          <w:color w:val="auto"/>
        </w:rPr>
      </w:pPr>
    </w:p>
    <w:p>
      <w:pPr>
        <w:ind w:left="660" w:right="2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6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35" w:lineRule="exact"/>
        <w:rPr>
          <w:rFonts w:ascii="Arial" w:cs="Arial" w:eastAsia="Arial" w:hAnsi="Arial"/>
          <w:sz w:val="18"/>
          <w:szCs w:val="18"/>
          <w:color w:val="auto"/>
        </w:rPr>
      </w:pPr>
    </w:p>
    <w:p>
      <w:pPr>
        <w:ind w:left="1040" w:hanging="384"/>
        <w:spacing w:after="0"/>
        <w:tabs>
          <w:tab w:leader="none" w:pos="10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approved by the conflicts committee of the board of directors, although our general partner is not obligated to seek such approval; or</w:t>
      </w:r>
    </w:p>
    <w:p>
      <w:pPr>
        <w:spacing w:after="0" w:line="115" w:lineRule="exact"/>
        <w:rPr>
          <w:rFonts w:ascii="Arial" w:cs="Arial" w:eastAsia="Arial" w:hAnsi="Arial"/>
          <w:sz w:val="17"/>
          <w:szCs w:val="17"/>
          <w:color w:val="auto"/>
        </w:rPr>
      </w:pPr>
    </w:p>
    <w:p>
      <w:pPr>
        <w:ind w:left="980" w:right="420" w:hanging="324"/>
        <w:spacing w:after="0" w:line="277" w:lineRule="auto"/>
        <w:tabs>
          <w:tab w:leader="none" w:pos="104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approved by the vote of a majority of the outstanding common units, excluding any common units owned by our general partner and its affiliates.</w:t>
      </w:r>
    </w:p>
    <w:p>
      <w:pPr>
        <w:spacing w:after="0" w:line="49"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4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and other affiliates of our general partner may compete with us.</w:t>
      </w:r>
    </w:p>
    <w:p>
      <w:pPr>
        <w:spacing w:after="0" w:line="104"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4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3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publicly-traded corporations, we do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holders of our common units are dissatisfied, they cannot currently remove our general partner without its consent.</w:t>
      </w:r>
    </w:p>
    <w:p>
      <w:pPr>
        <w:spacing w:after="0" w:line="104" w:lineRule="exact"/>
        <w:rPr>
          <w:sz w:val="20"/>
          <w:szCs w:val="20"/>
          <w:color w:val="auto"/>
        </w:rPr>
      </w:pPr>
    </w:p>
    <w:p>
      <w:pPr>
        <w:ind w:right="20" w:firstLine="405"/>
        <w:spacing w:after="0" w:line="257" w:lineRule="auto"/>
        <w:rPr>
          <w:sz w:val="20"/>
          <w:szCs w:val="20"/>
          <w:color w:val="auto"/>
        </w:rPr>
      </w:pPr>
      <w:r>
        <w:rPr>
          <w:rFonts w:ascii="Arial" w:cs="Arial" w:eastAsia="Arial" w:hAnsi="Arial"/>
          <w:sz w:val="17"/>
          <w:szCs w:val="17"/>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of all outstanding common and subordinated units voting together as a single class is required to remove our general partner. As of February 23, 2021, Westlake owned an aggregate of 40.1% of our common units. This condition provides Westlake, at its current ownership levels, the ability to prevent the removal of our general partner.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of our general partner may be transferred to a third party without unitholder consent.</w:t>
      </w:r>
    </w:p>
    <w:p>
      <w:pPr>
        <w:spacing w:after="0" w:line="10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90"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to Unitholders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49"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board of directors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52" w:lineRule="exact"/>
        <w:rPr>
          <w:sz w:val="20"/>
          <w:szCs w:val="20"/>
          <w:color w:val="auto"/>
        </w:rPr>
      </w:pPr>
    </w:p>
    <w:p>
      <w:pPr>
        <w:ind w:right="200" w:firstLine="405"/>
        <w:spacing w:after="0" w:line="296" w:lineRule="auto"/>
        <w:rPr>
          <w:sz w:val="20"/>
          <w:szCs w:val="20"/>
          <w:color w:val="auto"/>
        </w:rPr>
      </w:pPr>
      <w:r>
        <w:rPr>
          <w:rFonts w:ascii="Arial" w:cs="Arial" w:eastAsia="Arial" w:hAnsi="Arial"/>
          <w:sz w:val="16"/>
          <w:szCs w:val="16"/>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distribute a significant portion of our available cash to our partners, which could limit our ability to grow and make acquisitions.</w:t>
      </w:r>
    </w:p>
    <w:p>
      <w:pPr>
        <w:spacing w:after="0" w:line="11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 commercial borrowings or other debt to finance our growth strategy would result in increased interest expense, which, in turn, may impact the cash that we have available to distribute to our unitholders.</w:t>
      </w:r>
    </w:p>
    <w:p>
      <w:pPr>
        <w:spacing w:after="0" w:line="2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57"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incentive distribution rights may be transferred to a third party without unitholder consent.</w:t>
      </w:r>
    </w:p>
    <w:p>
      <w:pPr>
        <w:spacing w:after="0" w:line="10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Our Common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units without unitholder approval, which would dilute existing unitholder ownership interests.</w:t>
      </w:r>
    </w:p>
    <w:p>
      <w:pPr>
        <w:spacing w:after="0" w:line="104"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Our partnership agreement does not limit the number of additional limited partner interests we may issue at any time without the approval of our unitholders. The issuance of additional common units or other equity interests of equal or senior rank will have the following effects:</w:t>
      </w:r>
    </w:p>
    <w:p>
      <w:pPr>
        <w:spacing w:after="0" w:line="1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existing unitholders' proportionate ownership interest in us will decrease;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earnings per each unit may decrease;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49"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common units.</w:t>
      </w:r>
    </w:p>
    <w:p>
      <w:pPr>
        <w:spacing w:after="0" w:line="10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90"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Under certain circumstances, unitholders may have to repay amounts wrongfully returned or distributed to them. Under Delaware law,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08"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federal income tax purposes, and not being subject to a material amount of entity-level taxation. If the Internal Revenue Service ("IRS"), were to treat us as a corporation for federal income tax purposes, or we become subject to entity-level taxation for state tax purposes, our cash available for distribution to our unitholders would be substantially reduced.</w:t>
      </w:r>
    </w:p>
    <w:p>
      <w:pPr>
        <w:spacing w:after="0" w:line="14"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U.S. federal income tax purposes. Despite the fact that we are organized as a limited partnership under Delaware law, we would be treated as a corporation for U.S. federal income tax purposes unless we satisfy a "qualifying income" requirement. Based upon our current operations and current Treasury Regulations, we believe we satisfy the qualifying income requirement.</w:t>
      </w:r>
    </w:p>
    <w:p>
      <w:pPr>
        <w:spacing w:after="0" w:line="65"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Prior to our initial public offering, we requested and obtained a favorable private letter ruling from the IRS to the effect that, based on facts presented in the private letter ruling request, our income from the production, transportation, storage and marketing of ethylene and its co-products constitutes "qualifying income" within the meaning of Section 7704 of the Internal Revenue Code of 1986, as amended (the "Code").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4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If we were treated as a corporation for federal income tax purposes, we would pay U.S. federal income tax on our taxable income at the corporate tax rate.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 Therefore, treatment of us as a corporation would result in a material reduction in the anticipated cash flow and after-tax return to our unitholders, likely causing a substantial reduction in the value of our common units.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Specifically, we currently own assets and conduct business in Louisiana, Kentucky and Texas. Texas and Kentucky impose entity-level franchise or gross receipt taxes on partnerships. In the future, we may expand our operations. Imposition of similar entity-level taxes on us in Louisiana or other jurisdictions that we may expand to could substantially reduce our cash available for distribution to you.</w:t>
      </w:r>
    </w:p>
    <w:p>
      <w:pPr>
        <w:spacing w:after="0" w:line="2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tax treatment of publicly-traded partnerships or an investment in our units could be subject to potential legislative, judicial or administrative changes or differing interpretations, possibly applied on a retroactive basis.</w:t>
      </w:r>
    </w:p>
    <w:p>
      <w:pPr>
        <w:spacing w:after="0" w:line="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present U.S. federal income tax treatment of publicly-traded partnerships, including us, or an investment in our common units, may be modified by administrative, legislative or judicial changes or differing interpretations at any time. Members of Congress have frequently proposed and considered substantive changes to the existing U.S. federal income tax laws that would affect publicly-traded partnerships, including proposals that would eliminate our ability to qualify for partnership tax treatment.</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the Treasury Department has issued, and in the future may issue, regulations interpreting those laws that affect publicly-traded partnerships. On January 24, 2017, final regulations regarding which activities give rise to qualifying income within the meaning of Section 7704 of the Code (the "Final Regulations") were published in the Federal Register. The Final Regulations, consistent with our private letter ruling, treat our income from the production, transportation, storage and marketing of ethylene and its co-products constitutes as "qualifying income."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Any modification to the U.S. federal income tax laws and interpretations thereof may or may not be retroactively applied and could make it more difficult or impossible for us to meet the exception for certain publicly-traded partnerships to be treated as partnerships for U.S. federal income tax purposes. We are unable to predict whether any changes or other proposals will ultimately be enacted. Any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2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IRS were to contest the federal income tax positions we take, it may adversely impact the market for our common units, and the costs of any such contest would reduce our cash available for distribution to our unitholders.</w:t>
      </w:r>
    </w:p>
    <w:p>
      <w:pPr>
        <w:spacing w:after="0" w:line="3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w:t>
      </w:r>
    </w:p>
    <w:p>
      <w:pPr>
        <w:spacing w:after="0" w:line="2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 new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 These rules are not applicable for tax years beginning on or prior to December 31, 2017.</w:t>
      </w:r>
    </w:p>
    <w:p>
      <w:pPr>
        <w:spacing w:after="0" w:line="21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unitholders do not receive any cash distributions from us, unitholders will be required to pay taxes on their share of our taxable income, including their share of income from the cancellation of debt.</w:t>
      </w:r>
    </w:p>
    <w:p>
      <w:pPr>
        <w:spacing w:after="0" w:line="49"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Unitholders are required to pay federal income taxes and, in some cases, state and local income taxes, on unitholders' share of our taxable income, whether or not they receive cash distributions from us. Unitholders may not receive cash distributions from us equal to their share of our taxable income or even equal to the actual tax due from them with respect to that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the disposition of our common units could be more or less than expected.</w:t>
      </w:r>
    </w:p>
    <w:p>
      <w:pPr>
        <w:spacing w:after="0" w:line="10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56"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104"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subject to the exceptions in the Coronavirus Aid, Relief, and Economic Security Act (the "CARES Act," discussed below), under the Tax Cuts and Jobs Act,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and in the case of taxable years beginning before January 1, 2022, any deduction allowable for depreciation, amortization, or depletion to the extent such depreciation, amortization, or depletion is not capitalized into cost of goods sold with respect to inventory.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For our 2020 taxable year, the CARES Act increases the 30% adjusted taxable income limitation to 50%, unless we elect not to apply such increase. For purposes of determining our 50% adjusted taxable income limitation, we may elect to substitute our 2020 adjusted taxable income with our 2019 adjusted taxable income, which may result in a greater business interest expense deduction. In addition, unitholders may treat 50% of any excess business interest allocated to them in 2019 as deductible in the 2020 taxable year without regard to the 2020 business interest expense limitations. The remaining 50% of such unitholder's excess business interest is carried forward and subject to the same limitations as other taxable years.</w:t>
      </w:r>
    </w:p>
    <w:p>
      <w:pPr>
        <w:spacing w:after="0" w:line="10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common units that may result in adverse tax consequences to them</w:t>
      </w:r>
      <w:r>
        <w:rPr>
          <w:rFonts w:ascii="Arial" w:cs="Arial" w:eastAsia="Arial" w:hAnsi="Arial"/>
          <w:sz w:val="18"/>
          <w:szCs w:val="18"/>
          <w:color w:val="auto"/>
        </w:rPr>
        <w:t>.</w:t>
      </w:r>
    </w:p>
    <w:p>
      <w:pPr>
        <w:spacing w:after="0" w:line="9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Tax-exempt entities should consult a tax advisor before investing in our common units.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Unitholders will be subject to U.S. taxes and withholding with respect to their income and gain from owning our units.</w:t>
      </w:r>
    </w:p>
    <w:p>
      <w:pPr>
        <w:spacing w:after="0" w:line="1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Non-U.S. unitholders are generally taxed and subject to income tax filing requirements by the United States on income effectively connected with a U.S. trade or business.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w:t>
      </w:r>
    </w:p>
    <w:p>
      <w:pPr>
        <w:spacing w:after="0" w:line="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recently issued Treasury regulations provide that the 'amount realized" on a transfer of an interest in a publicly-traded partnership, such as our common units, will generally be the amount of gross proceeds paid to the broker effecting the applicable transfer on behalf of the transferor, and thus will be determined without regard to any decrease in that partner's share of a publicly-traded partnership's liabilities. The Treasury regulations further provide that withholding on a transfer of an interest in a publicly-traded partnership will not be imposed on a transfer that occurs prior to January 1, 2022. For a transfer of interests in a publicly-traded partnership that is effected through a broker on or after January 1, 2022, the obligation to withhold is imposed on the transferor's broker. Non-U.S. unitholders should consult their tax advisors regarding the impact of these rules on an investment in our common units.</w:t>
      </w:r>
    </w:p>
    <w:p>
      <w:pPr>
        <w:spacing w:after="0" w:line="2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49"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any sale of common units and could have a negative impact on the value of our common units or result in audit adjustments to a unitholder's tax returns.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4"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depreciation of capital additions, gain or loss realized on a sale or other disposition of our assets and,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23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to have disposed of those units. If so, such unitholder would no longer be treated for tax purposes as a partner with respect to those units during the period of the loan and may recognize gain or loss from the disposition.</w:t>
      </w:r>
    </w:p>
    <w:p>
      <w:pPr>
        <w:spacing w:after="0" w:line="62"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Because there are no specific rules governing the U.S. federal income tax consequence of loaning a partnership interest, a unitholder whose units are the subject of a securities loan may be considered to have disposed of the loaned units. In that case, the unitholder may no longer be treated for tax purposes as a partner with respect to those units during the period of the loan to the short seller and the unitholder may recognize gain or loss from such disposition. 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204"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2"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In determining the items of income, gain, loss and deduction allocable to our unitholders, we must routinely determine the fair market value of our assets. Although we may, from time to time, consult with professional appraisers regarding valuation matters, we make many fair market value estimates using a methodology based on the market value of our common units as a means to measure the fair market value of our assets. The IRS may challenge these valuation methods and the resulting allocations of income, gain, loss and deduction.</w:t>
      </w:r>
    </w:p>
    <w:p>
      <w:pPr>
        <w:spacing w:after="0" w:line="65"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timing or amount of taxable income or loss being allocated to our unitholders. It also could affect the amount of gain recognized from the sale of our common units, have a negative impact on the value of our common units or result in audit adjustments to our unitholders' tax returns without the benefit of additional deductions.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and local taxes and income tax return filing requirements in jurisdictions where they do not live as a result of investing in our common units.</w:t>
      </w:r>
    </w:p>
    <w:p>
      <w:pPr>
        <w:spacing w:after="0" w:line="4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U.S. federal income taxes, our unitholders may be subject to other taxes, including foreign, state and local taxes, unincorporated business taxes and estate, inheritance or intangible taxes that are imposed by the various jurisdictions in which we conduct business or own property now or in the future, even if they do not live in any of those jurisdictions. Our unitholders will likely be required to file foreign, state and local income tax returns and pay state and local income taxes in some or all of these various jurisdictions. Further, our unitholders may be subject to penalties for failure to comply with those requirements.</w:t>
      </w:r>
    </w:p>
    <w:p>
      <w:pPr>
        <w:spacing w:after="0" w:line="66"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currently own assets and conduct business in Kentucky, Louisiana and Texas. Kentucky and Louisiana currently impose a personal income tax on individuals, Kentucky and Texas impose an entity-level franchise or gross receipts tax on a variety of legal entities, and Kentucky and Louisiana impose a corporate income tax on corporations and other entities treated as corporations for federal income tax purposes. As we make acquisitions or expand our business, we may own assets or conduct business in additional states that impose similar taxes. It is our unitholders' responsibility to file all United States federal, foreign, state and local tax returns and pay any taxes due in these jurisdictions. Unitholders should consult with their own tax advisors regarding the filing of such tax returns, the payment of such taxes, and the deductibility of any taxes paid.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Information regarding our properties is contained in "Item 1. Business—OpCo's Assets" and "Item 7.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the ordinary conduct of our business, we and Westlake and Westlake's subsidiaries, including OpCo, are subject to periodic lawsuits, investigations and claims, including environmental claims and employee related matters. See the discussion of our environmental matters contained in "Item 1. Business</w:t>
      </w:r>
    </w:p>
    <w:p>
      <w:pPr>
        <w:spacing w:after="0" w:line="271"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color w:val="auto"/>
        </w:rPr>
        <w:t>Environmental" and</w:t>
      </w:r>
      <w:r>
        <w:rPr>
          <w:rFonts w:ascii="Arial" w:cs="Arial" w:eastAsia="Arial" w:hAnsi="Arial"/>
          <w:sz w:val="17"/>
          <w:szCs w:val="17"/>
          <w:i w:val="1"/>
          <w:iCs w:val="1"/>
          <w:color w:val="auto"/>
        </w:rPr>
        <w:t xml:space="preserve"> "</w:t>
      </w:r>
      <w:r>
        <w:rPr>
          <w:rFonts w:ascii="Arial" w:cs="Arial" w:eastAsia="Arial" w:hAnsi="Arial"/>
          <w:sz w:val="17"/>
          <w:szCs w:val="17"/>
          <w:color w:val="auto"/>
        </w:rPr>
        <w:t>Note 17</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and Contingencies", to the consolidated financial statements within this report. Although we cannot</w:t>
      </w:r>
      <w:r>
        <w:rPr>
          <w:rFonts w:ascii="Arial" w:cs="Arial" w:eastAsia="Arial" w:hAnsi="Arial"/>
          <w:sz w:val="17"/>
          <w:szCs w:val="17"/>
          <w:i w:val="1"/>
          <w:iCs w:val="1"/>
          <w:color w:val="auto"/>
        </w:rPr>
        <w:t xml:space="preserve"> </w:t>
      </w:r>
      <w:r>
        <w:rPr>
          <w:rFonts w:ascii="Arial" w:cs="Arial" w:eastAsia="Arial" w:hAnsi="Arial"/>
          <w:sz w:val="17"/>
          <w:szCs w:val="17"/>
          <w:color w:val="auto"/>
        </w:rPr>
        <w:t>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 In addition, under the Omnibus Agreement, Westlake agreed to indemnify OpCo for certain environmental liabilities arising out of or occurring before the closing date of the IPO.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09" w:lineRule="exact"/>
        <w:rPr>
          <w:sz w:val="20"/>
          <w:szCs w:val="20"/>
          <w:color w:val="auto"/>
        </w:rPr>
      </w:pPr>
    </w:p>
    <w:p>
      <w:pPr>
        <w:ind w:right="1940"/>
        <w:spacing w:after="0" w:line="35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Our common units are listed and traded on the New York Stock Exchange ("NYSE") under the symbol "WLKP." As of the close of business on February 23, 2021, based upon information received from our transfer agent, there were four holders of record of our common units.</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a publicly-traded partnership and are not subject to federal income tax. Instead, unitholders are required to report their allocable share of our income, gain, loss and deduction, regardless of whether we make distributions.</w:t>
      </w:r>
    </w:p>
    <w:p>
      <w:pPr>
        <w:spacing w:after="0" w:line="116"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Following the Partnership's cash distribution for the second quarter of 2017, the requirement under the Partnership's partnership agreement for the conversion of all subordinated units was satisfied. As a result, effective August 30, 2017, all of the subordinated units owned by Westlake were converted into common units on a one-for-one basis and thereafter participate on terms equal with all other common units in distributions of available cash.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Information from our Partnership Agreement</w:t>
      </w:r>
    </w:p>
    <w:p>
      <w:pPr>
        <w:spacing w:after="0" w:line="94"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Set forth below is a summary of the significant provisions of our partnership agreement that relate to cash distributions, minimum quarterly distributions and incentive distribution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10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138" w:lineRule="exact"/>
        <w:rPr>
          <w:sz w:val="20"/>
          <w:szCs w:val="20"/>
          <w:color w:val="auto"/>
        </w:rPr>
      </w:pPr>
    </w:p>
    <w:p>
      <w:pPr>
        <w:jc w:val="both"/>
        <w:ind w:right="400" w:firstLine="405"/>
        <w:spacing w:after="0" w:line="342" w:lineRule="auto"/>
        <w:rPr>
          <w:sz w:val="20"/>
          <w:szCs w:val="20"/>
          <w:color w:val="auto"/>
        </w:rPr>
      </w:pPr>
      <w:r>
        <w:rPr>
          <w:rFonts w:ascii="Arial" w:cs="Arial" w:eastAsia="Arial" w:hAnsi="Arial"/>
          <w:sz w:val="16"/>
          <w:szCs w:val="16"/>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0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Quarterly Distribution</w:t>
      </w:r>
    </w:p>
    <w:p>
      <w:pPr>
        <w:spacing w:after="0" w:line="9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On July 27, 2018,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common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percentage allocations per the amended partnership agreement. For more information on the Partnership's amended distribution allocation percentages, see Note 9 "Distributions and Net Income Per Limited Partner Unit" to the consolidated financial statements within this report.</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Interests and Incentive Distribution Rights</w:t>
      </w:r>
    </w:p>
    <w:p>
      <w:pPr>
        <w:spacing w:after="0" w:line="9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 Incentive distribution rights represent the right to receive increasing percentages (15.0%, 25.0% and 50.0%) of quarterly distributions from operating surplus after the target distribution levels have been achieved. Westlake currently holds the incentive distribution rights, but may transfer these rights separately from its general partner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following information should be read together with "Item 7. Management's Discussion and Analysis of Financial Condition and Results of Operations" and our consolidated financial statements and the related notes included elsewhere in this report.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792"/>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(in thousands of dollars, except unit amounts and per unit data)</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986,736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378,883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379,428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403,667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391,331</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352,988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350,150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349,569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374,407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366,444</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354,438</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353,403</w:t>
            </w:r>
          </w:p>
        </w:tc>
        <w:tc>
          <w:tcPr>
            <w:tcW w:w="0" w:type="dxa"/>
            <w:vAlign w:val="bottom"/>
          </w:tcPr>
          <w:p>
            <w:pPr>
              <w:spacing w:after="0"/>
              <w:rPr>
                <w:sz w:val="1"/>
                <w:szCs w:val="1"/>
                <w:color w:val="auto"/>
              </w:rPr>
            </w:pPr>
          </w:p>
        </w:tc>
      </w:tr>
      <w:tr>
        <w:trPr>
          <w:trHeight w:val="176"/>
        </w:trPr>
        <w:tc>
          <w:tcPr>
            <w:tcW w:w="426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attributable to</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274,952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271,914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281,224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304,388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312,463</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in OpCo</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attributable to Westlake Chemical</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Partners LP and limited partners' interest in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66,167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60,981</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49,347</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48,670</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40,940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Net income attributable to Westlake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Chemical Partners LP per limited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partner unit (basic and diluted)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units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Subordinated units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 (end of period):</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88,900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194,388</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1,356,488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1,393,456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1,462,125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1,515,276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1,555,228</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594,629</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Partners' equity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915,137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952,135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934,081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998,749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Distributions per unit </w:t>
            </w:r>
            <w:r>
              <w:rPr>
                <w:rFonts w:ascii="Arial" w:cs="Arial" w:eastAsia="Arial" w:hAnsi="Arial"/>
                <w:sz w:val="23"/>
                <w:szCs w:val="23"/>
                <w:color w:val="auto"/>
                <w:vertAlign w:val="superscript"/>
              </w:rPr>
              <w:t>(2)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373,397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450,807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436,151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537,357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287,726</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(299,481)</w:t>
            </w: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(378,198)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(392,921)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(391,603)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(68,904)</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98,210</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299,638</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32,405</w:t>
            </w:r>
          </w:p>
        </w:tc>
        <w:tc>
          <w:tcPr>
            <w:tcW w:w="0" w:type="dxa"/>
            <w:vAlign w:val="bottom"/>
          </w:tcPr>
          <w:p>
            <w:pPr>
              <w:spacing w:after="0"/>
              <w:rPr>
                <w:sz w:val="1"/>
                <w:szCs w:val="1"/>
                <w:color w:val="auto"/>
              </w:rPr>
            </w:pPr>
          </w:p>
        </w:tc>
      </w:tr>
      <w:tr>
        <w:trPr>
          <w:trHeight w:val="304"/>
        </w:trPr>
        <w:tc>
          <w:tcPr>
            <w:tcW w:w="4260" w:type="dxa"/>
            <w:vAlign w:val="bottom"/>
          </w:tcPr>
          <w:p>
            <w:pPr>
              <w:ind w:left="2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456,875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460,566</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460,868</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490,184</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Working capital equals current assets less current liabilities.</w:t>
      </w:r>
    </w:p>
    <w:p>
      <w:pPr>
        <w:spacing w:after="0" w:line="103" w:lineRule="exact"/>
        <w:rPr>
          <w:rFonts w:ascii="Arial" w:cs="Arial" w:eastAsia="Arial" w:hAnsi="Arial"/>
          <w:sz w:val="18"/>
          <w:szCs w:val="18"/>
          <w:color w:val="auto"/>
        </w:rPr>
      </w:pPr>
    </w:p>
    <w:p>
      <w:pPr>
        <w:ind w:left="420" w:right="180" w:hanging="412"/>
        <w:spacing w:after="0" w:line="277" w:lineRule="auto"/>
        <w:tabs>
          <w:tab w:leader="none" w:pos="4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Distribution per unit represents cash distributions declared per common unit for the quarters ended March 31, June 30, September 30 and December 31.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right="40" w:hanging="412"/>
        <w:spacing w:after="0" w:line="268" w:lineRule="auto"/>
        <w:tabs>
          <w:tab w:leader="none" w:pos="414"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use MLP distributable cash flow (a non-GAAP financial measure) to analyze our performance. 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 or equivalent statements) of the registrant; or (2) includes amounts, or is subject to adjustments that have the effect of including amounts, that are excluded from the most directly comparable measure so calculated and presented.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MLP distributable cash flow is a non-GAAP supplemental financial measure that management and external users of our consolidated financial statements, such as industry analysts, investors, lenders and rating agencies, may use to assess:</w:t>
      </w:r>
    </w:p>
    <w:p>
      <w:pPr>
        <w:spacing w:after="0" w:line="51" w:lineRule="exact"/>
        <w:rPr>
          <w:rFonts w:ascii="Arial" w:cs="Arial" w:eastAsia="Arial" w:hAnsi="Arial"/>
          <w:sz w:val="17"/>
          <w:szCs w:val="17"/>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publicly-traded partnerships;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viability of acquisitions and other capital expenditure projects and the returns on investment of various investment opportunities.</w:t>
      </w:r>
    </w:p>
    <w:p>
      <w:pPr>
        <w:spacing w:after="0" w:line="101" w:lineRule="exact"/>
        <w:rPr>
          <w:sz w:val="20"/>
          <w:szCs w:val="20"/>
          <w:color w:val="auto"/>
        </w:rPr>
      </w:pPr>
    </w:p>
    <w:p>
      <w:pPr>
        <w:ind w:left="420"/>
        <w:spacing w:after="0" w:line="255" w:lineRule="auto"/>
        <w:rPr>
          <w:sz w:val="20"/>
          <w:szCs w:val="20"/>
          <w:color w:val="auto"/>
        </w:rPr>
      </w:pPr>
      <w:r>
        <w:rPr>
          <w:rFonts w:ascii="Arial" w:cs="Arial" w:eastAsia="Arial" w:hAnsi="Arial"/>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It should be noted that other limited partnerships and companies calculate MLP distributable cash flows differently, and, therefore, MLP distributable cash flows as presented for us may not be comparable to MLP distributable cash flows reported by other partnerships and companies. The following table reconciles MLP distributable cash flow to net income and net cash provided by operating activities, the most directly comparable GAAP financial measures.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center"/>
              <w:ind w:left="613"/>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8"/>
        </w:trPr>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373,397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450,807</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436,151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537,357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287,726</w:t>
            </w: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Loss from disposition of fixed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(117,397)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(103,731)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(181,266)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68,698</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353,403</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360"/>
              <w:spacing w:after="0" w:line="176" w:lineRule="exact"/>
              <w:rPr>
                <w:sz w:val="20"/>
                <w:szCs w:val="20"/>
                <w:color w:val="auto"/>
              </w:rPr>
            </w:pPr>
            <w:r>
              <w:rPr>
                <w:rFonts w:ascii="Arial" w:cs="Arial" w:eastAsia="Arial" w:hAnsi="Arial"/>
                <w:sz w:val="18"/>
                <w:szCs w:val="18"/>
                <w:color w:val="auto"/>
              </w:rPr>
              <w:t>Depreciation, amortization and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480"/>
              <w:spacing w:after="0" w:line="176" w:lineRule="exact"/>
              <w:rPr>
                <w:sz w:val="20"/>
                <w:szCs w:val="20"/>
                <w:color w:val="auto"/>
              </w:rPr>
            </w:pPr>
            <w:r>
              <w:rPr>
                <w:rFonts w:ascii="Arial" w:cs="Arial" w:eastAsia="Arial" w:hAnsi="Arial"/>
                <w:sz w:val="18"/>
                <w:szCs w:val="18"/>
                <w:color w:val="auto"/>
              </w:rPr>
              <w:t>disposition of property, plant and</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104,154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107,835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110,691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117,128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98,210</w:t>
            </w:r>
          </w:p>
        </w:tc>
        <w:tc>
          <w:tcPr>
            <w:tcW w:w="0" w:type="dxa"/>
            <w:vAlign w:val="bottom"/>
          </w:tcPr>
          <w:p>
            <w:pPr>
              <w:spacing w:after="0"/>
              <w:rPr>
                <w:sz w:val="1"/>
                <w:szCs w:val="1"/>
                <w:color w:val="auto"/>
              </w:rPr>
            </w:pPr>
          </w:p>
        </w:tc>
      </w:tr>
      <w:tr>
        <w:trPr>
          <w:trHeight w:val="229"/>
        </w:trPr>
        <w:tc>
          <w:tcPr>
            <w:tcW w:w="4260" w:type="dxa"/>
            <w:vAlign w:val="bottom"/>
          </w:tcPr>
          <w:p>
            <w:pPr>
              <w:ind w:left="480"/>
              <w:spacing w:after="0"/>
              <w:rPr>
                <w:sz w:val="20"/>
                <w:szCs w:val="20"/>
                <w:color w:val="auto"/>
              </w:rPr>
            </w:pPr>
            <w:r>
              <w:rPr>
                <w:rFonts w:ascii="Arial" w:cs="Arial" w:eastAsia="Arial" w:hAnsi="Arial"/>
                <w:sz w:val="18"/>
                <w:szCs w:val="18"/>
                <w:color w:val="auto"/>
              </w:rPr>
              <w:t>equipment</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Mark-to-market adjustment loss on</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contracts</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 to turnaround reserves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(40,014)</w:t>
            </w: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(120,353)</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distribution rights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76"/>
        </w:trPr>
        <w:tc>
          <w:tcPr>
            <w:tcW w:w="4260" w:type="dxa"/>
            <w:vAlign w:val="bottom"/>
          </w:tcPr>
          <w:p>
            <w:pPr>
              <w:ind w:left="360"/>
              <w:spacing w:after="0" w:line="176" w:lineRule="exact"/>
              <w:rPr>
                <w:sz w:val="20"/>
                <w:szCs w:val="20"/>
                <w:color w:val="auto"/>
              </w:rPr>
            </w:pPr>
            <w:r>
              <w:rPr>
                <w:rFonts w:ascii="Arial" w:cs="Arial" w:eastAsia="Arial" w:hAnsi="Arial"/>
                <w:sz w:val="18"/>
                <w:szCs w:val="18"/>
                <w:color w:val="auto"/>
              </w:rPr>
              <w:t>Distributable cash flow attributable to</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(294,670)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(313,280)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(332,246)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(345,465)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(258,560)</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 in OpCo</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MLP distributable cash flow</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right="20" w:hanging="412"/>
        <w:spacing w:after="0" w:line="270" w:lineRule="auto"/>
        <w:tabs>
          <w:tab w:leader="none" w:pos="414" w:val="left"/>
        </w:tabs>
        <w:numPr>
          <w:ilvl w:val="0"/>
          <w:numId w:val="31"/>
        </w:numPr>
        <w:rPr>
          <w:rFonts w:ascii="Arial" w:cs="Arial" w:eastAsia="Arial" w:hAnsi="Arial"/>
          <w:sz w:val="17"/>
          <w:szCs w:val="17"/>
          <w:color w:val="auto"/>
        </w:rPr>
      </w:pPr>
      <w:r>
        <w:rPr>
          <w:rFonts w:ascii="Arial" w:cs="Arial" w:eastAsia="Arial" w:hAnsi="Arial"/>
          <w:sz w:val="17"/>
          <w:szCs w:val="17"/>
          <w:color w:val="auto"/>
        </w:rPr>
        <w:t>EBITDA (a non-GAAP financial measure) is calculated as net income before interest expense, income taxes, depreciation and amortization. The body of accounting principles generally accepted in the United States is commonly referred to as "GAAP." For this purpose, a non-GAAP financial measure is generally defined by the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EBITDA to analyze our performance. EBITDA is a non-GAAP supplemental financial measure that management and external users of our consolidated financial statements, such as industry analysts, investors, lenders and rating agencies, may use to assess:</w:t>
      </w:r>
    </w:p>
    <w:p>
      <w:pPr>
        <w:spacing w:after="0" w:line="45" w:lineRule="exact"/>
        <w:rPr>
          <w:rFonts w:ascii="Arial" w:cs="Arial" w:eastAsia="Arial" w:hAnsi="Arial"/>
          <w:sz w:val="17"/>
          <w:szCs w:val="17"/>
          <w:color w:val="auto"/>
        </w:rPr>
      </w:pPr>
    </w:p>
    <w:p>
      <w:pPr>
        <w:ind w:left="1300" w:hanging="320"/>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publicly-traded partnerships;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viability of acquisitions and other capital expenditure projects and the returns on investment of various investment opportunities.</w:t>
      </w:r>
    </w:p>
    <w:p>
      <w:pPr>
        <w:spacing w:after="0" w:line="101" w:lineRule="exact"/>
        <w:rPr>
          <w:sz w:val="20"/>
          <w:szCs w:val="20"/>
          <w:color w:val="auto"/>
        </w:rPr>
      </w:pPr>
    </w:p>
    <w:p>
      <w:pPr>
        <w:ind w:left="420" w:right="80"/>
        <w:spacing w:after="0" w:line="257" w:lineRule="auto"/>
        <w:rPr>
          <w:sz w:val="20"/>
          <w:szCs w:val="20"/>
          <w:color w:val="auto"/>
        </w:rPr>
      </w:pPr>
      <w:r>
        <w:rPr>
          <w:rFonts w:ascii="Arial" w:cs="Arial" w:eastAsia="Arial" w:hAnsi="Arial"/>
          <w:sz w:val="18"/>
          <w:szCs w:val="18"/>
          <w:color w:val="auto"/>
        </w:rPr>
        <w:t>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The following table reconciles EBITDA to net income, income from operations and to cash flows from operating activities, the most directly comparable GAAP measures.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8"/>
        </w:trPr>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373,397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450,807</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436,151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537,357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287,726</w:t>
            </w:r>
          </w:p>
        </w:tc>
        <w:tc>
          <w:tcPr>
            <w:tcW w:w="0" w:type="dxa"/>
            <w:vAlign w:val="bottom"/>
          </w:tcPr>
          <w:p>
            <w:pPr>
              <w:spacing w:after="0"/>
              <w:rPr>
                <w:sz w:val="1"/>
                <w:szCs w:val="1"/>
                <w:color w:val="auto"/>
              </w:rPr>
            </w:pPr>
          </w:p>
        </w:tc>
      </w:tr>
      <w:tr>
        <w:trPr>
          <w:trHeight w:val="229"/>
        </w:trPr>
        <w:tc>
          <w:tcPr>
            <w:tcW w:w="4260" w:type="dxa"/>
            <w:vAlign w:val="bottom"/>
          </w:tcPr>
          <w:p>
            <w:pPr>
              <w:ind w:left="360"/>
              <w:spacing w:after="0"/>
              <w:rPr>
                <w:sz w:val="20"/>
                <w:szCs w:val="20"/>
                <w:color w:val="auto"/>
              </w:rPr>
            </w:pPr>
            <w:r>
              <w:rPr>
                <w:rFonts w:ascii="Arial" w:cs="Arial" w:eastAsia="Arial" w:hAnsi="Arial"/>
                <w:sz w:val="18"/>
                <w:szCs w:val="18"/>
                <w:color w:val="auto"/>
              </w:rPr>
              <w:t>Loss from disposition of fixed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(117,397)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(103,731)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(181,266)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68,698</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353,403</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366,444</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98,210</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820"/>
        <w:spacing w:after="0" w:line="354"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the accompanying consolidated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 this report.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On September 29, 2017, we completed a secondary public offering of 5,175,000 common units and purchased an additional 5.0% newly-issued limited partner interest in OpCo, resulting in an aggregate 18.3% limited partner interest in OpCo, effective as of July 1, 2017. The 12,686,115 subordinated units of the Partnership, all of which were previously owned by Westlake, were converted into common units of the Partnership on August 30,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the first 45 days of a force majeure event, but is reduced for the portion of a force majeure event extending beyond the 45th day. In the event of a force majeure event, we recognize buyer deficiency fees representing fixed margin and unavoided operating and maintenance capital expenditures and maintenance expenses per pound of volume committed by Westlake during the force majeure event. Payment for the buyer deficiency fee is scheduled to be received by the Partnership after the conclusion of the year.</w:t>
      </w:r>
    </w:p>
    <w:p>
      <w:pPr>
        <w:spacing w:after="0" w:line="128"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110"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matter.</w:t>
      </w:r>
    </w:p>
    <w:p>
      <w:pPr>
        <w:spacing w:after="0" w:line="13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2020, all the third-party ethylene and associated co-products sales generated 8.1% of our total revenues.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Please refer to Note 2 to the consolidated financial statements included within this report for more information on the Ethylene Sales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OpCo has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For its approximately five percent merchant sales, OpCo may purchase the ethane and other feedstocks to produce ethylene and resulting co-products to sell to unrelated third parties from Westlake Petrochemicals LLC.</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Please refer to Note 2 to the consolidated financial statements included within this report for more information on the Feedstock Supply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108"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104"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62" w:lineRule="exact"/>
        <w:rPr>
          <w:sz w:val="20"/>
          <w:szCs w:val="20"/>
          <w:color w:val="auto"/>
        </w:rPr>
      </w:pPr>
    </w:p>
    <w:p>
      <w:pPr>
        <w:ind w:left="660" w:right="1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production capacity;</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 or increase capacity at our existing production facilities, or add additional production capacity via organic expansion projects and acquisitions;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10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80" w:firstLine="405"/>
        <w:spacing w:after="0" w:line="289"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1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Item 6. "Selected Financial Data" above.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output in excess of the planned output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 Affecting Industry Conditions and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Industry Conditions and Our Business</w:t>
      </w:r>
    </w:p>
    <w:p>
      <w:pPr>
        <w:spacing w:after="0" w:line="9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 xml:space="preserve">On March 11, 2020, the World Health Organization declared the ongoing coronavirus (COVID-19) outbreak a pandemic and recommended containment and mitigation measures worldwide. </w:t>
      </w:r>
      <w:r>
        <w:rPr>
          <w:rFonts w:ascii="Arial" w:cs="Arial" w:eastAsia="Arial" w:hAnsi="Arial"/>
          <w:sz w:val="18"/>
          <w:szCs w:val="18"/>
          <w:color w:val="212529"/>
        </w:rPr>
        <w:t>The pandemic</w:t>
      </w:r>
      <w:r>
        <w:rPr>
          <w:rFonts w:ascii="Arial" w:cs="Arial" w:eastAsia="Arial" w:hAnsi="Arial"/>
          <w:sz w:val="18"/>
          <w:szCs w:val="18"/>
          <w:color w:val="auto"/>
        </w:rPr>
        <w:t xml:space="preserve"> has resulted in widespread adverse impacts on the global economy and on our employees, customers and suppliers. We did not experience significant disruptions to our business operations in the year ended December 31, 2020 and do not expect to experience </w:t>
      </w:r>
      <w:r>
        <w:rPr>
          <w:rFonts w:ascii="Arial" w:cs="Arial" w:eastAsia="Arial" w:hAnsi="Arial"/>
          <w:sz w:val="18"/>
          <w:szCs w:val="18"/>
          <w:color w:val="212529"/>
        </w:rPr>
        <w:t>significant disruptions to our business operations resulting from COVID-19, primarily due to the fact that 95% of our production is sold to</w:t>
      </w:r>
      <w:r>
        <w:rPr>
          <w:rFonts w:ascii="Arial" w:cs="Arial" w:eastAsia="Arial" w:hAnsi="Arial"/>
          <w:sz w:val="18"/>
          <w:szCs w:val="18"/>
          <w:color w:val="auto"/>
        </w:rPr>
        <w:t xml:space="preserve"> </w:t>
      </w:r>
      <w:r>
        <w:rPr>
          <w:rFonts w:ascii="Arial" w:cs="Arial" w:eastAsia="Arial" w:hAnsi="Arial"/>
          <w:sz w:val="18"/>
          <w:szCs w:val="18"/>
          <w:color w:val="212529"/>
        </w:rPr>
        <w:t>Westlake on a take-or-pay contract.</w:t>
      </w:r>
    </w:p>
    <w:p>
      <w:pPr>
        <w:spacing w:after="0" w:line="13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212529"/>
        </w:rPr>
        <w:t>Although the price of crude oil has partially recovered from its sudden collapse in early March 2020, due to the continuing impact of low crude oil prices and the addition of ethylene production capacity in recent months, prices for ethylene and co-products have remained weak and have also negatively impacted our plants' operating rates. Crude oil prices have recovered somewhat since the second quarter of 2020. Regardless, we may idle production and reduce operating rates if it is not economical for us to produce ethylene to sell to third parties.</w:t>
      </w:r>
    </w:p>
    <w:p>
      <w:pPr>
        <w:spacing w:after="0" w:line="13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first priority in our response to this crisis has been the health and safety of our operators, who are seconded to us by Westlake, and those of our customers and vendors. Westlake has implemented preventative measures and developed corporate and regional response plans to minimize unnecessary risk of exposure. We and Westlake have modified certain business practices (including those related to employee travel, employee work locations and employee work practices) to conform to government restrictions and best practices encouraged by the Center for Disease Control and Prevention, the World Health Organization and other governmental and regulatory authorities. We and Westlake have implemented strategies to reduce costs, increase operational efficiencies and lower capital spending. We have also deferred the planned turnaround at OpCo's Petro 2 ethylene unit and associated maintenance cost into the second half of 2021. The turnaround is expected to last approximately 60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Hurricanes Laura and Delta</w:t>
      </w:r>
    </w:p>
    <w:p>
      <w:pPr>
        <w:spacing w:after="0" w:line="104"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August 27, 2020, Hurricane Laura made landfall in Louisiana as a Category 4 storm, which resulted in widespread damage to property and infrastructure in the greater Lake Charles area, including the electricity transmission system. On October 9, 2020, Hurricane Delta made landfall as a Category 2 storm in the same general vicinity of Louisiana. As a precautionary measure, OpCo idled its units in the Lake Charles area, Petro 1 and Petro 2, in advance of each storm. As a result of the storms and certain pre-existing issues discovered during start-up following Hurricanes Laura and Delta, Petro 1 and Petro 2 remained completely shut down for a significant period of time in the months of August, September and October 2020 and returned to more routine operations by the beginning of November 2020. In connection with these outages and pursuant to the Ethylene Sales Agreement, OpCo provided notices of force majeure events to Westlake. Under the Ethylene Sales Agreement, Westlake's obligation to pay for the annual minimum commitment (95% of OpCo's budgeted ethylene production) is not reduced for the first 45 days of a force majeure event. As a result of the force majeure events due to Hurricanes Laura and Delta, we recognized a buyer deficiency fee of $69.6 million as a component of net sales in 2020, representing fixed margin and unavoided operating and maintenance capital expenditures and maintenance expenses per pound of volume committed by Westlake during the force majeure events. Payment for the buyer deficiency fee was received in January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Weather Event</w:t>
      </w:r>
    </w:p>
    <w:p>
      <w:pPr>
        <w:spacing w:after="0" w:line="104" w:lineRule="exact"/>
        <w:rPr>
          <w:sz w:val="20"/>
          <w:szCs w:val="20"/>
          <w:color w:val="auto"/>
        </w:rPr>
      </w:pPr>
    </w:p>
    <w:p>
      <w:pPr>
        <w:ind w:right="180" w:firstLine="405"/>
        <w:spacing w:after="0" w:line="311" w:lineRule="auto"/>
        <w:rPr>
          <w:sz w:val="20"/>
          <w:szCs w:val="20"/>
          <w:color w:val="auto"/>
        </w:rPr>
      </w:pPr>
      <w:r>
        <w:rPr>
          <w:rFonts w:ascii="Arial" w:cs="Arial" w:eastAsia="Arial" w:hAnsi="Arial"/>
          <w:sz w:val="16"/>
          <w:szCs w:val="16"/>
          <w:color w:val="auto"/>
        </w:rPr>
        <w:t>In February 2021, large parts of the southern United States, including Louisiana and Kentucky, experienced extreme winter weather. Due to the extreme weather, OpCo's ethylene production facilities in the region experienced disruption to their operations, resulting in lost production and additional maintenance costs. OpCo has declared force majeure under the Ethylene Supply Agreement and expects to recognize a buyer deficiency fee in 2021.</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and descriptions that follow represent the consolidated results of operations of the Partnership for the years 2020, 2019 and 2018.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00" w:type="dxa"/>
            <w:vAlign w:val="bottom"/>
            <w:gridSpan w:val="7"/>
          </w:tcPr>
          <w:p>
            <w:pPr>
              <w:jc w:val="center"/>
              <w:ind w:right="311"/>
              <w:spacing w:after="0"/>
              <w:rPr>
                <w:sz w:val="20"/>
                <w:szCs w:val="20"/>
                <w:color w:val="auto"/>
              </w:rPr>
            </w:pPr>
            <w:r>
              <w:rPr>
                <w:rFonts w:ascii="Arial" w:cs="Arial" w:eastAsia="Arial" w:hAnsi="Arial"/>
                <w:sz w:val="14"/>
                <w:szCs w:val="14"/>
                <w:b w:val="1"/>
                <w:bCs w:val="1"/>
                <w:color w:val="auto"/>
                <w:w w:val="91"/>
              </w:rPr>
              <w:t>(in thousands of dollars, except unit amounts and per unit data)</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sales—Westlake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888,245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937,625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1,074,957</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co-products, ethylene and feedstock sales—third parties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210,665</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1,285,622</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378,883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379,428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377,159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27,590</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352,988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350,150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349,569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Interest expense—Westlake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(21,433)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341,683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330,593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341,119</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332,895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330,571</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OpCo</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281,224</w:t>
            </w:r>
          </w:p>
        </w:tc>
        <w:tc>
          <w:tcPr>
            <w:tcW w:w="0" w:type="dxa"/>
            <w:vAlign w:val="bottom"/>
          </w:tcPr>
          <w:p>
            <w:pPr>
              <w:spacing w:after="0"/>
              <w:rPr>
                <w:sz w:val="1"/>
                <w:szCs w:val="1"/>
                <w:color w:val="auto"/>
              </w:rPr>
            </w:pPr>
          </w:p>
        </w:tc>
      </w:tr>
      <w:tr>
        <w:trPr>
          <w:trHeight w:val="155"/>
        </w:trPr>
        <w:tc>
          <w:tcPr>
            <w:tcW w:w="59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 Westlake Chemical</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66,167</w:t>
            </w:r>
          </w:p>
        </w:tc>
        <w:tc>
          <w:tcPr>
            <w:tcW w:w="100" w:type="dxa"/>
            <w:vAlign w:val="bottom"/>
          </w:tcPr>
          <w:p>
            <w:pPr>
              <w:spacing w:after="0"/>
              <w:rPr>
                <w:sz w:val="13"/>
                <w:szCs w:val="13"/>
                <w:color w:val="auto"/>
              </w:rPr>
            </w:pPr>
          </w:p>
        </w:tc>
        <w:tc>
          <w:tcPr>
            <w:tcW w:w="42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60,981</w:t>
            </w:r>
          </w:p>
        </w:tc>
        <w:tc>
          <w:tcPr>
            <w:tcW w:w="100" w:type="dxa"/>
            <w:vAlign w:val="bottom"/>
          </w:tcPr>
          <w:p>
            <w:pPr>
              <w:spacing w:after="0"/>
              <w:rPr>
                <w:sz w:val="13"/>
                <w:szCs w:val="13"/>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49,347</w:t>
            </w:r>
          </w:p>
        </w:tc>
        <w:tc>
          <w:tcPr>
            <w:tcW w:w="0" w:type="dxa"/>
            <w:vAlign w:val="bottom"/>
          </w:tcPr>
          <w:p>
            <w:pPr>
              <w:spacing w:after="0"/>
              <w:rPr>
                <w:sz w:val="1"/>
                <w:szCs w:val="1"/>
                <w:color w:val="auto"/>
              </w:rPr>
            </w:pPr>
          </w:p>
        </w:tc>
      </w:tr>
      <w:tr>
        <w:trPr>
          <w:trHeight w:val="208"/>
        </w:trPr>
        <w:tc>
          <w:tcPr>
            <w:tcW w:w="594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Partners LP and limited partners' interest in net income</w:t>
            </w:r>
          </w:p>
        </w:tc>
        <w:tc>
          <w:tcPr>
            <w:tcW w:w="4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attributable to Westlake Chemical Partners LP</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limited partner unit (basic and diluted)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Common units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limited partner units outstanding</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Common units—public</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21,073,041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20,365,828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18,118,628</w:t>
            </w: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units—Westlake</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71,983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3"/>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73,181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60,024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460,868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9"/>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480" w:type="dxa"/>
            <w:vAlign w:val="bottom"/>
          </w:tcPr>
          <w:p>
            <w:pPr>
              <w:spacing w:after="0"/>
              <w:rPr>
                <w:sz w:val="11"/>
                <w:szCs w:val="11"/>
                <w:color w:val="auto"/>
              </w:rPr>
            </w:pPr>
          </w:p>
        </w:tc>
        <w:tc>
          <w:tcPr>
            <w:tcW w:w="1660" w:type="dxa"/>
            <w:vAlign w:val="bottom"/>
            <w:gridSpan w:val="4"/>
          </w:tcPr>
          <w:p>
            <w:pPr>
              <w:jc w:val="center"/>
              <w:ind w:right="260"/>
              <w:spacing w:after="0" w:line="130" w:lineRule="exact"/>
              <w:rPr>
                <w:sz w:val="20"/>
                <w:szCs w:val="20"/>
                <w:color w:val="auto"/>
              </w:rPr>
            </w:pPr>
            <w:r>
              <w:rPr>
                <w:rFonts w:ascii="Arial" w:cs="Arial" w:eastAsia="Arial" w:hAnsi="Arial"/>
                <w:sz w:val="14"/>
                <w:szCs w:val="14"/>
                <w:b w:val="1"/>
                <w:bCs w:val="1"/>
                <w:color w:val="auto"/>
                <w:w w:val="87"/>
              </w:rPr>
              <w:t>Average Sales</w:t>
            </w:r>
          </w:p>
        </w:tc>
        <w:tc>
          <w:tcPr>
            <w:tcW w:w="12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Volume</w:t>
            </w:r>
          </w:p>
        </w:tc>
        <w:tc>
          <w:tcPr>
            <w:tcW w:w="1680" w:type="dxa"/>
            <w:vAlign w:val="bottom"/>
            <w:gridSpan w:val="5"/>
          </w:tcPr>
          <w:p>
            <w:pPr>
              <w:jc w:val="center"/>
              <w:ind w:right="300"/>
              <w:spacing w:after="0" w:line="130" w:lineRule="exact"/>
              <w:rPr>
                <w:sz w:val="20"/>
                <w:szCs w:val="20"/>
                <w:color w:val="auto"/>
              </w:rPr>
            </w:pPr>
            <w:r>
              <w:rPr>
                <w:rFonts w:ascii="Arial" w:cs="Arial" w:eastAsia="Arial" w:hAnsi="Arial"/>
                <w:sz w:val="14"/>
                <w:szCs w:val="14"/>
                <w:b w:val="1"/>
                <w:bCs w:val="1"/>
                <w:color w:val="auto"/>
                <w:w w:val="89"/>
              </w:rPr>
              <w:t>Average Sales</w:t>
            </w:r>
          </w:p>
        </w:tc>
        <w:tc>
          <w:tcPr>
            <w:tcW w:w="11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gridSpan w:val="4"/>
            <w:vMerge w:val="continue"/>
          </w:tcPr>
          <w:p>
            <w:pPr>
              <w:spacing w:after="0"/>
              <w:rPr>
                <w:sz w:val="16"/>
                <w:szCs w:val="16"/>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4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Product sales price and volume percentage change</w:t>
            </w:r>
          </w:p>
        </w:tc>
        <w:tc>
          <w:tcPr>
            <w:tcW w:w="13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-15.4 %</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from prior year</w:t>
            </w:r>
          </w:p>
        </w:tc>
        <w:tc>
          <w:tcPr>
            <w:tcW w:w="13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5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w w:val="95"/>
              </w:rPr>
              <w:t>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line="212"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3"/>
                <w:szCs w:val="23"/>
                <w:b w:val="1"/>
                <w:bCs w:val="1"/>
                <w:color w:val="auto"/>
                <w:vertAlign w:val="superscript"/>
              </w:rPr>
              <w:t>(2)</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Ethane (cents/lb)</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Propane (cents/lb)</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3"/>
                <w:szCs w:val="23"/>
                <w:color w:val="auto"/>
                <w:vertAlign w:val="superscript"/>
              </w:rPr>
              <w:t>(3)</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"Item 6. Selected Financial Data", for discussions on non-GAAP financial measures.</w:t>
      </w:r>
    </w:p>
    <w:p>
      <w:pPr>
        <w:spacing w:after="0" w:line="63" w:lineRule="exact"/>
        <w:rPr>
          <w:rFonts w:ascii="Arial" w:cs="Arial" w:eastAsia="Arial" w:hAnsi="Arial"/>
          <w:sz w:val="18"/>
          <w:szCs w:val="18"/>
          <w:color w:val="auto"/>
        </w:rPr>
      </w:pP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Industry pricing data was obtained through IHS. We have not independently verified the data.</w:t>
      </w:r>
    </w:p>
    <w:p>
      <w:pPr>
        <w:spacing w:after="0" w:line="63" w:lineRule="exact"/>
        <w:rPr>
          <w:rFonts w:ascii="Arial" w:cs="Arial" w:eastAsia="Arial" w:hAnsi="Arial"/>
          <w:sz w:val="18"/>
          <w:szCs w:val="18"/>
          <w:color w:val="auto"/>
        </w:rPr>
      </w:pP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For the year ended December 31, 2020, net income was $341.1 million on net sales of $966.7 million. This represents an increase in net income of $8.2 million as compared to net income of $332.9 million on net sales of $1,091.9 million for the year ended December 31, 2019. Net income attributable to the Partnership in 2020 was $66.2 million as compared to $61.0 million in 2019, an increase of $5.2 million, which was primarily due to the higher sales price for ethylene sold to Westlake per the terms of the Ethylene Sales Agreement, the buyer deficiency fee of $69.6 million recognized in 2020 as a result of the force majeure events at the Petro 1 and Petro 2 units and lower interest expense, partially offset by lower sales to third parties, lower sales volumes to Westlake due to the force majeure events and increased maintenance expense. Net sales for 2020 decreased by $125.2 million as compared to 2019 mainly due to lower sales to third parties and lower sales volumes to Westlake due to the force majeure events, partially offset by higher sales prices to Westlake per the terms of the Ethylene Sales Agreement and the buyer deficiency fee recognized during the year ended December 31, 2020. Income from operations was $353.0 million for 2020, as compared to $350.2 million for 2019. Income from operations for the year ended December 31, 2020 increased mainly as a result of the higher sales price for ethylene sold to Westlake, and the buyer deficiency fee recognized during the year, partially offset by increased maintenance expense and lower sales volumes to third parties and to Westlake, as compared to the year ended December 31,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104"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decreased by $125.2 million, or 11.5%, to $966.7 million in 2020 from $1,091.9 million in 2019. The decrease in net sales in</w:t>
      </w:r>
      <w:r>
        <w:rPr>
          <w:rFonts w:ascii="Arial" w:cs="Arial" w:eastAsia="Arial" w:hAnsi="Arial"/>
          <w:sz w:val="17"/>
          <w:szCs w:val="17"/>
          <w:i w:val="1"/>
          <w:iCs w:val="1"/>
          <w:color w:val="auto"/>
        </w:rPr>
        <w:t xml:space="preserve"> </w:t>
      </w:r>
      <w:r>
        <w:rPr>
          <w:rFonts w:ascii="Arial" w:cs="Arial" w:eastAsia="Arial" w:hAnsi="Arial"/>
          <w:sz w:val="17"/>
          <w:szCs w:val="17"/>
          <w:color w:val="auto"/>
        </w:rPr>
        <w:t>2020 was primarily due to lower production during the year, mainly due to the force majeure events and lower sales prices to third parties, partially offset by the buyer deficiency fee of $69.6 million recognized in 2020 and higher sales price to Westlake per the terms of the Ethylene Sales Agreement in 2020. The lower sales volume during 2020 contributed to a decrease in net sales of 18.6% for the year ended December 31, 2020 compared to the year ended December 31, 2019. The decrease in sales volume during 2020 was primarily due to the force majeure events at our Lake Charles Petro 1 and Petro 2 units. The average sales price in 2020 contributed to a 0.8% increase in net sales, compared to 2019, which was mainly due to higher sales prices to Westlake per the terms of the Ethylene Sales Agreement, partially offset by lower third party sales prices.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was $378.9 million in 2020, as compared to gross profit of $379.4 million in 2019. The gross profit margin was 39.2% in</w:t>
      </w:r>
    </w:p>
    <w:p>
      <w:pPr>
        <w:spacing w:after="0" w:line="46"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2020 as compared to 34.7% in 2019. The increased 2020 gross profit margin was due to higher earnings on ethylene sold to Westlake and the buyer deficiency fee of $69.6 million recognized during the year, partially offset by lower sales volumes resulting from lower production at the Lake Charles Petro I and Petro 2 units compared to 2019.</w:t>
      </w:r>
    </w:p>
    <w:p>
      <w:pPr>
        <w:spacing w:after="0" w:line="136"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by $3.4 million, or 11.6%, to $25.9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from $29.3 million in 2019. The decrease in 2020, as compared to 2019, was mainly attributable to lower service cost.</w:t>
      </w:r>
    </w:p>
    <w:p>
      <w:pPr>
        <w:spacing w:after="0" w:line="116"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$7.6 million to $12.0 million in 2020 from $19.6 million in 2019, largely due to a lower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on debt as a result of a decrease in the London Interbank Offered Rate ("LIBOR").</w:t>
      </w:r>
    </w:p>
    <w:p>
      <w:pPr>
        <w:spacing w:after="0" w:line="116"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decreased by $2.4 million to $0.7 million in 2020 from $3.1 million in 2019, primarily due to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earned under the Investment Management Agreement as a result of lower average interest rates.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was $0.6 million in 2020 as compared to $0.7 million in 2019.</w:t>
      </w:r>
    </w:p>
    <w:p>
      <w:pPr>
        <w:spacing w:after="0" w:line="158" w:lineRule="exact"/>
        <w:rPr>
          <w:sz w:val="20"/>
          <w:szCs w:val="20"/>
          <w:color w:val="auto"/>
        </w:rPr>
      </w:pPr>
    </w:p>
    <w:p>
      <w:pPr>
        <w:ind w:right="400" w:firstLine="445"/>
        <w:spacing w:after="0" w:line="286" w:lineRule="auto"/>
        <w:rPr>
          <w:sz w:val="20"/>
          <w:szCs w:val="20"/>
          <w:color w:val="auto"/>
        </w:rPr>
      </w:pPr>
      <w:r>
        <w:rPr>
          <w:rFonts w:ascii="Arial" w:cs="Arial" w:eastAsia="Arial" w:hAnsi="Arial"/>
          <w:sz w:val="17"/>
          <w:szCs w:val="17"/>
          <w:i w:val="1"/>
          <w:iCs w:val="1"/>
          <w:color w:val="auto"/>
        </w:rPr>
        <w:t xml:space="preserve">MLP Distributable Cash Flow. </w:t>
      </w:r>
      <w:r>
        <w:rPr>
          <w:rFonts w:ascii="Arial" w:cs="Arial" w:eastAsia="Arial" w:hAnsi="Arial"/>
          <w:sz w:val="17"/>
          <w:szCs w:val="17"/>
          <w:color w:val="auto"/>
        </w:rPr>
        <w:t>MLP distributable cash flow decreased by $1.2 million to $72.0 million in 2020 from $73.2 million in 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MLP distributable cash flow was primarily a result of lower production, increased turnaround reserves and higher maintenance expense, partially offset by the buyer deficiency of $69.6 million recognized in 2020 and lower interest expense during the year.</w:t>
      </w:r>
    </w:p>
    <w:p>
      <w:pPr>
        <w:spacing w:after="0" w:line="11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$3.7 million to $456.9 million in 2020 from 2019 EBITDA of $460.6 million. The decreased EBITDA,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prior year, was primarily due to lower sales volumes as a result of lower production and higher maintenance expense, partially offset by the buyer deficiency fee of $69.6 million recognized during 2020 and lower selling, general and administrative expenses.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90"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$193.7 million, or 15.1%, to $1,091.9 million in 2019 from $1,285.6 million in 2018,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ethylene sales prices to Westlake per the terms of the Ethylene Sales Agreement. The overall decreased sales price in 2019 contributed to a 15.4% decrease in net sales, compared to 2018, which was mainly due to lower sales prices to Westlake per the terms of the Ethylene Sales Agreement and lower third party ethylene sales prices. Sales volumes in 2019 were comparable to 2018.</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was $379.4 million in 2019 as compared to gross profit of $377.2 million in 2018. The gross profit margin was 34.7% in</w:t>
      </w:r>
    </w:p>
    <w:p>
      <w:pPr>
        <w:spacing w:after="0" w:line="46"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2019 as compared to 29.3% in 2018. The higher 2019 gross profit margin was due to improved margins on third party sales, primarily due to lower feedstock costs, as compared to 2018.</w:t>
      </w:r>
    </w:p>
    <w:p>
      <w:pPr>
        <w:spacing w:after="0" w:line="131" w:lineRule="exact"/>
        <w:rPr>
          <w:sz w:val="20"/>
          <w:szCs w:val="20"/>
          <w:color w:val="auto"/>
        </w:rPr>
      </w:pPr>
    </w:p>
    <w:p>
      <w:pPr>
        <w:jc w:val="both"/>
        <w:ind w:right="160" w:firstLine="445"/>
        <w:spacing w:after="0" w:line="286"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increased by $1.7 million, or 6.2%, to $29.3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2019 from $27.6 million in 2018. The increase in 2019, as compared to 2018, was associated with the acquisition of the incremental interest in OpCo and increased general and administrative expense allocations, partially offset by a decrease in provision for doubtful accounts.</w:t>
      </w:r>
    </w:p>
    <w:p>
      <w:pPr>
        <w:spacing w:after="0" w:line="111"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decreased by $1.8 million to $19.6 million in 2019 from $21.4 million in 2018, largely due to a lower average debt</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resulting from the partial repayment of borrowings under the OpCo Revolver in April 2019 and a decrease in the applicable margin on the OpCo Revolver from 3% to 2% effective September 25, 2018, partially offset by a higher interest rate on debt due to an increase in LIBOR in 2019.</w:t>
      </w:r>
    </w:p>
    <w:p>
      <w:pPr>
        <w:spacing w:after="0" w:line="95"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increased by $0.6 million in 2019 to $2.5 million, as compared to 2018, primarily due to an increase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earned under the Investment Management Agreement.</w:t>
      </w:r>
    </w:p>
    <w:p>
      <w:pPr>
        <w:spacing w:after="0" w:line="116" w:lineRule="exact"/>
        <w:rPr>
          <w:sz w:val="20"/>
          <w:szCs w:val="20"/>
          <w:color w:val="auto"/>
        </w:rPr>
      </w:pPr>
    </w:p>
    <w:p>
      <w:pPr>
        <w:ind w:right="40" w:firstLine="445"/>
        <w:spacing w:after="0" w:line="34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increased to $0.73 million in 2019 as compared to $0.02 million in 2018.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mainly attributable to a tax benefit in 2018 due to a revaluation of the state deferred income tax liability as a result of a decrease in state tax apportionment.</w:t>
      </w:r>
    </w:p>
    <w:p>
      <w:pPr>
        <w:spacing w:after="0" w:line="70"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i w:val="1"/>
          <w:iCs w:val="1"/>
          <w:color w:val="auto"/>
        </w:rPr>
        <w:t xml:space="preserve">MLP Distributable Cash Flow. </w:t>
      </w:r>
      <w:r>
        <w:rPr>
          <w:rFonts w:ascii="Arial" w:cs="Arial" w:eastAsia="Arial" w:hAnsi="Arial"/>
          <w:sz w:val="17"/>
          <w:szCs w:val="17"/>
          <w:color w:val="auto"/>
        </w:rPr>
        <w:t>MLP distributable cash flow increased by $13.2 million to $73.2 million in 2019 from $60.0 million in 2018.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MLP distributable cash flow as compared to 2018 was primarily a result of the 4.5% increase in the Partnership's interest in OpCo, effective as of January 1, 2019, as well as higher third party sales margins, partially offset by higher maintenance capital expenditures.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for 2019 was $460.6 million, which was comparable to 2018 EBITDA of $460.9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Operating activities provided cash of $373.4 million in 2020 as compared to cash provided by operating activities of $450.8 million in 2019. The $77.4 million decrease in cash flows from operating activities was mainly due to an increase in use of cash in working capital during 2020 as compared to 2019. Changes in components of working capital, which we define for the purposes of this cash flow discussion as accounts receivable—Westlake, accounts receivable, net—third parties, inventories, prepaid expenses and other current assets less accounts payable and accrued liabilities and other liabilities, used cash of $67.9 million in 2020 as compared to $11.7 million of cash provided in 2019, resulting in an overall unfavorable change of $79.6 million. This change was due to an unfavorable change in Westlake accounts receivable in 2020 as compared to 2019, primarily due to the buyer deficiency fee recognized in 2020.</w:t>
      </w:r>
    </w:p>
    <w:p>
      <w:pPr>
        <w:spacing w:after="0" w:line="73"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Operating activities provided cash of $450.8 million in 2019 as compared to cash provided of $436.2 million in 2018. The $14.6 million increase in cash flows from operating activities was mainly due to a decrease in use of cash in working capital during 2019 as compared to 2018. Changes in components of working capital provided cash of $11.7 million in 2019 as compared to $4.3 million of cash used in 2018, resulting in an overall favorable change of $16.0 million. This change was due to a favorable change in third party and Westlake accounts receivable, accounts payable and accrued liabilities in 2019 as compared to 2018, primarily resulting from lower ethylene sales prices and feedstock costs.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Net cash provided by investing activities during 2020 was $2.0 million as compared to net cash used for investing activities of $57.7 million in 2019, mainly due to maturities of investments under the Investment Management Agreement and a decrease in additions to property, plant and equipment in 2020, as compared to 2019. During 2020, we invested $349.0 million with Westlake, and $388.0 million of such investments matured. Capital expenditures were $37.0 million in 2020 as compared to $43.7 million in 2019. Capital expenditures during 2020 and 2019 were primarily related to projects to improve production capacity or reduce costs, maintenance and safety and environmental projects at our facilities.</w:t>
      </w:r>
    </w:p>
    <w:p>
      <w:pPr>
        <w:spacing w:after="0" w:line="5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cash used for investing activities during 2019 was $57.7 million as compared to net cash used for investing activities of $51.8 million in 2018, mainly due to increased net cash used under the Investment Management Agreement in 2019, as compared to 2018. During 2019, we invested $529.4 million with Westlake, and $515.4 million of such investments matured. Capital expenditures were $43.7 million in 2019 as compared to $39.9 million in 2018. Capital expenditures during 2019 and 2018 were primarily related to projects to improve production capacity or reduce costs, maintenance and safety and environmental projects at OpCo's facilities.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cash used for financing activities during 2020 was $378.2 million as compared to net cash used for financing activities of $392.9 million in 2019.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cash outflows during 2020 were related to distributions of $311.8 million to Westlake and of $66.4 million to other unitholders by the Partnership.</w:t>
      </w:r>
    </w:p>
    <w:p>
      <w:pPr>
        <w:spacing w:after="0" w:line="10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Net cash used for financing activities during 2019 was $392.9 million as compared to net cash used for financing activities of $391.6 million in 2018. The cash inflows during 2019 were a result of borrowings under the MLP Revolver of $123.5 million and net proceeds from the private placement of common units of approximately $62.7 million. The cash outflows during 2019 were related to partial repayments of borrowings under the OpCo Revolver of $201.4 million and the distribution of $315.6 million to Westlake and of $62.1 million to other unitholders by the Partnership.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On March 29, 2019, we completed the private placement of 2,940,818 common units at a price of $21.40 per unit. Net proceeds from the issuance of these common units were approximately $62.7 million.</w:t>
      </w:r>
    </w:p>
    <w:p>
      <w:pPr>
        <w:spacing w:after="0" w:line="116"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Pursuant to the terms of the ATM Agreement, the Partnership may offer and sell the Partnership's common units from time to time to or through the Managers, as the Partnership's sales agents or as principals, having an aggregate offering amount of up to $50.0 million. The Partnership intends to use the net proceeds of sales of the common units, if any, for general partnership purposes, including the funding of potential drop-downs and other acquisitions.</w:t>
      </w:r>
    </w:p>
    <w:p>
      <w:pPr>
        <w:spacing w:after="0" w:line="95"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30"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2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order to fund non-annual turnaround expenditures, we cause OpCo to reserve an amount for turnaround costs during each twelve-month period designed to cover for turnaround activities in future years.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cash is generated from cash distributions from OpCo. OpCo is a restricted subsidiary under certain indentures governing Westlake's senior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restrictions limit OpCo's ability to incur additional debt, among other things.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OpCo and Westlake are parties to an Investment Management Agreement that authorizes Westlake to invest the Partnership's and OpCo's excess cash with Westlake for a term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33"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On January 25, 2021, the board of directors of Westlake Chemical Partners GP LLC, our general partner, approved a quarterly distribution of $0.4714 per unit payable on February 19, 2021 to unitholders of record on February 4, 2021, which equates to approximately $16.6 million per quarter, or approximately $66.4 million per year in aggregate, based on the number of common units outstanding on December 31, 2020. We do not have a legal or contractual obligation to pay distributions on a quarterly basis or any other basis at our minimum quarterly distribution rate or any other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No funding was required by OpCo to fund its capital expenditures during 2020 or 2019. We expect that Westlake will loan additional cash to OpCo to fund its expansion capital expenditures in the future, but Westlake is under no obligation to do so.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60" w:firstLine="405"/>
        <w:spacing w:after="0" w:line="334" w:lineRule="auto"/>
        <w:rPr>
          <w:sz w:val="20"/>
          <w:szCs w:val="20"/>
          <w:color w:val="auto"/>
        </w:rPr>
      </w:pPr>
      <w:r>
        <w:rPr>
          <w:rFonts w:ascii="Arial" w:cs="Arial" w:eastAsia="Arial" w:hAnsi="Arial"/>
          <w:sz w:val="16"/>
          <w:szCs w:val="16"/>
          <w:color w:val="auto"/>
        </w:rPr>
        <w:t>As of December 31, 2020, our cash and cash equivalents totaled $17.2 million. In addition, we have cash invested under the Investment Management Agreement and a revolving credit facility with Westlake available to supplement cash if needed, as described under "Indebtedness" below.</w:t>
      </w:r>
    </w:p>
    <w:p>
      <w:pPr>
        <w:spacing w:after="0" w:line="1"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As described above, we, OpCo and Westlake are parties to an Investment Management Agreement that authorizes Westlake to invest the Partnership's and OpCo's excess cash with Westlake for a term of up to a maximum of nine months. The Partnership had $123.2 million of cash invested under the Investment Management Agreement at December 31,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In connection with the IPO, OpCo entered into a $600.0 million revolving credit facility with Westlake, as amended in August and December 2017 and March 2020 ("OpCo Revolver") that may be used to fund growth projects and working capital needs. On April 30, 2019, OpCo repaid $201.4 million of borrowings under the OpCo Revolver. As of December 31, 2020, outstanding borrowings under the OpCo Revolver totaled $22.6 million and bore interest at the LIBOR rate plus 2.0%, which is accrued in arrears quarterly. On September 25, 2018, the OpCo Revolver was amended to extend the scheduled maturity date from August 4, 2019 to September 25, 2023 and to revise the applicable margin from 3% to 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10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2015, we entered into a senior, unsecured revolving credit agreement with an affiliate of Westlake (the "MLP Revolver"). The MLP Revolver has a borrowing capacity of $600.0 million. On March 29, 2019, the Partnership borrowed $123.5 million under the MLP Revolver to partially fund the purchase of an additional 4.5% interest in OpCo. On March 19, 2020, the Partnership entered into an amendment to the MLP Revolver, to extend the maturity date to March 19, 2023 and add a phase-out provision for LIBOR, which is to be replaced by an alternate benchmark rate. Borrowings under the MLP Revolver bear interest at a variable rate of either (a) LIBOR plus 2.0% or, if LIBOR is no longer available, (b) Alternate Base Rate plus 1.0%.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December 31, 2020, the outstanding borrowings under the MLP Revolver totaled $377.1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addition to long-term debt, we are required to make payments relating to various types of obligations. The following table summarizes our contractual obligations as of December 31, 2020 relating to long-term debt, interest payments, operating leases and purchase obligations for the next five years and thereafter. The amounts do not include deferred charges and other items classified in other liabilities in the consolidated balance sheet due to the uncertainty of the future payment schedule.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 Due by Period</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3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5"/>
              </w:rPr>
              <w:t>2022-2023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2024-2025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Thereafter</w:t>
            </w:r>
          </w:p>
        </w:tc>
      </w:tr>
      <w:tr>
        <w:trPr>
          <w:trHeight w:val="212"/>
        </w:trPr>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2"/>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0"/>
        </w:trPr>
        <w:tc>
          <w:tcPr>
            <w:tcW w:w="372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Debt:</w:t>
            </w:r>
          </w:p>
        </w:tc>
        <w:tc>
          <w:tcPr>
            <w:tcW w:w="90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3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r>
      <w:tr>
        <w:trPr>
          <w:trHeight w:val="229"/>
        </w:trPr>
        <w:tc>
          <w:tcPr>
            <w:tcW w:w="37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Principal </w:t>
            </w:r>
            <w:r>
              <w:rPr>
                <w:rFonts w:ascii="Arial" w:cs="Arial" w:eastAsia="Arial" w:hAnsi="Arial"/>
                <w:sz w:val="23"/>
                <w:szCs w:val="23"/>
                <w:color w:val="auto"/>
                <w:vertAlign w:val="superscript"/>
              </w:rPr>
              <w:t>(1)</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399.7</w:t>
            </w:r>
          </w:p>
        </w:tc>
        <w:tc>
          <w:tcPr>
            <w:tcW w:w="100" w:type="dxa"/>
            <w:vAlign w:val="bottom"/>
          </w:tcPr>
          <w:p>
            <w:pPr>
              <w:spacing w:after="0"/>
              <w:rPr>
                <w:sz w:val="19"/>
                <w:szCs w:val="19"/>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29"/>
        </w:trPr>
        <w:tc>
          <w:tcPr>
            <w:tcW w:w="3720" w:type="dxa"/>
            <w:vAlign w:val="bottom"/>
            <w:shd w:val="clear" w:color="auto" w:fill="BFE4FF"/>
          </w:tcPr>
          <w:p>
            <w:pPr>
              <w:ind w:left="180"/>
              <w:spacing w:after="0" w:line="23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3"/>
                <w:szCs w:val="23"/>
                <w:color w:val="auto"/>
                <w:vertAlign w:val="superscript"/>
              </w:rPr>
              <w:t>(2)</w:t>
            </w:r>
          </w:p>
        </w:tc>
        <w:tc>
          <w:tcPr>
            <w:tcW w:w="900" w:type="dxa"/>
            <w:vAlign w:val="bottom"/>
            <w:shd w:val="clear" w:color="auto" w:fill="BFE4FF"/>
          </w:tcPr>
          <w:p>
            <w:pPr>
              <w:spacing w:after="0"/>
              <w:rPr>
                <w:sz w:val="19"/>
                <w:szCs w:val="19"/>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4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ind w:left="920"/>
              <w:spacing w:after="0"/>
              <w:rPr>
                <w:sz w:val="20"/>
                <w:szCs w:val="20"/>
                <w:color w:val="auto"/>
              </w:rPr>
            </w:pPr>
            <w:r>
              <w:rPr>
                <w:rFonts w:ascii="Arial" w:cs="Arial" w:eastAsia="Arial" w:hAnsi="Arial"/>
                <w:sz w:val="18"/>
                <w:szCs w:val="18"/>
                <w:color w:val="auto"/>
              </w:rPr>
              <w:t>—</w:t>
            </w:r>
          </w:p>
        </w:tc>
        <w:tc>
          <w:tcPr>
            <w:tcW w:w="240" w:type="dxa"/>
            <w:vAlign w:val="bottom"/>
            <w:shd w:val="clear" w:color="auto" w:fill="BFE4FF"/>
          </w:tcPr>
          <w:p>
            <w:pPr>
              <w:spacing w:after="0"/>
              <w:rPr>
                <w:sz w:val="19"/>
                <w:szCs w:val="19"/>
                <w:color w:val="auto"/>
              </w:rPr>
            </w:pPr>
          </w:p>
        </w:tc>
        <w:tc>
          <w:tcPr>
            <w:tcW w:w="1180" w:type="dxa"/>
            <w:vAlign w:val="bottom"/>
            <w:shd w:val="clear" w:color="auto" w:fill="BFE4FF"/>
          </w:tcPr>
          <w:p>
            <w:pPr>
              <w:ind w:left="920"/>
              <w:spacing w:after="0"/>
              <w:rPr>
                <w:sz w:val="20"/>
                <w:szCs w:val="20"/>
                <w:color w:val="auto"/>
              </w:rPr>
            </w:pPr>
            <w:r>
              <w:rPr>
                <w:rFonts w:ascii="Arial" w:cs="Arial" w:eastAsia="Arial" w:hAnsi="Arial"/>
                <w:sz w:val="18"/>
                <w:szCs w:val="18"/>
                <w:color w:val="auto"/>
              </w:rPr>
              <w:t>—</w:t>
            </w:r>
          </w:p>
        </w:tc>
      </w:tr>
      <w:tr>
        <w:trPr>
          <w:trHeight w:val="230"/>
        </w:trPr>
        <w:tc>
          <w:tcPr>
            <w:tcW w:w="37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(3)</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29"/>
        </w:trPr>
        <w:tc>
          <w:tcPr>
            <w:tcW w:w="3720" w:type="dxa"/>
            <w:vAlign w:val="bottom"/>
            <w:shd w:val="clear" w:color="auto" w:fill="BFE4FF"/>
          </w:tcPr>
          <w:p>
            <w:pPr>
              <w:ind w:left="20"/>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(4)</w:t>
            </w:r>
          </w:p>
        </w:tc>
        <w:tc>
          <w:tcPr>
            <w:tcW w:w="900" w:type="dxa"/>
            <w:vAlign w:val="bottom"/>
            <w:shd w:val="clear" w:color="auto" w:fill="BFE4FF"/>
          </w:tcPr>
          <w:p>
            <w:pPr>
              <w:spacing w:after="0"/>
              <w:rPr>
                <w:sz w:val="19"/>
                <w:szCs w:val="19"/>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4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2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ind w:left="920"/>
              <w:spacing w:after="0"/>
              <w:rPr>
                <w:sz w:val="20"/>
                <w:szCs w:val="20"/>
                <w:color w:val="auto"/>
              </w:rPr>
            </w:pPr>
            <w:r>
              <w:rPr>
                <w:rFonts w:ascii="Arial" w:cs="Arial" w:eastAsia="Arial" w:hAnsi="Arial"/>
                <w:sz w:val="18"/>
                <w:szCs w:val="18"/>
                <w:color w:val="auto"/>
              </w:rPr>
              <w:t>—</w:t>
            </w:r>
          </w:p>
        </w:tc>
        <w:tc>
          <w:tcPr>
            <w:tcW w:w="240" w:type="dxa"/>
            <w:vAlign w:val="bottom"/>
            <w:shd w:val="clear" w:color="auto" w:fill="BFE4FF"/>
          </w:tcPr>
          <w:p>
            <w:pPr>
              <w:spacing w:after="0"/>
              <w:rPr>
                <w:sz w:val="19"/>
                <w:szCs w:val="19"/>
                <w:color w:val="auto"/>
              </w:rPr>
            </w:pPr>
          </w:p>
        </w:tc>
        <w:tc>
          <w:tcPr>
            <w:tcW w:w="1180" w:type="dxa"/>
            <w:vAlign w:val="bottom"/>
            <w:shd w:val="clear" w:color="auto" w:fill="BFE4FF"/>
          </w:tcPr>
          <w:p>
            <w:pPr>
              <w:ind w:left="920"/>
              <w:spacing w:after="0"/>
              <w:rPr>
                <w:sz w:val="20"/>
                <w:szCs w:val="20"/>
                <w:color w:val="auto"/>
              </w:rPr>
            </w:pPr>
            <w:r>
              <w:rPr>
                <w:rFonts w:ascii="Arial" w:cs="Arial" w:eastAsia="Arial" w:hAnsi="Arial"/>
                <w:sz w:val="18"/>
                <w:szCs w:val="18"/>
                <w:color w:val="auto"/>
              </w:rPr>
              <w:t>—</w:t>
            </w: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458.8</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0"/>
        </w:trPr>
        <w:tc>
          <w:tcPr>
            <w:tcW w:w="3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71"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 Long-term debt consists of the OpCo Revolver and MLP Revolver.</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Interest Payments. </w:t>
      </w:r>
      <w:r>
        <w:rPr>
          <w:rFonts w:ascii="Arial" w:cs="Arial" w:eastAsia="Arial" w:hAnsi="Arial"/>
          <w:sz w:val="18"/>
          <w:szCs w:val="18"/>
          <w:color w:val="auto"/>
        </w:rPr>
        <w:t>Interest payments are based on interest rates in effect at December 31, 2020.</w:t>
      </w:r>
    </w:p>
    <w:p>
      <w:pPr>
        <w:spacing w:after="0" w:line="103" w:lineRule="exact"/>
        <w:rPr>
          <w:rFonts w:ascii="Arial" w:cs="Arial" w:eastAsia="Arial" w:hAnsi="Arial"/>
          <w:sz w:val="18"/>
          <w:szCs w:val="18"/>
          <w:color w:val="auto"/>
        </w:rPr>
      </w:pPr>
    </w:p>
    <w:p>
      <w:pPr>
        <w:ind w:left="420" w:right="40" w:hanging="412"/>
        <w:spacing w:after="0" w:line="301" w:lineRule="auto"/>
        <w:tabs>
          <w:tab w:leader="none" w:pos="40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Represent noncancelable operating leases with respect to rail cars that are subleased to OpCo and two site lease agreements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periods. Pursuant to the site lease agreements, OpCo leases the real property underlying Lake Charles Olefins and Calvert City Olefins. OpCo is also granted rights to access and use certain other portions of Westlake's production facilities that are necessary to operate OpCo's ethylene production facilities. OpCo owes Westlake one dollar per site per year. Each of the site lease agreements has a term of 50 years.</w:t>
      </w:r>
    </w:p>
    <w:p>
      <w:pPr>
        <w:spacing w:after="0" w:line="22" w:lineRule="exact"/>
        <w:rPr>
          <w:rFonts w:ascii="Arial" w:cs="Arial" w:eastAsia="Arial" w:hAnsi="Arial"/>
          <w:sz w:val="16"/>
          <w:szCs w:val="16"/>
          <w:color w:val="auto"/>
        </w:rPr>
      </w:pPr>
    </w:p>
    <w:p>
      <w:pPr>
        <w:ind w:left="420" w:right="200" w:hanging="412"/>
        <w:spacing w:after="0" w:line="311" w:lineRule="auto"/>
        <w:tabs>
          <w:tab w:leader="none" w:pos="40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Purchase Obligations. </w:t>
      </w:r>
      <w:r>
        <w:rPr>
          <w:rFonts w:ascii="Arial" w:cs="Arial" w:eastAsia="Arial" w:hAnsi="Arial"/>
          <w:sz w:val="16"/>
          <w:szCs w:val="16"/>
          <w:color w:val="auto"/>
        </w:rPr>
        <w:t>Purchase obligations include agreements to purchase goods and services that are enforceable and legally binding and that</w:t>
      </w:r>
      <w:r>
        <w:rPr>
          <w:rFonts w:ascii="Arial" w:cs="Arial" w:eastAsia="Arial" w:hAnsi="Arial"/>
          <w:sz w:val="16"/>
          <w:szCs w:val="16"/>
          <w:i w:val="1"/>
          <w:iCs w:val="1"/>
          <w:color w:val="auto"/>
        </w:rPr>
        <w:t xml:space="preserve"> </w:t>
      </w:r>
      <w:r>
        <w:rPr>
          <w:rFonts w:ascii="Arial" w:cs="Arial" w:eastAsia="Arial" w:hAnsi="Arial"/>
          <w:sz w:val="16"/>
          <w:szCs w:val="16"/>
          <w:color w:val="auto"/>
        </w:rPr>
        <w:t>specify all significant terms, including a minimum quantity and price. We are party to various obligations to purchase goods and services, including the Services and Secondment Agreement, in the ordinary course of our business, as well as various purchase commitments for our capital projects.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w:t>
      </w:r>
    </w:p>
    <w:p>
      <w:pPr>
        <w:spacing w:after="0" w:line="13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apply those accounting policies that we believe best reflect the underlying business and economic events, consistent with GAAP. Our more critical accounting policies include those related to long-lived assets, fair value estimates, goodwill impairment and environmental and legal obligations. Inherent in such policies are certain key assumptions and estimates. We periodically update the estimates used in the preparation of the financial statements based on our latest assessment of the current and projected business and general economic environment. Our significant accounting policies are summarized in Note 1 to the consolidated financial statements. We believe the following to be our most critical accounting policies applied in the preparation of our financial statements.</w:t>
      </w:r>
    </w:p>
    <w:p>
      <w:pPr>
        <w:spacing w:after="0" w:line="138"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Key estimates related to long-lived assets include useful lives, recoverability of carrying values and existence of any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2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estimated useful lives of long-lived assets range from three to 40 years. Depreciation and amortization of these assets, including amortization of deferred turnaround costs, under the straight-line method over their estimated useful lives totaled $103.2 million, $107.3 million and $108.8 million in 2020, 2019 and 2018, respectively. If the useful lives of the assets were found to be shorter than originally estimated, depreciation or amortization charges would be accelerated.</w:t>
      </w:r>
    </w:p>
    <w:p>
      <w:pPr>
        <w:spacing w:after="0" w:line="133"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defer the costs of planned major maintenance activities, or turnarounds, and amortize the costs over the period until the next planned turnaround of the affected unit. Total costs deferred on turnarounds were $3.7 million, $1.2 million and $0.1 million in 2020, 2019 and 2018, respectively. Amortization in 2020, 2019 and 2018 of previously deferred turnaround costs was $11.8 million, $17.3 million and $20.1 million, respectively. As of December 31, 2020, deferred turnaround costs, net of accumulated amortization, totaled $32.3 million. Expensing turnaround costs as incurred would likely result in greater variability of our quarterly operating results and would adversely affect our financial position and results of operations.</w:t>
      </w:r>
    </w:p>
    <w:p>
      <w:pPr>
        <w:spacing w:after="0" w:line="10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5 and 7 to the audited consolidated financial statements included within this report.</w:t>
      </w:r>
    </w:p>
    <w:p>
      <w:pPr>
        <w:spacing w:after="0" w:line="116" w:lineRule="exact"/>
        <w:rPr>
          <w:sz w:val="20"/>
          <w:szCs w:val="20"/>
          <w:color w:val="auto"/>
        </w:rPr>
      </w:pPr>
    </w:p>
    <w:p>
      <w:pPr>
        <w:jc w:val="both"/>
        <w:ind w:right="100" w:firstLine="405"/>
        <w:spacing w:after="0" w:line="272" w:lineRule="auto"/>
        <w:rPr>
          <w:sz w:val="20"/>
          <w:szCs w:val="20"/>
          <w:color w:val="auto"/>
        </w:rPr>
      </w:pPr>
      <w:r>
        <w:rPr>
          <w:rFonts w:ascii="Arial" w:cs="Arial" w:eastAsia="Arial" w:hAnsi="Arial"/>
          <w:sz w:val="17"/>
          <w:szCs w:val="17"/>
          <w:i w:val="1"/>
          <w:iCs w:val="1"/>
          <w:color w:val="auto"/>
        </w:rPr>
        <w:t xml:space="preserve">Fair Value Estimates. </w:t>
      </w:r>
      <w:r>
        <w:rPr>
          <w:rFonts w:ascii="Arial" w:cs="Arial" w:eastAsia="Arial" w:hAnsi="Arial"/>
          <w:sz w:val="17"/>
          <w:szCs w:val="17"/>
          <w:color w:val="auto"/>
        </w:rPr>
        <w:t>We develop estimates of fair value to allocate the purchase price paid to acquire a business to the assets acquired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in an acquisition, to assess impairment of long-lived assets and goodwill and to record derivative instruments. We use all available information to make these fair value determinations, including the engagement of third-party consultants. At December 31, 2020, recorded goodwill was $5.8 million, all of which was associated with the acquisition of the Longview Pipeline as part of the acquisition of Westlake's Longview production facilities. In addition,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w:t>
      </w:r>
    </w:p>
    <w:p>
      <w:pPr>
        <w:spacing w:after="0" w:line="123"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Goodwill is evaluated for impairment at least annually, or when events or changes in circumstances indicate the fair value of a</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with goodwill has been reduced below its carrying value. We perform our annual impairment assessment in October. We may elect to perform an optional qualitative assessment to determine whether a quantitative impairment analysis is required. The qualitative assessment considers factors such as macroeconomic conditions, industry and market considerations, cost factors related to raw materials and labor, current and projected financial performance, changes in management or strategy, and market capitalization. Alternatively, we may unconditionally elect to bypass the qualitative assessment and perform a quantitative goodwill impairment assessment in any period. Significant assumptions used in the discounted cash flow projection impairment assessment for goodwill include sales volumes based on production capacities. The future cash flows are discounted to present value using a discount rate. The significant assumptions used in determining the fair value of the reporting unit using the market value methodology include the determination of appropriate market comparables and the estimated multiples of EBITDA a willing buyer is likely to pay. We elected to perform the quantitative assessment during 2020, and such assessment did not indicate impairment of the goodwill. Under the discounted cash flow methodology, even if the fair value of OpCo decreased by 10%, the carrying value of OpCo would not exceed its fair value.</w:t>
      </w:r>
    </w:p>
    <w:p>
      <w:pPr>
        <w:spacing w:after="0" w:line="118" w:lineRule="exact"/>
        <w:rPr>
          <w:sz w:val="20"/>
          <w:szCs w:val="20"/>
          <w:color w:val="auto"/>
        </w:rPr>
      </w:pPr>
    </w:p>
    <w:p>
      <w:pPr>
        <w:ind w:right="260" w:firstLine="405"/>
        <w:spacing w:after="0" w:line="296" w:lineRule="auto"/>
        <w:rPr>
          <w:sz w:val="20"/>
          <w:szCs w:val="20"/>
          <w:color w:val="auto"/>
        </w:rPr>
      </w:pPr>
      <w:r>
        <w:rPr>
          <w:rFonts w:ascii="Arial" w:cs="Arial" w:eastAsia="Arial" w:hAnsi="Arial"/>
          <w:sz w:val="16"/>
          <w:szCs w:val="16"/>
          <w:i w:val="1"/>
          <w:iCs w:val="1"/>
          <w:color w:val="auto"/>
        </w:rPr>
        <w:t xml:space="preserve">Environmental and Legal Obligations. </w:t>
      </w:r>
      <w:r>
        <w:rPr>
          <w:rFonts w:ascii="Arial" w:cs="Arial" w:eastAsia="Arial" w:hAnsi="Arial"/>
          <w:sz w:val="16"/>
          <w:szCs w:val="16"/>
          <w:color w:val="auto"/>
        </w:rPr>
        <w:t>We consult with various professionals to assist us in making estimates relating to environmental costs and</w:t>
      </w:r>
      <w:r>
        <w:rPr>
          <w:rFonts w:ascii="Arial" w:cs="Arial" w:eastAsia="Arial" w:hAnsi="Arial"/>
          <w:sz w:val="16"/>
          <w:szCs w:val="16"/>
          <w:i w:val="1"/>
          <w:iCs w:val="1"/>
          <w:color w:val="auto"/>
        </w:rPr>
        <w:t xml:space="preserve"> </w:t>
      </w:r>
      <w:r>
        <w:rPr>
          <w:rFonts w:ascii="Arial" w:cs="Arial" w:eastAsia="Arial" w:hAnsi="Arial"/>
          <w:sz w:val="16"/>
          <w:szCs w:val="16"/>
          <w:color w:val="auto"/>
        </w:rPr>
        <w:t>legal 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Item 1. Business</w:t>
      </w:r>
      <w:r>
        <w:rPr>
          <w:rFonts w:ascii="Arial" w:cs="Arial" w:eastAsia="Arial" w:hAnsi="Arial"/>
          <w:sz w:val="16"/>
          <w:szCs w:val="16"/>
          <w:i w:val="1"/>
          <w:iCs w:val="1"/>
          <w:color w:val="auto"/>
        </w:rPr>
        <w:t>—</w:t>
      </w:r>
      <w:r>
        <w:rPr>
          <w:rFonts w:ascii="Arial" w:cs="Arial" w:eastAsia="Arial" w:hAnsi="Arial"/>
          <w:sz w:val="16"/>
          <w:szCs w:val="16"/>
          <w:color w:val="auto"/>
        </w:rPr>
        <w:t>Environmental and in Note 17 to the consolidated financial statements included within this report.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Partnership has conditional asset retirement obligations for the removal and disposal of hazardous materials and the remediation of the cause of any such release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See Note 1 to the consolidated financial statements included within this report for a full description of recent accounting pronouncements, including expected dates of adoption and estimated effects on results of operations and financial condition, which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 during the term of the Ethylene Sales Agreement through the minimum commitment and the cost-plus based pricing. Additionally, we may use short-term derivative instruments to reduce price volatility risk on feedstocks and ethylene associated with the production and sales to third parties. We entered into some of these agreements in 2018 and 2019.All derivative positions were settled as of December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ind w:right="100" w:firstLine="405"/>
        <w:spacing w:after="0" w:line="270"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December 31, 2020, we had variable rate debt of $399.7 million outstanding, all of which was owed to wholly-owned subsidiaries of Westlake, and accrues interest at a variable rate of LIBOR plus 200 basis points.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 The weighted average variable interest rate of our debt as of December 31, 2020 was 2.2%.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December 31, 2020 debt balance.</w:t>
      </w:r>
    </w:p>
    <w:p>
      <w:pPr>
        <w:spacing w:after="0" w:line="112"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LIBOR is used as a reference rate for all of our outstanding variable rate debt as of December 31, 2020. The phase-out of LIBOR is set to commence at the end of 2021 and conclude by June 30, 2023. We are currently reviewing how the LIBOR phase-out will affect us, but we do not expect the impact to be material.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080" w:type="dxa"/>
            <w:vAlign w:val="bottom"/>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Page</w:t>
            </w:r>
          </w:p>
        </w:tc>
      </w:tr>
      <w:tr>
        <w:trPr>
          <w:trHeight w:val="309"/>
        </w:trPr>
        <w:tc>
          <w:tcPr>
            <w:tcW w:w="1008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2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44</w:t>
              </w:r>
            </w:hyperlink>
          </w:p>
        </w:tc>
      </w:tr>
      <w:tr>
        <w:trPr>
          <w:trHeight w:val="229"/>
        </w:trPr>
        <w:tc>
          <w:tcPr>
            <w:tcW w:w="10080" w:type="dxa"/>
            <w:vAlign w:val="bottom"/>
          </w:tcPr>
          <w:p>
            <w:pPr>
              <w:spacing w:after="0"/>
              <w:rPr>
                <w:rFonts w:ascii="Arial" w:cs="Arial" w:eastAsia="Arial" w:hAnsi="Arial"/>
                <w:sz w:val="18"/>
                <w:szCs w:val="18"/>
                <w:color w:val="auto"/>
              </w:rPr>
            </w:pPr>
            <w:hyperlink w:anchor="page49">
              <w:r>
                <w:rPr>
                  <w:rFonts w:ascii="Arial" w:cs="Arial" w:eastAsia="Arial" w:hAnsi="Arial"/>
                  <w:sz w:val="18"/>
                  <w:szCs w:val="18"/>
                  <w:color w:val="auto"/>
                </w:rPr>
                <w:t>Report of Independent Registered Public Accounting Firm</w:t>
              </w:r>
            </w:hyperlink>
          </w:p>
        </w:tc>
        <w:tc>
          <w:tcPr>
            <w:tcW w:w="112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45</w:t>
              </w:r>
            </w:hyperlink>
          </w:p>
        </w:tc>
      </w:tr>
      <w:tr>
        <w:trPr>
          <w:trHeight w:val="230"/>
        </w:trPr>
        <w:tc>
          <w:tcPr>
            <w:tcW w:w="10080" w:type="dxa"/>
            <w:vAlign w:val="bottom"/>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51">
              <w:r>
                <w:rPr>
                  <w:rFonts w:ascii="Arial" w:cs="Arial" w:eastAsia="Arial" w:hAnsi="Arial"/>
                  <w:sz w:val="18"/>
                  <w:szCs w:val="18"/>
                  <w:color w:val="auto"/>
                </w:rPr>
                <w:t>Financial Statements:</w:t>
              </w:r>
            </w:hyperlink>
          </w:p>
        </w:tc>
        <w:tc>
          <w:tcPr>
            <w:tcW w:w="1120" w:type="dxa"/>
            <w:vAlign w:val="bottom"/>
          </w:tcPr>
          <w:p>
            <w:pPr>
              <w:spacing w:after="0"/>
              <w:rPr>
                <w:sz w:val="19"/>
                <w:szCs w:val="19"/>
                <w:color w:val="auto"/>
              </w:rPr>
            </w:pPr>
          </w:p>
        </w:tc>
      </w:tr>
      <w:tr>
        <w:trPr>
          <w:trHeight w:val="229"/>
        </w:trPr>
        <w:tc>
          <w:tcPr>
            <w:tcW w:w="10080" w:type="dxa"/>
            <w:vAlign w:val="bottom"/>
          </w:tcPr>
          <w:p>
            <w:pPr>
              <w:ind w:left="340"/>
              <w:spacing w:after="0"/>
              <w:rPr>
                <w:sz w:val="20"/>
                <w:szCs w:val="20"/>
                <w:color w:val="auto"/>
              </w:rPr>
            </w:pPr>
            <w:r>
              <w:rPr>
                <w:rFonts w:ascii="Arial" w:cs="Arial" w:eastAsia="Arial" w:hAnsi="Arial"/>
                <w:sz w:val="18"/>
                <w:szCs w:val="18"/>
                <w:color w:val="auto"/>
              </w:rPr>
              <w:t>Consolidated Balance Sheets as of December 31, 2020 and 2019</w:t>
            </w:r>
          </w:p>
        </w:tc>
        <w:tc>
          <w:tcPr>
            <w:tcW w:w="112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47</w:t>
              </w:r>
            </w:hyperlink>
          </w:p>
        </w:tc>
      </w:tr>
      <w:tr>
        <w:trPr>
          <w:trHeight w:val="229"/>
        </w:trPr>
        <w:tc>
          <w:tcPr>
            <w:tcW w:w="10080" w:type="dxa"/>
            <w:vAlign w:val="bottom"/>
          </w:tcPr>
          <w:p>
            <w:pPr>
              <w:ind w:left="340"/>
              <w:spacing w:after="0"/>
              <w:rPr>
                <w:sz w:val="20"/>
                <w:szCs w:val="20"/>
                <w:color w:val="auto"/>
              </w:rPr>
            </w:pPr>
            <w:r>
              <w:rPr>
                <w:rFonts w:ascii="Arial" w:cs="Arial" w:eastAsia="Arial" w:hAnsi="Arial"/>
                <w:sz w:val="18"/>
                <w:szCs w:val="18"/>
                <w:color w:val="auto"/>
              </w:rPr>
              <w:t>Consolidated Statements of Operations for the Years Ended December 31, 2020, 2019 and 2018</w:t>
            </w:r>
          </w:p>
        </w:tc>
        <w:tc>
          <w:tcPr>
            <w:tcW w:w="112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48</w:t>
              </w:r>
            </w:hyperlink>
          </w:p>
        </w:tc>
      </w:tr>
      <w:tr>
        <w:trPr>
          <w:trHeight w:val="230"/>
        </w:trPr>
        <w:tc>
          <w:tcPr>
            <w:tcW w:w="10080" w:type="dxa"/>
            <w:vAlign w:val="bottom"/>
          </w:tcPr>
          <w:p>
            <w:pPr>
              <w:ind w:left="340"/>
              <w:spacing w:after="0"/>
              <w:rPr>
                <w:sz w:val="20"/>
                <w:szCs w:val="20"/>
                <w:color w:val="auto"/>
              </w:rPr>
            </w:pPr>
            <w:r>
              <w:rPr>
                <w:rFonts w:ascii="Arial" w:cs="Arial" w:eastAsia="Arial" w:hAnsi="Arial"/>
                <w:sz w:val="18"/>
                <w:szCs w:val="18"/>
                <w:color w:val="auto"/>
              </w:rPr>
              <w:t>Consolidated Statements of Changes in Equity for the Years Ended December 31, 2020, 2019 and 2018</w:t>
            </w:r>
          </w:p>
        </w:tc>
        <w:tc>
          <w:tcPr>
            <w:tcW w:w="112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49</w:t>
              </w:r>
            </w:hyperlink>
          </w:p>
        </w:tc>
      </w:tr>
      <w:tr>
        <w:trPr>
          <w:trHeight w:val="229"/>
        </w:trPr>
        <w:tc>
          <w:tcPr>
            <w:tcW w:w="10080" w:type="dxa"/>
            <w:vAlign w:val="bottom"/>
          </w:tcPr>
          <w:p>
            <w:pPr>
              <w:ind w:left="340"/>
              <w:spacing w:after="0"/>
              <w:rPr>
                <w:sz w:val="20"/>
                <w:szCs w:val="20"/>
                <w:color w:val="auto"/>
              </w:rPr>
            </w:pPr>
            <w:r>
              <w:rPr>
                <w:rFonts w:ascii="Arial" w:cs="Arial" w:eastAsia="Arial" w:hAnsi="Arial"/>
                <w:sz w:val="18"/>
                <w:szCs w:val="18"/>
                <w:color w:val="auto"/>
              </w:rPr>
              <w:t>Consolidated Statements of Cash Flows for the Years Ended December 31, 2020, 2019 and 2018</w:t>
            </w:r>
          </w:p>
        </w:tc>
        <w:tc>
          <w:tcPr>
            <w:tcW w:w="11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50</w:t>
              </w:r>
            </w:hyperlink>
          </w:p>
        </w:tc>
      </w:tr>
      <w:tr>
        <w:trPr>
          <w:trHeight w:val="230"/>
        </w:trPr>
        <w:tc>
          <w:tcPr>
            <w:tcW w:w="1008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11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51</w:t>
              </w:r>
            </w:hyperlink>
          </w:p>
        </w:tc>
      </w:tr>
    </w:tbl>
    <w:p>
      <w:pPr>
        <w:spacing w:after="0" w:line="175"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consolidated financial statements or notes thereto.</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 xml:space="preserve">The management of the Partnership assessed the effectiveness of the Partnership's internal control over financial reporting as of December 31, 2020.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Based on its assessment, Partnership's management has concluded that the Partnership's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December 31, 2020 based on those criteria.</w:t>
      </w:r>
    </w:p>
    <w:p>
      <w:pPr>
        <w:spacing w:after="0" w:line="133"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2020 as stated in their report that appears on the following page.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Westlake Chemical Partners LP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Westlake Chemical Partners GP LLC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04"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 have audited the accompanying consolidated balance sheets of Westlake Chemical Partners LP and its subsidiaries (the "Partnership") as of December 31, 2020 and 2019, and the related consolidated statements of operations, of changes in equity and of cash flows for each of the three years in the period ended December 31, 2020, including the related notes (collectively referred to as the "consolidated financial statements"). We also have audited the Partnership's internal control over financial reporting as of December 31, 2020, based on criteria established in Internal Control - Integrated Framework (2013) issued by the Committee of Sponsoring Organizations of the Treadway Commission (COSO).</w:t>
      </w:r>
    </w:p>
    <w:p>
      <w:pPr>
        <w:spacing w:after="0" w:line="20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Partnership as of December 31, 2020 and 2019, and the results of its operations and its cash flows for each of the three years in the period ended December 31, 2020 in conformity with accounting principles generally accepted in the United States of America. Also in our opinion, the Partnership maintained, in all material respects, effective internal control over financial reporting as of December 31, 2020, based on criteria established in Internal Control - Integrated Framework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04"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0"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04"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the Ethylene Sales Agreement</w:t>
      </w:r>
    </w:p>
    <w:p>
      <w:pPr>
        <w:spacing w:after="0" w:line="77" w:lineRule="exact"/>
        <w:rPr>
          <w:sz w:val="20"/>
          <w:szCs w:val="20"/>
          <w:color w:val="auto"/>
        </w:rPr>
      </w:pPr>
    </w:p>
    <w:p>
      <w:pPr>
        <w:ind w:firstLine="405"/>
        <w:spacing w:after="0" w:line="252" w:lineRule="auto"/>
        <w:rPr>
          <w:sz w:val="20"/>
          <w:szCs w:val="20"/>
          <w:color w:val="auto"/>
        </w:rPr>
      </w:pPr>
      <w:r>
        <w:rPr>
          <w:rFonts w:ascii="Arial" w:cs="Arial" w:eastAsia="Arial" w:hAnsi="Arial"/>
          <w:sz w:val="17"/>
          <w:szCs w:val="17"/>
          <w:color w:val="auto"/>
        </w:rPr>
        <w:t>As described in Notes 2 and 11 to the consolidated financial statements, the Partnership recognized net sales to Westlake Chemical Corporation ("Westlake") of $888 million for the year ended December 31, 2020, including a buyer deficiency fee of $70 million. The Ethylene Sales Agreement requires Westlake to purchase a minimum volume of ethylene each year equal to 95% of Westlake Chemical OpCo LP's ("OpCo") planned ethylene production per year, subject to certain exceptions and a maximum commitment of 3.8 billion pounds per year. The fee for each pound of ethylene purchased by Westlake from OpCo will equal (i) the actual price OpCo pays Westlake to purchase ethane, (ii) plus the actual price OpCo pays Westlake to purchase natural gas, (iii) plus OpCo's estimated operating costs divided by OpCo's planned ethylene production for the year, (iv) plus a five-year average of OpCo's expected future maintenance capital expenditures and other turnaround expenditures divided by OpCo's planned ethylene production capacity for the year, (v) less the proceeds received by OpCo from the sale of co-products associated with producing the ethylene purchased by Westlake, (vi) plus a $0.10 per pound margin. Two of the Partnership's facilities were impacted by Hurricanes Laura and Delta, which resulted in force majeure events under the Ethylene Sales Agreement. As a result of the force majeure events, the Partnership recognized a buyer deficiency fee. The buyer deficiency fee represents fixed margin and unavoided operating and maintenance capital expenditures and maintenance expenses per pound of volume committed by Westlake during the force majeure event.</w:t>
      </w:r>
    </w:p>
    <w:p>
      <w:pPr>
        <w:spacing w:after="0" w:line="210" w:lineRule="exact"/>
        <w:rPr>
          <w:sz w:val="20"/>
          <w:szCs w:val="20"/>
          <w:color w:val="auto"/>
        </w:rPr>
      </w:pPr>
    </w:p>
    <w:p>
      <w:pPr>
        <w:jc w:val="both"/>
        <w:ind w:right="340" w:firstLine="405"/>
        <w:spacing w:after="0" w:line="263" w:lineRule="auto"/>
        <w:rPr>
          <w:sz w:val="20"/>
          <w:szCs w:val="20"/>
          <w:color w:val="auto"/>
        </w:rPr>
      </w:pPr>
      <w:r>
        <w:rPr>
          <w:rFonts w:ascii="Arial" w:cs="Arial" w:eastAsia="Arial" w:hAnsi="Arial"/>
          <w:sz w:val="18"/>
          <w:szCs w:val="18"/>
          <w:color w:val="auto"/>
        </w:rPr>
        <w:t>The principal considerations for our determination that performing procedures relating to revenue from the Ethylene Sales Agreement is a critical audit matter are the significant audit effort in performing procedures and evaluating the calculation of the fee for each pound of ethylene and the buyer deficiency fee.</w:t>
      </w:r>
    </w:p>
    <w:p>
      <w:pPr>
        <w:spacing w:after="0" w:line="211"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of the fees used to determine revenue from the Ethylene Sales Agreement. These procedures also included, among others, testing the completeness and accuracy of underlying inputs used in the price and buyer deficiency fee calculation, and testing the accuracy of the minimum volume of ethylene purchased by Westlake as part of the Ethylene Sales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188"/>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except unit amounts)</w:t>
            </w:r>
          </w:p>
        </w:tc>
        <w:tc>
          <w:tcPr>
            <w:tcW w:w="0" w:type="dxa"/>
            <w:vAlign w:val="bottom"/>
          </w:tcPr>
          <w:p>
            <w:pPr>
              <w:spacing w:after="0"/>
              <w:rPr>
                <w:sz w:val="1"/>
                <w:szCs w:val="1"/>
                <w:color w:val="auto"/>
              </w:rPr>
            </w:pPr>
          </w:p>
        </w:tc>
      </w:tr>
      <w:tr>
        <w:trPr>
          <w:trHeight w:val="231"/>
        </w:trPr>
        <w:tc>
          <w:tcPr>
            <w:tcW w:w="84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0" w:type="dxa"/>
            <w:vAlign w:val="bottom"/>
          </w:tcPr>
          <w:p>
            <w:pPr>
              <w:spacing w:after="0"/>
              <w:rPr>
                <w:sz w:val="1"/>
                <w:szCs w:val="1"/>
                <w:color w:val="auto"/>
              </w:rPr>
            </w:pPr>
          </w:p>
        </w:tc>
      </w:tr>
      <w:tr>
        <w:trPr>
          <w:trHeight w:val="176"/>
        </w:trPr>
        <w:tc>
          <w:tcPr>
            <w:tcW w:w="8480" w:type="dxa"/>
            <w:vAlign w:val="bottom"/>
          </w:tcPr>
          <w:p>
            <w:pPr>
              <w:ind w:left="360"/>
              <w:spacing w:after="0" w:line="176" w:lineRule="exact"/>
              <w:rPr>
                <w:sz w:val="20"/>
                <w:szCs w:val="20"/>
                <w:color w:val="auto"/>
              </w:rPr>
            </w:pPr>
            <w:r>
              <w:rPr>
                <w:rFonts w:ascii="Arial" w:cs="Arial" w:eastAsia="Arial" w:hAnsi="Arial"/>
                <w:sz w:val="18"/>
                <w:szCs w:val="18"/>
                <w:color w:val="auto"/>
              </w:rPr>
              <w:t>Receivable under the Investment Management Agreement—Westlake Chemical</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123,228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162,773</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Corporation ("Westlake")</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net—Westlake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42,847</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Accounts receivable, net—third parties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238,411</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1,050,677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1,102,995</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46,236</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1,393,456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Accounts payable—Westlake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payable—third parties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and other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17,507</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38,849</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Long-term debt payable to Westlake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399,674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441,321</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20"/>
              <w:spacing w:after="0" w:line="176" w:lineRule="exact"/>
              <w:rPr>
                <w:sz w:val="20"/>
                <w:szCs w:val="20"/>
                <w:color w:val="auto"/>
              </w:rPr>
            </w:pPr>
            <w:r>
              <w:rPr>
                <w:rFonts w:ascii="Arial" w:cs="Arial" w:eastAsia="Arial" w:hAnsi="Arial"/>
                <w:sz w:val="18"/>
                <w:szCs w:val="18"/>
                <w:color w:val="auto"/>
              </w:rPr>
              <w:t>Common unitholders—publicly and privately held (21,076,673 and 21,072,315 units issued</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471,701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471,736</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and outstanding at December 31, 2020 and December 31, 2019, respectively)</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unitholder—Westlake (14,122,230 and 14,122,230 units issued and outstanding at</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48,350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 and December 31, 2019, respectively)</w:t>
            </w: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partner—Westlake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Westlake Chemical Partners LP partners' capital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277,514</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in Westlake Chemical OpCo LP ("OpCo")</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674,621</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952,135</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1,356,488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1,393,456</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0"/>
        </w:trPr>
        <w:tc>
          <w:tcPr>
            <w:tcW w:w="7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(in thousands of dollars,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6"/>
          </w:tcPr>
          <w:p>
            <w:pPr>
              <w:jc w:val="center"/>
              <w:ind w:left="533"/>
              <w:spacing w:after="0"/>
              <w:rPr>
                <w:sz w:val="20"/>
                <w:szCs w:val="20"/>
                <w:color w:val="auto"/>
              </w:rPr>
            </w:pPr>
            <w:r>
              <w:rPr>
                <w:rFonts w:ascii="Arial" w:cs="Arial" w:eastAsia="Arial" w:hAnsi="Arial"/>
                <w:sz w:val="14"/>
                <w:szCs w:val="14"/>
                <w:b w:val="1"/>
                <w:bCs w:val="1"/>
                <w:color w:val="auto"/>
                <w:w w:val="92"/>
              </w:rPr>
              <w:t>except unit amounts and per unit data)</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888,245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937,625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1,074,957</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co-products, ethylene and other sales—third parties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154,246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210,665</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966,670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1,091,871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1,285,622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712,443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908,463</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378,883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379,428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377,159</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27,590</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352,988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350,150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349,569</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(21,433)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341,683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333,623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330,593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332,895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330,571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 in OpCo</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281,224</w:t>
            </w:r>
          </w:p>
        </w:tc>
        <w:tc>
          <w:tcPr>
            <w:tcW w:w="0" w:type="dxa"/>
            <w:vAlign w:val="bottom"/>
          </w:tcPr>
          <w:p>
            <w:pPr>
              <w:spacing w:after="0"/>
              <w:rPr>
                <w:sz w:val="1"/>
                <w:szCs w:val="1"/>
                <w:color w:val="auto"/>
              </w:rPr>
            </w:pPr>
          </w:p>
        </w:tc>
      </w:tr>
      <w:tr>
        <w:trPr>
          <w:trHeight w:val="156"/>
        </w:trPr>
        <w:tc>
          <w:tcPr>
            <w:tcW w:w="70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 Westlake Chemical Partners LP and limited</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66,167</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60,981</w:t>
            </w:r>
          </w:p>
        </w:tc>
        <w:tc>
          <w:tcPr>
            <w:tcW w:w="12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49,347</w:t>
            </w:r>
          </w:p>
        </w:tc>
        <w:tc>
          <w:tcPr>
            <w:tcW w:w="0" w:type="dxa"/>
            <w:vAlign w:val="bottom"/>
          </w:tcPr>
          <w:p>
            <w:pPr>
              <w:spacing w:after="0"/>
              <w:rPr>
                <w:sz w:val="1"/>
                <w:szCs w:val="1"/>
                <w:color w:val="auto"/>
              </w:rPr>
            </w:pP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partners' interest in net income</w:t>
            </w:r>
          </w:p>
        </w:tc>
        <w:tc>
          <w:tcPr>
            <w:tcW w:w="2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attributable to Westlake Chemical Partners LP per limited partner</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 (basic and diluted)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75"/>
        </w:trPr>
        <w:tc>
          <w:tcPr>
            <w:tcW w:w="7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limited partner units outstanding</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Common units—publicly and privately held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21,073,041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20,365,828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6"/>
              </w:rPr>
              <w:t>18,118,628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units—Westlake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14,122,230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34" w:lineRule="exact"/>
        <w:rPr>
          <w:sz w:val="20"/>
          <w:szCs w:val="20"/>
          <w:color w:val="auto"/>
        </w:rPr>
      </w:pPr>
    </w:p>
    <w:p>
      <w:pPr>
        <w:ind w:left="6300"/>
        <w:spacing w:after="0"/>
        <w:rPr>
          <w:sz w:val="20"/>
          <w:szCs w:val="20"/>
          <w:color w:val="auto"/>
        </w:rPr>
      </w:pPr>
      <w:r>
        <w:rPr>
          <w:rFonts w:ascii="Arial" w:cs="Arial" w:eastAsia="Arial" w:hAnsi="Arial"/>
          <w:sz w:val="16"/>
          <w:szCs w:val="16"/>
          <w:b w:val="1"/>
          <w:bCs w:val="1"/>
          <w:i w:val="1"/>
          <w:iCs w:val="1"/>
          <w:color w:val="auto"/>
        </w:rPr>
        <w:t>Partnership</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34"/>
        </w:trPr>
        <w:tc>
          <w:tcPr>
            <w:tcW w:w="4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General</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3"/>
              <w:spacing w:after="0" w:line="135"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11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Unitholders -</w:t>
            </w: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Public and</w:t>
            </w: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Unitholder -</w:t>
            </w:r>
          </w:p>
        </w:tc>
        <w:tc>
          <w:tcPr>
            <w:tcW w:w="16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Partner -</w:t>
            </w: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1"/>
                <w:szCs w:val="11"/>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Privately Held</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Westlake</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5"/>
              </w:rPr>
              <w:t>in OpCo</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of dollars)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(241,958)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778,935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998,749</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281,224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330,571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Units issued for vested phantom units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(53,363)</w:t>
            </w:r>
          </w:p>
        </w:tc>
        <w:tc>
          <w:tcPr>
            <w:tcW w:w="0" w:type="dxa"/>
            <w:vAlign w:val="bottom"/>
          </w:tcPr>
          <w:p>
            <w:pPr>
              <w:spacing w:after="0"/>
              <w:rPr>
                <w:sz w:val="1"/>
                <w:szCs w:val="1"/>
                <w:color w:val="auto"/>
              </w:rPr>
            </w:pPr>
          </w:p>
        </w:tc>
      </w:tr>
      <w:tr>
        <w:trPr>
          <w:trHeight w:val="175"/>
        </w:trPr>
        <w:tc>
          <w:tcPr>
            <w:tcW w:w="4440" w:type="dxa"/>
            <w:vAlign w:val="bottom"/>
          </w:tcPr>
          <w:p>
            <w:pPr>
              <w:ind w:left="20"/>
              <w:spacing w:after="0" w:line="176" w:lineRule="exact"/>
              <w:rPr>
                <w:sz w:val="20"/>
                <w:szCs w:val="20"/>
                <w:color w:val="auto"/>
              </w:rPr>
            </w:pPr>
            <w:r>
              <w:rPr>
                <w:rFonts w:ascii="Arial" w:cs="Arial" w:eastAsia="Arial" w:hAnsi="Arial"/>
                <w:sz w:val="18"/>
                <w:szCs w:val="18"/>
                <w:color w:val="auto"/>
                <w:w w:val="96"/>
              </w:rPr>
              <w:t>Quarterly distribution to noncontrolling interest retained in</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(341,888)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(341,888)</w:t>
            </w: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OpCo by Westlake</w:t>
            </w: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409,608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718,271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934,081</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271,914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332,895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Net proceeds from private placement of common units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62,661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62,661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(62,084)</w:t>
            </w:r>
          </w:p>
        </w:tc>
        <w:tc>
          <w:tcPr>
            <w:tcW w:w="0" w:type="dxa"/>
            <w:vAlign w:val="bottom"/>
          </w:tcPr>
          <w:p>
            <w:pPr>
              <w:spacing w:after="0"/>
              <w:rPr>
                <w:sz w:val="1"/>
                <w:szCs w:val="1"/>
                <w:color w:val="auto"/>
              </w:rPr>
            </w:pPr>
          </w:p>
        </w:tc>
      </w:tr>
      <w:tr>
        <w:trPr>
          <w:trHeight w:val="175"/>
        </w:trPr>
        <w:tc>
          <w:tcPr>
            <w:tcW w:w="4440" w:type="dxa"/>
            <w:vAlign w:val="bottom"/>
          </w:tcPr>
          <w:p>
            <w:pPr>
              <w:ind w:left="20"/>
              <w:spacing w:after="0" w:line="176" w:lineRule="exact"/>
              <w:rPr>
                <w:sz w:val="20"/>
                <w:szCs w:val="20"/>
                <w:color w:val="auto"/>
              </w:rPr>
            </w:pPr>
            <w:r>
              <w:rPr>
                <w:rFonts w:ascii="Arial" w:cs="Arial" w:eastAsia="Arial" w:hAnsi="Arial"/>
                <w:sz w:val="18"/>
                <w:szCs w:val="18"/>
                <w:color w:val="auto"/>
                <w:w w:val="96"/>
              </w:rPr>
              <w:t>Quarterly distribution to noncontrolling interest retained in</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(315,564)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(315,564)</w:t>
            </w: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OpCo by Westlake</w:t>
            </w: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471,736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674,621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952,135</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274,952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341,119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Quarterly distribution to unitholders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(66,363)</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Quarterly distribution to noncontrolling interest retained in</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(311,835)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(311,835)</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OpCo by Westlake</w:t>
            </w:r>
          </w:p>
        </w:tc>
        <w:tc>
          <w:tcPr>
            <w:tcW w:w="1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471,701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637,738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915,137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11"/>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8"/>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341,119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332,895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330,571</w:t>
            </w:r>
          </w:p>
        </w:tc>
        <w:tc>
          <w:tcPr>
            <w:tcW w:w="0" w:type="dxa"/>
            <w:vAlign w:val="bottom"/>
          </w:tcPr>
          <w:p>
            <w:pPr>
              <w:spacing w:after="0"/>
              <w:rPr>
                <w:sz w:val="1"/>
                <w:szCs w:val="1"/>
                <w:color w:val="auto"/>
              </w:rPr>
            </w:pPr>
          </w:p>
        </w:tc>
      </w:tr>
      <w:tr>
        <w:trPr>
          <w:trHeight w:val="176"/>
        </w:trPr>
        <w:tc>
          <w:tcPr>
            <w:tcW w:w="7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to net cash provided by</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108,842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disposition of property, plant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Other gains,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Accounts receivable—third parties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accounts receivable—Westlake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436,151</w:t>
            </w:r>
          </w:p>
        </w:tc>
        <w:tc>
          <w:tcPr>
            <w:tcW w:w="0" w:type="dxa"/>
            <w:vAlign w:val="bottom"/>
          </w:tcPr>
          <w:p>
            <w:pPr>
              <w:spacing w:after="0"/>
              <w:rPr>
                <w:sz w:val="1"/>
                <w:szCs w:val="1"/>
                <w:color w:val="auto"/>
              </w:rPr>
            </w:pPr>
          </w:p>
        </w:tc>
      </w:tr>
      <w:tr>
        <w:trPr>
          <w:trHeight w:val="20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(39,862)</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(529,445)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(384,000)</w:t>
            </w:r>
          </w:p>
        </w:tc>
        <w:tc>
          <w:tcPr>
            <w:tcW w:w="0" w:type="dxa"/>
            <w:vAlign w:val="bottom"/>
          </w:tcPr>
          <w:p>
            <w:pPr>
              <w:spacing w:after="0"/>
              <w:rPr>
                <w:sz w:val="1"/>
                <w:szCs w:val="1"/>
                <w:color w:val="auto"/>
              </w:rPr>
            </w:pPr>
          </w:p>
        </w:tc>
      </w:tr>
      <w:tr>
        <w:trPr>
          <w:trHeight w:val="176"/>
        </w:trPr>
        <w:tc>
          <w:tcPr>
            <w:tcW w:w="7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Maturities of investments with Westlake under the Investment Management</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515,445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372,050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Agreement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(used for) investing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(51,812)</w:t>
            </w: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Net proceeds from private placement of common units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debt payable to Westlake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176"/>
        </w:trPr>
        <w:tc>
          <w:tcPr>
            <w:tcW w:w="7060" w:type="dxa"/>
            <w:vAlign w:val="bottom"/>
          </w:tcPr>
          <w:p>
            <w:pPr>
              <w:ind w:left="20"/>
              <w:spacing w:after="0" w:line="176" w:lineRule="exact"/>
              <w:rPr>
                <w:sz w:val="20"/>
                <w:szCs w:val="20"/>
                <w:color w:val="auto"/>
              </w:rPr>
            </w:pPr>
            <w:r>
              <w:rPr>
                <w:rFonts w:ascii="Arial" w:cs="Arial" w:eastAsia="Arial" w:hAnsi="Arial"/>
                <w:sz w:val="18"/>
                <w:szCs w:val="18"/>
                <w:color w:val="auto"/>
              </w:rPr>
              <w:t>Quarterly distributions to noncontrolling interest retained in OpCo by</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(311,835)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(315,564)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(341,888)</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Westlake</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distributions to unitholders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(53,363)</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Repayment of debt payable to Westlake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(391,603)</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the year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Cash and cash equivalents at end of the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500" w:firstLine="8"/>
        <w:spacing w:after="0" w:line="354" w:lineRule="auto"/>
        <w:tabs>
          <w:tab w:leader="none" w:pos="1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Westlake Chemical Partners LP ("Westlake Chemical Partners LP" or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6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 connection with the IPO, the Partnership acquired a 10.6% interest in Westlake Chemical OpCo LP ("OpCo") and a 100% interest in Westlake Chemical OpCo GP LLC ("OpCo GP"), which is the general partner of OpCo. OpCo owns three ethylene production facilities and a common carrier ethylene pipeline (collectively, the "Contributed Assets"). As of December 31, 2018, the Partnership had an aggregate 18.3% limited partner interest in OpCo.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Chemical Corporation. References to "Westlake" refer collectively to Westlake Chemical Corporation and its subsidiaries, other than the Partnership, OpCo and OpCo GP.</w:t>
      </w:r>
    </w:p>
    <w:p>
      <w:pPr>
        <w:spacing w:after="0" w:line="14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OpCo and Westlake entered into an ethylene sales agreement (the "Ethylene Sales Agreement") pursuant to which the Partnership generates a substantial majority of its revenue. For more information, see Note 2.</w:t>
      </w:r>
    </w:p>
    <w:p>
      <w:pPr>
        <w:spacing w:after="0" w:line="116"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are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the accounting principles generally accepted in the United States.</w:t>
      </w:r>
    </w:p>
    <w:p>
      <w:pPr>
        <w:spacing w:after="0" w:line="11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0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determination of the allowance for credit losses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customer specific collectability analysis and an evaluation of economic conditions. The allowance for credit losses is reviewed quarterly. Past due balances over 90 days and high risk accounts, as determined by the analysis of financial strength of customers, are reviewed individually for collectability.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Inventories primarily include product, material and supplies. Inventories are stated at the lower of cost or net realizable value. Cost is determined using the first-in, first-out ("FIFO") or average method.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0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16"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Interest expense is capitalized for qualifying assets under construction. Capitalized interest costs are included in property, plant and equipment and are depreciated over the useful life of the related asset. Capitalized interest was zero for the years ended December 31, 2020 and 2019 and $175 for the year ended December 31, 2018. Repair and maintenance costs are charged to operations as incurred. Gains and losses on the disposal or retirement of property, plant and equipment are reflected in the statement of operations when the assets are sold or retired.</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ectPr>
          <w:pgSz w:w="11900" w:h="16838" w:orient="portrait"/>
          <w:cols w:equalWidth="0" w:num="1">
            <w:col w:w="11240"/>
          </w:cols>
          <w:pgMar w:left="320" w:top="122" w:right="339" w:bottom="1440" w:gutter="0" w:footer="0" w:header="0"/>
        </w:sectPr>
      </w:pPr>
    </w:p>
    <w:p>
      <w:pPr>
        <w:spacing w:after="0" w:line="1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50621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06210" cy="17970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Buildings and improvements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Ethylene pipeline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23495</wp:posOffset>
            </wp:positionV>
            <wp:extent cx="62611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6110" cy="34290"/>
                    </a:xfrm>
                    <a:prstGeom prst="rect">
                      <a:avLst/>
                    </a:prstGeom>
                    <a:noFill/>
                  </pic:spPr>
                </pic:pic>
              </a:graphicData>
            </a:graphic>
          </wp:anchor>
        </w:drawing>
      </w:r>
    </w:p>
    <w:p>
      <w:pPr>
        <w:spacing w:after="0" w:line="7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-130175</wp:posOffset>
            </wp:positionV>
            <wp:extent cx="62611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6110" cy="145415"/>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3-15</w:t>
      </w:r>
    </w:p>
    <w:p>
      <w:pPr>
        <w:spacing w:after="0" w:line="200" w:lineRule="exact"/>
        <w:rPr>
          <w:sz w:val="20"/>
          <w:szCs w:val="20"/>
          <w:color w:val="auto"/>
        </w:rPr>
      </w:pPr>
    </w:p>
    <w:p>
      <w:pPr>
        <w:sectPr>
          <w:pgSz w:w="11900" w:h="16838" w:orient="portrait"/>
          <w:cols w:equalWidth="0" w:num="2">
            <w:col w:w="9860" w:space="720"/>
            <w:col w:w="660"/>
          </w:cols>
          <w:pgMar w:left="320" w:top="122" w:right="33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0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accounting guidance requires that goodwill be tested for impairment at least annually, or when events or changes in circumstances indicate the fair value of a reporting unit with goodwill has been reduced below its carrying value. The impairment test for the recorded goodwill was performed in October 2020 and did not indicate impairment of the goodwill. As of December 31, 2020, the Partnership's recorded goodwill was $5,814. See Note 6 for more information on the Partnership's annual goodwill impairment test.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five to six years. Deferred turnaround costs are presented as a component of other assets, net. The cash outflows related to these costs are included in operating activities in the consolidated statement of cash flows.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3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Partnership does not disclose the value of unsatisfied performance obligations because its contracts with customers (1) have an original expected duration of one year or less or (2) have only variable consideration which is allocated to wholly unsatisfied performance obligations that is calculated based on market prices at a specified date and is allocated to wholly unsatisfied performance obligations.</w:t>
      </w:r>
    </w:p>
    <w:p>
      <w:pPr>
        <w:spacing w:after="0" w:line="130"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Partnership generates a substantial majority of its revenue from sales to Westlake under the Ethylene Sales Agreement. The Ethylene Sales Agreement is intended to generate a long-term, fixed cash margin per pound. See Note 2 for a description of the terms of the Ethylene Sales Agreement. Partnership's direct commodity price risk is limited to the sales to third parties. See the Partnership's consolidated statement of operations for the disaggregation of net sales to Westlake and net sales to third parties.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and Freight</w:t>
      </w:r>
    </w:p>
    <w:p>
      <w:pPr>
        <w:spacing w:after="0" w:line="9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Amounts billed to customers for freight and handling costs on outbound shipments are included in net sales in the consolidated statements of operations. Transportation and freight costs incurred by the Partnership on outbound shipments are included in cost of sales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0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0" w:lineRule="exact"/>
        <w:rPr>
          <w:sz w:val="20"/>
          <w:szCs w:val="20"/>
          <w:color w:val="auto"/>
        </w:rPr>
      </w:pPr>
    </w:p>
    <w:p>
      <w:pPr>
        <w:ind w:right="220" w:firstLine="405"/>
        <w:spacing w:after="0" w:line="296" w:lineRule="auto"/>
        <w:rPr>
          <w:sz w:val="20"/>
          <w:szCs w:val="20"/>
          <w:color w:val="auto"/>
        </w:rPr>
      </w:pPr>
      <w:r>
        <w:rPr>
          <w:rFonts w:ascii="Arial" w:cs="Arial" w:eastAsia="Arial" w:hAnsi="Arial"/>
          <w:sz w:val="16"/>
          <w:szCs w:val="16"/>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Deferred tax expense or benefit is the result of changes in the deferred tax assets and liabilities during the period. Valuation allowances are recorded against deferred tax assets when it is considered more likely than not that the deferred tax assets will not be realized on a separate tax return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 only operates one segment (ethylene production) and all of its operations are located in the United States.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jc w:val="both"/>
        <w:ind w:right="660" w:firstLine="405"/>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130"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On March 11, 2020, the World Health Organization declared the ongoing coronavirus (COVID-19) outbreak a pandemic and recommended containment and mitigation measures worldwide. The COVID pandemic resulted in widespread adverse impacts on the global economy and on our employees, customers and suppliers in 2020. The Partnership did not experience significant disruptions to its business operations in 2020 and does not expect significant disruptions. However, the impact that COVID-19 will have on the Partnership's financial condition, results of operations and cash flows cannot be estimated with certainty at this time as it will depend on future developments, including, among others, the ultimate duration, geographic spread and severity of the virus, the actions to contain the virus, the consequences of governmental and other measures designed to prevent the spread of the virus, the development of effective treatments and vaccines and their roll out, the impact on the operation of OpCo facilities, Westlake, customers, suppliers and other third parties and the timing and extent to which normal economic and operating conditions resume.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0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Partnership has not reported consolidated statements of comprehensive income for the years ended December 31, 2020, 2019 and 2018 due to immateriality of the components of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No. 2020-04)</w:t>
      </w:r>
    </w:p>
    <w:p>
      <w:pPr>
        <w:spacing w:after="0" w:line="104"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In March 2020, the FASB issued an accounting standards update to provide optional expedients and exceptions for applying generally accepted accounting principles to contracts, hedging relationships and other transactions affected by reference rate reform, if certain criteria are met. The amendments in this update are effective for all entities from January 1, 2020 through December 31, 2022. The Partnership is in the process of evaluating the adoption of this optional accounting standards update as certain exceptions provided under this guidance may be applicable to future reference rate reform related transitions.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10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June 2016, the FASB issued an accounting standards update providing new guidance for the accounting for credit losses on loans and other financial instruments. The new guidance introduces an approach based on expected losses to estimate credit losses on trade receivables and certain types of financial instruments. The standard also modifies the impairment model for available-for-sale debt securities and provides for a simplified accounting model for purchased financial assets with credit deterioration since their origination. The accounting standard became effective for reporting periods beginning after December 15, 2019. The Partnership adopted this accounting standard effective January 1, 2020 and the adoption did not have a material impact on the Partnership's consolidated financial position,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(ASU No. 2018-13)</w:t>
      </w:r>
    </w:p>
    <w:p>
      <w:pPr>
        <w:spacing w:after="0" w:line="90" w:lineRule="exact"/>
        <w:rPr>
          <w:sz w:val="20"/>
          <w:szCs w:val="20"/>
          <w:color w:val="auto"/>
        </w:rPr>
      </w:pPr>
    </w:p>
    <w:p>
      <w:pPr>
        <w:ind w:right="220" w:firstLine="405"/>
        <w:spacing w:after="0" w:line="275" w:lineRule="auto"/>
        <w:rPr>
          <w:sz w:val="20"/>
          <w:szCs w:val="20"/>
          <w:color w:val="auto"/>
        </w:rPr>
      </w:pPr>
      <w:r>
        <w:rPr>
          <w:rFonts w:ascii="Arial" w:cs="Arial" w:eastAsia="Arial" w:hAnsi="Arial"/>
          <w:sz w:val="17"/>
          <w:szCs w:val="17"/>
          <w:color w:val="auto"/>
        </w:rPr>
        <w:t>In August 2018, the FASB issued an accounting standards update to modify the disclosure requirements on fair value measurements. The amendments became effective for reporting periods beginning after December 15, 2019. An entity is permitted to early adopt any removed or modified disclosures and delay adoption of the additional disclosures until the effective date. Most amendments should be applied retrospectively but certain amendments should be applied prospectively. The Partnership adopted the accounting standard effective January 1, 2020 and the adoption did not have a material impact on the Partnership's consolidated financial position, results of operations and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Agreements with Westlake and Related Parties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OpCo has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fee for each pound of ethylene purchased by Westlake from OpCo up to the Minimum Commitment in any calendar year will equal:</w:t>
      </w:r>
    </w:p>
    <w:p>
      <w:pPr>
        <w:spacing w:after="0" w:line="104" w:lineRule="exact"/>
        <w:rPr>
          <w:sz w:val="20"/>
          <w:szCs w:val="20"/>
          <w:color w:val="auto"/>
        </w:rPr>
      </w:pPr>
    </w:p>
    <w:p>
      <w:pPr>
        <w:ind w:left="660" w:right="280" w:hanging="328"/>
        <w:spacing w:after="0" w:line="342"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2"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OpCo's estimated operating costs (including selling, general and administrative expenses), divided by OpCo's planned ethylene production for the year (in pounds); plus</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five-year average of OpCo's expected future maintenance capital expenditures and other turnaround expenditures, divided by OpCo's planned ethylene production capacity for the year (in pounds); less</w:t>
      </w:r>
    </w:p>
    <w:p>
      <w:pPr>
        <w:spacing w:after="0" w:line="48" w:lineRule="exact"/>
        <w:rPr>
          <w:rFonts w:ascii="Arial" w:cs="Arial" w:eastAsia="Arial" w:hAnsi="Arial"/>
          <w:sz w:val="18"/>
          <w:szCs w:val="18"/>
          <w:color w:val="auto"/>
        </w:rPr>
      </w:pPr>
    </w:p>
    <w:p>
      <w:pPr>
        <w:ind w:left="660" w:right="320" w:hanging="328"/>
        <w:spacing w:after="0" w:line="308"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$0.10 per pound margin.</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16"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Pursuant to the Ethylene Sales Agreement, Westlake's obligation to pay for the annual minimum commitment (95% of OpCo's budgeted ethylene production), which is measured on an annual basis, is not reduced for the first 45 days of a force majeure event, but is reduced for the portion of a force majeure event extending beyond the 45th day. In the event of a force majeure event, the Partnership recognizes buyer deficiency fees representing fixed margin and unavoided operating and maintenance capital expenditures and maintenance expenses per pound of volume committed by Westlake during the force majeure event.</w:t>
      </w:r>
    </w:p>
    <w:p>
      <w:pPr>
        <w:spacing w:after="0" w:line="134"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The result of the fee structure is that OpCo should generally recover the portion of its total operating costs and maintenance capital expenditures and other turnaround expenditures corresponding to the portion of OpCo's aggregate production that is purchased by Westlake. Any shortfall in recovery of such costs is generally recognized during the period in which the related operating, maintenance or turnaround activities occur and is recoverable from Westlake in the subsequent year.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w:t>
      </w:r>
    </w:p>
    <w:p>
      <w:pPr>
        <w:spacing w:after="0" w:line="124"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matter.</w:t>
      </w:r>
    </w:p>
    <w:p>
      <w:pPr>
        <w:spacing w:after="0" w:line="13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Ethylene Sales Agreement has an initial term extending until December 31, 2026 and automatically renews thereafter for successive 12-month terms unless terminated.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OpCo has entered into a feedstock supply agreement with Westlake, pursuant to which Westlake sells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2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104"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OpCo has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are under the control of OpCo while they work on OpCo's facilities.</w:t>
      </w:r>
    </w:p>
    <w:p>
      <w:pPr>
        <w:spacing w:after="0" w:line="122"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OpCo has entered into two site lease agreements with Westlake pursuant to which Westlake leases to OpCo the real property underlying Lake Charles Olefins and Calvert City Olefins, respectively, and grants OpCo rights to access and use certain other portions of Westlake's ethylene production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104"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Partnership has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04"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OpCo and Westlake are parties to an exchange agreement, which continues on an annual basis, unless and until terminated by either party. Under the exchange agreement, OpCo may require Westlake to deliver up to 200 million pounds of ethylene for OpCo per year from the Site Leases to an ethylene hub in Mt. Belvieu, Texas, for which OpCo would be required to pay an exchange fee of $0.006 per pound.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Partnership,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The Partnership controls OpCo GP, as its sole member, subject to certain approval rights held by Westlake.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7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Partnership, OpCo and Westlake are parties to an Investment Management Agreement that authorizes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$123,228 of invested cash under the Investment Management Agreement at December 31,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customers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Accounts receivable, net—third parties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11,029</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9,914</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Feedstock, additives and chemicals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Property, Plant and Equipment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20"/>
              <w:spacing w:after="0"/>
              <w:rPr>
                <w:sz w:val="20"/>
                <w:szCs w:val="20"/>
                <w:color w:val="auto"/>
              </w:rPr>
            </w:pPr>
            <w:r>
              <w:rPr>
                <w:rFonts w:ascii="Arial" w:cs="Arial" w:eastAsia="Arial" w:hAnsi="Arial"/>
                <w:sz w:val="18"/>
                <w:szCs w:val="18"/>
                <w:color w:val="auto"/>
              </w:rPr>
              <w:t>Property, plant and equipment consist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1,856,745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1,825,332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97,402</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1,980,817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1,940,160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(971,476)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(882,768)</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1,009,341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1,057,392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1,050,677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1,102,995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Depreciation expense on property, plant and equipment of $90,768, $89,454 and $88,197 is included in cost of sales in the consolidated statements of operations for the years ended December 31, 2020, 2019 and 2018,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0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Partnership's goodwill balance was $5,814 at December 31, 2020 and 2019. The impairment assessment for the recorded goodwill was performed in October 2020 and did not indicate impairment of the goodwill. The fair value of the goodwill was calculated using both a discounted cash flow methodology and a market value methodology. The discounted cash flow projections were based on a long-term forecast to reflect the cyclicality of the Partnership's business. The forecast was based on prices and spreads projected by IHS Markit, a chemical industry organization offering market and business advisory services for the chemical market, for the same period, and estimates by management, including their strategic and operational plans. Other significant assumptions used in the discounted cash flow projection included sales volumes based on production capacities. The future cash flows were discounted to present value using a discount rate of 9.0%. The significant assumptions used in determining the fair value of the reporting unit using the market value methodology include the determination of appropriate market comparables and the estimated multiples of EBITDA a willing buyer is likely to pay.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Charges and Other Assets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charges and other assets, net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Turnaround costs, net</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32,273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40,416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5,820</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charges and other assets</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36,692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46,236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Amortization expense on other assets of $12,386, $17,866 and $20,645 is included in the consolidated statements of operations for the years ended December 31, 2020, 2019 and 2018, respectively. Certain other assets are amortized over periods ranging from five to fifteen years using the straight-line method.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consists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7"/>
        </w:trPr>
        <w:tc>
          <w:tcPr>
            <w:tcW w:w="82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OpCo Revolver (variable interest rate of London Interbank Offered Rate ("LIBOR") plus</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 scheduled maturity of September 25, 2023)</w:t>
            </w: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rPr>
              <w:t>MLP Revolver (variable interest rate of LIBOR plus 2.0%, scheduled maturity of</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377,055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March 19, 2023)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color w:val="auto"/>
        </w:rPr>
        <w:t>On August 4, 2014, OpCo entered into a $600,000 senior unsecured revolving credit facility agreement with Westlake (as subsequently amended, the "OpCo Revolver"). The OpCo Revolver is scheduled to mature on September 25, 2023 and bears interest at a rate of LIBOR plus 2.0%, which may be paid-in-kind as an addition to the principal at OpCo's option. On April 30, 2019, the Partnership repaid $201,445 of borrowings under the OpCo Revolver.</w:t>
      </w:r>
    </w:p>
    <w:p>
      <w:pPr>
        <w:spacing w:after="0" w:line="95" w:lineRule="exact"/>
        <w:rPr>
          <w:sz w:val="20"/>
          <w:szCs w:val="20"/>
          <w:color w:val="auto"/>
        </w:rPr>
      </w:pPr>
    </w:p>
    <w:p>
      <w:pPr>
        <w:ind w:right="140" w:firstLine="405"/>
        <w:spacing w:after="0" w:line="252" w:lineRule="auto"/>
        <w:rPr>
          <w:sz w:val="20"/>
          <w:szCs w:val="20"/>
          <w:color w:val="auto"/>
        </w:rPr>
      </w:pPr>
      <w:r>
        <w:rPr>
          <w:rFonts w:ascii="Arial" w:cs="Arial" w:eastAsia="Arial" w:hAnsi="Arial"/>
          <w:sz w:val="17"/>
          <w:szCs w:val="17"/>
          <w:color w:val="auto"/>
        </w:rPr>
        <w:t>On April 29, 2015, the Partnership entered into a $300,000 revolving credit facility agreement with an affiliate of Westlake (as subsequently amended, the "MLP Revolver") to fund the Partnership's purchase of an additional 2.7% newly-issued, limited partner interest in OpCo for $135,341. In 2017, the Partnership entered into an amendment to the MLP Revolver credit agreement, increasing borrowing capacity from $300,000 to $600,000.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 The MLP Revolver bears interest at LIBOR plus a spread ranging from 2.0% to 3.0% (depending on the Partnership's consolidated leverage ratio), payable quarterly.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On March 29, 2019, the Partnership borrowed $123,511 under the MLP Revolver to partially fund the purchase of the additional 4.5% interest in OpCo.</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2020, the Partnership was in compliance with all of the covenants under the OpCo Revolver and the MLP Revolver.</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interest rate on all long-term debt was 2.23% and 4.10% at December 31, 2020 and 2019, respectively.</w:t>
      </w:r>
    </w:p>
    <w:p>
      <w:pPr>
        <w:spacing w:after="0" w:line="17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of December 31, 2020, the Partnership had no scheduled maturities of long-term debt until 2023. The OpCo Revolver is scheduled to mature on September 25, 2023, and the MLP Revolver is scheduled to mature on March 19,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Distributions and Net Income Per Limited Partner Unit</w:t>
      </w:r>
    </w:p>
    <w:p>
      <w:pPr>
        <w:spacing w:after="0" w:line="175"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On January 25, 2021, the board of directors of Westlake Chemical Partners GP LLC ("Westlake GP"), the Partnership's general partner, declared a quarterly cash distribution for the period from October 1, 2020 to December 31, 2020 of $0.4714 per common unit. This distribution was paid on February 19, 2021 to unitholders of record on February 4,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49,347</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Limited partners' distribution declared on common units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53,516</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Distributions declared with respect to the incentive distribution rights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in excess of net income</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of the subordinated units, which were owned by Westlake, were converted into common units in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center"/>
              <w:ind w:left="796"/>
              <w:spacing w:after="0"/>
              <w:rPr>
                <w:sz w:val="20"/>
                <w:szCs w:val="20"/>
                <w:color w:val="auto"/>
              </w:rPr>
            </w:pPr>
            <w:r>
              <w:rPr>
                <w:rFonts w:ascii="Arial" w:cs="Arial" w:eastAsia="Arial" w:hAnsi="Arial"/>
                <w:sz w:val="16"/>
                <w:szCs w:val="16"/>
                <w:b w:val="1"/>
                <w:bCs w:val="1"/>
                <w:color w:val="auto"/>
                <w:w w:val="91"/>
              </w:rPr>
              <w:t>Year Ended December 31, 2020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6"/>
              <w:spacing w:after="0" w:line="132"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2" w:lineRule="exact"/>
              <w:rPr>
                <w:sz w:val="20"/>
                <w:szCs w:val="20"/>
                <w:color w:val="auto"/>
              </w:rPr>
            </w:pPr>
            <w:r>
              <w:rPr>
                <w:rFonts w:ascii="Arial" w:cs="Arial" w:eastAsia="Arial" w:hAnsi="Arial"/>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66,365</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432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66,167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66,167</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35,195,271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4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796"/>
              <w:spacing w:after="0"/>
              <w:rPr>
                <w:sz w:val="20"/>
                <w:szCs w:val="20"/>
                <w:color w:val="auto"/>
              </w:rPr>
            </w:pPr>
            <w:r>
              <w:rPr>
                <w:rFonts w:ascii="Arial" w:cs="Arial" w:eastAsia="Arial" w:hAnsi="Arial"/>
                <w:sz w:val="16"/>
                <w:szCs w:val="16"/>
                <w:b w:val="1"/>
                <w:bCs w:val="1"/>
                <w:color w:val="auto"/>
                <w:w w:val="91"/>
              </w:rPr>
              <w:t>Year Ended December 31, 2019</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6"/>
              <w:spacing w:after="0" w:line="132"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2" w:lineRule="exact"/>
              <w:rPr>
                <w:sz w:val="20"/>
                <w:szCs w:val="20"/>
                <w:color w:val="auto"/>
              </w:rPr>
            </w:pPr>
            <w:r>
              <w:rPr>
                <w:rFonts w:ascii="Arial" w:cs="Arial" w:eastAsia="Arial" w:hAnsi="Arial"/>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64,718</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64,718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23"/>
        </w:trPr>
        <w:tc>
          <w:tcPr>
            <w:tcW w:w="432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60,981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60,981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34,488,058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34,488,058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20" w:type="dxa"/>
            <w:vAlign w:val="bottom"/>
            <w:vMerge w:val="restart"/>
          </w:tcPr>
          <w:p>
            <w:pPr>
              <w:jc w:val="right"/>
              <w:ind w:right="930"/>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3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center"/>
              <w:ind w:left="796"/>
              <w:spacing w:after="0"/>
              <w:rPr>
                <w:sz w:val="20"/>
                <w:szCs w:val="20"/>
                <w:color w:val="auto"/>
              </w:rPr>
            </w:pPr>
            <w:r>
              <w:rPr>
                <w:rFonts w:ascii="Arial" w:cs="Arial" w:eastAsia="Arial" w:hAnsi="Arial"/>
                <w:sz w:val="16"/>
                <w:szCs w:val="16"/>
                <w:b w:val="1"/>
                <w:bCs w:val="1"/>
                <w:color w:val="auto"/>
                <w:w w:val="91"/>
              </w:rPr>
              <w:t>Year Ended December 31, 2018</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6"/>
              <w:spacing w:after="0" w:line="132" w:lineRule="exact"/>
              <w:rPr>
                <w:sz w:val="20"/>
                <w:szCs w:val="20"/>
                <w:color w:val="auto"/>
              </w:rPr>
            </w:pPr>
            <w:r>
              <w:rPr>
                <w:rFonts w:ascii="Arial" w:cs="Arial" w:eastAsia="Arial" w:hAnsi="Arial"/>
                <w:sz w:val="14"/>
                <w:szCs w:val="14"/>
                <w:b w:val="1"/>
                <w:bCs w:val="1"/>
                <w:color w:val="auto"/>
                <w:w w:val="98"/>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2" w:lineRule="exact"/>
              <w:rPr>
                <w:sz w:val="20"/>
                <w:szCs w:val="20"/>
                <w:color w:val="auto"/>
              </w:rPr>
            </w:pPr>
            <w:r>
              <w:rPr>
                <w:rFonts w:ascii="Arial" w:cs="Arial" w:eastAsia="Arial" w:hAnsi="Arial"/>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6"/>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53,516</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54,249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48,614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32,240,858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32,240,858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amended Partnership Agreement provides that the Partnership will distribute cash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w w:val="99"/>
              </w:rPr>
              <w:t>Marginal Percentage Interest in Distributions</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Quarterly Distribution Per Unit</w:t>
            </w: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Unitholders</w:t>
            </w:r>
          </w:p>
        </w:tc>
        <w:tc>
          <w:tcPr>
            <w:tcW w:w="1560" w:type="dxa"/>
            <w:vAlign w:val="bottom"/>
          </w:tcPr>
          <w:p>
            <w:pPr>
              <w:jc w:val="right"/>
              <w:ind w:right="295"/>
              <w:spacing w:after="0"/>
              <w:rPr>
                <w:sz w:val="20"/>
                <w:szCs w:val="20"/>
                <w:color w:val="auto"/>
              </w:rPr>
            </w:pPr>
            <w:r>
              <w:rPr>
                <w:rFonts w:ascii="Arial" w:cs="Arial" w:eastAsia="Arial" w:hAnsi="Arial"/>
                <w:sz w:val="14"/>
                <w:szCs w:val="14"/>
                <w:b w:val="1"/>
                <w:bCs w:val="1"/>
                <w:color w:val="auto"/>
              </w:rPr>
              <w:t>IDR Holders</w:t>
            </w: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Above $1.2938 up to $1.4063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bl>
    <w:p>
      <w:pPr>
        <w:spacing w:after="0" w:line="242"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color w:val="auto"/>
        </w:rPr>
        <w:t>The Partnership's distribution for the three months ended December 31, 2020 did not exceed the $1.2938 per unit threshold, and, as a result, no distribution was made with respect to the Partnership's incentive distribution rights to Westlake, as the holder of the Partnership' incentive distribution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years ended December 31, 2020, 2019 and 2018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common unit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Partners' Equity</w:t>
      </w:r>
    </w:p>
    <w:p>
      <w:pPr>
        <w:spacing w:after="0" w:line="108"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December 31, 2020.</w:t>
      </w:r>
    </w:p>
    <w:p>
      <w:pPr>
        <w:spacing w:after="0" w:line="12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Net proceeds to the Partnership from the sale of the units were approximately $62,661.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Partnership and OpCo regularly enter into related party transactions with Westlake. See below for a description of transactions with related 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sales—Westlake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1,074,957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5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During the year ended December 31, 2020, the Lake Charles Petro 1 and Petro 2 facilities were impacted by Hurricanes Laura and Delta, which resulted in force majeure events under the Ethylene Sales Agreement. As a result of the force majeure events, the Partnership recognized a buyer deficiency fee of $69,555 as a component of net sales for the year ended December 31, 2020, representing fixed margin and unavoided operating and maintenance capital expenditures and maintenance expenses per pound of volume committed by Westlake during the force majeure events. Payment for the buyer deficiency fee was received by the Partnership in January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104"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Feedstock purchased from Westlake and included in cost of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556,362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charges from Westlake and included in cost of sales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114,364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5"/>
              </w:rPr>
              <w:t>Services received from Westlake and included in selling, general and</w:t>
            </w:r>
          </w:p>
        </w:tc>
        <w:tc>
          <w:tcPr>
            <w:tcW w:w="1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22,162</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26,946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24,618</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administrative expenses</w:t>
            </w:r>
          </w:p>
        </w:tc>
        <w:tc>
          <w:tcPr>
            <w:tcW w:w="182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Arial" w:cs="Arial" w:eastAsia="Arial" w:hAnsi="Arial"/>
                <w:sz w:val="18"/>
                <w:szCs w:val="18"/>
                <w:color w:val="auto"/>
              </w:rPr>
              <w:t>62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Goods and services purchased from Westlake and capitalized as assets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13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August 1, 2017, the Partnership, OpCo and Westlake executed an investment management agreement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$56 and $601 was included in the receivable under the Investment Management Agreement balance at December 31, 2020 and 2019, respectively. The interest earned related to the Investment Management Agreement was $932, $3,289 and $2,646 for the years ended December 31, 2020, 2019 and 2018, respectively.</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23495</wp:posOffset>
            </wp:positionV>
            <wp:extent cx="18859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2"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260" w:val="left"/>
          <w:tab w:leader="none" w:pos="9020" w:val="left"/>
          <w:tab w:leader="none" w:pos="9800" w:val="left"/>
          <w:tab w:leader="none" w:pos="10560" w:val="left"/>
        </w:tabs>
        <w:rPr>
          <w:sz w:val="20"/>
          <w:szCs w:val="20"/>
          <w:color w:val="auto"/>
        </w:rPr>
      </w:pPr>
      <w:r>
        <w:rPr>
          <w:rFonts w:ascii="Arial" w:cs="Arial" w:eastAsia="Arial" w:hAnsi="Arial"/>
          <w:sz w:val="18"/>
          <w:szCs w:val="18"/>
          <w:color w:val="auto"/>
        </w:rPr>
        <w:t>Receivable under the Investment Management Agreement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123,228</w:t>
        <w:tab/>
        <w:t>$</w:t>
      </w:r>
      <w:r>
        <w:rPr>
          <w:sz w:val="20"/>
          <w:szCs w:val="20"/>
          <w:color w:val="auto"/>
        </w:rPr>
        <w:tab/>
      </w:r>
      <w:r>
        <w:rPr>
          <w:rFonts w:ascii="Arial" w:cs="Arial" w:eastAsia="Arial" w:hAnsi="Arial"/>
          <w:sz w:val="16"/>
          <w:szCs w:val="16"/>
          <w:color w:val="auto"/>
        </w:rPr>
        <w:t>162,773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40640</wp:posOffset>
            </wp:positionV>
            <wp:extent cx="18859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Related Parties</w:t>
      </w:r>
    </w:p>
    <w:p>
      <w:pPr>
        <w:spacing w:after="0" w:line="10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Partnership's accounts receivable from Westlake result primarily from ethylene sales to Westlake, any shortfall recoverable from Westlake and any buyer deficiency fees, in each case under the Ethylene Sales Agreement. Under the Ethylene Sales Agreement, if production costs billed to Westlake on an annual basis are less than 95% of the actual production costs incurred by OpCo during the year, OpCo is entitled to recover the shortfall in the subsequent year. The shortfall is recognized in the period when such production activities occur. The Partnership's accounts receivable from Westlake were as follows:</w:t>
      </w:r>
    </w:p>
    <w:p>
      <w:pPr>
        <w:spacing w:after="0" w:line="8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23495</wp:posOffset>
            </wp:positionV>
            <wp:extent cx="18859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2"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260" w:val="left"/>
          <w:tab w:leader="none" w:pos="9020" w:val="left"/>
          <w:tab w:leader="none" w:pos="9800" w:val="left"/>
          <w:tab w:leader="none" w:pos="10660" w:val="left"/>
        </w:tabs>
        <w:rPr>
          <w:sz w:val="20"/>
          <w:szCs w:val="20"/>
          <w:color w:val="auto"/>
        </w:rPr>
      </w:pPr>
      <w:r>
        <w:rPr>
          <w:rFonts w:ascii="Arial" w:cs="Arial" w:eastAsia="Arial" w:hAnsi="Arial"/>
          <w:sz w:val="18"/>
          <w:szCs w:val="18"/>
          <w:color w:val="auto"/>
        </w:rPr>
        <w:t>Accounts receivable—Westlake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108,028</w:t>
        <w:tab/>
        <w:t>$</w:t>
      </w:r>
      <w:r>
        <w:rPr>
          <w:sz w:val="20"/>
          <w:szCs w:val="20"/>
          <w:color w:val="auto"/>
        </w:rPr>
        <w:tab/>
      </w:r>
      <w:r>
        <w:rPr>
          <w:rFonts w:ascii="Arial" w:cs="Arial" w:eastAsia="Arial" w:hAnsi="Arial"/>
          <w:sz w:val="15"/>
          <w:szCs w:val="15"/>
          <w:color w:val="auto"/>
        </w:rPr>
        <w:t>42,847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40640</wp:posOffset>
            </wp:positionV>
            <wp:extent cx="18859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90"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The Partnership's accounts payable to Westlake result primarily from feedstock purchases under the Feedstock Supply Agreement and services provided under the Services and Secondment Agreement and the Omnibus Agreement. The Partnership's accounts payable to Westlake were as follows:</w:t>
      </w:r>
    </w:p>
    <w:p>
      <w:pPr>
        <w:spacing w:after="0" w:line="3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23495</wp:posOffset>
            </wp:positionV>
            <wp:extent cx="18859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2"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260" w:val="left"/>
          <w:tab w:leader="none" w:pos="9200" w:val="left"/>
          <w:tab w:leader="none" w:pos="9800" w:val="left"/>
          <w:tab w:leader="none" w:pos="10660" w:val="left"/>
        </w:tabs>
        <w:rPr>
          <w:sz w:val="20"/>
          <w:szCs w:val="20"/>
          <w:color w:val="auto"/>
        </w:rPr>
      </w:pPr>
      <w:r>
        <w:rPr>
          <w:rFonts w:ascii="Arial" w:cs="Arial" w:eastAsia="Arial" w:hAnsi="Arial"/>
          <w:sz w:val="18"/>
          <w:szCs w:val="18"/>
          <w:color w:val="auto"/>
        </w:rPr>
        <w:t>Accounts payable—Westlake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7,855</w:t>
        <w:tab/>
        <w:t>$</w:t>
      </w:r>
      <w:r>
        <w:rPr>
          <w:sz w:val="20"/>
          <w:szCs w:val="20"/>
          <w:color w:val="auto"/>
        </w:rPr>
        <w:tab/>
      </w:r>
      <w:r>
        <w:rPr>
          <w:rFonts w:ascii="Arial" w:cs="Arial" w:eastAsia="Arial" w:hAnsi="Arial"/>
          <w:sz w:val="15"/>
          <w:szCs w:val="15"/>
          <w:color w:val="auto"/>
        </w:rPr>
        <w:t>15,201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40640</wp:posOffset>
            </wp:positionV>
            <wp:extent cx="18859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8 for a description of related party debt payable balances.</w:t>
      </w:r>
    </w:p>
    <w:p>
      <w:pPr>
        <w:spacing w:after="0" w:line="10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Interest on related party debt payable balances, net of capitalized interest, for the years ended December 31, 2020, 2019 and 2018 was $12,038, $19,623 and $21,433, respectively, and is reflected as a component of other income (expense) in the consolidated and statements of operations. Interest capitalized as a component of property, plant and equipment on related party debt was zero for the years ended December 31, 2020 and 2019, respectively. At December 31, 2020 and 2019, accrued interest on related party debt was $2,336 and $4,187, and is reflected as a component of accrued liabilities in the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36"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23495</wp:posOffset>
            </wp:positionV>
            <wp:extent cx="18859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2"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260" w:val="left"/>
          <w:tab w:leader="none" w:pos="9020" w:val="left"/>
          <w:tab w:leader="none" w:pos="9800" w:val="left"/>
          <w:tab w:leader="none" w:pos="10560" w:val="left"/>
        </w:tabs>
        <w:rPr>
          <w:sz w:val="20"/>
          <w:szCs w:val="20"/>
          <w:color w:val="auto"/>
        </w:rPr>
      </w:pPr>
      <w:r>
        <w:rPr>
          <w:rFonts w:ascii="Arial" w:cs="Arial" w:eastAsia="Arial" w:hAnsi="Arial"/>
          <w:sz w:val="18"/>
          <w:szCs w:val="18"/>
          <w:color w:val="auto"/>
        </w:rPr>
        <w:t>Long-term debt payable to 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399,674</w:t>
        <w:tab/>
        <w:t>$</w:t>
      </w:r>
      <w:r>
        <w:rPr>
          <w:sz w:val="20"/>
          <w:szCs w:val="20"/>
          <w:color w:val="auto"/>
        </w:rPr>
        <w:tab/>
      </w:r>
      <w:r>
        <w:rPr>
          <w:rFonts w:ascii="Arial" w:cs="Arial" w:eastAsia="Arial" w:hAnsi="Arial"/>
          <w:sz w:val="16"/>
          <w:szCs w:val="16"/>
          <w:color w:val="auto"/>
        </w:rPr>
        <w:t>399,674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40640</wp:posOffset>
            </wp:positionV>
            <wp:extent cx="18859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04"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OpCo is obligated to Westlake under various long-term and short-term noncancelable operating leases, primarily related to rail car leases and land. Operating lease rentals paid to Westlake for such leases were $3,038, $2,343 and $2,219 for the years ended December 31, 2020, 2019 and 2018, respectively, and reflected in other charges from Westlake that are included in cost of sales.</w:t>
      </w:r>
    </w:p>
    <w:p>
      <w:pPr>
        <w:spacing w:after="0" w:line="4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10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During the years ended December 31, 2020, 2019 and 2018, Westlake accounted for approximately 91.9%, 85.9% and 83.6%, respectively, of the Partnership's net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During the years ended December 31, 2020, 2019 and 2018, the Partnership reimbursed $279, $293 and $418, respectively, to Westlake for certain state tax payments.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10 above for an additional related party transaction.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Commodity Instruments</w:t>
      </w:r>
    </w:p>
    <w:p>
      <w:pPr>
        <w:spacing w:after="0" w:line="17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From time to time, the Partnership uses derivative instruments to reduce price volatility risk on commodities, primarily ethane and ethylene. The Partnership does not use derivative instruments to engage in speculative activities.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Partnership had no derivatives that were designated as fair value hedges during the years ended December 31, 2020, 2019 and 2018.</w:t>
      </w:r>
    </w:p>
    <w:p>
      <w:pPr>
        <w:spacing w:after="0" w:line="18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exposure on commodity derivatives used for price risk management includes the risk that the counterparty will not pay if the market price declines below the established fixed price. In such case, the Partnership would lose the benefit of the derivative differential on the volume of the commodities covered. In any event, the Partnership would continue to receive the market price on the actual volume hedge. The Partnership also bears the risk that it could lose the benefit of market improvements over the fixed derivative price for the term and volume of the derivative instruments (as such improvements would accrue to the benefit of the counterparty). As of December 31, 2020, all non-hedge designated derivatives had been settled. The Partnership had non-hedge designated derivatives covering approximately 39.1 million gallons and 93.0 million pounds of commodities as of December 31, 2019.</w:t>
      </w: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48"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At December 31, 2019, the fair value of these derivative instruments recorded as accrued liabilities and accounts receivable, net were $1,959 and $597, respectively. The loss related to these derivatives recognized in net sales was $805 for the year ended December 31, 2020 and the gain related to these derivatives recognized in net sales was $836 for the year ended December 31, 2019. The gain recognized in cost of sales was $228 for the year ended December 31, 2020 and the loss recognized in cost of sales was $3,335 for the year ended December 31, 2019.</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Partnership's commodity contracts are measured using forward curves supplied by industry recognized sources and unrelated third-party services and classified as Level 2 under the fair value measurement guidance.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Unit-based Compensation</w:t>
      </w:r>
    </w:p>
    <w:p>
      <w:pPr>
        <w:spacing w:after="0" w:line="9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The phantom units along with a corresponding number of DERs were granted to certain non-employee directors of the general partner of the Partnership during the years ended December 31, 2020, 2019 and 2018. These phantom units vest on the first anniversary of the grant date. There were no forfeitures under the Plan during 2020, 2019 and 2018. During each of the year 2020 and 2019, the vesting of 4,638 phantom units were accelerated in connection with the retirement of one of the Partnership's non-employee directors. The total fair value of phantom units that vested during the year ended December 31, 2020 was $260.</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Non-vested phantom unit awards as of December 31, 2020 and 2019 and awards granted during the respective periods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0" w:type="dxa"/>
            <w:vAlign w:val="bottom"/>
          </w:tcPr>
          <w:p>
            <w:pPr>
              <w:ind w:left="5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332"/>
              <w:spacing w:after="0"/>
              <w:rPr>
                <w:sz w:val="20"/>
                <w:szCs w:val="20"/>
                <w:color w:val="auto"/>
              </w:rPr>
            </w:pPr>
            <w:r>
              <w:rPr>
                <w:rFonts w:ascii="Arial" w:cs="Arial" w:eastAsia="Arial" w:hAnsi="Arial"/>
                <w:sz w:val="14"/>
                <w:szCs w:val="14"/>
                <w:b w:val="1"/>
                <w:bCs w:val="1"/>
                <w:color w:val="auto"/>
              </w:rPr>
              <w:t>Weighted</w:t>
            </w:r>
          </w:p>
        </w:tc>
      </w:tr>
      <w:tr>
        <w:trPr>
          <w:trHeight w:val="188"/>
        </w:trPr>
        <w:tc>
          <w:tcPr>
            <w:tcW w:w="79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Average Fair Value</w:t>
            </w:r>
          </w:p>
        </w:tc>
      </w:tr>
      <w:tr>
        <w:trPr>
          <w:trHeight w:val="224"/>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Non-vested balance at December 31, 2018</w:t>
            </w:r>
          </w:p>
        </w:tc>
        <w:tc>
          <w:tcPr>
            <w:tcW w:w="1400" w:type="dxa"/>
            <w:vAlign w:val="bottom"/>
            <w:shd w:val="clear" w:color="auto" w:fill="CCEEFF"/>
          </w:tcPr>
          <w:p>
            <w:pPr>
              <w:jc w:val="center"/>
              <w:ind w:left="694"/>
              <w:spacing w:after="0"/>
              <w:rPr>
                <w:sz w:val="20"/>
                <w:szCs w:val="20"/>
                <w:color w:val="auto"/>
              </w:rPr>
            </w:pPr>
            <w:r>
              <w:rPr>
                <w:rFonts w:ascii="Arial" w:cs="Arial" w:eastAsia="Arial" w:hAnsi="Arial"/>
                <w:sz w:val="18"/>
                <w:szCs w:val="18"/>
                <w:color w:val="auto"/>
                <w:w w:val="90"/>
              </w:rPr>
              <w:t>19,677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r>
      <w:tr>
        <w:trPr>
          <w:trHeight w:val="230"/>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694"/>
              <w:spacing w:after="0"/>
              <w:rPr>
                <w:sz w:val="20"/>
                <w:szCs w:val="20"/>
                <w:color w:val="auto"/>
              </w:rPr>
            </w:pPr>
            <w:r>
              <w:rPr>
                <w:rFonts w:ascii="Arial" w:cs="Arial" w:eastAsia="Arial" w:hAnsi="Arial"/>
                <w:sz w:val="18"/>
                <w:szCs w:val="18"/>
                <w:color w:val="auto"/>
                <w:w w:val="90"/>
              </w:rPr>
              <w:t>18,272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22.03</w:t>
            </w:r>
          </w:p>
        </w:tc>
      </w:tr>
      <w:tr>
        <w:trPr>
          <w:trHeight w:val="229"/>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400" w:type="dxa"/>
            <w:vAlign w:val="bottom"/>
            <w:tcBorders>
              <w:bottom w:val="single" w:sz="8" w:color="auto"/>
            </w:tcBorders>
            <w:shd w:val="clear" w:color="auto" w:fill="CCEEFF"/>
          </w:tcPr>
          <w:p>
            <w:pPr>
              <w:jc w:val="center"/>
              <w:ind w:left="654"/>
              <w:spacing w:after="0"/>
              <w:rPr>
                <w:sz w:val="20"/>
                <w:szCs w:val="20"/>
                <w:color w:val="auto"/>
              </w:rPr>
            </w:pPr>
            <w:r>
              <w:rPr>
                <w:rFonts w:ascii="Arial" w:cs="Arial" w:eastAsia="Arial" w:hAnsi="Arial"/>
                <w:sz w:val="18"/>
                <w:szCs w:val="18"/>
                <w:color w:val="auto"/>
                <w:w w:val="92"/>
              </w:rPr>
              <w:t>(24,315)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23"/>
        </w:trPr>
        <w:tc>
          <w:tcPr>
            <w:tcW w:w="7900" w:type="dxa"/>
            <w:vAlign w:val="bottom"/>
          </w:tcPr>
          <w:p>
            <w:pPr>
              <w:ind w:left="440"/>
              <w:spacing w:after="0"/>
              <w:rPr>
                <w:sz w:val="20"/>
                <w:szCs w:val="20"/>
                <w:color w:val="auto"/>
              </w:rPr>
            </w:pPr>
            <w:r>
              <w:rPr>
                <w:rFonts w:ascii="Arial" w:cs="Arial" w:eastAsia="Arial" w:hAnsi="Arial"/>
                <w:sz w:val="18"/>
                <w:szCs w:val="18"/>
                <w:color w:val="auto"/>
              </w:rPr>
              <w:t>Non-vested balance at December 31, 2019</w:t>
            </w:r>
          </w:p>
        </w:tc>
        <w:tc>
          <w:tcPr>
            <w:tcW w:w="1400" w:type="dxa"/>
            <w:vAlign w:val="bottom"/>
          </w:tcPr>
          <w:p>
            <w:pPr>
              <w:jc w:val="center"/>
              <w:ind w:left="694"/>
              <w:spacing w:after="0"/>
              <w:rPr>
                <w:sz w:val="20"/>
                <w:szCs w:val="20"/>
                <w:color w:val="auto"/>
              </w:rPr>
            </w:pPr>
            <w:r>
              <w:rPr>
                <w:rFonts w:ascii="Arial" w:cs="Arial" w:eastAsia="Arial" w:hAnsi="Arial"/>
                <w:sz w:val="18"/>
                <w:szCs w:val="18"/>
                <w:color w:val="auto"/>
                <w:w w:val="90"/>
              </w:rPr>
              <w:t>13,634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23.24</w:t>
            </w: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Granted</w:t>
            </w:r>
          </w:p>
        </w:tc>
        <w:tc>
          <w:tcPr>
            <w:tcW w:w="1400" w:type="dxa"/>
            <w:vAlign w:val="bottom"/>
            <w:shd w:val="clear" w:color="auto" w:fill="CCEEFF"/>
          </w:tcPr>
          <w:p>
            <w:pPr>
              <w:jc w:val="center"/>
              <w:ind w:left="694"/>
              <w:spacing w:after="0"/>
              <w:rPr>
                <w:sz w:val="20"/>
                <w:szCs w:val="20"/>
                <w:color w:val="auto"/>
              </w:rPr>
            </w:pPr>
            <w:r>
              <w:rPr>
                <w:rFonts w:ascii="Arial" w:cs="Arial" w:eastAsia="Arial" w:hAnsi="Arial"/>
                <w:sz w:val="18"/>
                <w:szCs w:val="18"/>
                <w:color w:val="auto"/>
                <w:w w:val="90"/>
              </w:rPr>
              <w:t>20,439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r>
      <w:tr>
        <w:trPr>
          <w:trHeight w:val="230"/>
        </w:trPr>
        <w:tc>
          <w:tcPr>
            <w:tcW w:w="79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Vested</w:t>
            </w:r>
          </w:p>
        </w:tc>
        <w:tc>
          <w:tcPr>
            <w:tcW w:w="140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92"/>
              </w:rPr>
              <w:t>(13,634)</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19.08</w:t>
            </w:r>
          </w:p>
        </w:tc>
      </w:tr>
      <w:tr>
        <w:trPr>
          <w:trHeight w:val="248"/>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Non-vested balance at December 31, 2020</w:t>
            </w:r>
          </w:p>
        </w:tc>
        <w:tc>
          <w:tcPr>
            <w:tcW w:w="1400" w:type="dxa"/>
            <w:vAlign w:val="bottom"/>
            <w:tcBorders>
              <w:bottom w:val="single" w:sz="8" w:color="auto"/>
            </w:tcBorders>
            <w:shd w:val="clear" w:color="auto" w:fill="CCEEFF"/>
          </w:tcPr>
          <w:p>
            <w:pPr>
              <w:jc w:val="center"/>
              <w:ind w:left="694"/>
              <w:spacing w:after="0"/>
              <w:rPr>
                <w:sz w:val="20"/>
                <w:szCs w:val="20"/>
                <w:color w:val="auto"/>
              </w:rPr>
            </w:pPr>
            <w:r>
              <w:rPr>
                <w:rFonts w:ascii="Arial" w:cs="Arial" w:eastAsia="Arial" w:hAnsi="Arial"/>
                <w:sz w:val="18"/>
                <w:szCs w:val="18"/>
                <w:color w:val="auto"/>
                <w:w w:val="90"/>
              </w:rPr>
              <w:t>20,439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Each phantom unit represents the right to receive, upon vesting, either a cash payment equal to the fair market value of one Partnership common unit or a Partnership common unit. Each DER has distribution rights only so long as the phantom units to which it relates to has not vested or been settled.</w:t>
      </w:r>
    </w:p>
    <w:p>
      <w:pPr>
        <w:spacing w:after="0" w:line="2"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awards, which are classified as liability awards for financial accounting purposes, are re-measured at each reporting date until they vest. The total units available for grant at December 31, 2020 were 1,226,206. The total compensation cost recognized during the years ended December 31, 2020, 2019 and 2018 was $375, $387 and $363, respectively, and is included in selling, general and administrative expenses and classified as a liability in the consolidated financial statements of the Partnership. The unrecognized compensation cost associated with all grants under the Plan at December 31, 2020 was $263 and the weighted average remaining term of the units at December 31, 2020 was 0.58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94"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December 31, 2020 and December 31, 2019 are summarized in the table below.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00" w:type="dxa"/>
            <w:vAlign w:val="bottom"/>
            <w:tcBorders>
              <w:bottom w:val="single" w:sz="8" w:color="auto"/>
            </w:tcBorders>
          </w:tcPr>
          <w:p>
            <w:pPr>
              <w:spacing w:after="0"/>
              <w:rPr>
                <w:sz w:val="16"/>
                <w:szCs w:val="16"/>
                <w:color w:val="auto"/>
              </w:rPr>
            </w:pPr>
          </w:p>
        </w:tc>
      </w:tr>
      <w:tr>
        <w:trPr>
          <w:trHeight w:val="135"/>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520" w:type="dxa"/>
            <w:vAlign w:val="bottom"/>
          </w:tcPr>
          <w:p>
            <w:pPr>
              <w:spacing w:after="0"/>
              <w:rPr>
                <w:sz w:val="11"/>
                <w:szCs w:val="11"/>
                <w:color w:val="auto"/>
              </w:rPr>
            </w:pPr>
          </w:p>
        </w:tc>
        <w:tc>
          <w:tcPr>
            <w:tcW w:w="880" w:type="dxa"/>
            <w:vAlign w:val="bottom"/>
          </w:tcPr>
          <w:p>
            <w:pPr>
              <w:jc w:val="center"/>
              <w:ind w:right="439"/>
              <w:spacing w:after="0" w:line="13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1"/>
                <w:szCs w:val="11"/>
                <w:color w:val="auto"/>
              </w:rPr>
            </w:pPr>
          </w:p>
        </w:tc>
        <w:tc>
          <w:tcPr>
            <w:tcW w:w="900" w:type="dxa"/>
            <w:vAlign w:val="bottom"/>
          </w:tcPr>
          <w:p>
            <w:pPr>
              <w:jc w:val="right"/>
              <w:ind w:right="519"/>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20" w:type="dxa"/>
            <w:vAlign w:val="bottom"/>
          </w:tcPr>
          <w:p>
            <w:pPr>
              <w:spacing w:after="0"/>
              <w:rPr>
                <w:sz w:val="16"/>
                <w:szCs w:val="16"/>
                <w:color w:val="auto"/>
              </w:rPr>
            </w:pPr>
          </w:p>
        </w:tc>
        <w:tc>
          <w:tcPr>
            <w:tcW w:w="1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900" w:type="dxa"/>
            <w:vAlign w:val="bottom"/>
          </w:tcPr>
          <w:p>
            <w:pPr>
              <w:jc w:val="right"/>
              <w:ind w:right="459"/>
              <w:spacing w:after="0"/>
              <w:rPr>
                <w:sz w:val="20"/>
                <w:szCs w:val="20"/>
                <w:color w:val="auto"/>
              </w:rPr>
            </w:pPr>
            <w:r>
              <w:rPr>
                <w:rFonts w:ascii="Arial" w:cs="Arial" w:eastAsia="Arial" w:hAnsi="Arial"/>
                <w:sz w:val="14"/>
                <w:szCs w:val="14"/>
                <w:b w:val="1"/>
                <w:bCs w:val="1"/>
                <w:color w:val="auto"/>
                <w:w w:val="90"/>
              </w:rPr>
              <w:t>Value</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Revolver</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MLP Revolver</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377,055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383,284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379,452</w:t>
            </w: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0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income tax of the Partnership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State and local</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ind w:left="10"/>
              <w:spacing w:after="0"/>
              <w:rPr>
                <w:sz w:val="20"/>
                <w:szCs w:val="20"/>
                <w:color w:val="auto"/>
              </w:rPr>
            </w:pPr>
            <w:r>
              <w:rPr>
                <w:rFonts w:ascii="Arial" w:cs="Arial" w:eastAsia="Arial" w:hAnsi="Arial"/>
                <w:sz w:val="18"/>
                <w:szCs w:val="18"/>
                <w:color w:val="auto"/>
                <w:w w:val="93"/>
              </w:rPr>
              <w:t>671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ind w:left="76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and local</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3"/>
              </w:rPr>
              <w:t>(15)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income tax expense at the U.S. statutory rate to the income tax expense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federal income tax, at statutory rate</w:t>
            </w: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69,425</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State income tax provision, net of federal income tax effect</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Partnership income not subject to entity-level federal income tax</w:t>
            </w:r>
          </w:p>
        </w:tc>
        <w:tc>
          <w:tcPr>
            <w:tcW w:w="1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(69,425)</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provision</w:t>
            </w:r>
          </w:p>
        </w:tc>
        <w:tc>
          <w:tcPr>
            <w:tcW w:w="16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640" w:type="dxa"/>
            <w:vAlign w:val="bottom"/>
            <w:vMerge w:val="restart"/>
          </w:tcPr>
          <w:p>
            <w:pPr>
              <w:jc w:val="right"/>
              <w:ind w:right="930"/>
              <w:spacing w:after="0"/>
              <w:rPr>
                <w:sz w:val="20"/>
                <w:szCs w:val="20"/>
                <w:color w:val="auto"/>
              </w:rPr>
            </w:pPr>
            <w:r>
              <w:rPr>
                <w:rFonts w:ascii="Arial" w:cs="Arial" w:eastAsia="Arial" w:hAnsi="Arial"/>
                <w:sz w:val="18"/>
                <w:szCs w:val="18"/>
                <w:color w:val="auto"/>
              </w:rPr>
              <w:t>66</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Turnaround costs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classifications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deferred tax liability</w:t>
            </w:r>
          </w:p>
        </w:tc>
        <w:tc>
          <w:tcPr>
            <w:tcW w:w="8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8920" w:firstLine="8"/>
        <w:spacing w:after="0" w:line="398" w:lineRule="auto"/>
        <w:tabs>
          <w:tab w:leader="none" w:pos="27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spacing w:after="0" w:line="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Accrued liabilities were $18,768 and $17,507 at December 31, 2020 and 2019, respectively. Accruals related to interest expense, maintenance expenses, taxes, and capital expenditures, which are components of accrued liabilities, were $2,336, $3,905, $6,207 and $2,286 at December 31, 2020, respectively, and were $4,186, $3,225, $2,611 and $2,375 at December 31, 2019, respectively. No other component of accrued liabilities was more than five percent of total current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The change in capital expenditure accrual resulted in a decrease in additions to property, plant and equipment by $2,490 for the year ended December 31, 2020. The change in capital expenditure accrual resulted in a decrease in additions to property, plant and equipment by $232 for the year ended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Income Taxes</w:t>
      </w:r>
    </w:p>
    <w:p>
      <w:pPr>
        <w:spacing w:after="0" w:line="10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Interest paid by the Partnership, net of interest capitalized, was $13,887, $20,837 and $20,551 for the years ended December 31, 2020, 2019 and 2018, respectively. Income tax paid by the Partnership was $709, $655 and $711 for the years ended December 31, 2020, 2019 and 2018, respectively, of which $430, $362 and $293 was paid directly to the tax authorities for the years ended December 31, 2020, 2019 and 2018, and $279, $293 and $418 was paid to Westlake as reimbursements for the years ended December 31, 2020, 2019 and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08"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1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WESTLAKE CHEMICAL PARTNERS LP</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Partnership has various purchase commitments for its capital projects and for materials, supplies and services incident to the ordinary conduct of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Information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1"/>
                <w:szCs w:val="11"/>
                <w:color w:val="auto"/>
              </w:rPr>
            </w:pPr>
          </w:p>
        </w:tc>
        <w:tc>
          <w:tcPr>
            <w:tcW w:w="12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1"/>
                <w:szCs w:val="11"/>
                <w:color w:val="auto"/>
              </w:rPr>
            </w:pPr>
          </w:p>
        </w:tc>
        <w:tc>
          <w:tcPr>
            <w:tcW w:w="120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245,652</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103,548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100,391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84,914</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77,609</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93,770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91,848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75,124</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Westlake Chemical Partners LP</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line="230" w:lineRule="exact"/>
              <w:rPr>
                <w:sz w:val="20"/>
                <w:szCs w:val="20"/>
                <w:color w:val="auto"/>
              </w:rPr>
            </w:pPr>
            <w:r>
              <w:rPr>
                <w:rFonts w:ascii="Arial" w:cs="Arial" w:eastAsia="Arial" w:hAnsi="Arial"/>
                <w:sz w:val="18"/>
                <w:szCs w:val="18"/>
                <w:color w:val="auto"/>
              </w:rPr>
              <w:t>Net income attributable to Westlake Chemical Partners LP</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earnings per common unitholder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176"/>
        </w:trPr>
        <w:tc>
          <w:tcPr>
            <w:tcW w:w="5380" w:type="dxa"/>
            <w:vAlign w:val="bottom"/>
          </w:tcPr>
          <w:p>
            <w:pPr>
              <w:ind w:left="160"/>
              <w:spacing w:after="0" w:line="176" w:lineRule="exact"/>
              <w:rPr>
                <w:sz w:val="20"/>
                <w:szCs w:val="20"/>
                <w:color w:val="auto"/>
              </w:rPr>
            </w:pPr>
            <w:r>
              <w:rPr>
                <w:rFonts w:ascii="Arial" w:cs="Arial" w:eastAsia="Arial" w:hAnsi="Arial"/>
                <w:sz w:val="18"/>
                <w:szCs w:val="18"/>
                <w:color w:val="auto"/>
              </w:rPr>
              <w:t>Weighted average limited partner units outstanding (basic</w:t>
            </w: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35,194,545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35,194,545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35,194,545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35,197,435</w:t>
            </w:r>
          </w:p>
        </w:tc>
        <w:tc>
          <w:tcPr>
            <w:tcW w:w="0" w:type="dxa"/>
            <w:vAlign w:val="bottom"/>
          </w:tcPr>
          <w:p>
            <w:pPr>
              <w:spacing w:after="0"/>
              <w:rPr>
                <w:sz w:val="1"/>
                <w:szCs w:val="1"/>
                <w:color w:val="auto"/>
              </w:rPr>
            </w:pPr>
          </w:p>
        </w:tc>
      </w:tr>
      <w:tr>
        <w:trPr>
          <w:trHeight w:val="230"/>
        </w:trPr>
        <w:tc>
          <w:tcPr>
            <w:tcW w:w="5380" w:type="dxa"/>
            <w:vAlign w:val="bottom"/>
          </w:tcPr>
          <w:p>
            <w:pPr>
              <w:ind w:left="300"/>
              <w:spacing w:after="0"/>
              <w:rPr>
                <w:sz w:val="20"/>
                <w:szCs w:val="20"/>
                <w:color w:val="auto"/>
              </w:rPr>
            </w:pPr>
            <w:r>
              <w:rPr>
                <w:rFonts w:ascii="Arial" w:cs="Arial" w:eastAsia="Arial" w:hAnsi="Arial"/>
                <w:sz w:val="18"/>
                <w:szCs w:val="18"/>
                <w:color w:val="auto"/>
              </w:rPr>
              <w:t>and diluted)</w:t>
            </w:r>
          </w:p>
        </w:tc>
        <w:tc>
          <w:tcPr>
            <w:tcW w:w="2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1"/>
                <w:szCs w:val="11"/>
                <w:color w:val="auto"/>
              </w:rPr>
            </w:pPr>
          </w:p>
        </w:tc>
        <w:tc>
          <w:tcPr>
            <w:tcW w:w="12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1"/>
                <w:szCs w:val="11"/>
                <w:color w:val="auto"/>
              </w:rPr>
            </w:pPr>
          </w:p>
        </w:tc>
        <w:tc>
          <w:tcPr>
            <w:tcW w:w="120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272,798</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91,958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93,219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103,597</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95,753</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82,479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91,910</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Westlake Chemical Partners LP</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line="230" w:lineRule="exact"/>
              <w:rPr>
                <w:sz w:val="20"/>
                <w:szCs w:val="20"/>
                <w:color w:val="auto"/>
              </w:rPr>
            </w:pPr>
            <w:r>
              <w:rPr>
                <w:rFonts w:ascii="Arial" w:cs="Arial" w:eastAsia="Arial" w:hAnsi="Arial"/>
                <w:sz w:val="18"/>
                <w:szCs w:val="18"/>
                <w:color w:val="auto"/>
              </w:rPr>
              <w:t>Net income attributable to Westlake Chemical Partners LP</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earnings per common unitholder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175"/>
        </w:trPr>
        <w:tc>
          <w:tcPr>
            <w:tcW w:w="5380" w:type="dxa"/>
            <w:vAlign w:val="bottom"/>
          </w:tcPr>
          <w:p>
            <w:pPr>
              <w:ind w:left="160"/>
              <w:spacing w:after="0" w:line="176" w:lineRule="exact"/>
              <w:rPr>
                <w:sz w:val="20"/>
                <w:szCs w:val="20"/>
                <w:color w:val="auto"/>
              </w:rPr>
            </w:pPr>
            <w:r>
              <w:rPr>
                <w:rFonts w:ascii="Arial" w:cs="Arial" w:eastAsia="Arial" w:hAnsi="Arial"/>
                <w:sz w:val="18"/>
                <w:szCs w:val="18"/>
                <w:color w:val="auto"/>
              </w:rPr>
              <w:t>Weighted average limited partner units outstanding (basic</w:t>
            </w: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32,345,398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35,188,189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35,188,189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35,191,487</w:t>
            </w:r>
          </w:p>
        </w:tc>
        <w:tc>
          <w:tcPr>
            <w:tcW w:w="0" w:type="dxa"/>
            <w:vAlign w:val="bottom"/>
          </w:tcPr>
          <w:p>
            <w:pPr>
              <w:spacing w:after="0"/>
              <w:rPr>
                <w:sz w:val="1"/>
                <w:szCs w:val="1"/>
                <w:color w:val="auto"/>
              </w:rPr>
            </w:pPr>
          </w:p>
        </w:tc>
      </w:tr>
      <w:tr>
        <w:trPr>
          <w:trHeight w:val="230"/>
        </w:trPr>
        <w:tc>
          <w:tcPr>
            <w:tcW w:w="5380" w:type="dxa"/>
            <w:vAlign w:val="bottom"/>
          </w:tcPr>
          <w:p>
            <w:pPr>
              <w:ind w:left="300"/>
              <w:spacing w:after="0"/>
              <w:rPr>
                <w:sz w:val="20"/>
                <w:szCs w:val="20"/>
                <w:color w:val="auto"/>
              </w:rPr>
            </w:pPr>
            <w:r>
              <w:rPr>
                <w:rFonts w:ascii="Arial" w:cs="Arial" w:eastAsia="Arial" w:hAnsi="Arial"/>
                <w:sz w:val="18"/>
                <w:szCs w:val="18"/>
                <w:color w:val="auto"/>
              </w:rPr>
              <w:t>and diluted)</w:t>
            </w:r>
          </w:p>
        </w:tc>
        <w:tc>
          <w:tcPr>
            <w:tcW w:w="2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180" w:hanging="412"/>
        <w:spacing w:after="0" w:line="263" w:lineRule="auto"/>
        <w:tabs>
          <w:tab w:leader="none" w:pos="41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Basic and diluted earnings per common unit ("EPU") for each quarter is computed using the weighted average units outstanding during that quarter, while EPU for the year is computed using the weighted average units outstanding for the year. As a result, the sum of the EPU for each of the four quarters may not equal the EPU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Senior Vice President and Chief Financial Officer concluded that our disclosure controls and procedures were effective as of December 31, 2020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8" w:lineRule="exact"/>
        <w:rPr>
          <w:sz w:val="20"/>
          <w:szCs w:val="20"/>
          <w:color w:val="auto"/>
        </w:rPr>
      </w:pPr>
    </w:p>
    <w:p>
      <w:pPr>
        <w:ind w:right="80" w:firstLine="405"/>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Management's report on internal control over financial reporting appears on page </w:t>
      </w:r>
      <w:hyperlink w:anchor="page49">
        <w:r>
          <w:rPr>
            <w:rFonts w:ascii="Arial" w:cs="Arial" w:eastAsia="Arial" w:hAnsi="Arial"/>
            <w:sz w:val="18"/>
            <w:szCs w:val="18"/>
            <w:color w:val="auto"/>
          </w:rPr>
          <w:t xml:space="preserve">44 </w:t>
        </w:r>
      </w:hyperlink>
      <w:r>
        <w:rPr>
          <w:rFonts w:ascii="Arial" w:cs="Arial" w:eastAsia="Arial" w:hAnsi="Arial"/>
          <w:sz w:val="18"/>
          <w:szCs w:val="18"/>
          <w:color w:val="auto"/>
        </w:rPr>
        <w:t xml:space="preserve">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2020, as stated in their report that appears on page </w:t>
      </w:r>
      <w:hyperlink w:anchor="page49">
        <w:r>
          <w:rPr>
            <w:rFonts w:ascii="Arial" w:cs="Arial" w:eastAsia="Arial" w:hAnsi="Arial"/>
            <w:sz w:val="18"/>
            <w:szCs w:val="18"/>
            <w:color w:val="auto"/>
          </w:rPr>
          <w:t xml:space="preserve">45 </w:t>
        </w:r>
      </w:hyperlink>
      <w:r>
        <w:rPr>
          <w:rFonts w:ascii="Arial" w:cs="Arial" w:eastAsia="Arial" w:hAnsi="Arial"/>
          <w:sz w:val="18"/>
          <w:szCs w:val="18"/>
          <w:color w:val="auto"/>
        </w:rPr>
        <w:t>of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2020,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are managed and operated by the board of directors and executive officers of our general partner, Westlake Chemical Partners GP LLC, a wholly-owned subsidiary of Westlake. As a result of owning our general partner, Westlake has the right to appoint all members of the board of directors, including at least three directors meeting the independence standards established by the Exchange Act and the NYSE.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34"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Our general partner has seven directors, three of whom are independent as defined under the standards established by the NYSE and the Exchange Act. The NYSE does not require a listed, publicly-traded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03"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03"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 reimburse our general partner and its affiliates, including Westlake, for all expenses they incur and payments they make on our behalf. The Partnership Agreement does not set a limit on the amount of expenses for which our general partner and its affiliates may be reimbursed. For the year ended December 31, 2020, we paid approximately $146.7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22"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10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following table shows information for the executive officers and directors of our general partner as of February 28, 2021. Directors hold office until their successors have been elected or qualified or until the earlier of their death, resignation, removal or disqualification. Executive officers serve at the discretion of the board. The President, Chief Executive Officer and Director and the Chairman of the Board of Directors are brothers. Otherwise, there are no familial relationships among any of our general partner's directors or executive officers. Some of the directors and most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the Partnership Agreement.</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Age (as of February 28,</w:t>
            </w:r>
          </w:p>
        </w:tc>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88"/>
        </w:trPr>
        <w:tc>
          <w:tcPr>
            <w:tcW w:w="3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2021)</w:t>
            </w:r>
          </w:p>
        </w:tc>
        <w:tc>
          <w:tcPr>
            <w:tcW w:w="100" w:type="dxa"/>
            <w:vAlign w:val="bottom"/>
            <w:tcBorders>
              <w:bottom w:val="single" w:sz="8" w:color="CCEEFF"/>
            </w:tcBorders>
          </w:tcPr>
          <w:p>
            <w:pPr>
              <w:spacing w:after="0"/>
              <w:rPr>
                <w:sz w:val="16"/>
                <w:szCs w:val="16"/>
                <w:color w:val="auto"/>
              </w:rPr>
            </w:pPr>
          </w:p>
        </w:tc>
        <w:tc>
          <w:tcPr>
            <w:tcW w:w="5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Albert Chao</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Director</w:t>
            </w: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James Chao</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73</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Chairman of the Board of Directors</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 Steven Bender</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Chief Financial Officer and Director</w:t>
            </w:r>
          </w:p>
        </w:tc>
        <w:tc>
          <w:tcPr>
            <w:tcW w:w="0" w:type="dxa"/>
            <w:vAlign w:val="bottom"/>
          </w:tcPr>
          <w:p>
            <w:pPr>
              <w:spacing w:after="0"/>
              <w:rPr>
                <w:sz w:val="1"/>
                <w:szCs w:val="1"/>
                <w:color w:val="auto"/>
              </w:rPr>
            </w:pPr>
          </w:p>
        </w:tc>
      </w:tr>
      <w:tr>
        <w:trPr>
          <w:trHeight w:val="166"/>
        </w:trPr>
        <w:tc>
          <w:tcPr>
            <w:tcW w:w="3860" w:type="dxa"/>
            <w:vAlign w:val="bottom"/>
            <w:gridSpan w:val="2"/>
            <w:vMerge w:val="restart"/>
          </w:tcPr>
          <w:p>
            <w:pPr>
              <w:ind w:left="20"/>
              <w:spacing w:after="0"/>
              <w:rPr>
                <w:sz w:val="20"/>
                <w:szCs w:val="20"/>
                <w:color w:val="auto"/>
              </w:rPr>
            </w:pPr>
            <w:r>
              <w:rPr>
                <w:rFonts w:ascii="Arial" w:cs="Arial" w:eastAsia="Arial" w:hAnsi="Arial"/>
                <w:sz w:val="16"/>
                <w:szCs w:val="16"/>
                <w:color w:val="auto"/>
              </w:rPr>
              <w:t>L. Benjamin Ederington</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tcPr>
          <w:p>
            <w:pPr>
              <w:spacing w:after="0"/>
              <w:rPr>
                <w:sz w:val="14"/>
                <w:szCs w:val="14"/>
                <w:color w:val="auto"/>
              </w:rPr>
            </w:pPr>
          </w:p>
        </w:tc>
        <w:tc>
          <w:tcPr>
            <w:tcW w:w="5680" w:type="dxa"/>
            <w:vAlign w:val="bottom"/>
          </w:tcPr>
          <w:p>
            <w:pPr>
              <w:ind w:left="20"/>
              <w:spacing w:after="0" w:line="166" w:lineRule="exact"/>
              <w:rPr>
                <w:sz w:val="20"/>
                <w:szCs w:val="20"/>
                <w:color w:val="auto"/>
              </w:rPr>
            </w:pPr>
            <w:r>
              <w:rPr>
                <w:rFonts w:ascii="Arial" w:cs="Arial" w:eastAsia="Arial" w:hAnsi="Arial"/>
                <w:sz w:val="16"/>
                <w:szCs w:val="16"/>
                <w:color w:val="auto"/>
                <w:w w:val="99"/>
              </w:rPr>
              <w:t xml:space="preserve">Senior Vice President, General Counsel, </w:t>
            </w:r>
            <w:r>
              <w:rPr>
                <w:rFonts w:ascii="Arial" w:cs="Arial" w:eastAsia="Arial" w:hAnsi="Arial"/>
                <w:sz w:val="16"/>
                <w:szCs w:val="16"/>
                <w:color w:val="008080"/>
                <w:w w:val="99"/>
              </w:rPr>
              <w:t>Chief Administrative Officer, Corporate</w:t>
            </w:r>
          </w:p>
        </w:tc>
        <w:tc>
          <w:tcPr>
            <w:tcW w:w="0" w:type="dxa"/>
            <w:vAlign w:val="bottom"/>
          </w:tcPr>
          <w:p>
            <w:pPr>
              <w:spacing w:after="0"/>
              <w:rPr>
                <w:sz w:val="1"/>
                <w:szCs w:val="1"/>
                <w:color w:val="auto"/>
              </w:rPr>
            </w:pPr>
          </w:p>
        </w:tc>
      </w:tr>
      <w:tr>
        <w:trPr>
          <w:trHeight w:val="209"/>
        </w:trPr>
        <w:tc>
          <w:tcPr>
            <w:tcW w:w="38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Secretary and Director</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Tom J. Janssens</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w:t>
            </w:r>
            <w:r>
              <w:rPr>
                <w:rFonts w:ascii="Arial" w:cs="Arial" w:eastAsia="Arial" w:hAnsi="Arial"/>
                <w:sz w:val="16"/>
                <w:szCs w:val="16"/>
                <w:color w:val="008080"/>
              </w:rPr>
              <w:t>, Olefins, Feedstocks &amp; Energy</w:t>
            </w:r>
          </w:p>
        </w:tc>
        <w:tc>
          <w:tcPr>
            <w:tcW w:w="0" w:type="dxa"/>
            <w:vAlign w:val="bottom"/>
          </w:tcPr>
          <w:p>
            <w:pPr>
              <w:spacing w:after="0"/>
              <w:rPr>
                <w:sz w:val="1"/>
                <w:szCs w:val="1"/>
                <w:color w:val="auto"/>
              </w:rPr>
            </w:pPr>
          </w:p>
        </w:tc>
      </w:tr>
      <w:tr>
        <w:trPr>
          <w:trHeight w:val="22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Lawrence Teel</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62</w:t>
            </w:r>
          </w:p>
        </w:tc>
        <w:tc>
          <w:tcPr>
            <w:tcW w:w="1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 xml:space="preserve">Executive Vice President </w:t>
            </w:r>
            <w:r>
              <w:rPr>
                <w:rFonts w:ascii="Arial" w:cs="Arial" w:eastAsia="Arial" w:hAnsi="Arial"/>
                <w:sz w:val="16"/>
                <w:szCs w:val="16"/>
                <w:color w:val="008080"/>
              </w:rPr>
              <w:t>and Special Advisor to the CEO</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John S. Zoeller</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and Chief Accounting Officer</w:t>
            </w: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G. Stephen Finley</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70</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Angela Minas</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Randy Woelfel</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65</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b w:val="1"/>
          <w:bCs w:val="1"/>
          <w:i w:val="1"/>
          <w:iCs w:val="1"/>
          <w:color w:val="auto"/>
        </w:rPr>
        <w:t>Albert Chao</w:t>
      </w:r>
      <w:r>
        <w:rPr>
          <w:rFonts w:ascii="Arial" w:cs="Arial" w:eastAsia="Arial" w:hAnsi="Arial"/>
          <w:sz w:val="18"/>
          <w:szCs w:val="18"/>
          <w:color w:val="auto"/>
        </w:rPr>
        <w:t>. Mr. Chao has been our general partner's President and Chief Executive Officer and a director since our general partner's formation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2014. Additionally, Mr. Chao has been Westlake's President since May 1996 and a director since June 2003. Mr. Chao became Westlake's Chief Executive Officer in July 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emeritus of Rice University. Mr. Chao received a bachelor's degree from Brandeis University and an M.B.A. from Columbia University.</w:t>
      </w:r>
    </w:p>
    <w:p>
      <w:pPr>
        <w:spacing w:after="0" w:line="13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b w:val="1"/>
          <w:bCs w:val="1"/>
          <w:i w:val="1"/>
          <w:iCs w:val="1"/>
          <w:color w:val="auto"/>
        </w:rPr>
        <w:t>James Chao</w:t>
      </w:r>
      <w:r>
        <w:rPr>
          <w:rFonts w:ascii="Arial" w:cs="Arial" w:eastAsia="Arial" w:hAnsi="Arial"/>
          <w:sz w:val="17"/>
          <w:szCs w:val="17"/>
          <w:color w:val="auto"/>
        </w:rPr>
        <w:t>. Mr. Chao has been a director since our general partner's formation in March 2014 and Chairman of the Board since July 2014. Mr. Chao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also been Westlake's Chairman of the Board since July 2004 and became a director in June 2003. From May 1996 to July 2004, he served as Westlake's Vice Chairman. Mr. Chao has over 45 years of global experience in the chemical industry.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received his B.S. degree from the Massachusetts Institute of Technology and an M.B.A. from Columbia University.</w:t>
      </w:r>
    </w:p>
    <w:p>
      <w:pPr>
        <w:spacing w:after="0" w:line="123"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b w:val="1"/>
          <w:bCs w:val="1"/>
          <w:i w:val="1"/>
          <w:iCs w:val="1"/>
          <w:color w:val="auto"/>
        </w:rPr>
        <w:t>M. Steven Bender</w:t>
      </w:r>
      <w:r>
        <w:rPr>
          <w:rFonts w:ascii="Arial" w:cs="Arial" w:eastAsia="Arial" w:hAnsi="Arial"/>
          <w:sz w:val="16"/>
          <w:szCs w:val="16"/>
          <w:color w:val="auto"/>
        </w:rPr>
        <w:t>. Mr. Bender has been our general partner's Executive Vice President and Chief Financial Officer since February 2021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since our general partner's formation in March 2014. Mr. Bender served as our general partner's Senior Vice President and Chief Financial Officer from March 2014 to February 2021 and as Treasurer from April 2015 to February 2019. Mr. Bender has also been Westlake's Executive Vice President and Chief Financial Officer since July 2017. From February 2008 to July 2017, Mr. Bender served as Westlake's Senior Vice President and Chief Financial Officer. In addition, Mr. Bender served as Westlake's Treasurer from July 2011 to April 2017, a position he also held from February 2008 until December 2010. From February 2007 to February 2008, Mr. Bender served as Westlake's Vice President, Chief Financial Officer and Treasurer and, from June 2005 to February 2007, he was its Vice President and Treasurer.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3" w:lineRule="auto"/>
        <w:rPr>
          <w:sz w:val="20"/>
          <w:szCs w:val="20"/>
          <w:color w:val="auto"/>
        </w:rPr>
      </w:pPr>
      <w:r>
        <w:rPr>
          <w:rFonts w:ascii="Arial" w:cs="Arial" w:eastAsia="Arial" w:hAnsi="Arial"/>
          <w:sz w:val="17"/>
          <w:szCs w:val="17"/>
          <w:b w:val="1"/>
          <w:bCs w:val="1"/>
          <w:i w:val="1"/>
          <w:iCs w:val="1"/>
          <w:color w:val="auto"/>
        </w:rPr>
        <w:t>L. Benjamin Ederington</w:t>
      </w:r>
      <w:r>
        <w:rPr>
          <w:rFonts w:ascii="Arial" w:cs="Arial" w:eastAsia="Arial" w:hAnsi="Arial"/>
          <w:sz w:val="17"/>
          <w:szCs w:val="17"/>
          <w:color w:val="auto"/>
        </w:rPr>
        <w:t>. Mr. Ederington has been our general partner's Senior Vice President, General Counsel, Chief Administrative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Secretary since February 2021 and a director since our general partner's formation in March 2014. Mr. Ederington served as our general partner’s Vice President, General Counsel and Secretary from March 2014 to February 2021. Mr. Ederington has also been Westlake's Senior Vice President, General Counsel, Chief Administrative Officer and Corporate Secretary since July 2017. From December 2015 to July 2017, Mr. Ederington served as Westlake's Vice President, General Counsel, Chief Administrative Officer and Corporate Secretary and, from October 2013 to December 2015, he was its Vice President, General Counsel and Corporate Secretary.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He began his legal career more than 20 years ago at the law firm of Steptoe &amp; Johnson, LLP. Mr. Ederington holds a B.A. from Yale University and received his J.D. from Harvard University.</w:t>
      </w:r>
    </w:p>
    <w:p>
      <w:pPr>
        <w:spacing w:after="0" w:line="130"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b w:val="1"/>
          <w:bCs w:val="1"/>
          <w:i w:val="1"/>
          <w:iCs w:val="1"/>
          <w:color w:val="auto"/>
        </w:rPr>
        <w:t xml:space="preserve">G. Stephen Finley. </w:t>
      </w:r>
      <w:r>
        <w:rPr>
          <w:rFonts w:ascii="Arial" w:cs="Arial" w:eastAsia="Arial" w:hAnsi="Arial"/>
          <w:sz w:val="17"/>
          <w:szCs w:val="17"/>
          <w:color w:val="auto"/>
        </w:rPr>
        <w:t>Mr. Finley has been a director of our general partner since March 2020 and serves on the audit and conflicts committees.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Finley was the Senior Vice President, Finance &amp; Administration and Chief Financial Officer of Baker Hughes Incorporated from April 1999 until his retirement in April 2006. Prior to that, from February 1982 to April 1999, Mr. Finley held various financial and administrative management positions with Baker Hughes. Mr. Finley has served on the Board of Directors of Newpark Resources, Inc. since June 2007. From November 2006 to April 2018, he served on the Board of Directors of Archrock GP, LLC (previously known as Exterran GP, LLC), the general partner of Archrock Partners, L.P. He also served on the Board of Directors of Columbia Pipeline Partners LP from March 2015 to February 2017, Microseismic, Inc. from April 2012 to December 2014, Total Safety U.S., Inc. from December 2006 until November 2011, and Ocean Rig ASA from June 2006 to June 2008. Mr. Finley received a Bachelor of Science degree in Accounting from Indiana State University.</w:t>
      </w:r>
    </w:p>
    <w:p>
      <w:pPr>
        <w:spacing w:after="0" w:line="124"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b w:val="1"/>
          <w:bCs w:val="1"/>
          <w:i w:val="1"/>
          <w:iCs w:val="1"/>
          <w:color w:val="auto"/>
        </w:rPr>
        <w:t xml:space="preserve">Tom J. Janssens. </w:t>
      </w:r>
      <w:r>
        <w:rPr>
          <w:rFonts w:ascii="Arial" w:cs="Arial" w:eastAsia="Arial" w:hAnsi="Arial"/>
          <w:sz w:val="17"/>
          <w:szCs w:val="17"/>
          <w:color w:val="auto"/>
        </w:rPr>
        <w:t>Mr. Janssens has been our general partner’s Vice President, Olefins, Feedstocks &amp; Energy since February 2021. Mr. Janssens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also been Westlake’s Vice President, Olefins, Feedstocks &amp; Energy since January 2021. From December 2019 to December 2020, he served as Westlake’s Vice President, Olefins &amp; Logistics; from July 2017 to November 2019, he was Westlake’s Vice President, Corporate Development, Logistics &amp; IT; from January 2016 to June 2017, he was Westlake’s Vice President, Logistics &amp; IT; and, from October 2015 to December 2015, he was Westlake’s Vice President, Logistics &amp; Business Process Improvement. Prior to joining Westlake, Mr. Janssens was a consultant, from September 2002 to June 2009, and later, a Partner, from July 2009 to September 2015, with McKinsey &amp; Company, where he advised energy and chemicals clients on strategic, commercial, operational and business process improvement projects. He began his career with Shell International in 1991, where he held a variety of commercial, engineering and planning roles. Mr. Janssens holds a MSc in Chemical Engineering from Eindhoven University of Technology and an MBA from the University of Chicago.</w:t>
      </w:r>
    </w:p>
    <w:p>
      <w:pPr>
        <w:spacing w:after="0" w:line="127" w:lineRule="exact"/>
        <w:rPr>
          <w:sz w:val="20"/>
          <w:szCs w:val="20"/>
          <w:color w:val="auto"/>
        </w:rPr>
      </w:pPr>
    </w:p>
    <w:p>
      <w:pPr>
        <w:ind w:firstLine="405"/>
        <w:spacing w:after="0" w:line="270" w:lineRule="auto"/>
        <w:rPr>
          <w:sz w:val="20"/>
          <w:szCs w:val="20"/>
          <w:color w:val="auto"/>
        </w:rPr>
      </w:pPr>
      <w:r>
        <w:rPr>
          <w:rFonts w:ascii="Arial" w:cs="Arial" w:eastAsia="Arial" w:hAnsi="Arial"/>
          <w:sz w:val="16"/>
          <w:szCs w:val="16"/>
          <w:b w:val="1"/>
          <w:bCs w:val="1"/>
          <w:i w:val="1"/>
          <w:iCs w:val="1"/>
          <w:color w:val="auto"/>
        </w:rPr>
        <w:t xml:space="preserve">Angela A. Minas. </w:t>
      </w:r>
      <w:r>
        <w:rPr>
          <w:rFonts w:ascii="Arial" w:cs="Arial" w:eastAsia="Arial" w:hAnsi="Arial"/>
          <w:sz w:val="16"/>
          <w:szCs w:val="16"/>
          <w:color w:val="auto"/>
        </w:rPr>
        <w:t>Ms. Minas has been a director of our general partner since October 2016 and serves on the audit and conflicts committees.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2014 to March 2020, she served on the board of directors and as the chair of the audit committee of the general partner of CNX Midstream Partners LP. From March 2018 to December 2019, she served on the board of directors of Weatherford International plc, and, from December 2013 to March 2018, she served on the board of directors of the general partner of Ciner Resources LP. Ms. Minas served as Vice President and Chief Financial Officer for DCP Midstream Partners from September 2008 to May 2012. She served as Chief Financial Officer, Chief Accounting Officer and Treasurer of Constellation Energy Partners from September 2006 to March 2008. Prior to her experience in the MLP sector, Ms. Minas served as Senior Vice President, Global Consulting and Vice President, US Consulting for Science Applications International Corp. She was a Partner with Arthur Andersen LLP from 1997 through 2002. Ms. Minas is a graduate of Rice University, where she earned a Bachelor of Arts in Managerial Studies and a Master of Business Administration with a concentration in Finance and Accounting. Ms. Minas currently serves as a member of the Council of Overseers of the Rice University Graduate Business School and is an NACD (National Association of Corporate Directors) Leadership Fellow.</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b w:val="1"/>
          <w:bCs w:val="1"/>
          <w:i w:val="1"/>
          <w:iCs w:val="1"/>
          <w:color w:val="auto"/>
        </w:rPr>
        <w:t>Lawrence (Skip) Teel</w:t>
      </w:r>
      <w:r>
        <w:rPr>
          <w:rFonts w:ascii="Arial" w:cs="Arial" w:eastAsia="Arial" w:hAnsi="Arial"/>
          <w:sz w:val="18"/>
          <w:szCs w:val="18"/>
          <w:color w:val="auto"/>
        </w:rPr>
        <w:t>. Mr. Teel has been our general partner's Executive Vice President and Special Advisor to the CEO since February 2021.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Teel served as our general partner’s Senior Vice President, Olefins from July 2014 to February 2021. Mr. Teel has also been Westlake's Executive Vice President and Special Advisor to the CEO since January 2021. From July 2017 to December 2020, he served as Westlake’s Executive Vice President, Olefins; from July 2014 to July 2017, he was Westlake's Senior Vice President, Olefins; and, from July 2012 to July 2014, he was Westlake's Vice President, Olefins. Mr. Teel joined Westlake in September 2009 as Director, Olefins and Feedstock after a 23-year career with Lyondell Chemical Company where he served as the Vice President, Refining from August 2006 to May 2008. From 2001 to 2006, Mr. Teel held the position of Director, Corporate Planning and Business Development at Lyondell Chemical Company. During his career, he has held a variety of marketing, operations and general management assignments. Mr. Teel received a B.S. in Chemical Engineering from New Mexico State University and an M.S. in Finance from the University of Houston.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b w:val="1"/>
          <w:bCs w:val="1"/>
          <w:i w:val="1"/>
          <w:iCs w:val="1"/>
          <w:color w:val="auto"/>
        </w:rPr>
        <w:t>Randy G. Woelfel</w:t>
      </w:r>
      <w:r>
        <w:rPr>
          <w:rFonts w:ascii="Arial" w:cs="Arial" w:eastAsia="Arial" w:hAnsi="Arial"/>
          <w:sz w:val="16"/>
          <w:szCs w:val="16"/>
          <w:color w:val="auto"/>
        </w:rPr>
        <w:t>. Mr. Woelfel has been a director of our general partner since November 2019 and serves on the audit and conflicts committees.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March 2013, Mr. Woelfel has served as a director of Black &amp; Veatch Holding Company. Mr. Woelfel was Chief Executive Officer and a director of NOVA Chemicals Corporation from November 2009 until May 2014. Prior to joining NOVA, Mr. Woelfel was Managing Director of Energy for the Houston Technology Center and President of Cereplast, Inc. He began his career with Shell Oil Company in 1977. While at Shell Oil and affiliated companies, he served in a variety of senior positions, including President of Basell International, President of Basell North America and as a board member of numerous Basell International petrochemical ventures. Since 2014, Mr. Woelfel has provided services as a business consultant through Woelfel Associates Inc., a company that provides strategic advice to boards of directors and businesses. Mr. Woelfel received a Bachelor of Science degree in Chemical Engineering from Rice University and a Master's degree in Management from the Massachusetts Institute of Technology.</w:t>
      </w:r>
    </w:p>
    <w:p>
      <w:pPr>
        <w:spacing w:after="0" w:line="11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b w:val="1"/>
          <w:bCs w:val="1"/>
          <w:i w:val="1"/>
          <w:iCs w:val="1"/>
          <w:color w:val="auto"/>
        </w:rPr>
        <w:t xml:space="preserve">John S. Zoeller. </w:t>
      </w:r>
      <w:r>
        <w:rPr>
          <w:rFonts w:ascii="Arial" w:cs="Arial" w:eastAsia="Arial" w:hAnsi="Arial"/>
          <w:sz w:val="18"/>
          <w:szCs w:val="18"/>
          <w:color w:val="auto"/>
        </w:rPr>
        <w:t>Mr. Zoeller has been our general partner’s Vice President and Chief Accounting Officer since March 2020. Mr. Zoeller has also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Westlake’s Vice President and Chief Accounting Officer since March 2020. From August 2018 to March 2020, he served as Westlake’s Vice President and Corporate Controller</w:t>
      </w:r>
      <w:r>
        <w:rPr>
          <w:rFonts w:ascii="Arial" w:cs="Arial" w:eastAsia="Arial" w:hAnsi="Arial"/>
          <w:sz w:val="18"/>
          <w:szCs w:val="18"/>
          <w:b w:val="1"/>
          <w:bCs w:val="1"/>
          <w:color w:val="auto"/>
        </w:rPr>
        <w:t>.</w:t>
      </w:r>
      <w:r>
        <w:rPr>
          <w:rFonts w:ascii="Arial" w:cs="Arial" w:eastAsia="Arial" w:hAnsi="Arial"/>
          <w:sz w:val="18"/>
          <w:szCs w:val="18"/>
          <w:color w:val="auto"/>
        </w:rPr>
        <w:t xml:space="preserve"> Mr. Zoeller joined Westlake with over 19 years of public accounting experience, the majority of which was spent at KPMG LLP, where he was responsible for clients in the chemicals, oilfield services and oil/gas exploration and production industries. Mr. Zoeller held a variety of senior accounting positions at KPMG, including most recently as Partner, Audit from October 2011 to August 2018. He began his career with Arthur Andersen LLP in 1998. Mr. Zoeller holds a Bachelor of Accounting degree and a Master of Accounting degree from the University of Mississippi. He is a Certified Public Accountant.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In accordance with the rules of the NYSE, the board of directors of our general partner currently has three independent directors. The board of directors of our general partner has determined that each of Messrs. Finley and Woelfel and Ms. Minas is independent as defined under the independence standards established by the NYSE and the Exchange 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our General Partner</w:t>
      </w:r>
    </w:p>
    <w:p>
      <w:pPr>
        <w:spacing w:after="0" w:line="10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board of directors of our general partner has one standing committee: the audit committee. The board of directors of our general partner may also form a conflicts committee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The audit committee of our general partner's board of directors has been established in accordance with Section 3(a)(58)(A) of the Exchange Act, and consists of Messrs. Finley and Woelfel and Ms. Minas, all of whom are independent. Mr. Lukens served as a member of the audit committee until March 2020. Mr. Finley is the current chairman of the audit committee. The board of directors of our general partner has determined that each of Messrs. Finley and Woelfel and Ms. Minas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Arial" w:cs="Arial" w:eastAsia="Arial" w:hAnsi="Arial"/>
          <w:sz w:val="18"/>
          <w:szCs w:val="18"/>
          <w:i w:val="1"/>
          <w:iCs w:val="1"/>
          <w:color w:val="auto"/>
        </w:rPr>
        <w:t>www.wlkpartners.com</w:t>
      </w:r>
      <w:r>
        <w:rPr>
          <w:rFonts w:ascii="Arial" w:cs="Arial" w:eastAsia="Arial" w:hAnsi="Arial"/>
          <w:sz w:val="18"/>
          <w:szCs w:val="18"/>
          <w:color w:val="auto"/>
        </w:rPr>
        <w:t>.</w:t>
      </w:r>
    </w:p>
    <w:p>
      <w:pPr>
        <w:spacing w:after="0" w:line="138"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The audit committee assists the board of directors of our general partner in its oversight of the integrity of our consolidated and combined financial statements and our compliance with legal and regulatory requirements and partnership policies and controls. The audit committee has the sole authority to</w:t>
      </w:r>
    </w:p>
    <w:p>
      <w:pPr>
        <w:ind w:right="20" w:firstLine="8"/>
        <w:spacing w:after="0" w:line="253"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90"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the Partnership Agreement. Messrs. Finley and Woelfel and Ms. Minas serve on the conflicts committee. Mr. Lukens served as a member of the Conflicts Committee until March 2020. Ms. Minas currently serves as chair of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w:t>
      </w:r>
    </w:p>
    <w:p>
      <w:pPr>
        <w:spacing w:after="0" w:line="10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During the last fiscal year, our general partner's board of directors held eleven meetings, our general partner's audit committee held seven meetings and our general partner's conflicts committee held three meetings. None of the directors attended fewer than 75% of the aggregate number of meetings of the board of directors and committees of the board on which the director served.</w:t>
      </w:r>
    </w:p>
    <w:p>
      <w:pPr>
        <w:spacing w:after="0" w:line="13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108"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 and Code of Ethics</w:t>
      </w:r>
    </w:p>
    <w:p>
      <w:pPr>
        <w:spacing w:after="0" w:line="9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 xml:space="preserve">We have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Principles of Corporate Governance and a charter for our audit committee. Each of the foregoing is available on our website at </w:t>
      </w:r>
      <w:r>
        <w:rPr>
          <w:rFonts w:ascii="Arial" w:cs="Arial" w:eastAsia="Arial" w:hAnsi="Arial"/>
          <w:sz w:val="16"/>
          <w:szCs w:val="16"/>
          <w:i w:val="1"/>
          <w:iCs w:val="1"/>
          <w:color w:val="auto"/>
        </w:rPr>
        <w:t>www.wlkpartners.com</w:t>
      </w:r>
      <w:r>
        <w:rPr>
          <w:rFonts w:ascii="Arial" w:cs="Arial" w:eastAsia="Arial" w:hAnsi="Arial"/>
          <w:sz w:val="16"/>
          <w:szCs w:val="16"/>
          <w:color w:val="auto"/>
        </w:rPr>
        <w:t xml:space="preserve"> in the "Corporate Governance" section of our Investor Relations tab. We provide copies, free of charge, of any of the foregoing upon 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Corporate Governance Listing Standards</w:t>
      </w:r>
    </w:p>
    <w:p>
      <w:pPr>
        <w:spacing w:after="0" w:line="108"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2020 without qualification. You can also find information about us at the offices of the NYSE, 20 Broad Street, New York, New York 10005 or at the NYSE's Internet site (</w:t>
      </w:r>
      <w:r>
        <w:rPr>
          <w:rFonts w:ascii="Arial" w:cs="Arial" w:eastAsia="Arial" w:hAnsi="Arial"/>
          <w:sz w:val="17"/>
          <w:szCs w:val="17"/>
          <w:i w:val="1"/>
          <w:iCs w:val="1"/>
          <w:color w:val="auto"/>
        </w:rPr>
        <w:t>www.nyse.com</w:t>
      </w:r>
      <w:r>
        <w:rPr>
          <w:rFonts w:ascii="Arial" w:cs="Arial" w:eastAsia="Arial" w:hAnsi="Arial"/>
          <w:sz w:val="17"/>
          <w:szCs w:val="17"/>
          <w:color w:val="auto"/>
        </w:rPr>
        <w: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Neither we nor our general partner directly employ any of the persons responsible for managing our business. All of our general partner's executive officers are employees of Westlake. In accordance with the terms of the Omnibus Agreement, we reimburse Westlake for compensation-related expenses attributable to the portion of our executive officers' time dedicated to providing services to us. During 2020, Mr. Albert Chao devoted approximately 10% of his total business time to our general partner, our consolidated subsidiaries (including OpCo) and us and Mr. Steve Bender devoted approximately 12.5% of his total business time to our general partner, our consolidated subsidiaries (including OpCo) and us. The allocation of the executive officers' time in future years and, in turn, future compensation allocations may differ from the time and compensation allocated for each executive officer in 2020.</w:t>
      </w:r>
    </w:p>
    <w:p>
      <w:pPr>
        <w:spacing w:after="0" w:line="110"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Westlake equity awards and annual and quarterly cash incentive plans are geared toward specific performance goals of Westlake's business, and not our business. Westlake has significant assets and holdings outside of us and our general partner.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04"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For 2020, our named executive officers ("NEOs") consisted of our principal executive officer, Mr. Albert Chao, and our principal financial officer, Mr. Bender. The compensation allocated to us in 2020 for each of the other executive officers of our general partner did not exceed $100,000. Therefore, none of the other executive officers are considered NEOs for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9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Westlake has ultimate decision-making authority with respect to the total compensation of our NEOs that are employed by Westlake. Any such compensation decisions will not be subject to any approvals by the board of directors of our general partner; provided, however, that any awards under the Westlake Chemical Partners LP Long-Term Incentive Plan (the "LTIP") must be approved by the board of directors of our general partner.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Compensation Committee Oversight</w:t>
      </w:r>
    </w:p>
    <w:p>
      <w:pPr>
        <w:spacing w:after="0" w:line="10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Advisors</w:t>
      </w:r>
    </w:p>
    <w:p>
      <w:pPr>
        <w:spacing w:after="0" w:line="10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 with executive compensation and offer opinions as to the effectiveness and competitiveness of the program. For 2020, the Westlake Compensation Committee directly engaged the services of Willis Towers Watson as a compensation consultant to advise the Westlake Compensation Committee on executive compensation matters. Willis Towers Watson assists the Westlake Compensation Committee by providing comparative market data on compensation programs and practices of peer competitors, the broader-based chemical industry and general industry. Willis Towers Watson also assists Westlake with general compensation consultation regarding employees other than the Westlake NEOs. In 2020, Westlake paid Willis Towers Watson approximately $68,000 for executive compensation advisory services and approximately $1.7 million for other services (primarily related to the administration of Westlake's legacy defined benefit retirement plans). The decision to engage Willis Towers Watson for the non-executive-compensation services was made by Westlake management and approved by the Westlake Compensation Committee. In February 2021, the Westlake Compensation Committee assessed whether the work of Willis Towers Watson for Westlake during 2020 raised any conflict of interest and concluded that no conflict of interest exists.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Deliberative Process</w:t>
      </w:r>
    </w:p>
    <w:p>
      <w:pPr>
        <w:spacing w:after="0" w:line="9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establishing target executive compensation, the Westlake Compensation Committee has selected a set of peer group companies (the "Peer Group") that is used as one of the means in helping to establish executive compensation targets. The companies that comprise the Peer Group are selected annually from among companies within the chemical industry of relative comparable size to Westlake, with executive positions of similar scope and responsibility and from among companies with which Westlake may compete for executive talent. The following companies make up the Peer Group as adopted by the Westlake Compensation Committee in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 Products and Chemicals, Inc.</w:t>
            </w:r>
          </w:p>
        </w:tc>
        <w:tc>
          <w:tcPr>
            <w:tcW w:w="714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Huntsman Corporation</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Axalta Coating Systems Ltd.</w:t>
            </w:r>
          </w:p>
        </w:tc>
        <w:tc>
          <w:tcPr>
            <w:tcW w:w="7140" w:type="dxa"/>
            <w:vAlign w:val="bottom"/>
          </w:tcPr>
          <w:p>
            <w:pPr>
              <w:ind w:left="1700"/>
              <w:spacing w:after="0"/>
              <w:rPr>
                <w:sz w:val="20"/>
                <w:szCs w:val="20"/>
                <w:color w:val="auto"/>
              </w:rPr>
            </w:pPr>
            <w:r>
              <w:rPr>
                <w:rFonts w:ascii="Arial" w:cs="Arial" w:eastAsia="Arial" w:hAnsi="Arial"/>
                <w:sz w:val="18"/>
                <w:szCs w:val="18"/>
                <w:color w:val="auto"/>
              </w:rPr>
              <w:t>The Mosaic Company</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Celanese Corporation</w:t>
            </w:r>
          </w:p>
        </w:tc>
        <w:tc>
          <w:tcPr>
            <w:tcW w:w="714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Olin Corporation</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CF Industries Holdings, Inc.</w:t>
            </w:r>
          </w:p>
        </w:tc>
        <w:tc>
          <w:tcPr>
            <w:tcW w:w="7140" w:type="dxa"/>
            <w:vAlign w:val="bottom"/>
          </w:tcPr>
          <w:p>
            <w:pPr>
              <w:ind w:left="1700"/>
              <w:spacing w:after="0"/>
              <w:rPr>
                <w:sz w:val="20"/>
                <w:szCs w:val="20"/>
                <w:color w:val="auto"/>
              </w:rPr>
            </w:pPr>
            <w:r>
              <w:rPr>
                <w:rFonts w:ascii="Arial" w:cs="Arial" w:eastAsia="Arial" w:hAnsi="Arial"/>
                <w:sz w:val="18"/>
                <w:szCs w:val="18"/>
                <w:color w:val="auto"/>
              </w:rPr>
              <w:t>PPG Industries, Inc.</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Chemours Company</w:t>
            </w:r>
          </w:p>
        </w:tc>
        <w:tc>
          <w:tcPr>
            <w:tcW w:w="714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RPM International Inc.</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Eastman Chemical Company</w:t>
            </w:r>
          </w:p>
        </w:tc>
        <w:tc>
          <w:tcPr>
            <w:tcW w:w="7140" w:type="dxa"/>
            <w:vAlign w:val="bottom"/>
          </w:tcPr>
          <w:p>
            <w:pPr>
              <w:ind w:left="1700"/>
              <w:spacing w:after="0"/>
              <w:rPr>
                <w:sz w:val="20"/>
                <w:szCs w:val="20"/>
                <w:color w:val="auto"/>
              </w:rPr>
            </w:pPr>
            <w:r>
              <w:rPr>
                <w:rFonts w:ascii="Arial" w:cs="Arial" w:eastAsia="Arial" w:hAnsi="Arial"/>
                <w:sz w:val="18"/>
                <w:szCs w:val="18"/>
                <w:color w:val="auto"/>
              </w:rPr>
              <w:t>The Sherwin-Williams Company</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Ecolab Inc.</w:t>
            </w:r>
          </w:p>
        </w:tc>
        <w:tc>
          <w:tcPr>
            <w:tcW w:w="714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Trinseo S.A.</w:t>
            </w:r>
          </w:p>
        </w:tc>
      </w:tr>
    </w:tbl>
    <w:p>
      <w:pPr>
        <w:spacing w:after="0" w:line="242"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Peer Group selected for 2020 reflects no changes from the previous year. The Westlake Compensation Committee may add or replace companies in the Peer Group as warranted to reflect changes in the size, business profile and publicly-listed status of the companies in the Peer Group to help ensure that companies more comparable in size and business profile to Westlake are included.</w:t>
      </w:r>
    </w:p>
    <w:p>
      <w:pPr>
        <w:spacing w:after="0" w:line="130"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 addition to referring to the Peer Group, Willis Towers Watson utilizes survey data from its proprietary general industry and chemical industry databases, including, but not limited to, the Willis Towers Watson CDB Executive Survey as well as the Korn Ferry Hay Group Chemicals Industry survey and other relevant market information, that compare the compensation of executives at numerous companies in similar positions as the Westlake NEOs (the "Market Survey"). The Market Survey is used in conjunction with the Peer Group data (collectively, the "Reference Points") to help validate the market findings and more specifically establish market compensation rates for positions for which there are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 and equity awards, so that as long as the composite total compensation of a Westlake NEO is competitive with the Reference Points, individual components may fall below or above the median of the Reference Points. In conducting its surveys for the Reference Points, Willis Towers Watson reports directly to the Westlake Compensation Committee on each component and on a composite total compensation basis.</w:t>
      </w:r>
    </w:p>
    <w:p>
      <w:pPr>
        <w:spacing w:after="0" w:line="11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Westlake Compensation Committee meets annually in February to address the compensation of the Westlake NEOs and other Westlake Executives. During this meeting, the Westlake Compensation Committee reviews the achievement of Westlake's goals and objectives, including Westlake's performance relative to its competitors within the commodity chemical industry, including those direct competitors within the Peer Group, and the Westlake Compensation Committee reviews the Reference Points as well as other relevant factors established by the Westlake Compensation Committee for the Westlake PEO and the factors established by the Westlake PEO in setting and approving the other Westlake NEOs' compensation. During this deliberation, the Westlake PEO is excused from the meeting to allow the other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Program Objectives of Westlake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 has designed and maintains a comprehensive executive compensation program as a means of:</w:t>
      </w:r>
    </w:p>
    <w:p>
      <w:pPr>
        <w:spacing w:after="0" w:line="10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attracting, rewarding and retaining top executive talent in support of Westlake's vision, mission and objectives;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maintaining market competitiveness with Westlake's peer group compensation programs and practices;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encouraging and rewarding the achievement of specific individual, business segment and corporate goals and objectives;</w:t>
      </w:r>
    </w:p>
    <w:p>
      <w:pPr>
        <w:spacing w:after="0" w:line="10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aligning management interests with the interests of Westlake's stockholders; and</w:t>
      </w:r>
    </w:p>
    <w:p>
      <w:pPr>
        <w:spacing w:after="0" w:line="90"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balancing short-term objectives with long-term strategic initiatives and thinking through the design of both short-term and long-term pay programs.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Compensation Levels</w:t>
      </w:r>
    </w:p>
    <w:p>
      <w:pPr>
        <w:spacing w:after="0" w:line="104"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10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Base Pay—</w:t>
      </w:r>
      <w:r>
        <w:rPr>
          <w:rFonts w:ascii="Arial" w:cs="Arial" w:eastAsia="Arial" w:hAnsi="Arial"/>
          <w:sz w:val="16"/>
          <w:szCs w:val="16"/>
          <w:color w:val="auto"/>
        </w:rPr>
        <w:t>This element is the principal cash compensation component of Westlake's program and is designed to provide the Westlake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with a market-competitive minimum level of compensation. In setting base pay rates for 2020,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Willis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w:t>
      </w:r>
    </w:p>
    <w:p>
      <w:pPr>
        <w:spacing w:after="0" w:line="37" w:lineRule="exact"/>
        <w:rPr>
          <w:sz w:val="20"/>
          <w:szCs w:val="20"/>
          <w:color w:val="auto"/>
        </w:rPr>
      </w:pPr>
    </w:p>
    <w:p>
      <w:pPr>
        <w:ind w:left="660" w:right="84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ensure that the Westlake Executive's current base pay is within the acceptable target level as determined by the Westlake Compensation Committee;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ensure internal equity;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recognize individual performance and contributions;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recognize changes in responsibility or the scope of the Westlake Executive's position.</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7"/>
          <w:szCs w:val="17"/>
          <w:color w:val="auto"/>
        </w:rPr>
        <w:t>For further information regarding compensation decisions made by the Westlake Compensation Committee during 2020, see the proxy statement that is expected to be filed by Westlake in connection with its 2021 annual meeting of stockholders. In lieu of a salary increase for 2020, the Westlake Compensation Committee elected to issue a special, one-time grant of Westlake restricted stock units, which vested in one year, to the Westlake NEOs, equivalent in value to what would have been provided as an increase to the base salary of the Westlake NEOs, to further align the interests of Westlake NEOs with those of Westlake’s stockholders. In February 2021, the Westlake Compensation Committee elected to increase the base salary for Mr. Albert Chao to $1,167,000 from $1,144,000 and for Mr. Bender to $641,000 from $628,000.</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b w:val="1"/>
          <w:bCs w:val="1"/>
          <w:color w:val="auto"/>
        </w:rPr>
        <w:t>Employment Agreements; Severance and Change-in-Control Arrangements</w:t>
      </w:r>
      <w:r>
        <w:rPr>
          <w:rFonts w:ascii="Arial" w:cs="Arial" w:eastAsia="Arial" w:hAnsi="Arial"/>
          <w:sz w:val="18"/>
          <w:szCs w:val="18"/>
          <w:color w:val="auto"/>
        </w:rPr>
        <w:t>—Westlake does not have employment agreements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Westlake NEOs; however, each Westlake Executive, including each of the Westlake NEOs, is typically provided an offer letter of employment containing the principal elements of the employment arrangement, including compensation. None of these offer letters currently contains a provision for payments upon a change in control.</w:t>
      </w:r>
    </w:p>
    <w:p>
      <w:pPr>
        <w:spacing w:after="0" w:line="20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7"/>
          <w:szCs w:val="17"/>
          <w:b w:val="1"/>
          <w:bCs w:val="1"/>
          <w:color w:val="auto"/>
        </w:rPr>
        <w:t>Deferred Compensation Programs</w:t>
      </w:r>
      <w:r>
        <w:rPr>
          <w:rFonts w:ascii="Arial" w:cs="Arial" w:eastAsia="Arial" w:hAnsi="Arial"/>
          <w:sz w:val="17"/>
          <w:szCs w:val="17"/>
          <w:color w:val="auto"/>
        </w:rPr>
        <w:t>—Westlake has no deferred compensation programs for which its executives are eligible to participate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standard provisions of Westlake's 401(k) plan and provisions of Section 125 of the Internal Revenue Code whereby salary is reduced for taxation since the 401(k) contributions are made by employees on a pre-tax basis, thereby reducing their salary and taxable income.</w:t>
      </w:r>
    </w:p>
    <w:p>
      <w:pPr>
        <w:spacing w:after="0" w:line="19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COMPENSATION COMMITTEE REPORT</w:t>
      </w:r>
    </w:p>
    <w:p>
      <w:pPr>
        <w:spacing w:after="0" w:line="270"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Neither we nor our general partner has a compensation committee. The board of directors has reviewed and discussed the Company's Compensation Discussion and Analysis with management and, based upon this review, has approved it for inclusion in this report.</w:t>
      </w:r>
    </w:p>
    <w:p>
      <w:pPr>
        <w:spacing w:after="0" w:line="92"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BOARD OF DIRECTORS OF</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WESTLAKE CHEMICAL PARTNERS GP LLC</w:t>
      </w:r>
    </w:p>
    <w:p>
      <w:pPr>
        <w:spacing w:after="0" w:line="332"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Albert Chao</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James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 Steven Bender</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L. Benjamin Ederington</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G. Stephen Finley</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Angela Minas</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Randy G. Woelfel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regarding the compensation awarded to or earned during 2020 and prior years, as applicable by the NEOs.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 xml:space="preserve">Base Salary </w:t>
            </w:r>
            <w:r>
              <w:rPr>
                <w:rFonts w:ascii="Arial" w:cs="Arial" w:eastAsia="Arial" w:hAnsi="Arial"/>
                <w:sz w:val="18"/>
                <w:szCs w:val="18"/>
                <w:b w:val="1"/>
                <w:bCs w:val="1"/>
                <w:color w:val="auto"/>
                <w:w w:val="95"/>
                <w:vertAlign w:val="superscript"/>
              </w:rPr>
              <w:t>(1)</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Portion Allocation </w:t>
            </w:r>
            <w:r>
              <w:rPr>
                <w:rFonts w:ascii="Arial" w:cs="Arial" w:eastAsia="Arial" w:hAnsi="Arial"/>
                <w:sz w:val="18"/>
                <w:szCs w:val="18"/>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Albert Chao</w:t>
            </w:r>
          </w:p>
        </w:tc>
        <w:tc>
          <w:tcPr>
            <w:tcW w:w="1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1,144,000</w:t>
            </w:r>
          </w:p>
        </w:tc>
        <w:tc>
          <w:tcPr>
            <w:tcW w:w="100" w:type="dxa"/>
            <w:vAlign w:val="bottom"/>
            <w:shd w:val="clear" w:color="auto" w:fill="CCEEFF"/>
          </w:tcPr>
          <w:p>
            <w:pPr>
              <w:spacing w:after="0"/>
              <w:rPr>
                <w:sz w:val="14"/>
                <w:szCs w:val="14"/>
                <w:color w:val="auto"/>
              </w:rPr>
            </w:pPr>
          </w:p>
        </w:tc>
        <w:tc>
          <w:tcPr>
            <w:tcW w:w="2000" w:type="dxa"/>
            <w:vAlign w:val="bottom"/>
            <w:gridSpan w:val="3"/>
            <w:vMerge w:val="restart"/>
            <w:shd w:val="clear" w:color="auto" w:fill="CCEEFF"/>
          </w:tcPr>
          <w:p>
            <w:pPr>
              <w:ind w:left="1040"/>
              <w:spacing w:after="0"/>
              <w:rPr>
                <w:sz w:val="20"/>
                <w:szCs w:val="20"/>
                <w:color w:val="auto"/>
              </w:rPr>
            </w:pPr>
            <w:r>
              <w:rPr>
                <w:rFonts w:ascii="Arial" w:cs="Arial" w:eastAsia="Arial" w:hAnsi="Arial"/>
                <w:sz w:val="18"/>
                <w:szCs w:val="18"/>
                <w:color w:val="auto"/>
              </w:rPr>
              <w:t>10.0 %  $</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1,144,000</w:t>
            </w:r>
          </w:p>
        </w:tc>
        <w:tc>
          <w:tcPr>
            <w:tcW w:w="100" w:type="dxa"/>
            <w:vAlign w:val="bottom"/>
          </w:tcPr>
          <w:p>
            <w:pPr>
              <w:spacing w:after="0"/>
              <w:rPr>
                <w:sz w:val="19"/>
                <w:szCs w:val="19"/>
                <w:color w:val="auto"/>
              </w:rPr>
            </w:pPr>
          </w:p>
        </w:tc>
        <w:tc>
          <w:tcPr>
            <w:tcW w:w="1580" w:type="dxa"/>
            <w:vAlign w:val="bottom"/>
          </w:tcPr>
          <w:p>
            <w:pPr>
              <w:ind w:left="1040"/>
              <w:spacing w:after="0"/>
              <w:rPr>
                <w:sz w:val="20"/>
                <w:szCs w:val="20"/>
                <w:color w:val="auto"/>
              </w:rPr>
            </w:pPr>
            <w:r>
              <w:rPr>
                <w:rFonts w:ascii="Arial" w:cs="Arial" w:eastAsia="Arial" w:hAnsi="Arial"/>
                <w:sz w:val="18"/>
                <w:szCs w:val="18"/>
                <w:color w:val="auto"/>
                <w:w w:val="92"/>
              </w:rPr>
              <w:t>10.0 %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114,400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2"/>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176"/>
        </w:trPr>
        <w:tc>
          <w:tcPr>
            <w:tcW w:w="51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 Steven Bender</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 and</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628,000</w:t>
            </w:r>
          </w:p>
        </w:tc>
        <w:tc>
          <w:tcPr>
            <w:tcW w:w="100" w:type="dxa"/>
            <w:vAlign w:val="bottom"/>
          </w:tcPr>
          <w:p>
            <w:pPr>
              <w:spacing w:after="0"/>
              <w:rPr>
                <w:sz w:val="15"/>
                <w:szCs w:val="15"/>
                <w:color w:val="auto"/>
              </w:rPr>
            </w:pPr>
          </w:p>
        </w:tc>
        <w:tc>
          <w:tcPr>
            <w:tcW w:w="1580" w:type="dxa"/>
            <w:vAlign w:val="bottom"/>
            <w:vMerge w:val="restart"/>
          </w:tcPr>
          <w:p>
            <w:pPr>
              <w:ind w:left="1040"/>
              <w:spacing w:after="0"/>
              <w:rPr>
                <w:sz w:val="20"/>
                <w:szCs w:val="20"/>
                <w:color w:val="auto"/>
              </w:rPr>
            </w:pPr>
            <w:r>
              <w:rPr>
                <w:rFonts w:ascii="Arial" w:cs="Arial" w:eastAsia="Arial" w:hAnsi="Arial"/>
                <w:sz w:val="18"/>
                <w:szCs w:val="18"/>
                <w:color w:val="auto"/>
                <w:w w:val="92"/>
              </w:rPr>
              <w:t>12.5 %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78,500</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2"/>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0"/>
                <w:szCs w:val="20"/>
                <w:color w:val="auto"/>
              </w:rPr>
            </w:pPr>
          </w:p>
        </w:tc>
        <w:tc>
          <w:tcPr>
            <w:tcW w:w="1580" w:type="dxa"/>
            <w:vAlign w:val="bottom"/>
          </w:tcPr>
          <w:p>
            <w:pPr>
              <w:ind w:left="1040"/>
              <w:spacing w:after="0"/>
              <w:rPr>
                <w:sz w:val="20"/>
                <w:szCs w:val="20"/>
                <w:color w:val="auto"/>
              </w:rPr>
            </w:pPr>
            <w:r>
              <w:rPr>
                <w:rFonts w:ascii="Arial" w:cs="Arial" w:eastAsia="Arial" w:hAnsi="Arial"/>
                <w:sz w:val="18"/>
                <w:szCs w:val="18"/>
                <w:color w:val="auto"/>
                <w:w w:val="92"/>
              </w:rPr>
              <w:t>12.5 %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71" w:lineRule="exact"/>
        <w:rPr>
          <w:sz w:val="20"/>
          <w:szCs w:val="20"/>
          <w:color w:val="auto"/>
        </w:rPr>
      </w:pPr>
    </w:p>
    <w:p>
      <w:pPr>
        <w:ind w:left="340" w:right="40" w:hanging="332"/>
        <w:spacing w:after="0" w:line="271" w:lineRule="auto"/>
        <w:tabs>
          <w:tab w:leader="none" w:pos="406"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See "Compensation Discussion and Analysis—Establishing Compensation Levels—Base Pay" for more information on base salary. In lieu of a salary increase for 2020, the Westlake Compensation Committee elected to issue a special, one-time grant of Westlake restricted stock units, which vested in one year, to the Westlake NEOs, equivalent in value to what would have been provided as an increase to the base salary of the Westlake NEOs.</w:t>
      </w:r>
    </w:p>
    <w:p>
      <w:pPr>
        <w:ind w:left="340"/>
        <w:spacing w:after="0"/>
        <w:rPr>
          <w:rFonts w:ascii="Arial" w:cs="Arial" w:eastAsia="Arial" w:hAnsi="Arial"/>
          <w:sz w:val="16"/>
          <w:szCs w:val="16"/>
          <w:color w:val="auto"/>
        </w:rPr>
      </w:pPr>
      <w:r>
        <w:rPr>
          <w:rFonts w:ascii="Arial" w:cs="Arial" w:eastAsia="Arial" w:hAnsi="Arial"/>
          <w:sz w:val="18"/>
          <w:szCs w:val="18"/>
          <w:color w:val="auto"/>
        </w:rPr>
        <w:t>Because no portion of the grants was allocated to us by Westlake, those grants are not reflected in the table above.</w:t>
      </w:r>
    </w:p>
    <w:p>
      <w:pPr>
        <w:spacing w:after="0" w:line="60" w:lineRule="exact"/>
        <w:rPr>
          <w:rFonts w:ascii="Arial" w:cs="Arial" w:eastAsia="Arial" w:hAnsi="Arial"/>
          <w:sz w:val="16"/>
          <w:szCs w:val="16"/>
          <w:color w:val="auto"/>
        </w:rPr>
      </w:pPr>
    </w:p>
    <w:p>
      <w:pPr>
        <w:ind w:left="400" w:hanging="392"/>
        <w:spacing w:after="0"/>
        <w:tabs>
          <w:tab w:leader="none" w:pos="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See "Compensation Discussion and Analysis—Overview" for more information on the portion of base salary allocated to us by Westlake.</w:t>
      </w:r>
    </w:p>
    <w:p>
      <w:pPr>
        <w:spacing w:after="0" w:line="115" w:lineRule="exact"/>
        <w:rPr>
          <w:rFonts w:ascii="Arial" w:cs="Arial" w:eastAsia="Arial" w:hAnsi="Arial"/>
          <w:sz w:val="17"/>
          <w:szCs w:val="17"/>
          <w:color w:val="auto"/>
        </w:rPr>
      </w:pPr>
    </w:p>
    <w:p>
      <w:pPr>
        <w:ind w:left="340" w:hanging="332"/>
        <w:spacing w:after="0" w:line="277" w:lineRule="auto"/>
        <w:tabs>
          <w:tab w:leader="none" w:pos="4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the portion of base salary allocated to us by Westlake for the periods from January 1, 2020 through December 31, 2020, from January 1, 2019 through December 31, 2019 and from January 1, 2018 through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Officers or employees of Westlake or its affiliates who also serve as directors do not receive additional compensation for such service. The directors who are not also officers or employees of Westlake or its affiliates (i.e., Ms. Minas and Messrs. Finley and Woelfel) receive compensation from our general partner for their service. In 2020, Messrs. Finley and Woelfel and Ms. Minas each received an annual retainer valued at approximately $180,000, of which $80,000 was paid in the form of a cash retainer (with the first quarterly payment to Mr. Finley prorated from the date of his appointment) and the remaining $100,000 was paid in the form of a grant of phantom unit awards under the LTIP. In addition, in connection with his appointment to the Board of Directors, Mr. Finley received a grant of phantom unit awards valued at $100,000, effective May 14, 2020. All phantom unit awards vest on the first anniversary of their grant date. Mr. Finley, as the audit committee chairman, received an additional cash retainer of $11,542, Mr. Lukens, as the audit committee chairman until March 2020, received an additional cash retainer of $ 3,750, Ms. Minas, as the conflicts committee chair, received an additional cash retainer of $7,500, and Mr. Woelfel, as a member of the conflicts committee, received an additional cash retainer of $5,000 in recognition of their service in 2020.</w:t>
      </w:r>
    </w:p>
    <w:p>
      <w:pPr>
        <w:spacing w:after="0" w:line="11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the Partnership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 summary of the compensation paid to non-employee directors in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Fees Earned or Paid</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Phantom Unit Awards</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360" w:type="dxa"/>
            <w:vAlign w:val="bottom"/>
          </w:tcPr>
          <w:p>
            <w:pPr>
              <w:spacing w:after="0"/>
              <w:rPr>
                <w:sz w:val="17"/>
                <w:szCs w:val="17"/>
                <w:color w:val="auto"/>
              </w:rPr>
            </w:pPr>
          </w:p>
        </w:tc>
        <w:tc>
          <w:tcPr>
            <w:tcW w:w="10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in Cash</w:t>
            </w:r>
          </w:p>
        </w:tc>
        <w:tc>
          <w:tcPr>
            <w:tcW w:w="380" w:type="dxa"/>
            <w:vAlign w:val="bottom"/>
          </w:tcPr>
          <w:p>
            <w:pPr>
              <w:spacing w:after="0"/>
              <w:rPr>
                <w:sz w:val="11"/>
                <w:szCs w:val="11"/>
                <w:color w:val="auto"/>
              </w:rPr>
            </w:pPr>
          </w:p>
        </w:tc>
        <w:tc>
          <w:tcPr>
            <w:tcW w:w="1040" w:type="dxa"/>
            <w:vAlign w:val="bottom"/>
          </w:tcPr>
          <w:p>
            <w:pPr>
              <w:jc w:val="right"/>
              <w:ind w:right="579"/>
              <w:spacing w:after="0"/>
              <w:rPr>
                <w:sz w:val="20"/>
                <w:szCs w:val="20"/>
                <w:color w:val="auto"/>
              </w:rPr>
            </w:pP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rPr>
              <w:t xml:space="preserve">Compensation </w:t>
            </w:r>
            <w:r>
              <w:rPr>
                <w:rFonts w:ascii="Arial" w:cs="Arial" w:eastAsia="Arial" w:hAnsi="Arial"/>
                <w:sz w:val="15"/>
                <w:szCs w:val="15"/>
                <w:b w:val="1"/>
                <w:bCs w:val="1"/>
                <w:color w:val="auto"/>
                <w:vertAlign w:val="superscript"/>
              </w:rPr>
              <w:t>(2)</w:t>
            </w:r>
          </w:p>
        </w:tc>
        <w:tc>
          <w:tcPr>
            <w:tcW w:w="3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G. Stephen Finley </w:t>
            </w:r>
            <w:r>
              <w:rPr>
                <w:rFonts w:ascii="Arial" w:cs="Arial" w:eastAsia="Arial" w:hAnsi="Arial"/>
                <w:sz w:val="23"/>
                <w:szCs w:val="23"/>
                <w:color w:val="auto"/>
                <w:vertAlign w:val="superscript"/>
              </w:rPr>
              <w:t>(3)</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73,098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280,755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Max L. Lukens </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28,123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Angela Minas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196,382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Randy G. Woelfel</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195,540</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7" w:lineRule="exact"/>
        <w:rPr>
          <w:sz w:val="20"/>
          <w:szCs w:val="20"/>
          <w:color w:val="auto"/>
        </w:rPr>
      </w:pPr>
    </w:p>
    <w:p>
      <w:pPr>
        <w:ind w:left="340" w:right="20" w:hanging="332"/>
        <w:spacing w:after="0" w:line="259" w:lineRule="auto"/>
        <w:tabs>
          <w:tab w:leader="none" w:pos="4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grant date fair value of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As of December 31, 2020,Ms. Minas held 5,100 phantom units, Mr. Finley held zero phantom units and Mr. Woelfel held 4,358 phantom units.</w:t>
      </w:r>
    </w:p>
    <w:p>
      <w:pPr>
        <w:spacing w:after="0" w:line="65" w:lineRule="exact"/>
        <w:rPr>
          <w:rFonts w:ascii="Arial" w:cs="Arial" w:eastAsia="Arial" w:hAnsi="Arial"/>
          <w:sz w:val="18"/>
          <w:szCs w:val="18"/>
          <w:color w:val="auto"/>
        </w:rPr>
      </w:pPr>
    </w:p>
    <w:p>
      <w:pPr>
        <w:ind w:left="340" w:right="500" w:hanging="332"/>
        <w:spacing w:after="0" w:line="277" w:lineRule="auto"/>
        <w:tabs>
          <w:tab w:leader="none" w:pos="4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amount of cash paid with respect to distribution equivalent rights granted in tandem with the phantom unit awards.</w:t>
      </w:r>
    </w:p>
    <w:p>
      <w:pPr>
        <w:spacing w:after="0" w:line="48" w:lineRule="exact"/>
        <w:rPr>
          <w:rFonts w:ascii="Arial" w:cs="Arial" w:eastAsia="Arial" w:hAnsi="Arial"/>
          <w:sz w:val="18"/>
          <w:szCs w:val="18"/>
          <w:color w:val="auto"/>
        </w:rPr>
      </w:pPr>
    </w:p>
    <w:p>
      <w:pPr>
        <w:ind w:left="400" w:hanging="392"/>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Lukens retired from, and Mr. Finley joined, the Board of Directors in March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 Analysis</w:t>
      </w:r>
    </w:p>
    <w:p>
      <w:pPr>
        <w:spacing w:after="0" w:line="175" w:lineRule="exact"/>
        <w:rPr>
          <w:sz w:val="20"/>
          <w:szCs w:val="20"/>
          <w:color w:val="auto"/>
        </w:rPr>
      </w:pPr>
    </w:p>
    <w:p>
      <w:pPr>
        <w:jc w:val="both"/>
        <w:ind w:right="40" w:firstLine="405"/>
        <w:spacing w:after="0" w:line="257" w:lineRule="auto"/>
        <w:rPr>
          <w:sz w:val="20"/>
          <w:szCs w:val="20"/>
          <w:color w:val="auto"/>
        </w:rPr>
      </w:pPr>
      <w:r>
        <w:rPr>
          <w:rFonts w:ascii="Arial" w:cs="Arial" w:eastAsia="Arial" w:hAnsi="Arial"/>
          <w:sz w:val="18"/>
          <w:szCs w:val="18"/>
          <w:color w:val="auto"/>
        </w:rPr>
        <w:t>The table below sets forth comparative information regarding: (1) the annual total compensation of our Chief Executive Officer, Mr. Albert Chao, for the year ended December 31, 2020, determined on the basis set forth in the Summary Compensation Table; (2) the median of the annual total compensation of all seconded employees of Westlake that provide services to OpCo under the Services and Secondment Agreement, which excludes our Chief Executive Officer, for the year ended December 31, 2020, determined on the basis described below; and (3) a ratio comparison of those two amounts. These amounts were determined in accordance with rules prescribed by the SEC.</w:t>
      </w:r>
    </w:p>
    <w:p>
      <w:pPr>
        <w:spacing w:after="0" w:line="134"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Neither we nor OpCo have any employees. However, for purposes of this disclosure, we have included the employees of Westlake and its other affiliates who are seconded to OpCo under the Services and Secondment Agreement for the production of ethylene (the "Seconded Employees"). For purposes of determining the median of the annual total compensation of such Seconded Employees for the year ended December 31, 2020, the applicable SEC rules require us to identify the median employee, by using either annual total compensation for all such employees or another consistently applied compensation measure. For these purposes, we used total taxable earnings, plus certain non-taxable items, including retirement plan contributions and perquisites, as determined from the payroll records of Westlake and its affiliates providing the services of the Seconded Employees to OpCo for the period from January 1, 2020 through December 31, 2020 (the "Measurement Date"), as our consistently applied compensation measure. We included all Seconded Employees of Westlake who provided services to OpCo as of the Measurement Date whether employed on a full-time, part-time or seasonal basis. We did not use statistical sampling or include any cost of living adjustments for purposes of this determination. After identifying the median employee, based on the process described above, we calculated annual total compensation for that employee using the same methodology we used for determining total compensation for 2020 for our named executive officers as set forth in the Summary Compensation Table.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annual total compensation (A)</w:t>
            </w:r>
          </w:p>
        </w:tc>
        <w:tc>
          <w:tcPr>
            <w:tcW w:w="2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Median annual total compensation of all employees (excluding Chief Executive Officer) (B)</w:t>
            </w:r>
          </w:p>
        </w:tc>
        <w:tc>
          <w:tcPr>
            <w:tcW w:w="20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161,304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 to (B)</w:t>
            </w:r>
          </w:p>
        </w:tc>
        <w:tc>
          <w:tcPr>
            <w:tcW w:w="2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as of February 19, 2021, the beneficial ownership of our outstanding common units and subordinated units held by:</w:t>
      </w:r>
    </w:p>
    <w:p>
      <w:pPr>
        <w:spacing w:after="0" w:line="12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Westlake;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director and named executive officer of our general partner;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17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February 19, 2021,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52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Amount and Nature of Beneficial Ownership of Common Units</w:t>
            </w: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160" w:type="dxa"/>
            <w:vAlign w:val="bottom"/>
          </w:tcPr>
          <w:p>
            <w:pPr>
              <w:jc w:val="center"/>
              <w:ind w:left="528"/>
              <w:spacing w:after="0" w:line="135" w:lineRule="exact"/>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35"/>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Direct</w:t>
            </w:r>
          </w:p>
        </w:tc>
        <w:tc>
          <w:tcPr>
            <w:tcW w:w="15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2160" w:type="dxa"/>
            <w:vAlign w:val="bottom"/>
          </w:tcPr>
          <w:p>
            <w:pPr>
              <w:jc w:val="center"/>
              <w:ind w:left="528"/>
              <w:spacing w:after="0" w:line="135" w:lineRule="exact"/>
              <w:rPr>
                <w:sz w:val="20"/>
                <w:szCs w:val="20"/>
                <w:color w:val="auto"/>
              </w:rPr>
            </w:pPr>
            <w:r>
              <w:rPr>
                <w:rFonts w:ascii="Arial" w:cs="Arial" w:eastAsia="Arial" w:hAnsi="Arial"/>
                <w:sz w:val="14"/>
                <w:szCs w:val="14"/>
                <w:b w:val="1"/>
                <w:bCs w:val="1"/>
                <w:color w:val="auto"/>
                <w:w w:val="92"/>
              </w:rPr>
              <w:t>Units Beneficially</w:t>
            </w:r>
          </w:p>
        </w:tc>
        <w:tc>
          <w:tcPr>
            <w:tcW w:w="0" w:type="dxa"/>
            <w:vAlign w:val="bottom"/>
          </w:tcPr>
          <w:p>
            <w:pPr>
              <w:spacing w:after="0"/>
              <w:rPr>
                <w:sz w:val="1"/>
                <w:szCs w:val="1"/>
                <w:color w:val="auto"/>
              </w:rPr>
            </w:pPr>
          </w:p>
        </w:tc>
      </w:tr>
      <w:tr>
        <w:trPr>
          <w:trHeight w:val="186"/>
        </w:trPr>
        <w:tc>
          <w:tcPr>
            <w:tcW w:w="60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2160" w:type="dxa"/>
            <w:vAlign w:val="bottom"/>
          </w:tcPr>
          <w:p>
            <w:pPr>
              <w:jc w:val="center"/>
              <w:ind w:left="528"/>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25"/>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Westlake Chemical Corporation</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Pr>
          <w:p>
            <w:pPr>
              <w:spacing w:after="0"/>
              <w:rPr>
                <w:sz w:val="19"/>
                <w:szCs w:val="19"/>
                <w:color w:val="auto"/>
              </w:rPr>
            </w:pPr>
          </w:p>
        </w:tc>
        <w:tc>
          <w:tcPr>
            <w:tcW w:w="142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w w:val="99"/>
              </w:rPr>
              <w:t>—</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Westlake Chemical Partners GP LLC</w:t>
            </w: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Albert Chao</w:t>
            </w:r>
          </w:p>
        </w:tc>
        <w:tc>
          <w:tcPr>
            <w:tcW w:w="1420" w:type="dxa"/>
            <w:vAlign w:val="bottom"/>
          </w:tcPr>
          <w:p>
            <w:pPr>
              <w:jc w:val="right"/>
              <w:spacing w:after="0"/>
              <w:rPr>
                <w:sz w:val="20"/>
                <w:szCs w:val="20"/>
                <w:color w:val="auto"/>
              </w:rPr>
            </w:pPr>
            <w:r>
              <w:rPr>
                <w:rFonts w:ascii="Arial" w:cs="Arial" w:eastAsia="Arial" w:hAnsi="Arial"/>
                <w:sz w:val="18"/>
                <w:szCs w:val="18"/>
                <w:color w:val="auto"/>
              </w:rPr>
              <w:t>166,435</w:t>
            </w:r>
          </w:p>
        </w:tc>
        <w:tc>
          <w:tcPr>
            <w:tcW w:w="100" w:type="dxa"/>
            <w:vAlign w:val="bottom"/>
          </w:tcPr>
          <w:p>
            <w:pPr>
              <w:spacing w:after="0"/>
              <w:rPr>
                <w:sz w:val="19"/>
                <w:szCs w:val="19"/>
                <w:color w:val="auto"/>
              </w:rPr>
            </w:pPr>
          </w:p>
        </w:tc>
        <w:tc>
          <w:tcPr>
            <w:tcW w:w="1420" w:type="dxa"/>
            <w:vAlign w:val="bottom"/>
          </w:tcPr>
          <w:p>
            <w:pPr>
              <w:ind w:left="540"/>
              <w:spacing w:after="0"/>
              <w:rPr>
                <w:sz w:val="20"/>
                <w:szCs w:val="20"/>
                <w:color w:val="auto"/>
              </w:rPr>
            </w:pPr>
            <w:r>
              <w:rPr>
                <w:rFonts w:ascii="Arial" w:cs="Arial" w:eastAsia="Arial" w:hAnsi="Arial"/>
                <w:sz w:val="18"/>
                <w:szCs w:val="18"/>
                <w:color w:val="auto"/>
                <w:w w:val="95"/>
              </w:rPr>
              <w:t>15,533,192</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James Chao</w:t>
            </w:r>
          </w:p>
        </w:tc>
        <w:tc>
          <w:tcPr>
            <w:tcW w:w="142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9"/>
                <w:szCs w:val="19"/>
                <w:color w:val="auto"/>
              </w:rPr>
            </w:pPr>
          </w:p>
        </w:tc>
        <w:tc>
          <w:tcPr>
            <w:tcW w:w="1420" w:type="dxa"/>
            <w:vAlign w:val="bottom"/>
          </w:tcPr>
          <w:p>
            <w:pPr>
              <w:ind w:left="540"/>
              <w:spacing w:after="0"/>
              <w:rPr>
                <w:sz w:val="20"/>
                <w:szCs w:val="20"/>
                <w:color w:val="auto"/>
              </w:rPr>
            </w:pPr>
            <w:r>
              <w:rPr>
                <w:rFonts w:ascii="Arial" w:cs="Arial" w:eastAsia="Arial" w:hAnsi="Arial"/>
                <w:sz w:val="18"/>
                <w:szCs w:val="18"/>
                <w:color w:val="auto"/>
                <w:w w:val="95"/>
              </w:rPr>
              <w:t>15,524,099</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M. Steven Bender</w:t>
            </w:r>
          </w:p>
        </w:tc>
        <w:tc>
          <w:tcPr>
            <w:tcW w:w="142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L. Benjamin Ederington</w:t>
            </w:r>
          </w:p>
        </w:tc>
        <w:tc>
          <w:tcPr>
            <w:tcW w:w="142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G. Stephen Finley</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Angela Minas</w:t>
            </w:r>
          </w:p>
        </w:tc>
        <w:tc>
          <w:tcPr>
            <w:tcW w:w="1420" w:type="dxa"/>
            <w:vAlign w:val="bottom"/>
          </w:tcPr>
          <w:p>
            <w:pPr>
              <w:jc w:val="right"/>
              <w:spacing w:after="0"/>
              <w:rPr>
                <w:sz w:val="20"/>
                <w:szCs w:val="20"/>
                <w:color w:val="auto"/>
              </w:rPr>
            </w:pPr>
            <w:r>
              <w:rPr>
                <w:rFonts w:ascii="Arial" w:cs="Arial" w:eastAsia="Arial" w:hAnsi="Arial"/>
                <w:sz w:val="18"/>
                <w:szCs w:val="18"/>
                <w:color w:val="auto"/>
              </w:rPr>
              <w:t>9,091</w:t>
            </w:r>
          </w:p>
        </w:tc>
        <w:tc>
          <w:tcPr>
            <w:tcW w:w="100" w:type="dxa"/>
            <w:vAlign w:val="bottom"/>
          </w:tcPr>
          <w:p>
            <w:pPr>
              <w:spacing w:after="0"/>
              <w:rPr>
                <w:sz w:val="19"/>
                <w:szCs w:val="19"/>
                <w:color w:val="auto"/>
              </w:rPr>
            </w:pP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Randy G. Woelfel</w:t>
            </w:r>
          </w:p>
        </w:tc>
        <w:tc>
          <w:tcPr>
            <w:tcW w:w="1420" w:type="dxa"/>
            <w:vAlign w:val="bottom"/>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Pr>
          <w:p>
            <w:pPr>
              <w:spacing w:after="0"/>
              <w:rPr>
                <w:sz w:val="19"/>
                <w:szCs w:val="19"/>
                <w:color w:val="auto"/>
              </w:rPr>
            </w:pP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(10 persons)</w:t>
            </w:r>
          </w:p>
        </w:tc>
        <w:tc>
          <w:tcPr>
            <w:tcW w:w="1420" w:type="dxa"/>
            <w:vAlign w:val="bottom"/>
          </w:tcPr>
          <w:p>
            <w:pPr>
              <w:jc w:val="right"/>
              <w:spacing w:after="0"/>
              <w:rPr>
                <w:sz w:val="20"/>
                <w:szCs w:val="20"/>
                <w:color w:val="auto"/>
              </w:rPr>
            </w:pPr>
            <w:r>
              <w:rPr>
                <w:rFonts w:ascii="Arial" w:cs="Arial" w:eastAsia="Arial" w:hAnsi="Arial"/>
                <w:sz w:val="18"/>
                <w:szCs w:val="18"/>
                <w:color w:val="auto"/>
              </w:rPr>
              <w:t>287,984</w:t>
            </w:r>
          </w:p>
        </w:tc>
        <w:tc>
          <w:tcPr>
            <w:tcW w:w="100" w:type="dxa"/>
            <w:vAlign w:val="bottom"/>
          </w:tcPr>
          <w:p>
            <w:pPr>
              <w:spacing w:after="0"/>
              <w:rPr>
                <w:sz w:val="20"/>
                <w:szCs w:val="20"/>
                <w:color w:val="auto"/>
              </w:rPr>
            </w:pPr>
          </w:p>
        </w:tc>
        <w:tc>
          <w:tcPr>
            <w:tcW w:w="1420" w:type="dxa"/>
            <w:vAlign w:val="bottom"/>
          </w:tcPr>
          <w:p>
            <w:pPr>
              <w:ind w:left="540"/>
              <w:spacing w:after="0"/>
              <w:rPr>
                <w:sz w:val="20"/>
                <w:szCs w:val="20"/>
                <w:color w:val="auto"/>
              </w:rPr>
            </w:pPr>
            <w:r>
              <w:rPr>
                <w:rFonts w:ascii="Arial" w:cs="Arial" w:eastAsia="Arial" w:hAnsi="Arial"/>
                <w:sz w:val="18"/>
                <w:szCs w:val="18"/>
                <w:color w:val="auto"/>
                <w:w w:val="95"/>
              </w:rPr>
              <w:t>15,533,192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9"/>
          <w:szCs w:val="9"/>
          <w:color w:val="auto"/>
        </w:rPr>
        <w:t>(1)(2)</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9"/>
          <w:szCs w:val="9"/>
          <w:color w:val="auto"/>
        </w:rPr>
        <w:t>(1)(2)</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6"/>
          <w:szCs w:val="16"/>
          <w:color w:val="auto"/>
        </w:rPr>
        <w:t>40.1 %</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44.6 %</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44.3 %</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44.9 %</w:t>
      </w:r>
    </w:p>
    <w:p>
      <w:pPr>
        <w:spacing w:after="0" w:line="245" w:lineRule="exact"/>
        <w:rPr>
          <w:sz w:val="20"/>
          <w:szCs w:val="20"/>
          <w:color w:val="auto"/>
        </w:rPr>
      </w:pPr>
    </w:p>
    <w:p>
      <w:pPr>
        <w:sectPr>
          <w:pgSz w:w="11900" w:h="16838" w:orient="portrait"/>
          <w:cols w:equalWidth="0" w:num="3">
            <w:col w:w="8960" w:space="20"/>
            <w:col w:w="1000" w:space="720"/>
            <w:col w:w="540"/>
          </w:cols>
          <w:pgMar w:left="320" w:top="121" w:right="33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Less than 1% of the outstanding common units.</w:t>
      </w:r>
    </w:p>
    <w:p>
      <w:pPr>
        <w:spacing w:after="0" w:line="104" w:lineRule="exact"/>
        <w:rPr>
          <w:sz w:val="20"/>
          <w:szCs w:val="20"/>
          <w:color w:val="auto"/>
        </w:rPr>
      </w:pPr>
    </w:p>
    <w:p>
      <w:pPr>
        <w:ind w:left="340" w:right="240" w:hanging="332"/>
        <w:spacing w:after="0" w:line="277" w:lineRule="auto"/>
        <w:tabs>
          <w:tab w:leader="none" w:pos="2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includes 9,093 common units held in a family trust for the benefit of Mr. Albert Chao and his family members with respect to which Mr. Albert Chao serves as trustee.</w:t>
      </w:r>
    </w:p>
    <w:p>
      <w:pPr>
        <w:spacing w:after="0" w:line="35" w:lineRule="exact"/>
        <w:rPr>
          <w:rFonts w:ascii="Arial" w:cs="Arial" w:eastAsia="Arial" w:hAnsi="Arial"/>
          <w:sz w:val="18"/>
          <w:szCs w:val="18"/>
          <w:color w:val="auto"/>
        </w:rPr>
      </w:pPr>
    </w:p>
    <w:p>
      <w:pPr>
        <w:ind w:left="340" w:right="20" w:hanging="332"/>
        <w:spacing w:after="0" w:line="239" w:lineRule="auto"/>
        <w:tabs>
          <w:tab w:leader="none" w:pos="4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includes 14,122,230 common units held by WPT, LLC, a wholly-owned subsidiary of Westlake Chemical Corporation, and 1,401,869 common units held by TTWFGP LLC. Two trusts for the benefit of members of the Chao family, including Messrs. James and Albert Chao, are the managers of TTWFGP LLC, a Delaware limited liability company. As of February 19, 2021, James Chao had sole voting power and sole dispositive power over 55,000 units and shared voting power and shared dispositive power over 15,524,099 units; and Albert Chao had sole voting power and sole dispositive power over 166,435 units and shared voting power and shared dispositive power over 15,533,192 units. Messrs. James and Albert Chao disclaim beneficial ownership of the 15,524,099 units held by WPT, LLC and TTWFGP LLC except to the extent of their respective pecuniary interest therein.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following table sets forth, as of February 19, 2021, the number of shares of common stock of Westlake Chemical Corporation beneficially owned by each director and named executive officer of our general partner and by all directors and executive officers of our general partner as a group:</w:t>
      </w:r>
    </w:p>
    <w:p>
      <w:pPr>
        <w:spacing w:after="0" w:line="17"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Amount and Nature of</w:t>
      </w:r>
    </w:p>
    <w:p>
      <w:pPr>
        <w:jc w:val="center"/>
        <w:ind w:left="5860"/>
        <w:spacing w:after="0"/>
        <w:rPr>
          <w:sz w:val="20"/>
          <w:szCs w:val="20"/>
          <w:color w:val="auto"/>
        </w:rPr>
      </w:pPr>
      <w:r>
        <w:rPr>
          <w:rFonts w:ascii="Arial" w:cs="Arial" w:eastAsia="Arial" w:hAnsi="Arial"/>
          <w:sz w:val="14"/>
          <w:szCs w:val="14"/>
          <w:b w:val="1"/>
          <w:bCs w:val="1"/>
          <w:color w:val="auto"/>
        </w:rPr>
        <w:t xml:space="preserve">Beneficial Ownership of Common Stock of Westlake Chemical </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-10795</wp:posOffset>
            </wp:positionV>
            <wp:extent cx="34029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ind w:left="20"/>
        <w:spacing w:after="0"/>
        <w:tabs>
          <w:tab w:leader="none" w:pos="6380" w:val="left"/>
          <w:tab w:leader="none" w:pos="7920" w:val="left"/>
          <w:tab w:leader="none" w:pos="9940" w:val="left"/>
        </w:tabs>
        <w:rPr>
          <w:sz w:val="20"/>
          <w:szCs w:val="20"/>
          <w:color w:val="auto"/>
        </w:rPr>
      </w:pPr>
      <w:r>
        <w:rPr>
          <w:rFonts w:ascii="Arial" w:cs="Arial" w:eastAsia="Arial" w:hAnsi="Arial"/>
          <w:sz w:val="14"/>
          <w:szCs w:val="14"/>
          <w:b w:val="1"/>
          <w:bCs w:val="1"/>
          <w:color w:val="auto"/>
        </w:rPr>
        <w:t>Directors and Named Executive Officers of Our General Partner</w:t>
      </w:r>
      <w:r>
        <w:rPr>
          <w:sz w:val="20"/>
          <w:szCs w:val="20"/>
          <w:color w:val="auto"/>
        </w:rPr>
        <w:tab/>
      </w:r>
      <w:r>
        <w:rPr>
          <w:rFonts w:ascii="Arial" w:cs="Arial" w:eastAsia="Arial" w:hAnsi="Arial"/>
          <w:sz w:val="14"/>
          <w:szCs w:val="14"/>
          <w:b w:val="1"/>
          <w:bCs w:val="1"/>
          <w:color w:val="auto"/>
        </w:rPr>
        <w:t>Direct</w:t>
      </w:r>
      <w:r>
        <w:rPr>
          <w:sz w:val="20"/>
          <w:szCs w:val="20"/>
          <w:color w:val="auto"/>
        </w:rPr>
        <w:tab/>
      </w:r>
      <w:r>
        <w:rPr>
          <w:rFonts w:ascii="Arial" w:cs="Arial" w:eastAsia="Arial" w:hAnsi="Arial"/>
          <w:sz w:val="14"/>
          <w:szCs w:val="14"/>
          <w:b w:val="1"/>
          <w:bCs w:val="1"/>
          <w:color w:val="auto"/>
        </w:rPr>
        <w:t>Other</w:t>
      </w:r>
      <w:r>
        <w:rPr>
          <w:sz w:val="20"/>
          <w:szCs w:val="20"/>
          <w:color w:val="auto"/>
        </w:rPr>
        <w:tab/>
      </w:r>
      <w:r>
        <w:rPr>
          <w:rFonts w:ascii="Arial" w:cs="Arial" w:eastAsia="Arial" w:hAnsi="Arial"/>
          <w:sz w:val="12"/>
          <w:szCs w:val="12"/>
          <w:b w:val="1"/>
          <w:bCs w:val="1"/>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Albert Chao</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910,109</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93,405,554</w:t>
            </w: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James Chao</w:t>
            </w:r>
          </w:p>
        </w:tc>
        <w:tc>
          <w:tcPr>
            <w:tcW w:w="1420" w:type="dxa"/>
            <w:vAlign w:val="bottom"/>
          </w:tcPr>
          <w:p>
            <w:pPr>
              <w:jc w:val="right"/>
              <w:spacing w:after="0"/>
              <w:rPr>
                <w:sz w:val="20"/>
                <w:szCs w:val="20"/>
                <w:color w:val="auto"/>
              </w:rPr>
            </w:pPr>
            <w:r>
              <w:rPr>
                <w:rFonts w:ascii="Arial" w:cs="Arial" w:eastAsia="Arial" w:hAnsi="Arial"/>
                <w:sz w:val="18"/>
                <w:szCs w:val="18"/>
                <w:color w:val="auto"/>
              </w:rPr>
              <w:t>338,311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93,405,554</w:t>
            </w: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M. Steven Bender</w:t>
            </w:r>
          </w:p>
        </w:tc>
        <w:tc>
          <w:tcPr>
            <w:tcW w:w="1420" w:type="dxa"/>
            <w:vAlign w:val="bottom"/>
          </w:tcPr>
          <w:p>
            <w:pPr>
              <w:jc w:val="right"/>
              <w:spacing w:after="0"/>
              <w:rPr>
                <w:sz w:val="20"/>
                <w:szCs w:val="20"/>
                <w:color w:val="auto"/>
              </w:rPr>
            </w:pPr>
            <w:r>
              <w:rPr>
                <w:rFonts w:ascii="Arial" w:cs="Arial" w:eastAsia="Arial" w:hAnsi="Arial"/>
                <w:sz w:val="18"/>
                <w:szCs w:val="18"/>
                <w:color w:val="auto"/>
              </w:rPr>
              <w:t>106,864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L. Benjamin Ederington</w:t>
            </w:r>
          </w:p>
        </w:tc>
        <w:tc>
          <w:tcPr>
            <w:tcW w:w="1420" w:type="dxa"/>
            <w:vAlign w:val="bottom"/>
          </w:tcPr>
          <w:p>
            <w:pPr>
              <w:jc w:val="right"/>
              <w:spacing w:after="0"/>
              <w:rPr>
                <w:sz w:val="20"/>
                <w:szCs w:val="20"/>
                <w:color w:val="auto"/>
              </w:rPr>
            </w:pPr>
            <w:r>
              <w:rPr>
                <w:rFonts w:ascii="Arial" w:cs="Arial" w:eastAsia="Arial" w:hAnsi="Arial"/>
                <w:sz w:val="18"/>
                <w:szCs w:val="18"/>
                <w:color w:val="auto"/>
              </w:rPr>
              <w:t>83,452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G. Stephen Finley</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Angela Minas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Randy G. Woelfel</w:t>
            </w: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(9 persons)</w:t>
            </w:r>
          </w:p>
        </w:tc>
        <w:tc>
          <w:tcPr>
            <w:tcW w:w="1420" w:type="dxa"/>
            <w:vAlign w:val="bottom"/>
          </w:tcPr>
          <w:p>
            <w:pPr>
              <w:jc w:val="right"/>
              <w:spacing w:after="0"/>
              <w:rPr>
                <w:sz w:val="20"/>
                <w:szCs w:val="20"/>
                <w:color w:val="auto"/>
              </w:rPr>
            </w:pPr>
            <w:r>
              <w:rPr>
                <w:rFonts w:ascii="Arial" w:cs="Arial" w:eastAsia="Arial" w:hAnsi="Arial"/>
                <w:sz w:val="18"/>
                <w:szCs w:val="18"/>
                <w:color w:val="auto"/>
              </w:rPr>
              <w:t>1,500,970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93,405,554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73.2 %</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72.8 %</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73.7 %</w:t>
      </w:r>
    </w:p>
    <w:p>
      <w:pPr>
        <w:spacing w:after="0" w:line="245" w:lineRule="exact"/>
        <w:rPr>
          <w:sz w:val="20"/>
          <w:szCs w:val="20"/>
          <w:color w:val="auto"/>
        </w:rPr>
      </w:pPr>
    </w:p>
    <w:p>
      <w:pPr>
        <w:sectPr>
          <w:pgSz w:w="11900" w:h="16838" w:orient="portrait"/>
          <w:cols w:equalWidth="0" w:num="3">
            <w:col w:w="8820" w:space="120"/>
            <w:col w:w="1040" w:space="720"/>
            <w:col w:w="540"/>
          </w:cols>
          <w:pgMar w:left="320" w:top="121" w:right="33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5"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6"/>
          <w:szCs w:val="16"/>
          <w:color w:val="auto"/>
        </w:rPr>
      </w:pPr>
      <w:r>
        <w:rPr>
          <w:rFonts w:ascii="Arial" w:cs="Arial" w:eastAsia="Arial" w:hAnsi="Arial"/>
          <w:sz w:val="18"/>
          <w:szCs w:val="18"/>
          <w:color w:val="auto"/>
        </w:rPr>
        <w:t>Less than 1% of the outstanding shares of common stock.</w:t>
      </w:r>
    </w:p>
    <w:p>
      <w:pPr>
        <w:spacing w:after="0" w:line="104"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shares beneficially owned by the directors or officers are pledged as security.</w:t>
      </w:r>
    </w:p>
    <w:p>
      <w:pPr>
        <w:spacing w:after="0" w:line="90" w:lineRule="exact"/>
        <w:rPr>
          <w:rFonts w:ascii="Arial" w:cs="Arial" w:eastAsia="Arial" w:hAnsi="Arial"/>
          <w:sz w:val="18"/>
          <w:szCs w:val="18"/>
          <w:color w:val="auto"/>
        </w:rPr>
      </w:pPr>
    </w:p>
    <w:p>
      <w:pPr>
        <w:ind w:left="340" w:right="40" w:hanging="332"/>
        <w:spacing w:after="0" w:line="272" w:lineRule="auto"/>
        <w:tabs>
          <w:tab w:leader="none" w:pos="40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TTWF LP, a Delaware limited partnership, holds 92,010,554 and TTWFGP LLC, the general partner of TTWF LP, holds 1,395,000 of these 93,405,554 shares. Two trusts for the benefit of members of the Chao family, including James Chao and Albert Chao, are the managers of TTWFGP LLC. The limited partners of TTWF LP are five trusts principally for the benefit of members of the Chao family, including James Chao and Albert Chao and two corporations owned, indirectly or directly, by certain of these trusts and by other entities owned by members of the Chao family, including Messrs. James and Albert Chao. James Chao, Albert Chao, TTWF LP and TTWFGP LLC share voting and dispositive power with respect to the shares of Westlake's common stock beneficially owned by TTWF LP. James Chao, Albert Chao and TTWFGP LLC share voting and dispositive power with respect to the shares of Westlake’s common stock beneficially owned by TTWFGP LLC. Messrs. James and Albert Chao disclaim beneficial ownership of the 93,405,554 shares held by TTWF LP and TTWFGP LLC except to the extent of their respective pecuniary interest therein.</w:t>
      </w:r>
    </w:p>
    <w:p>
      <w:pPr>
        <w:spacing w:after="0" w:line="11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each person known to us who is the beneficial owner of 5% or more of our outstanding common units, other than Westlake, the holdings of which are listed in the first table of this Item 12.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 Units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35"/>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54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Units Beneficially</w:t>
            </w:r>
          </w:p>
        </w:tc>
        <w:tc>
          <w:tcPr>
            <w:tcW w:w="0" w:type="dxa"/>
            <w:vAlign w:val="bottom"/>
          </w:tcPr>
          <w:p>
            <w:pPr>
              <w:spacing w:after="0"/>
              <w:rPr>
                <w:sz w:val="1"/>
                <w:szCs w:val="1"/>
                <w:color w:val="auto"/>
              </w:rPr>
            </w:pPr>
          </w:p>
        </w:tc>
      </w:tr>
      <w:tr>
        <w:trPr>
          <w:trHeight w:val="188"/>
        </w:trPr>
        <w:tc>
          <w:tcPr>
            <w:tcW w:w="8140" w:type="dxa"/>
            <w:vAlign w:val="bottom"/>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97"/>
        </w:trPr>
        <w:tc>
          <w:tcPr>
            <w:tcW w:w="8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Energy Income Partners, LLC</w:t>
            </w: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10 Wright Street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Westport, CT 06880</w:t>
            </w:r>
          </w:p>
        </w:tc>
        <w:tc>
          <w:tcPr>
            <w:tcW w:w="1420" w:type="dxa"/>
            <w:vAlign w:val="bottom"/>
            <w:shd w:val="clear" w:color="auto" w:fill="CCEEFF"/>
          </w:tcPr>
          <w:p>
            <w:pPr>
              <w:jc w:val="right"/>
              <w:spacing w:after="0" w:line="244" w:lineRule="exact"/>
              <w:rPr>
                <w:sz w:val="20"/>
                <w:szCs w:val="20"/>
                <w:color w:val="auto"/>
              </w:rPr>
            </w:pPr>
            <w:r>
              <w:rPr>
                <w:rFonts w:ascii="Arial" w:cs="Arial" w:eastAsia="Arial" w:hAnsi="Arial"/>
                <w:sz w:val="18"/>
                <w:szCs w:val="18"/>
                <w:color w:val="auto"/>
              </w:rPr>
              <w:t xml:space="preserve">2,776,709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8"/>
                <w:szCs w:val="18"/>
                <w:color w:val="auto"/>
              </w:rPr>
              <w:t>First Trust Portfolios L.P., First Trust Advisors L.P. and The Charger Corporation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240"/>
              <w:spacing w:after="0" w:line="202" w:lineRule="exact"/>
              <w:rPr>
                <w:sz w:val="20"/>
                <w:szCs w:val="20"/>
                <w:color w:val="auto"/>
              </w:rPr>
            </w:pPr>
            <w:r>
              <w:rPr>
                <w:rFonts w:ascii="Arial" w:cs="Arial" w:eastAsia="Arial" w:hAnsi="Arial"/>
                <w:sz w:val="18"/>
                <w:szCs w:val="18"/>
                <w:color w:val="auto"/>
              </w:rPr>
              <w:t>120 East Liberty Drive, Suite 400</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240"/>
              <w:spacing w:after="0"/>
              <w:rPr>
                <w:sz w:val="20"/>
                <w:szCs w:val="20"/>
                <w:color w:val="auto"/>
              </w:rPr>
            </w:pPr>
            <w:r>
              <w:rPr>
                <w:rFonts w:ascii="Arial" w:cs="Arial" w:eastAsia="Arial" w:hAnsi="Arial"/>
                <w:sz w:val="18"/>
                <w:szCs w:val="18"/>
                <w:color w:val="auto"/>
              </w:rPr>
              <w:t>Wheaton, Illinois 60187</w:t>
            </w:r>
          </w:p>
        </w:tc>
        <w:tc>
          <w:tcPr>
            <w:tcW w:w="1420" w:type="dxa"/>
            <w:vAlign w:val="bottom"/>
          </w:tcPr>
          <w:p>
            <w:pPr>
              <w:jc w:val="right"/>
              <w:spacing w:after="0" w:line="244" w:lineRule="exact"/>
              <w:rPr>
                <w:sz w:val="20"/>
                <w:szCs w:val="20"/>
                <w:color w:val="auto"/>
              </w:rPr>
            </w:pPr>
            <w:r>
              <w:rPr>
                <w:rFonts w:ascii="Arial" w:cs="Arial" w:eastAsia="Arial" w:hAnsi="Arial"/>
                <w:sz w:val="18"/>
                <w:szCs w:val="18"/>
                <w:color w:val="auto"/>
              </w:rPr>
              <w:t xml:space="preserve">1,794,272 </w:t>
            </w:r>
            <w:r>
              <w:rPr>
                <w:rFonts w:ascii="Arial" w:cs="Arial" w:eastAsia="Arial" w:hAnsi="Arial"/>
                <w:sz w:val="23"/>
                <w:szCs w:val="23"/>
                <w:color w:val="auto"/>
                <w:vertAlign w:val="superscript"/>
              </w:rPr>
              <w:t>(2)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Invesco Ltd.</w:t>
            </w: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1555 Peachtree Street NE, Suite 1800</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Atlanta, GA 30309</w:t>
            </w:r>
          </w:p>
        </w:tc>
        <w:tc>
          <w:tcPr>
            <w:tcW w:w="1420" w:type="dxa"/>
            <w:vAlign w:val="bottom"/>
            <w:shd w:val="clear" w:color="auto" w:fill="CCEEFF"/>
          </w:tcPr>
          <w:p>
            <w:pPr>
              <w:jc w:val="right"/>
              <w:spacing w:after="0" w:line="244" w:lineRule="exact"/>
              <w:rPr>
                <w:sz w:val="20"/>
                <w:szCs w:val="20"/>
                <w:color w:val="auto"/>
              </w:rPr>
            </w:pPr>
            <w:r>
              <w:rPr>
                <w:rFonts w:ascii="Arial" w:cs="Arial" w:eastAsia="Arial" w:hAnsi="Arial"/>
                <w:sz w:val="18"/>
                <w:szCs w:val="18"/>
                <w:color w:val="auto"/>
              </w:rPr>
              <w:t xml:space="preserve">6,781,916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98" w:lineRule="exact"/>
        <w:rPr>
          <w:sz w:val="20"/>
          <w:szCs w:val="20"/>
          <w:color w:val="auto"/>
        </w:rPr>
      </w:pPr>
    </w:p>
    <w:p>
      <w:pPr>
        <w:ind w:left="340" w:right="60" w:hanging="332"/>
        <w:spacing w:after="0" w:line="301" w:lineRule="auto"/>
        <w:tabs>
          <w:tab w:leader="none" w:pos="406"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a Schedule 13G filed on February 16, 2021. According to the filing, Energy Income Partners, LLC had shared voting and shared dispositive power over 2,776,709 common units. In addition, each of James J. Murchie, Eva Pao and John Tyssel had shared voting and shared dispositive power over 2,776,709 common units as portfolios managers with respect to the portfolios managed by Energy Income Partners, LLC, and Saul Ballesteros had shared voting and shared dispositive power over 2,776,709 common units as a control person of Energy Income Partners, LLC.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40" w:hanging="332"/>
        <w:spacing w:after="0" w:line="254" w:lineRule="auto"/>
        <w:tabs>
          <w:tab w:leader="none" w:pos="4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a Schedule 13G filed on January 11, 2021. According to the filing, First Trust Advisors L.P. and The Charger Corporation had shared voting power over 1,788,153 common units and shared dispositive power over 1,794,272 common units. First Trust Portfolios L.P. had shared voting power and shared dispositive power over 0 common units. According to the filing, The Charger Corporation is the general partner of both of First Trust Portfolios L.P. and First Trust Advisors L.P.; First Trust Portfolios L.P. acts as sponsor of certain unit investment trusts which holds common units of the Partnership; none of First Trust Portfolios L.P., First Trust Advisors L.P. and The Charger Corporation have the power to vote the units of the Partnership held by these unit investment trusts sponsored by First Trust Portfolios L.P; and the units are voted by the trustee of the unit investment trusts.</w:t>
      </w:r>
    </w:p>
    <w:p>
      <w:pPr>
        <w:spacing w:after="0" w:line="59" w:lineRule="exact"/>
        <w:rPr>
          <w:rFonts w:ascii="Arial" w:cs="Arial" w:eastAsia="Arial" w:hAnsi="Arial"/>
          <w:sz w:val="18"/>
          <w:szCs w:val="18"/>
          <w:color w:val="auto"/>
        </w:rPr>
      </w:pPr>
    </w:p>
    <w:p>
      <w:pPr>
        <w:ind w:left="340" w:right="740" w:hanging="332"/>
        <w:spacing w:after="0" w:line="277" w:lineRule="auto"/>
        <w:tabs>
          <w:tab w:leader="none" w:pos="4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an Amendment No. 2 to a Schedule 13G filed on February 12, 2021. According to the filing, Invesco Ltd. had sole voting and sole dispositive power over 6,781,916 common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Units authorized for issuance under the Partnership's Long-Term Incentive Plan (the "LTIP") are summarized in the following table.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Weighted-average</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Number of units</w:t>
            </w:r>
          </w:p>
        </w:tc>
        <w:tc>
          <w:tcPr>
            <w:tcW w:w="2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for future issuance under</w:t>
            </w: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exercise price of</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22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exercise of outstanding</w:t>
            </w:r>
          </w:p>
        </w:tc>
        <w:tc>
          <w:tcPr>
            <w:tcW w:w="220" w:type="dxa"/>
            <w:vAlign w:val="bottom"/>
          </w:tcPr>
          <w:p>
            <w:pPr>
              <w:spacing w:after="0"/>
              <w:rPr>
                <w:sz w:val="11"/>
                <w:szCs w:val="11"/>
                <w:color w:val="auto"/>
              </w:rPr>
            </w:pPr>
          </w:p>
        </w:tc>
        <w:tc>
          <w:tcPr>
            <w:tcW w:w="16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35"/>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options, warrants and</w:t>
            </w:r>
          </w:p>
        </w:tc>
        <w:tc>
          <w:tcPr>
            <w:tcW w:w="22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and rights</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88"/>
        </w:trPr>
        <w:tc>
          <w:tcPr>
            <w:tcW w:w="5760" w:type="dxa"/>
            <w:vAlign w:val="bottom"/>
            <w:gridSpan w:val="2"/>
            <w:vMerge w:val="continue"/>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rights (a)</w:t>
            </w:r>
          </w:p>
        </w:tc>
        <w:tc>
          <w:tcPr>
            <w:tcW w:w="22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24"/>
        </w:trPr>
        <w:tc>
          <w:tcPr>
            <w:tcW w:w="56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Equity compensation plan approved by security holders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20,439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1,226,206</w:t>
            </w:r>
          </w:p>
        </w:tc>
        <w:tc>
          <w:tcPr>
            <w:tcW w:w="0" w:type="dxa"/>
            <w:vAlign w:val="bottom"/>
          </w:tcPr>
          <w:p>
            <w:pPr>
              <w:spacing w:after="0"/>
              <w:rPr>
                <w:sz w:val="1"/>
                <w:szCs w:val="1"/>
                <w:color w:val="auto"/>
              </w:rPr>
            </w:pPr>
          </w:p>
        </w:tc>
      </w:tr>
      <w:tr>
        <w:trPr>
          <w:trHeight w:val="229"/>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 not approved by security holders</w:t>
            </w:r>
          </w:p>
        </w:tc>
        <w:tc>
          <w:tcPr>
            <w:tcW w:w="176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N/A</w:t>
            </w:r>
          </w:p>
        </w:tc>
        <w:tc>
          <w:tcPr>
            <w:tcW w:w="1760" w:type="dxa"/>
            <w:vAlign w:val="bottom"/>
          </w:tcPr>
          <w:p>
            <w:pPr>
              <w:jc w:val="right"/>
              <w:ind w:right="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8"/>
        </w:trPr>
        <w:tc>
          <w:tcPr>
            <w:tcW w:w="5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20,439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1,226,206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5" w:lineRule="exact"/>
        <w:rPr>
          <w:sz w:val="20"/>
          <w:szCs w:val="20"/>
          <w:color w:val="auto"/>
        </w:rPr>
      </w:pPr>
    </w:p>
    <w:p>
      <w:pPr>
        <w:ind w:left="340" w:right="80" w:hanging="332"/>
        <w:spacing w:after="0" w:line="277" w:lineRule="auto"/>
        <w:tabs>
          <w:tab w:leader="none" w:pos="3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Adopted by our general partner's board of directors in connection with our IPO. Only phantom unit awards have been granted under the LTIP. There is no weighted-average exercise price associated with these awards.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more information about the plan, please see Note 13 to our consolidated financial statements included in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Westlake owns 14,122,230 common units, representing an aggregate approximate 40.1% limited partner interest in us; a 100% interest in our general partner; and our incentive distribution rights. Transactions with Westlake and its affiliated entities are considered to be related party transactions because Westlake and its affiliates own more than 5% of our equity interests; in addition, certain of Westlake's directors and executive officers serve as directors and executive officers of both Westlake and our general partner.</w:t>
      </w:r>
    </w:p>
    <w:p>
      <w:pPr>
        <w:spacing w:after="0" w:line="13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the Partnership Agreement, of any agreement contemplated thereby or of any duty, if the resolution, course of action or transaction in respect of such conflict of interest is:</w:t>
      </w:r>
    </w:p>
    <w:p>
      <w:pPr>
        <w:spacing w:after="0" w:line="6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approved by the conflicts committee of our general partner; or</w:t>
      </w:r>
    </w:p>
    <w:p>
      <w:pPr>
        <w:spacing w:after="0" w:line="90"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approved by the holders of a majority of our outstanding common units, excluding any such units owned by our general partner or any of its affiliates.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the Partnership Agreement, the board of directors or its conflicts committee, as applicable, may consider any factors it determines in good faith to consider when resolving a conflict. An independent third party is not required to evaluate the resolution. Under the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information required by Item 407(a) of Regulation S-K is included in "Item 10. Directors, Executive Officers and Corporate Governance."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9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Payments to our General Partner and its Affiliates</w:t>
      </w:r>
    </w:p>
    <w:p>
      <w:pPr>
        <w:spacing w:after="0" w:line="10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30"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Assuming we have sufficient available cash to pay the full minimum quarterly distribution of $0.2750 per unit on all of our outstanding units for four quarters, Westlake would receive an annual distribution of approximately $15.5 million on its common units. During 2020, we made a $1.8856 per unit distribution to all of our unitholders, resulting in Westlake receiving approximately $26.6 million.</w:t>
      </w:r>
    </w:p>
    <w:p>
      <w:pPr>
        <w:spacing w:after="0" w:line="12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the Services and Secondment Agreement, our general partner will determine the expenses that are allocable to us in good faith, but there is no limit on the amount of expenses for which our general partner and its affiliates will be reimbursed. For the year ended December 31, 2020, we paid approximately $146.7 million for such expenses.</w:t>
      </w:r>
    </w:p>
    <w:p>
      <w:pPr>
        <w:spacing w:after="0" w:line="1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1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If we are ever liquidated, the partners, including Westlake, will be entitled to receive liquidating distributions according to their respective capital account balances.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Westlake</w:t>
      </w:r>
    </w:p>
    <w:p>
      <w:pPr>
        <w:spacing w:after="0" w:line="108"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Except as otherwise indicated, the agreements described below became effective on August 4, 2014, concurrent with the closing of the IPO. For amounts paid by us or Westlake, as applicable, under the agreements described below, see Note 11 to our consolidated financial statements.</w:t>
      </w:r>
    </w:p>
    <w:p>
      <w:pPr>
        <w:spacing w:after="0" w:line="70"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In addition to the agreements described below, we also entered into the MLP Revolver in 2015, which was amended in August 2017, December 2017 and March 2020, and OpCo entered into the OpCo Revolver and assumed various promissory notes at the closing of the IPO. The OpCo Revolver was amended in September 2018 to extend the maturity date from August 4, 2019 to September 25, 2023, and revise the applicable margin from 3% to 2%. See "Item 7. Management's Discussion &amp; Analysis of Financial Condition and Results of Operations—Liquidity and Capital Resources—Indebtedness."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Under specified circumstances, cost underrecoveries may be carried forward for recovery in subsequent years. Variable costs not incurred by OpCo due to a deficiency in takes are rebated to Westlake.</w:t>
      </w:r>
    </w:p>
    <w:p>
      <w:pPr>
        <w:spacing w:after="0" w:line="131"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6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On November 1, 2018, OpCo and Westlake entered into an amendment to the Ethylene Sales Agreement that provides OpCo with the option to curtail up to 5% of its ethylene production annually in the event OpCo reasonably determines that its sales of such ethylene to third parties during the relevant period would be uneconomic.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agreed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104"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OpCo and Westlake are parties 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10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OpCo and Westlake are parties to the Omnibus Agreement, pursuant to which we granted Westlake, among other things, a right of first refusal on any proposed transfer of our equity interests in OpCo, the ethylene production facilities that serve Westlake's other facilities, or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 The OpCo LP Agreement was amended in December 2017 in connection with the new partnership tax audit rules.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0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OpCo and Westlake are parties 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104" w:lineRule="exact"/>
        <w:rPr>
          <w:sz w:val="20"/>
          <w:szCs w:val="20"/>
          <w:color w:val="auto"/>
        </w:rPr>
      </w:pPr>
    </w:p>
    <w:p>
      <w:pPr>
        <w:jc w:val="both"/>
        <w:ind w:right="420" w:firstLine="405"/>
        <w:spacing w:after="0" w:line="311" w:lineRule="auto"/>
        <w:rPr>
          <w:sz w:val="20"/>
          <w:szCs w:val="20"/>
          <w:color w:val="auto"/>
        </w:rPr>
      </w:pPr>
      <w:r>
        <w:rPr>
          <w:rFonts w:ascii="Arial" w:cs="Arial" w:eastAsia="Arial" w:hAnsi="Arial"/>
          <w:sz w:val="16"/>
          <w:szCs w:val="16"/>
          <w:color w:val="auto"/>
        </w:rPr>
        <w:t>On August 1, 2017, we, OpCo and Westlake executed an Investment Management Agreement that authorizes Westlake to invest our and OpCo's excess cash with Westlake for a term of up to a maximum of nine months. Per the terms of the Investment Management Agreement, we earn a market return plus five basis points and Westlake provides daily availability of the invested cash to meet any liquidity needs of us or OpCo.</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serves as our independent registered public accounting firm.</w:t>
      </w:r>
    </w:p>
    <w:p>
      <w:pPr>
        <w:spacing w:after="0" w:line="171" w:lineRule="exact"/>
        <w:rPr>
          <w:sz w:val="20"/>
          <w:szCs w:val="20"/>
          <w:color w:val="auto"/>
        </w:rPr>
      </w:pPr>
    </w:p>
    <w:p>
      <w:pPr>
        <w:ind w:right="240" w:firstLine="445"/>
        <w:spacing w:after="0" w:line="342" w:lineRule="auto"/>
        <w:rPr>
          <w:sz w:val="20"/>
          <w:szCs w:val="20"/>
          <w:color w:val="auto"/>
        </w:rPr>
      </w:pPr>
      <w:r>
        <w:rPr>
          <w:rFonts w:ascii="Arial" w:cs="Arial" w:eastAsia="Arial" w:hAnsi="Arial"/>
          <w:sz w:val="16"/>
          <w:szCs w:val="16"/>
          <w:color w:val="auto"/>
        </w:rPr>
        <w:t>The following table presents fees for professional services rendered by PricewaterhouseCoopers LLP in connection with the 2020 and 2019 audits and fees billed by PricewaterhouseCoopers LLP for other services rendered in the years ended December 31, 2020 and December 31,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87"/>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8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279,154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1,029,154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right="360" w:hanging="412"/>
        <w:spacing w:after="0" w:line="248" w:lineRule="auto"/>
        <w:tabs>
          <w:tab w:leader="none" w:pos="4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Audit fees represent fees billed for professional services rendered for the audits of our annual consolidated financial statements, audit of internal controls, quarterly review of our consolidated financial statements, reviews of documents filed with the SEC, registration statements and comfort letters.</w:t>
      </w:r>
    </w:p>
    <w:p>
      <w:pPr>
        <w:spacing w:after="0" w:line="19" w:lineRule="exact"/>
        <w:rPr>
          <w:rFonts w:ascii="Arial" w:cs="Arial" w:eastAsia="Arial" w:hAnsi="Arial"/>
          <w:sz w:val="18"/>
          <w:szCs w:val="18"/>
          <w:color w:val="auto"/>
        </w:rPr>
      </w:pPr>
    </w:p>
    <w:p>
      <w:pPr>
        <w:ind w:left="420" w:right="40" w:hanging="412"/>
        <w:spacing w:after="0" w:line="277" w:lineRule="auto"/>
        <w:tabs>
          <w:tab w:leader="none" w:pos="4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tax services with respect to the preparation of the Partnership's 2019 K-1 statements in 2020, and the preparation of the Partnership's 2018 K-1 statements in 2019 and compliance services in 2020 and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Policy</w:t>
      </w:r>
    </w:p>
    <w:p>
      <w:pPr>
        <w:spacing w:after="0" w:line="104"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 xml:space="preserve">The charter of the audit committee of our general partner's board of directors, which is available on our website at </w:t>
      </w:r>
      <w:r>
        <w:rPr>
          <w:rFonts w:ascii="Arial" w:cs="Arial" w:eastAsia="Arial" w:hAnsi="Arial"/>
          <w:sz w:val="17"/>
          <w:szCs w:val="17"/>
          <w:i w:val="1"/>
          <w:iCs w:val="1"/>
          <w:color w:val="auto"/>
        </w:rPr>
        <w:t>www.wlkpartners.com</w:t>
      </w:r>
      <w:r>
        <w:rPr>
          <w:rFonts w:ascii="Arial" w:cs="Arial" w:eastAsia="Arial" w:hAnsi="Arial"/>
          <w:sz w:val="17"/>
          <w:szCs w:val="17"/>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The audit committee pre-approved all services provided by PricewaterhouseCoopers during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contained elsewhere in this report.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100" w:type="dxa"/>
            <w:vAlign w:val="bottom"/>
            <w:gridSpan w:val="24"/>
          </w:tcPr>
          <w:p>
            <w:pPr>
              <w:ind w:left="2000"/>
              <w:spacing w:after="0"/>
              <w:rPr>
                <w:sz w:val="20"/>
                <w:szCs w:val="20"/>
                <w:color w:val="auto"/>
              </w:rPr>
            </w:pPr>
            <w:r>
              <w:rPr>
                <w:rFonts w:ascii="Arial" w:cs="Arial" w:eastAsia="Arial" w:hAnsi="Arial"/>
                <w:sz w:val="18"/>
                <w:szCs w:val="18"/>
                <w:b w:val="1"/>
                <w:bCs w:val="1"/>
                <w:color w:val="auto"/>
              </w:rPr>
              <w:t>Exhibit Index</w:t>
            </w:r>
          </w:p>
        </w:tc>
      </w:tr>
      <w:tr>
        <w:trPr>
          <w:trHeight w:val="313"/>
        </w:trPr>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Exhibit No.</w:t>
            </w:r>
          </w:p>
        </w:tc>
        <w:tc>
          <w:tcPr>
            <w:tcW w:w="9640" w:type="dxa"/>
            <w:vAlign w:val="bottom"/>
            <w:gridSpan w:val="27"/>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249"/>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3.1</w:t>
            </w:r>
          </w:p>
        </w:tc>
        <w:tc>
          <w:tcPr>
            <w:tcW w:w="9640" w:type="dxa"/>
            <w:vAlign w:val="bottom"/>
            <w:gridSpan w:val="27"/>
          </w:tcPr>
          <w:p>
            <w:pPr>
              <w:spacing w:after="0"/>
              <w:rPr>
                <w:rFonts w:ascii="Arial" w:cs="Arial" w:eastAsia="Arial" w:hAnsi="Arial"/>
                <w:sz w:val="18"/>
                <w:szCs w:val="18"/>
                <w:color w:val="0000FF"/>
                <w:w w:val="92"/>
              </w:rPr>
            </w:pPr>
            <w:hyperlink r:id="rId134">
              <w:r>
                <w:rPr>
                  <w:rFonts w:ascii="Arial" w:cs="Arial" w:eastAsia="Arial" w:hAnsi="Arial"/>
                  <w:sz w:val="18"/>
                  <w:szCs w:val="18"/>
                  <w:color w:val="0000FF"/>
                  <w:w w:val="92"/>
                </w:rPr>
                <w:t>Certificate of Limited Partnership of Westlake Chemical Partners LP (incorporated by reference to Exhibit 3.1 to Westlake Chemical</w:t>
              </w:r>
            </w:hyperlink>
          </w:p>
        </w:tc>
      </w:tr>
      <w:tr>
        <w:trPr>
          <w:trHeight w:val="156"/>
        </w:trPr>
        <w:tc>
          <w:tcPr>
            <w:tcW w:w="1540" w:type="dxa"/>
            <w:vAlign w:val="bottom"/>
          </w:tcPr>
          <w:p>
            <w:pPr>
              <w:spacing w:after="0"/>
              <w:rPr>
                <w:sz w:val="13"/>
                <w:szCs w:val="13"/>
                <w:color w:val="auto"/>
              </w:rPr>
            </w:pPr>
          </w:p>
        </w:tc>
        <w:tc>
          <w:tcPr>
            <w:tcW w:w="95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Partners LP's Registration Statement on Form S-1 (File No. 333-195551), filed on April 29,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3.2</w:t>
            </w:r>
          </w:p>
        </w:tc>
        <w:tc>
          <w:tcPr>
            <w:tcW w:w="9640" w:type="dxa"/>
            <w:vAlign w:val="bottom"/>
            <w:gridSpan w:val="27"/>
          </w:tcPr>
          <w:p>
            <w:pPr>
              <w:spacing w:after="0"/>
              <w:rPr>
                <w:rFonts w:ascii="Arial" w:cs="Arial" w:eastAsia="Arial" w:hAnsi="Arial"/>
                <w:sz w:val="18"/>
                <w:szCs w:val="18"/>
                <w:color w:val="0000FF"/>
                <w:w w:val="94"/>
              </w:rPr>
            </w:pPr>
            <w:hyperlink r:id="rId135">
              <w:r>
                <w:rPr>
                  <w:rFonts w:ascii="Arial" w:cs="Arial" w:eastAsia="Arial" w:hAnsi="Arial"/>
                  <w:sz w:val="18"/>
                  <w:szCs w:val="18"/>
                  <w:color w:val="0000FF"/>
                  <w:w w:val="94"/>
                </w:rPr>
                <w:t>First Amended and Restated Agreement of Limited Partnership of Westlake Chemical Partners LP (incorporated by reference to</w:t>
              </w:r>
            </w:hyperlink>
          </w:p>
        </w:tc>
      </w:tr>
      <w:tr>
        <w:trPr>
          <w:trHeight w:val="224"/>
        </w:trPr>
        <w:tc>
          <w:tcPr>
            <w:tcW w:w="1540" w:type="dxa"/>
            <w:vAlign w:val="bottom"/>
          </w:tcPr>
          <w:p>
            <w:pPr>
              <w:spacing w:after="0"/>
              <w:rPr>
                <w:sz w:val="19"/>
                <w:szCs w:val="19"/>
                <w:color w:val="auto"/>
              </w:rPr>
            </w:pPr>
          </w:p>
        </w:tc>
        <w:tc>
          <w:tcPr>
            <w:tcW w:w="9220" w:type="dxa"/>
            <w:vAlign w:val="bottom"/>
            <w:tcBorders>
              <w:top w:val="single" w:sz="8" w:color="0000FF"/>
            </w:tcBorders>
            <w:gridSpan w:val="12"/>
          </w:tcPr>
          <w:p>
            <w:pPr>
              <w:spacing w:after="0"/>
              <w:rPr>
                <w:rFonts w:ascii="Arial" w:cs="Arial" w:eastAsia="Arial" w:hAnsi="Arial"/>
                <w:sz w:val="18"/>
                <w:szCs w:val="18"/>
                <w:u w:val="single" w:color="auto"/>
                <w:color w:val="0000FF"/>
                <w:w w:val="94"/>
              </w:rPr>
            </w:pPr>
            <w:hyperlink r:id="rId135">
              <w:r>
                <w:rPr>
                  <w:rFonts w:ascii="Arial" w:cs="Arial" w:eastAsia="Arial" w:hAnsi="Arial"/>
                  <w:sz w:val="18"/>
                  <w:szCs w:val="18"/>
                  <w:u w:val="single" w:color="auto"/>
                  <w:color w:val="0000FF"/>
                  <w:w w:val="94"/>
                </w:rPr>
                <w:t>Exhibit 3.1 to Westlake Chemical Partners LP's Current Report on Form 8-K (File No. 001-36567) filed on August 8, 2014).</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3.3</w:t>
            </w:r>
          </w:p>
        </w:tc>
        <w:tc>
          <w:tcPr>
            <w:tcW w:w="9640" w:type="dxa"/>
            <w:vAlign w:val="bottom"/>
            <w:gridSpan w:val="27"/>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Amendment No. 1 to the First Amended and Restated Agreement of Limited Partnership of Westlake Chemical Partners LP dated as</w:t>
              </w:r>
            </w:hyperlink>
          </w:p>
        </w:tc>
      </w:tr>
      <w:tr>
        <w:trPr>
          <w:trHeight w:val="155"/>
        </w:trPr>
        <w:tc>
          <w:tcPr>
            <w:tcW w:w="1540" w:type="dxa"/>
            <w:vAlign w:val="bottom"/>
          </w:tcPr>
          <w:p>
            <w:pPr>
              <w:spacing w:after="0"/>
              <w:rPr>
                <w:sz w:val="13"/>
                <w:szCs w:val="13"/>
                <w:color w:val="auto"/>
              </w:rPr>
            </w:pPr>
          </w:p>
        </w:tc>
        <w:tc>
          <w:tcPr>
            <w:tcW w:w="954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of November 16, 2017 (incorporated by Reference to Exhibit 3.1 to Westlake Chemical Partners LP's Current Report on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filed on November 16, 2017, File No. 01-36567).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3.4</w:t>
            </w:r>
          </w:p>
        </w:tc>
        <w:tc>
          <w:tcPr>
            <w:tcW w:w="9640" w:type="dxa"/>
            <w:vAlign w:val="bottom"/>
            <w:gridSpan w:val="27"/>
          </w:tcPr>
          <w:p>
            <w:pPr>
              <w:spacing w:after="0"/>
              <w:rPr>
                <w:rFonts w:ascii="Arial" w:cs="Arial" w:eastAsia="Arial" w:hAnsi="Arial"/>
                <w:sz w:val="18"/>
                <w:szCs w:val="18"/>
                <w:color w:val="0000FF"/>
                <w:w w:val="98"/>
              </w:rPr>
            </w:pPr>
            <w:hyperlink r:id="rId137">
              <w:r>
                <w:rPr>
                  <w:rFonts w:ascii="Arial" w:cs="Arial" w:eastAsia="Arial" w:hAnsi="Arial"/>
                  <w:sz w:val="18"/>
                  <w:szCs w:val="18"/>
                  <w:color w:val="0000FF"/>
                  <w:w w:val="98"/>
                </w:rPr>
                <w:t>Amendment No. 2 to the First Amended and Restated Agreement of Limited Partnership of Westlake Chemical Partners LP</w:t>
              </w:r>
            </w:hyperlink>
          </w:p>
        </w:tc>
      </w:tr>
      <w:tr>
        <w:trPr>
          <w:trHeight w:val="156"/>
        </w:trPr>
        <w:tc>
          <w:tcPr>
            <w:tcW w:w="1540" w:type="dxa"/>
            <w:vAlign w:val="bottom"/>
          </w:tcPr>
          <w:p>
            <w:pPr>
              <w:spacing w:after="0"/>
              <w:rPr>
                <w:sz w:val="13"/>
                <w:szCs w:val="13"/>
                <w:color w:val="auto"/>
              </w:rPr>
            </w:pPr>
          </w:p>
        </w:tc>
        <w:tc>
          <w:tcPr>
            <w:tcW w:w="890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(incorporated by reference to Exhibit 3.1 to Westlake Chemical Partners LP's Current Report on Form 8-K filed on July 30,</w:t>
              </w:r>
            </w:hyperlink>
          </w:p>
        </w:tc>
        <w:tc>
          <w:tcPr>
            <w:tcW w:w="400" w:type="dxa"/>
            <w:vAlign w:val="bottom"/>
            <w:gridSpan w:val="6"/>
          </w:tcPr>
          <w:p>
            <w:pPr>
              <w:jc w:val="right"/>
              <w:ind w:right="20"/>
              <w:spacing w:after="0" w:line="156" w:lineRule="exact"/>
              <w:rPr>
                <w:rFonts w:ascii="Arial" w:cs="Arial" w:eastAsia="Arial" w:hAnsi="Arial"/>
                <w:sz w:val="18"/>
                <w:szCs w:val="18"/>
                <w:color w:val="0000FF"/>
                <w:w w:val="89"/>
              </w:rPr>
            </w:pPr>
            <w:hyperlink r:id="rId137">
              <w:r>
                <w:rPr>
                  <w:rFonts w:ascii="Arial" w:cs="Arial" w:eastAsia="Arial" w:hAnsi="Arial"/>
                  <w:sz w:val="18"/>
                  <w:szCs w:val="18"/>
                  <w:color w:val="0000FF"/>
                  <w:w w:val="89"/>
                </w:rPr>
                <w:t>2018</w:t>
              </w:r>
            </w:hyperlink>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92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(File No. 01-36567)).</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3.5</w:t>
            </w:r>
          </w:p>
        </w:tc>
        <w:tc>
          <w:tcPr>
            <w:tcW w:w="9640" w:type="dxa"/>
            <w:vAlign w:val="bottom"/>
            <w:gridSpan w:val="27"/>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Amended and Restated Limited Partnership Agreement of Westlake Chemical OpCo LP (incorporated by reference to Exhibit 10.7 to</w:t>
              </w:r>
            </w:hyperlink>
          </w:p>
        </w:tc>
      </w:tr>
      <w:tr>
        <w:trPr>
          <w:trHeight w:val="224"/>
        </w:trPr>
        <w:tc>
          <w:tcPr>
            <w:tcW w:w="1540" w:type="dxa"/>
            <w:vAlign w:val="bottom"/>
          </w:tcPr>
          <w:p>
            <w:pPr>
              <w:spacing w:after="0"/>
              <w:rPr>
                <w:sz w:val="19"/>
                <w:szCs w:val="19"/>
                <w:color w:val="auto"/>
              </w:rPr>
            </w:pPr>
          </w:p>
        </w:tc>
        <w:tc>
          <w:tcPr>
            <w:tcW w:w="9620" w:type="dxa"/>
            <w:vAlign w:val="bottom"/>
            <w:tcBorders>
              <w:top w:val="single" w:sz="8" w:color="0000FF"/>
            </w:tcBorders>
            <w:gridSpan w:val="26"/>
          </w:tcPr>
          <w:p>
            <w:pPr>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Westlake Chemical Partners LP's Current Report on Form 8-K (File No. 001-36567) filed on August 8, 2014).</w:t>
              </w:r>
            </w:hyperlink>
          </w:p>
        </w:tc>
        <w:tc>
          <w:tcPr>
            <w:tcW w:w="20" w:type="dxa"/>
            <w:vAlign w:val="bottom"/>
          </w:tcPr>
          <w:p>
            <w:pPr>
              <w:spacing w:after="0"/>
              <w:rPr>
                <w:sz w:val="19"/>
                <w:szCs w:val="19"/>
                <w:color w:val="auto"/>
              </w:rPr>
            </w:pPr>
          </w:p>
        </w:tc>
      </w:tr>
      <w:tr>
        <w:trPr>
          <w:trHeight w:val="256"/>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3.6</w:t>
            </w:r>
          </w:p>
        </w:tc>
        <w:tc>
          <w:tcPr>
            <w:tcW w:w="9640" w:type="dxa"/>
            <w:vAlign w:val="bottom"/>
            <w:gridSpan w:val="27"/>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Amendment No. 1 to the First Amended and Restated Agreement of Limited Partnership of Westlake Chemical OpCo LP dated as of</w:t>
              </w:r>
            </w:hyperlink>
          </w:p>
        </w:tc>
      </w:tr>
      <w:tr>
        <w:trPr>
          <w:trHeight w:val="156"/>
        </w:trPr>
        <w:tc>
          <w:tcPr>
            <w:tcW w:w="1540" w:type="dxa"/>
            <w:vAlign w:val="bottom"/>
          </w:tcPr>
          <w:p>
            <w:pPr>
              <w:spacing w:after="0"/>
              <w:rPr>
                <w:sz w:val="13"/>
                <w:szCs w:val="13"/>
                <w:color w:val="auto"/>
              </w:rPr>
            </w:pPr>
          </w:p>
        </w:tc>
        <w:tc>
          <w:tcPr>
            <w:tcW w:w="958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December 1, 2017 (File No. 01-36567) (incorporated by reference to Exhibit 3.4 to Westlake Chemical Partners LP's Annual Report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5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on Form 10-K for the year ended December 31, 2017 (File No. 01-36567) filed on March 1, 2018).</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10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4.1</w:t>
            </w:r>
          </w:p>
        </w:tc>
        <w:tc>
          <w:tcPr>
            <w:tcW w:w="9640" w:type="dxa"/>
            <w:vAlign w:val="bottom"/>
            <w:gridSpan w:val="27"/>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Description of Securities Registered Pursuant to Section 12 of the Securities Exchange Act of 1934 (incorporated by reference to</w:t>
              </w:r>
            </w:hyperlink>
          </w:p>
        </w:tc>
      </w:tr>
      <w:tr>
        <w:trPr>
          <w:trHeight w:val="142"/>
        </w:trPr>
        <w:tc>
          <w:tcPr>
            <w:tcW w:w="1540" w:type="dxa"/>
            <w:vAlign w:val="bottom"/>
          </w:tcPr>
          <w:p>
            <w:pPr>
              <w:spacing w:after="0"/>
              <w:rPr>
                <w:sz w:val="12"/>
                <w:szCs w:val="12"/>
                <w:color w:val="auto"/>
              </w:rPr>
            </w:pPr>
          </w:p>
        </w:tc>
        <w:tc>
          <w:tcPr>
            <w:tcW w:w="9300" w:type="dxa"/>
            <w:vAlign w:val="bottom"/>
            <w:tcBorders>
              <w:top w:val="single" w:sz="8" w:color="0000FF"/>
            </w:tcBorders>
            <w:gridSpan w:val="15"/>
          </w:tcPr>
          <w:p>
            <w:pPr>
              <w:spacing w:after="0" w:line="142" w:lineRule="exact"/>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Exhibit 4.1 to Westlake Chemical Partners' Annual Report on Form 10-K for the year ended December 31, 2019, File No. 001-</w:t>
              </w:r>
            </w:hyperlink>
          </w:p>
        </w:tc>
        <w:tc>
          <w:tcPr>
            <w:tcW w:w="1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89"/>
        </w:trPr>
        <w:tc>
          <w:tcPr>
            <w:tcW w:w="1540" w:type="dxa"/>
            <w:vAlign w:val="bottom"/>
          </w:tcPr>
          <w:p>
            <w:pPr>
              <w:spacing w:after="0"/>
              <w:rPr>
                <w:sz w:val="16"/>
                <w:szCs w:val="16"/>
                <w:color w:val="auto"/>
              </w:rPr>
            </w:pPr>
          </w:p>
        </w:tc>
        <w:tc>
          <w:tcPr>
            <w:tcW w:w="540" w:type="dxa"/>
            <w:vAlign w:val="bottom"/>
            <w:tcBorders>
              <w:bottom w:val="single" w:sz="8" w:color="0000FF"/>
            </w:tcBorders>
          </w:tcPr>
          <w:p>
            <w:pPr>
              <w:spacing w:after="0" w:line="189" w:lineRule="exact"/>
              <w:rPr>
                <w:rFonts w:ascii="Arial" w:cs="Arial" w:eastAsia="Arial" w:hAnsi="Arial"/>
                <w:sz w:val="18"/>
                <w:szCs w:val="18"/>
                <w:color w:val="0000FF"/>
                <w:w w:val="85"/>
              </w:rPr>
            </w:pPr>
            <w:hyperlink r:id="rId140">
              <w:r>
                <w:rPr>
                  <w:rFonts w:ascii="Arial" w:cs="Arial" w:eastAsia="Arial" w:hAnsi="Arial"/>
                  <w:sz w:val="18"/>
                  <w:szCs w:val="18"/>
                  <w:color w:val="0000FF"/>
                  <w:w w:val="85"/>
                </w:rPr>
                <w:t>36567).</w:t>
              </w:r>
            </w:hyperlink>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3"/>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4.2</w:t>
            </w:r>
          </w:p>
        </w:tc>
        <w:tc>
          <w:tcPr>
            <w:tcW w:w="9120" w:type="dxa"/>
            <w:vAlign w:val="bottom"/>
            <w:tcBorders>
              <w:bottom w:val="single" w:sz="8" w:color="0000FF"/>
            </w:tcBorders>
            <w:gridSpan w:val="10"/>
          </w:tcPr>
          <w:p>
            <w:pPr>
              <w:spacing w:after="0"/>
              <w:rPr>
                <w:rFonts w:ascii="Arial" w:cs="Arial" w:eastAsia="Arial" w:hAnsi="Arial"/>
                <w:sz w:val="18"/>
                <w:szCs w:val="18"/>
                <w:color w:val="0000FF"/>
                <w:w w:val="89"/>
              </w:rPr>
            </w:pPr>
            <w:hyperlink r:id="rId141">
              <w:r>
                <w:rPr>
                  <w:rFonts w:ascii="Arial" w:cs="Arial" w:eastAsia="Arial" w:hAnsi="Arial"/>
                  <w:sz w:val="18"/>
                  <w:szCs w:val="18"/>
                  <w:color w:val="0000FF"/>
                  <w:w w:val="89"/>
                </w:rPr>
                <w:t>Indenture dated as of January 1, 2006 by and among Westlake Chemical Corporation, the potential subsidiary guarantors listed</w:t>
              </w:r>
            </w:hyperlink>
          </w:p>
        </w:tc>
        <w:tc>
          <w:tcPr>
            <w:tcW w:w="520" w:type="dxa"/>
            <w:vAlign w:val="bottom"/>
            <w:gridSpan w:val="17"/>
          </w:tcPr>
          <w:p>
            <w:pPr>
              <w:spacing w:after="0"/>
              <w:rPr>
                <w:sz w:val="22"/>
                <w:szCs w:val="22"/>
                <w:color w:val="auto"/>
              </w:rPr>
            </w:pPr>
          </w:p>
        </w:tc>
      </w:tr>
      <w:tr>
        <w:trPr>
          <w:trHeight w:val="155"/>
        </w:trPr>
        <w:tc>
          <w:tcPr>
            <w:tcW w:w="1540" w:type="dxa"/>
            <w:vAlign w:val="bottom"/>
          </w:tcPr>
          <w:p>
            <w:pPr>
              <w:spacing w:after="0"/>
              <w:rPr>
                <w:sz w:val="13"/>
                <w:szCs w:val="13"/>
                <w:color w:val="auto"/>
              </w:rPr>
            </w:pPr>
          </w:p>
        </w:tc>
        <w:tc>
          <w:tcPr>
            <w:tcW w:w="9640" w:type="dxa"/>
            <w:vAlign w:val="bottom"/>
            <w:gridSpan w:val="27"/>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therein and JPMorgan Chase Bank, National Association, as trustee (incorporated by reference to Exhibit 4.1 to Westlake Chemical</w:t>
              </w:r>
            </w:hyperlink>
          </w:p>
        </w:tc>
      </w:tr>
      <w:tr>
        <w:trPr>
          <w:trHeight w:val="156"/>
        </w:trPr>
        <w:tc>
          <w:tcPr>
            <w:tcW w:w="154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Corporation's Current Report on Form 8-K, filed on January 13, 2006, File No. 1-32260).</w:t>
              </w:r>
            </w:hyperlink>
          </w:p>
        </w:tc>
        <w:tc>
          <w:tcPr>
            <w:tcW w:w="30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4.3</w:t>
            </w:r>
          </w:p>
        </w:tc>
        <w:tc>
          <w:tcPr>
            <w:tcW w:w="9640" w:type="dxa"/>
            <w:vAlign w:val="bottom"/>
            <w:gridSpan w:val="27"/>
          </w:tcPr>
          <w:p>
            <w:pPr>
              <w:spacing w:after="0"/>
              <w:rPr>
                <w:rFonts w:ascii="Arial" w:cs="Arial" w:eastAsia="Arial" w:hAnsi="Arial"/>
                <w:sz w:val="18"/>
                <w:szCs w:val="18"/>
                <w:color w:val="0000FF"/>
                <w:w w:val="94"/>
              </w:rPr>
            </w:pPr>
            <w:hyperlink r:id="rId142">
              <w:r>
                <w:rPr>
                  <w:rFonts w:ascii="Arial" w:cs="Arial" w:eastAsia="Arial" w:hAnsi="Arial"/>
                  <w:sz w:val="18"/>
                  <w:szCs w:val="18"/>
                  <w:color w:val="0000FF"/>
                  <w:w w:val="94"/>
                </w:rPr>
                <w:t>Sixth Supplemental Indenture, dated as of July 17, 2012, among Westlake Chemical Corporation, the Subsidiary Guarantors (as</w:t>
              </w:r>
            </w:hyperlink>
          </w:p>
        </w:tc>
      </w:tr>
      <w:tr>
        <w:trPr>
          <w:trHeight w:val="20"/>
        </w:trPr>
        <w:tc>
          <w:tcPr>
            <w:tcW w:w="15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460" w:type="dxa"/>
            <w:vAlign w:val="bottom"/>
            <w:gridSpan w:val="6"/>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540" w:type="dxa"/>
            <w:vAlign w:val="bottom"/>
          </w:tcPr>
          <w:p>
            <w:pPr>
              <w:spacing w:after="0"/>
              <w:rPr>
                <w:sz w:val="13"/>
                <w:szCs w:val="13"/>
                <w:color w:val="auto"/>
              </w:rPr>
            </w:pPr>
          </w:p>
        </w:tc>
        <w:tc>
          <w:tcPr>
            <w:tcW w:w="9640" w:type="dxa"/>
            <w:vAlign w:val="bottom"/>
            <w:gridSpan w:val="27"/>
          </w:tcPr>
          <w:p>
            <w:pPr>
              <w:spacing w:after="0" w:line="156" w:lineRule="exact"/>
              <w:rPr>
                <w:rFonts w:ascii="Arial" w:cs="Arial" w:eastAsia="Arial" w:hAnsi="Arial"/>
                <w:sz w:val="18"/>
                <w:szCs w:val="18"/>
                <w:color w:val="0000FF"/>
                <w:w w:val="95"/>
              </w:rPr>
            </w:pPr>
            <w:hyperlink r:id="rId142">
              <w:r>
                <w:rPr>
                  <w:rFonts w:ascii="Arial" w:cs="Arial" w:eastAsia="Arial" w:hAnsi="Arial"/>
                  <w:sz w:val="18"/>
                  <w:szCs w:val="18"/>
                  <w:color w:val="0000FF"/>
                  <w:w w:val="95"/>
                </w:rPr>
                <w:t>defined therein) and The Bank of New York Mellon Trust Company, N.A., as trustee (incorporated by reference to Exhibit 4.2 to</w:t>
              </w:r>
            </w:hyperlink>
          </w:p>
        </w:tc>
      </w:tr>
      <w:tr>
        <w:trPr>
          <w:trHeight w:val="224"/>
        </w:trPr>
        <w:tc>
          <w:tcPr>
            <w:tcW w:w="1540" w:type="dxa"/>
            <w:vAlign w:val="bottom"/>
          </w:tcPr>
          <w:p>
            <w:pPr>
              <w:spacing w:after="0"/>
              <w:rPr>
                <w:sz w:val="19"/>
                <w:szCs w:val="19"/>
                <w:color w:val="auto"/>
              </w:rPr>
            </w:pPr>
          </w:p>
        </w:tc>
        <w:tc>
          <w:tcPr>
            <w:tcW w:w="926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Westlake Chemical Corporation's Current Report on Form 8-K, filed on July 16, 2012, File No. 1-32260).</w:t>
              </w:r>
            </w:hyperlink>
          </w:p>
        </w:tc>
        <w:tc>
          <w:tcPr>
            <w:tcW w:w="1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15"/>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4.4</w:t>
            </w:r>
          </w:p>
        </w:tc>
        <w:tc>
          <w:tcPr>
            <w:tcW w:w="9640" w:type="dxa"/>
            <w:vAlign w:val="bottom"/>
            <w:gridSpan w:val="27"/>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Seventh Supplemental Indenture, dated as of February 12, 2013, among Westlake Chemical Corporation, the Subsidiary Guarantors</w:t>
              </w:r>
            </w:hyperlink>
          </w:p>
        </w:tc>
      </w:tr>
      <w:tr>
        <w:trPr>
          <w:trHeight w:val="155"/>
        </w:trPr>
        <w:tc>
          <w:tcPr>
            <w:tcW w:w="1540" w:type="dxa"/>
            <w:vAlign w:val="bottom"/>
          </w:tcPr>
          <w:p>
            <w:pPr>
              <w:spacing w:after="0"/>
              <w:rPr>
                <w:sz w:val="13"/>
                <w:szCs w:val="13"/>
                <w:color w:val="auto"/>
              </w:rPr>
            </w:pPr>
          </w:p>
        </w:tc>
        <w:tc>
          <w:tcPr>
            <w:tcW w:w="950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(as defined therein) and The Bank of New York Mellon Trust Company, N.A., as trustee (incorporated by reference to Exhibit 4.16</w:t>
              </w:r>
            </w:hyperlink>
          </w:p>
        </w:tc>
        <w:tc>
          <w:tcPr>
            <w:tcW w:w="140" w:type="dxa"/>
            <w:vAlign w:val="bottom"/>
            <w:gridSpan w:val="7"/>
          </w:tcPr>
          <w:p>
            <w:pPr>
              <w:spacing w:after="0" w:line="156" w:lineRule="exact"/>
              <w:rPr>
                <w:rFonts w:ascii="Arial" w:cs="Arial" w:eastAsia="Arial" w:hAnsi="Arial"/>
                <w:sz w:val="18"/>
                <w:szCs w:val="18"/>
                <w:color w:val="0000FF"/>
                <w:w w:val="79"/>
              </w:rPr>
            </w:pPr>
            <w:hyperlink r:id="rId143">
              <w:r>
                <w:rPr>
                  <w:rFonts w:ascii="Arial" w:cs="Arial" w:eastAsia="Arial" w:hAnsi="Arial"/>
                  <w:sz w:val="18"/>
                  <w:szCs w:val="18"/>
                  <w:color w:val="0000FF"/>
                  <w:w w:val="79"/>
                </w:rPr>
                <w:t>to</w:t>
              </w:r>
            </w:hyperlink>
          </w:p>
        </w:tc>
      </w:tr>
      <w:tr>
        <w:trPr>
          <w:trHeight w:val="156"/>
        </w:trPr>
        <w:tc>
          <w:tcPr>
            <w:tcW w:w="1540" w:type="dxa"/>
            <w:vAlign w:val="bottom"/>
          </w:tcPr>
          <w:p>
            <w:pPr>
              <w:spacing w:after="0"/>
              <w:rPr>
                <w:sz w:val="13"/>
                <w:szCs w:val="13"/>
                <w:color w:val="auto"/>
              </w:rPr>
            </w:pPr>
          </w:p>
        </w:tc>
        <w:tc>
          <w:tcPr>
            <w:tcW w:w="960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Westlake Chemical Corporation's Annual Report on Form 10-K for the year ended December 31, 2012, filed on February 22, 2013,</w:t>
              </w:r>
            </w:hyperlink>
          </w:p>
        </w:tc>
        <w:tc>
          <w:tcPr>
            <w:tcW w:w="40" w:type="dxa"/>
            <w:vAlign w:val="bottom"/>
            <w:gridSpan w:val="2"/>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File No. 1-32260).</w:t>
              </w:r>
            </w:hyperlink>
          </w:p>
        </w:tc>
        <w:tc>
          <w:tcPr>
            <w:tcW w:w="8120" w:type="dxa"/>
            <w:vAlign w:val="bottom"/>
            <w:tcBorders>
              <w:top w:val="single" w:sz="8" w:color="0000FF"/>
            </w:tcBorders>
            <w:gridSpan w:val="16"/>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63"/>
        </w:trPr>
        <w:tc>
          <w:tcPr>
            <w:tcW w:w="1540" w:type="dxa"/>
            <w:vAlign w:val="bottom"/>
          </w:tcPr>
          <w:p>
            <w:pPr>
              <w:jc w:val="right"/>
              <w:ind w:right="1211"/>
              <w:spacing w:after="0"/>
              <w:rPr>
                <w:sz w:val="20"/>
                <w:szCs w:val="20"/>
                <w:color w:val="auto"/>
              </w:rPr>
            </w:pPr>
            <w:r>
              <w:rPr>
                <w:rFonts w:ascii="Arial" w:cs="Arial" w:eastAsia="Arial" w:hAnsi="Arial"/>
                <w:sz w:val="18"/>
                <w:szCs w:val="18"/>
                <w:color w:val="auto"/>
                <w:w w:val="87"/>
              </w:rPr>
              <w:t>4.5</w:t>
            </w:r>
          </w:p>
        </w:tc>
        <w:tc>
          <w:tcPr>
            <w:tcW w:w="8800" w:type="dxa"/>
            <w:vAlign w:val="bottom"/>
            <w:tcBorders>
              <w:bottom w:val="single" w:sz="8" w:color="0000FF"/>
            </w:tcBorders>
            <w:gridSpan w:val="8"/>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Eighth Supplemental Indenture (including the form of the Notes), dated as of August 10, 2016, among Westlake Chemical</w:t>
              </w:r>
            </w:hyperlink>
          </w:p>
        </w:tc>
        <w:tc>
          <w:tcPr>
            <w:tcW w:w="840" w:type="dxa"/>
            <w:vAlign w:val="bottom"/>
            <w:gridSpan w:val="19"/>
          </w:tcPr>
          <w:p>
            <w:pPr>
              <w:spacing w:after="0"/>
              <w:rPr>
                <w:sz w:val="22"/>
                <w:szCs w:val="22"/>
                <w:color w:val="auto"/>
              </w:rPr>
            </w:pPr>
          </w:p>
        </w:tc>
      </w:tr>
      <w:tr>
        <w:trPr>
          <w:trHeight w:val="155"/>
        </w:trPr>
        <w:tc>
          <w:tcPr>
            <w:tcW w:w="1540" w:type="dxa"/>
            <w:vAlign w:val="bottom"/>
          </w:tcPr>
          <w:p>
            <w:pPr>
              <w:spacing w:after="0"/>
              <w:rPr>
                <w:sz w:val="13"/>
                <w:szCs w:val="13"/>
                <w:color w:val="auto"/>
              </w:rPr>
            </w:pPr>
          </w:p>
        </w:tc>
        <w:tc>
          <w:tcPr>
            <w:tcW w:w="9640" w:type="dxa"/>
            <w:vAlign w:val="bottom"/>
            <w:gridSpan w:val="27"/>
          </w:tcPr>
          <w:p>
            <w:pPr>
              <w:spacing w:after="0" w:line="15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Corporation, the Guarantors (as defined therein) and The Bank of New York Mellon Trust Company, N.A., as trustee (incorporated</w:t>
              </w:r>
            </w:hyperlink>
          </w:p>
        </w:tc>
      </w:tr>
      <w:tr>
        <w:trPr>
          <w:trHeight w:val="20"/>
        </w:trPr>
        <w:tc>
          <w:tcPr>
            <w:tcW w:w="1540" w:type="dxa"/>
            <w:vAlign w:val="bottom"/>
          </w:tcPr>
          <w:p>
            <w:pPr>
              <w:spacing w:after="0" w:line="20" w:lineRule="exact"/>
              <w:rPr>
                <w:sz w:val="1"/>
                <w:szCs w:val="1"/>
                <w:color w:val="auto"/>
              </w:rPr>
            </w:pPr>
          </w:p>
        </w:tc>
        <w:tc>
          <w:tcPr>
            <w:tcW w:w="9420" w:type="dxa"/>
            <w:vAlign w:val="bottom"/>
            <w:gridSpan w:val="16"/>
            <w:shd w:val="clear" w:color="auto" w:fill="0000FF"/>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156"/>
        </w:trPr>
        <w:tc>
          <w:tcPr>
            <w:tcW w:w="1540" w:type="dxa"/>
            <w:vAlign w:val="bottom"/>
          </w:tcPr>
          <w:p>
            <w:pPr>
              <w:spacing w:after="0"/>
              <w:rPr>
                <w:sz w:val="13"/>
                <w:szCs w:val="13"/>
                <w:color w:val="auto"/>
              </w:rPr>
            </w:pPr>
          </w:p>
        </w:tc>
        <w:tc>
          <w:tcPr>
            <w:tcW w:w="9640" w:type="dxa"/>
            <w:vAlign w:val="bottom"/>
            <w:tcBorders>
              <w:bottom w:val="single" w:sz="8" w:color="0000FF"/>
            </w:tcBorders>
            <w:gridSpan w:val="27"/>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by reference to Exhibit 4.2 to Westlake Chemical Corporation's Current Report on Form 8-K, filed on August 10, 2016, File No. 001-</w:t>
              </w:r>
            </w:hyperlink>
          </w:p>
        </w:tc>
      </w:tr>
      <w:tr>
        <w:trPr>
          <w:trHeight w:val="156"/>
        </w:trPr>
        <w:tc>
          <w:tcPr>
            <w:tcW w:w="1540" w:type="dxa"/>
            <w:vAlign w:val="bottom"/>
          </w:tcPr>
          <w:p>
            <w:pPr>
              <w:spacing w:after="0"/>
              <w:rPr>
                <w:sz w:val="13"/>
                <w:szCs w:val="13"/>
                <w:color w:val="auto"/>
              </w:rPr>
            </w:pPr>
          </w:p>
        </w:tc>
        <w:tc>
          <w:tcPr>
            <w:tcW w:w="540" w:type="dxa"/>
            <w:vAlign w:val="bottom"/>
            <w:tcBorders>
              <w:bottom w:val="single" w:sz="8" w:color="0000FF"/>
            </w:tcBorders>
          </w:tcPr>
          <w:p>
            <w:pPr>
              <w:spacing w:after="0" w:line="156" w:lineRule="exact"/>
              <w:rPr>
                <w:rFonts w:ascii="Arial" w:cs="Arial" w:eastAsia="Arial" w:hAnsi="Arial"/>
                <w:sz w:val="18"/>
                <w:szCs w:val="18"/>
                <w:color w:val="0000FF"/>
                <w:w w:val="85"/>
              </w:rPr>
            </w:pPr>
            <w:hyperlink r:id="rId144">
              <w:r>
                <w:rPr>
                  <w:rFonts w:ascii="Arial" w:cs="Arial" w:eastAsia="Arial" w:hAnsi="Arial"/>
                  <w:sz w:val="18"/>
                  <w:szCs w:val="18"/>
                  <w:color w:val="0000FF"/>
                  <w:w w:val="85"/>
                </w:rPr>
                <w:t>32260).</w:t>
              </w:r>
            </w:hyperlink>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80"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7"/>
          <w:szCs w:val="17"/>
          <w:color w:val="auto"/>
        </w:rPr>
        <w:t>4.6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4.7</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br w:type="column"/>
      </w:r>
    </w:p>
    <w:p>
      <w:pPr>
        <w:ind w:right="280"/>
        <w:spacing w:after="0" w:line="243" w:lineRule="auto"/>
        <w:rPr>
          <w:rFonts w:ascii="Arial" w:cs="Arial" w:eastAsia="Arial" w:hAnsi="Arial"/>
          <w:sz w:val="18"/>
          <w:szCs w:val="18"/>
          <w:color w:val="0000FF"/>
        </w:rPr>
      </w:pPr>
      <w:hyperlink r:id="rId145">
        <w:r>
          <w:rPr>
            <w:rFonts w:ascii="Arial" w:cs="Arial" w:eastAsia="Arial" w:hAnsi="Arial"/>
            <w:sz w:val="18"/>
            <w:szCs w:val="18"/>
            <w:u w:val="single" w:color="auto"/>
            <w:color w:val="0000FF"/>
          </w:rPr>
          <w:t>Tenth Supplemental Indenture (including the form of the Notes), dated as of November 29, 2017, among Westlake Chemical</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Corporation, the Subsidiary Guarantors (as defined therein) and The Bank of New York Melon Trust Company, N.A., as trustee</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(incorporated by reference to Exhibit 4.2 to Westlake Chemical Corporation's Current Report on Form 8-K, filed on November 28,</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2017, File No. 001-32260)</w:t>
        </w:r>
        <w:r>
          <w:rPr>
            <w:rFonts w:ascii="Arial" w:cs="Arial" w:eastAsia="Arial" w:hAnsi="Arial"/>
            <w:sz w:val="18"/>
            <w:szCs w:val="18"/>
            <w:color w:val="000000"/>
          </w:rPr>
          <w:t>.</w:t>
        </w:r>
      </w:hyperlink>
    </w:p>
    <w:p>
      <w:pPr>
        <w:spacing w:after="0" w:line="80" w:lineRule="exact"/>
        <w:rPr>
          <w:rFonts w:ascii="Arial" w:cs="Arial" w:eastAsia="Arial" w:hAnsi="Arial"/>
          <w:sz w:val="18"/>
          <w:szCs w:val="18"/>
          <w:u w:val="single" w:color="auto"/>
          <w:color w:val="0000FF"/>
        </w:rPr>
      </w:pPr>
    </w:p>
    <w:p>
      <w:pPr>
        <w:ind w:right="280"/>
        <w:spacing w:after="0" w:line="243" w:lineRule="auto"/>
        <w:rPr>
          <w:rFonts w:ascii="Arial" w:cs="Arial" w:eastAsia="Arial" w:hAnsi="Arial"/>
          <w:sz w:val="18"/>
          <w:szCs w:val="18"/>
          <w:color w:val="0000FF"/>
        </w:rPr>
      </w:pPr>
      <w:hyperlink r:id="rId146">
        <w:r>
          <w:rPr>
            <w:rFonts w:ascii="Arial" w:cs="Arial" w:eastAsia="Arial" w:hAnsi="Arial"/>
            <w:sz w:val="18"/>
            <w:szCs w:val="18"/>
            <w:u w:val="single" w:color="auto"/>
            <w:color w:val="0000FF"/>
          </w:rPr>
          <w:t>Eleventh Supplemental Indenture (including the form of the Notes), dated as of November 28, 2017, among Westlake Chemical</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Corporation, the Subsidiary Guarantors (as defined therein) and The Bank of New York Melon Trust Company, N.A., as trustee</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(incorporated by reference to Exhibit 4.3 to Westlake Chemical Corporation's Current Report on Form 8-K, filed on November 28,</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2017, File No. 001-32260)</w:t>
        </w:r>
        <w:r>
          <w:rPr>
            <w:rFonts w:ascii="Arial" w:cs="Arial" w:eastAsia="Arial" w:hAnsi="Arial"/>
            <w:sz w:val="18"/>
            <w:szCs w:val="18"/>
            <w:color w:val="000000"/>
          </w:rPr>
          <w:t>.</w:t>
        </w:r>
      </w:hyperlink>
    </w:p>
    <w:p>
      <w:pPr>
        <w:spacing w:after="0" w:line="66" w:lineRule="exact"/>
        <w:rPr>
          <w:rFonts w:ascii="Arial" w:cs="Arial" w:eastAsia="Arial" w:hAnsi="Arial"/>
          <w:sz w:val="18"/>
          <w:szCs w:val="18"/>
          <w:u w:val="single" w:color="auto"/>
          <w:color w:val="0000FF"/>
        </w:rPr>
      </w:pPr>
    </w:p>
    <w:p>
      <w:pPr>
        <w:jc w:val="both"/>
        <w:ind w:right="180"/>
        <w:spacing w:after="0" w:line="224" w:lineRule="auto"/>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Registration Rights Agreement by and among Westlake Chemical Partners LP and the persons named therein, dated as of March 29,</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2019 (incorporated by reference to Exhibit 4.1 to Westlake Chemical Partners LP's Current Report on Form 8-K, filed on March 29,</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2019, File No. 001-36567).</w:t>
        </w:r>
      </w:hyperlink>
    </w:p>
    <w:p>
      <w:pPr>
        <w:spacing w:after="0" w:line="38" w:lineRule="exact"/>
        <w:rPr>
          <w:rFonts w:ascii="Arial" w:cs="Arial" w:eastAsia="Arial" w:hAnsi="Arial"/>
          <w:sz w:val="18"/>
          <w:szCs w:val="18"/>
          <w:u w:val="single" w:color="auto"/>
          <w:color w:val="0000FF"/>
        </w:rPr>
      </w:pPr>
    </w:p>
    <w:p>
      <w:pPr>
        <w:sectPr>
          <w:pgSz w:w="11900" w:h="16838" w:orient="portrait"/>
          <w:cols w:equalWidth="0" w:num="2">
            <w:col w:w="840" w:space="720"/>
            <w:col w:w="9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60" w:type="dxa"/>
            <w:vAlign w:val="bottom"/>
          </w:tcPr>
          <w:p>
            <w:pPr>
              <w:jc w:val="right"/>
              <w:ind w:right="1210"/>
              <w:spacing w:after="0"/>
              <w:rPr>
                <w:sz w:val="20"/>
                <w:szCs w:val="20"/>
                <w:color w:val="auto"/>
              </w:rPr>
            </w:pPr>
            <w:r>
              <w:rPr>
                <w:rFonts w:ascii="Arial" w:cs="Arial" w:eastAsia="Arial" w:hAnsi="Arial"/>
                <w:sz w:val="18"/>
                <w:szCs w:val="18"/>
                <w:color w:val="auto"/>
                <w:w w:val="95"/>
              </w:rPr>
              <w:t>4.9</w:t>
            </w:r>
          </w:p>
        </w:tc>
        <w:tc>
          <w:tcPr>
            <w:tcW w:w="9680" w:type="dxa"/>
            <w:vAlign w:val="bottom"/>
            <w:gridSpan w:val="4"/>
          </w:tcPr>
          <w:p>
            <w:pPr>
              <w:spacing w:after="0"/>
              <w:rPr>
                <w:rFonts w:ascii="Arial" w:cs="Arial" w:eastAsia="Arial" w:hAnsi="Arial"/>
                <w:sz w:val="18"/>
                <w:szCs w:val="18"/>
                <w:color w:val="0000FF"/>
              </w:rPr>
            </w:pPr>
            <w:hyperlink r:id="rId148">
              <w:r>
                <w:rPr>
                  <w:rFonts w:ascii="Arial" w:cs="Arial" w:eastAsia="Arial" w:hAnsi="Arial"/>
                  <w:sz w:val="18"/>
                  <w:szCs w:val="18"/>
                  <w:color w:val="0000FF"/>
                </w:rPr>
                <w:t>Twelfth Supplemental Indenture (including the form of the Notes), dated as of July 17, 2019, between Westlake Chemical</w:t>
              </w:r>
            </w:hyperlink>
          </w:p>
        </w:tc>
      </w:tr>
      <w:tr>
        <w:trPr>
          <w:trHeight w:val="155"/>
        </w:trPr>
        <w:tc>
          <w:tcPr>
            <w:tcW w:w="1560" w:type="dxa"/>
            <w:vAlign w:val="bottom"/>
          </w:tcPr>
          <w:p>
            <w:pPr>
              <w:spacing w:after="0"/>
              <w:rPr>
                <w:sz w:val="13"/>
                <w:szCs w:val="13"/>
                <w:color w:val="auto"/>
              </w:rPr>
            </w:pPr>
          </w:p>
        </w:tc>
        <w:tc>
          <w:tcPr>
            <w:tcW w:w="8760" w:type="dxa"/>
            <w:vAlign w:val="bottom"/>
            <w:tcBorders>
              <w:top w:val="single" w:sz="8" w:color="0000FF"/>
            </w:tcBorders>
            <w:gridSpan w:val="2"/>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Corporation and The Bank of New York Mellon Trust Company, N.A., as trustee (incorporated by reference to Exhibit 4.2</w:t>
              </w:r>
            </w:hyperlink>
          </w:p>
        </w:tc>
        <w:tc>
          <w:tcPr>
            <w:tcW w:w="920" w:type="dxa"/>
            <w:vAlign w:val="bottom"/>
            <w:gridSpan w:val="2"/>
          </w:tcPr>
          <w:p>
            <w:pPr>
              <w:ind w:left="80"/>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to</w:t>
              </w:r>
            </w:hyperlink>
          </w:p>
        </w:tc>
      </w:tr>
      <w:tr>
        <w:trPr>
          <w:trHeight w:val="155"/>
        </w:trPr>
        <w:tc>
          <w:tcPr>
            <w:tcW w:w="1560" w:type="dxa"/>
            <w:vAlign w:val="bottom"/>
          </w:tcPr>
          <w:p>
            <w:pPr>
              <w:spacing w:after="0"/>
              <w:rPr>
                <w:sz w:val="13"/>
                <w:szCs w:val="13"/>
                <w:color w:val="auto"/>
              </w:rPr>
            </w:pPr>
          </w:p>
        </w:tc>
        <w:tc>
          <w:tcPr>
            <w:tcW w:w="89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Westlake's Current Report on Form 8-K filed on July 17, 2019, File No. 1-32260)</w:t>
              </w:r>
              <w:r>
                <w:rPr>
                  <w:rFonts w:ascii="Arial" w:cs="Arial" w:eastAsia="Arial" w:hAnsi="Arial"/>
                  <w:sz w:val="18"/>
                  <w:szCs w:val="18"/>
                  <w:color w:val="000000"/>
                </w:rPr>
                <w:t>.</w:t>
              </w:r>
            </w:hyperlink>
          </w:p>
        </w:tc>
        <w:tc>
          <w:tcPr>
            <w:tcW w:w="700" w:type="dxa"/>
            <w:vAlign w:val="bottom"/>
          </w:tcPr>
          <w:p>
            <w:pPr>
              <w:spacing w:after="0"/>
              <w:rPr>
                <w:sz w:val="13"/>
                <w:szCs w:val="13"/>
                <w:color w:val="auto"/>
              </w:rPr>
            </w:pPr>
          </w:p>
        </w:tc>
      </w:tr>
      <w:tr>
        <w:trPr>
          <w:trHeight w:val="925"/>
        </w:trPr>
        <w:tc>
          <w:tcPr>
            <w:tcW w:w="1560" w:type="dxa"/>
            <w:vAlign w:val="bottom"/>
          </w:tcPr>
          <w:p>
            <w:pPr>
              <w:spacing w:after="0"/>
              <w:rPr>
                <w:sz w:val="24"/>
                <w:szCs w:val="24"/>
                <w:color w:val="auto"/>
              </w:rPr>
            </w:pPr>
          </w:p>
        </w:tc>
        <w:tc>
          <w:tcPr>
            <w:tcW w:w="5860" w:type="dxa"/>
            <w:vAlign w:val="bottom"/>
            <w:tcBorders>
              <w:top w:val="single" w:sz="8" w:color="0000FF"/>
            </w:tcBorders>
          </w:tcPr>
          <w:p>
            <w:pPr>
              <w:jc w:val="right"/>
              <w:ind w:right="1610"/>
              <w:spacing w:after="0"/>
              <w:rPr>
                <w:sz w:val="20"/>
                <w:szCs w:val="20"/>
                <w:color w:val="auto"/>
              </w:rPr>
            </w:pPr>
            <w:r>
              <w:rPr>
                <w:rFonts w:ascii="Arial" w:cs="Arial" w:eastAsia="Arial" w:hAnsi="Arial"/>
                <w:sz w:val="18"/>
                <w:szCs w:val="18"/>
                <w:color w:val="auto"/>
              </w:rPr>
              <w:t>88</w:t>
            </w: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60" w:type="dxa"/>
            <w:vAlign w:val="bottom"/>
          </w:tcPr>
          <w:p>
            <w:pPr>
              <w:ind w:left="320"/>
              <w:spacing w:after="0"/>
              <w:rPr>
                <w:sz w:val="20"/>
                <w:szCs w:val="20"/>
                <w:color w:val="auto"/>
              </w:rPr>
            </w:pPr>
            <w:r>
              <w:rPr>
                <w:rFonts w:ascii="Arial" w:cs="Arial" w:eastAsia="Arial" w:hAnsi="Arial"/>
                <w:sz w:val="16"/>
                <w:szCs w:val="16"/>
                <w:b w:val="1"/>
                <w:bCs w:val="1"/>
                <w:color w:val="auto"/>
              </w:rPr>
              <w:t>Exhibit No.</w:t>
            </w:r>
          </w:p>
        </w:tc>
        <w:tc>
          <w:tcPr>
            <w:tcW w:w="9700" w:type="dxa"/>
            <w:vAlign w:val="bottom"/>
            <w:gridSpan w:val="39"/>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95"/>
        </w:trPr>
        <w:tc>
          <w:tcPr>
            <w:tcW w:w="1560" w:type="dxa"/>
            <w:vAlign w:val="bottom"/>
          </w:tcPr>
          <w:p>
            <w:pPr>
              <w:ind w:left="20"/>
              <w:spacing w:after="0" w:line="195" w:lineRule="exact"/>
              <w:rPr>
                <w:sz w:val="20"/>
                <w:szCs w:val="20"/>
                <w:color w:val="auto"/>
              </w:rPr>
            </w:pPr>
            <w:r>
              <w:rPr>
                <w:rFonts w:ascii="Arial" w:cs="Arial" w:eastAsia="Arial" w:hAnsi="Arial"/>
                <w:sz w:val="18"/>
                <w:szCs w:val="18"/>
                <w:color w:val="auto"/>
              </w:rPr>
              <w:t>4.10</w:t>
            </w:r>
          </w:p>
        </w:tc>
        <w:tc>
          <w:tcPr>
            <w:tcW w:w="9700" w:type="dxa"/>
            <w:vAlign w:val="bottom"/>
            <w:gridSpan w:val="39"/>
          </w:tcPr>
          <w:p>
            <w:pPr>
              <w:spacing w:after="0" w:line="195" w:lineRule="exact"/>
              <w:rPr>
                <w:rFonts w:ascii="Arial" w:cs="Arial" w:eastAsia="Arial" w:hAnsi="Arial"/>
                <w:sz w:val="18"/>
                <w:szCs w:val="18"/>
                <w:color w:val="0000FF"/>
                <w:w w:val="93"/>
              </w:rPr>
            </w:pPr>
            <w:hyperlink r:id="rId151">
              <w:r>
                <w:rPr>
                  <w:rFonts w:ascii="Arial" w:cs="Arial" w:eastAsia="Arial" w:hAnsi="Arial"/>
                  <w:sz w:val="18"/>
                  <w:szCs w:val="18"/>
                  <w:color w:val="0000FF"/>
                  <w:w w:val="93"/>
                </w:rPr>
                <w:t>Paying Agency Agreement dated as of July 17, 2019, between Westlake Chemical Corporation and The Bank of New York Mellon,</w:t>
              </w:r>
            </w:hyperlink>
          </w:p>
        </w:tc>
      </w:tr>
      <w:tr>
        <w:trPr>
          <w:trHeight w:val="156"/>
        </w:trPr>
        <w:tc>
          <w:tcPr>
            <w:tcW w:w="1560" w:type="dxa"/>
            <w:vAlign w:val="bottom"/>
          </w:tcPr>
          <w:p>
            <w:pPr>
              <w:spacing w:after="0"/>
              <w:rPr>
                <w:sz w:val="13"/>
                <w:szCs w:val="13"/>
                <w:color w:val="auto"/>
              </w:rPr>
            </w:pPr>
          </w:p>
        </w:tc>
        <w:tc>
          <w:tcPr>
            <w:tcW w:w="9480" w:type="dxa"/>
            <w:vAlign w:val="bottom"/>
            <w:tcBorders>
              <w:top w:val="single" w:sz="8" w:color="0000FF"/>
            </w:tcBorders>
            <w:gridSpan w:val="28"/>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London Branch, as paying agent (incorporated by reference to Exhibit 4.4 to Westlake's Current Report on Form 8-K, filed on July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17, 2019, File No. 1-32260).</w:t>
              </w:r>
            </w:hyperlink>
          </w:p>
        </w:tc>
        <w:tc>
          <w:tcPr>
            <w:tcW w:w="73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560" w:type="dxa"/>
            <w:vAlign w:val="bottom"/>
          </w:tcPr>
          <w:p>
            <w:pPr>
              <w:ind w:left="20"/>
              <w:spacing w:after="0"/>
              <w:rPr>
                <w:sz w:val="20"/>
                <w:szCs w:val="20"/>
                <w:color w:val="auto"/>
              </w:rPr>
            </w:pPr>
            <w:r>
              <w:rPr>
                <w:rFonts w:ascii="Arial" w:cs="Arial" w:eastAsia="Arial" w:hAnsi="Arial"/>
                <w:sz w:val="18"/>
                <w:szCs w:val="18"/>
                <w:color w:val="auto"/>
              </w:rPr>
              <w:t>4.11</w:t>
            </w:r>
          </w:p>
        </w:tc>
        <w:tc>
          <w:tcPr>
            <w:tcW w:w="9700" w:type="dxa"/>
            <w:vAlign w:val="bottom"/>
            <w:gridSpan w:val="39"/>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Thirteenth Supplemental Indenture (including the form of Notes), dated as of June 12, 2020, between Westlake Chemical Corporation</w:t>
              </w:r>
            </w:hyperlink>
          </w:p>
        </w:tc>
      </w:tr>
      <w:tr>
        <w:trPr>
          <w:trHeight w:val="142"/>
        </w:trPr>
        <w:tc>
          <w:tcPr>
            <w:tcW w:w="1560" w:type="dxa"/>
            <w:vAlign w:val="bottom"/>
          </w:tcPr>
          <w:p>
            <w:pPr>
              <w:spacing w:after="0"/>
              <w:rPr>
                <w:sz w:val="12"/>
                <w:szCs w:val="12"/>
                <w:color w:val="auto"/>
              </w:rPr>
            </w:pPr>
          </w:p>
        </w:tc>
        <w:tc>
          <w:tcPr>
            <w:tcW w:w="9680" w:type="dxa"/>
            <w:vAlign w:val="bottom"/>
            <w:tcBorders>
              <w:top w:val="single" w:sz="8" w:color="0000FF"/>
            </w:tcBorders>
            <w:gridSpan w:val="38"/>
          </w:tcPr>
          <w:p>
            <w:pPr>
              <w:spacing w:after="0" w:line="142" w:lineRule="exact"/>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and The Bank of New Mellon Trust Company, N.A., as trustee (incorporated by reference to Westlake Chemical Corporation's</w:t>
              </w:r>
            </w:hyperlink>
          </w:p>
        </w:tc>
        <w:tc>
          <w:tcPr>
            <w:tcW w:w="20" w:type="dxa"/>
            <w:vAlign w:val="bottom"/>
          </w:tcPr>
          <w:p>
            <w:pPr>
              <w:spacing w:after="0"/>
              <w:rPr>
                <w:sz w:val="12"/>
                <w:szCs w:val="12"/>
                <w:color w:val="auto"/>
              </w:rPr>
            </w:pPr>
          </w:p>
        </w:tc>
      </w:tr>
      <w:tr>
        <w:trPr>
          <w:trHeight w:val="189"/>
        </w:trPr>
        <w:tc>
          <w:tcPr>
            <w:tcW w:w="1560" w:type="dxa"/>
            <w:vAlign w:val="bottom"/>
          </w:tcPr>
          <w:p>
            <w:pPr>
              <w:spacing w:after="0"/>
              <w:rPr>
                <w:sz w:val="16"/>
                <w:szCs w:val="16"/>
                <w:color w:val="auto"/>
              </w:rPr>
            </w:pPr>
          </w:p>
        </w:tc>
        <w:tc>
          <w:tcPr>
            <w:tcW w:w="5140" w:type="dxa"/>
            <w:vAlign w:val="bottom"/>
            <w:tcBorders>
              <w:bottom w:val="single" w:sz="8" w:color="0000FF"/>
            </w:tcBorders>
            <w:gridSpan w:val="10"/>
          </w:tcPr>
          <w:p>
            <w:pPr>
              <w:spacing w:after="0" w:line="189"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Current Report on Form 8-K filed on June 12, 2020, File No. 1-32260).</w:t>
              </w:r>
            </w:hyperlink>
          </w:p>
        </w:tc>
        <w:tc>
          <w:tcPr>
            <w:tcW w:w="4560" w:type="dxa"/>
            <w:vAlign w:val="bottom"/>
            <w:gridSpan w:val="29"/>
          </w:tcPr>
          <w:p>
            <w:pPr>
              <w:spacing w:after="0"/>
              <w:rPr>
                <w:sz w:val="16"/>
                <w:szCs w:val="16"/>
                <w:color w:val="auto"/>
              </w:rPr>
            </w:pPr>
          </w:p>
        </w:tc>
      </w:tr>
      <w:tr>
        <w:trPr>
          <w:trHeight w:val="263"/>
        </w:trPr>
        <w:tc>
          <w:tcPr>
            <w:tcW w:w="1560" w:type="dxa"/>
            <w:vAlign w:val="bottom"/>
          </w:tcPr>
          <w:p>
            <w:pPr>
              <w:ind w:left="20"/>
              <w:spacing w:after="0"/>
              <w:rPr>
                <w:sz w:val="20"/>
                <w:szCs w:val="20"/>
                <w:color w:val="auto"/>
              </w:rPr>
            </w:pPr>
            <w:r>
              <w:rPr>
                <w:rFonts w:ascii="Arial" w:cs="Arial" w:eastAsia="Arial" w:hAnsi="Arial"/>
                <w:sz w:val="18"/>
                <w:szCs w:val="18"/>
                <w:color w:val="auto"/>
              </w:rPr>
              <w:t>10.1</w:t>
            </w:r>
          </w:p>
        </w:tc>
        <w:tc>
          <w:tcPr>
            <w:tcW w:w="9700" w:type="dxa"/>
            <w:vAlign w:val="bottom"/>
            <w:gridSpan w:val="39"/>
          </w:tcPr>
          <w:p>
            <w:pPr>
              <w:spacing w:after="0"/>
              <w:rPr>
                <w:rFonts w:ascii="Arial" w:cs="Arial" w:eastAsia="Arial" w:hAnsi="Arial"/>
                <w:sz w:val="18"/>
                <w:szCs w:val="18"/>
                <w:color w:val="0000FF"/>
                <w:w w:val="93"/>
              </w:rPr>
            </w:pPr>
            <w:hyperlink r:id="rId153">
              <w:r>
                <w:rPr>
                  <w:rFonts w:ascii="Arial" w:cs="Arial" w:eastAsia="Arial" w:hAnsi="Arial"/>
                  <w:sz w:val="18"/>
                  <w:szCs w:val="18"/>
                  <w:color w:val="0000FF"/>
                  <w:w w:val="93"/>
                </w:rPr>
                <w:t>Omnibus Agreement among Westlake Management Services, Inc., Westlake Vinyls Corporation, Westlake Chemical Partners GP</w:t>
              </w:r>
            </w:hyperlink>
          </w:p>
        </w:tc>
      </w:tr>
      <w:tr>
        <w:trPr>
          <w:trHeight w:val="156"/>
        </w:trPr>
        <w:tc>
          <w:tcPr>
            <w:tcW w:w="1560" w:type="dxa"/>
            <w:vAlign w:val="bottom"/>
          </w:tcPr>
          <w:p>
            <w:pPr>
              <w:spacing w:after="0"/>
              <w:rPr>
                <w:sz w:val="13"/>
                <w:szCs w:val="13"/>
                <w:color w:val="auto"/>
              </w:rPr>
            </w:pPr>
          </w:p>
        </w:tc>
        <w:tc>
          <w:tcPr>
            <w:tcW w:w="930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LLC, Westlake Chemical Partners LP, WPT LLC, Westlake Petrochemicals LLC, Westlake Vinyls, Inc., Westlake Longview</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8960" w:type="dxa"/>
            <w:vAlign w:val="bottom"/>
            <w:tcBorders>
              <w:top w:val="single" w:sz="8" w:color="0000FF"/>
            </w:tcBorders>
            <w:gridSpan w:val="13"/>
          </w:tcPr>
          <w:p>
            <w:pPr>
              <w:spacing w:after="0" w:line="156" w:lineRule="exact"/>
              <w:rPr>
                <w:rFonts w:ascii="Arial" w:cs="Arial" w:eastAsia="Arial" w:hAnsi="Arial"/>
                <w:sz w:val="18"/>
                <w:szCs w:val="18"/>
                <w:color w:val="0000FF"/>
                <w:w w:val="89"/>
              </w:rPr>
            </w:pPr>
            <w:hyperlink r:id="rId153">
              <w:r>
                <w:rPr>
                  <w:rFonts w:ascii="Arial" w:cs="Arial" w:eastAsia="Arial" w:hAnsi="Arial"/>
                  <w:sz w:val="18"/>
                  <w:szCs w:val="18"/>
                  <w:color w:val="0000FF"/>
                  <w:w w:val="89"/>
                </w:rPr>
                <w:t>Corporation, Westlake Chemical OpCo GP LLC, Westlake Chemical OpCo LP, Westlake PVC Corporation, Westlake Styrene</w:t>
              </w:r>
            </w:hyperlink>
          </w:p>
        </w:tc>
        <w:tc>
          <w:tcPr>
            <w:tcW w:w="120" w:type="dxa"/>
            <w:vAlign w:val="bottom"/>
          </w:tcPr>
          <w:p>
            <w:pPr>
              <w:spacing w:after="0"/>
              <w:rPr>
                <w:sz w:val="13"/>
                <w:szCs w:val="13"/>
                <w:color w:val="auto"/>
              </w:rPr>
            </w:pPr>
          </w:p>
        </w:tc>
        <w:tc>
          <w:tcPr>
            <w:tcW w:w="620" w:type="dxa"/>
            <w:vAlign w:val="bottom"/>
            <w:gridSpan w:val="25"/>
          </w:tcPr>
          <w:p>
            <w:pPr>
              <w:ind w:left="20"/>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LLC</w:t>
              </w:r>
            </w:hyperlink>
          </w:p>
        </w:tc>
      </w:tr>
      <w:tr>
        <w:trPr>
          <w:trHeight w:val="142"/>
        </w:trPr>
        <w:tc>
          <w:tcPr>
            <w:tcW w:w="1560" w:type="dxa"/>
            <w:vAlign w:val="bottom"/>
          </w:tcPr>
          <w:p>
            <w:pPr>
              <w:spacing w:after="0"/>
              <w:rPr>
                <w:sz w:val="12"/>
                <w:szCs w:val="12"/>
                <w:color w:val="auto"/>
              </w:rPr>
            </w:pPr>
          </w:p>
        </w:tc>
        <w:tc>
          <w:tcPr>
            <w:tcW w:w="9440" w:type="dxa"/>
            <w:vAlign w:val="bottom"/>
            <w:tcBorders>
              <w:top w:val="single" w:sz="8" w:color="0000FF"/>
            </w:tcBorders>
            <w:gridSpan w:val="26"/>
          </w:tcPr>
          <w:p>
            <w:pPr>
              <w:spacing w:after="0" w:line="142" w:lineRule="exact"/>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and Westlake Polymers LLC (incorporated by reference to Exhibit 10.1 to Westlake Chemical Partners LP's Current Report on Form</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0"/>
        </w:trPr>
        <w:tc>
          <w:tcPr>
            <w:tcW w:w="1560" w:type="dxa"/>
            <w:vAlign w:val="bottom"/>
          </w:tcPr>
          <w:p>
            <w:pPr>
              <w:spacing w:after="0"/>
              <w:rPr>
                <w:sz w:val="20"/>
                <w:szCs w:val="20"/>
                <w:color w:val="auto"/>
              </w:rPr>
            </w:pPr>
          </w:p>
        </w:tc>
        <w:tc>
          <w:tcPr>
            <w:tcW w:w="9700" w:type="dxa"/>
            <w:vAlign w:val="bottom"/>
            <w:gridSpan w:val="39"/>
          </w:tcPr>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8-K (File No. 001-36567) filed on August 8, 2014).</w:t>
              </w:r>
            </w:hyperlink>
          </w:p>
        </w:tc>
      </w:tr>
      <w:tr>
        <w:trPr>
          <w:trHeight w:val="242"/>
        </w:trPr>
        <w:tc>
          <w:tcPr>
            <w:tcW w:w="1560" w:type="dxa"/>
            <w:vAlign w:val="bottom"/>
          </w:tcPr>
          <w:p>
            <w:pPr>
              <w:ind w:left="20"/>
              <w:spacing w:after="0"/>
              <w:rPr>
                <w:sz w:val="20"/>
                <w:szCs w:val="20"/>
                <w:color w:val="auto"/>
              </w:rPr>
            </w:pPr>
            <w:r>
              <w:rPr>
                <w:rFonts w:ascii="Arial" w:cs="Arial" w:eastAsia="Arial" w:hAnsi="Arial"/>
                <w:sz w:val="18"/>
                <w:szCs w:val="18"/>
                <w:color w:val="auto"/>
              </w:rPr>
              <w:t>10.2</w:t>
            </w:r>
          </w:p>
        </w:tc>
        <w:tc>
          <w:tcPr>
            <w:tcW w:w="9700" w:type="dxa"/>
            <w:vAlign w:val="bottom"/>
            <w:gridSpan w:val="39"/>
          </w:tcPr>
          <w:p>
            <w:pPr>
              <w:spacing w:after="0"/>
              <w:rPr>
                <w:rFonts w:ascii="Arial" w:cs="Arial" w:eastAsia="Arial" w:hAnsi="Arial"/>
                <w:sz w:val="18"/>
                <w:szCs w:val="18"/>
                <w:color w:val="0000FF"/>
                <w:w w:val="92"/>
              </w:rPr>
            </w:pPr>
            <w:hyperlink r:id="rId154">
              <w:r>
                <w:rPr>
                  <w:rFonts w:ascii="Arial" w:cs="Arial" w:eastAsia="Arial" w:hAnsi="Arial"/>
                  <w:sz w:val="18"/>
                  <w:szCs w:val="18"/>
                  <w:color w:val="0000FF"/>
                  <w:w w:val="92"/>
                </w:rPr>
                <w:t>Services and Secondment Agreement by and among Westlake Chemical OpCo LP, Westlake Management Services, Inc., Westlake</w:t>
              </w:r>
            </w:hyperlink>
          </w:p>
        </w:tc>
      </w:tr>
      <w:tr>
        <w:trPr>
          <w:trHeight w:val="20"/>
        </w:trPr>
        <w:tc>
          <w:tcPr>
            <w:tcW w:w="1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1560" w:type="dxa"/>
            <w:vAlign w:val="bottom"/>
          </w:tcPr>
          <w:p>
            <w:pPr>
              <w:spacing w:after="0"/>
              <w:rPr>
                <w:sz w:val="13"/>
                <w:szCs w:val="13"/>
                <w:color w:val="auto"/>
              </w:rPr>
            </w:pPr>
          </w:p>
        </w:tc>
        <w:tc>
          <w:tcPr>
            <w:tcW w:w="9700" w:type="dxa"/>
            <w:vAlign w:val="bottom"/>
            <w:gridSpan w:val="39"/>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Vinyls, Inc., WPT LLC and Westlake Petrochemicals LLC (incorporated by reference to Exhibit 10.2 to Westlake Chemical Partners</w:t>
              </w:r>
            </w:hyperlink>
          </w:p>
        </w:tc>
      </w:tr>
      <w:tr>
        <w:trPr>
          <w:trHeight w:val="155"/>
        </w:trPr>
        <w:tc>
          <w:tcPr>
            <w:tcW w:w="156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LP's Current Report on Form 8-K (File No. 001-36567) filed on August 8, 2014).</w:t>
              </w:r>
            </w:hyperlink>
          </w:p>
        </w:tc>
        <w:tc>
          <w:tcPr>
            <w:tcW w:w="37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560" w:type="dxa"/>
            <w:vAlign w:val="bottom"/>
          </w:tcPr>
          <w:p>
            <w:pPr>
              <w:ind w:left="20"/>
              <w:spacing w:after="0"/>
              <w:rPr>
                <w:sz w:val="20"/>
                <w:szCs w:val="20"/>
                <w:color w:val="auto"/>
              </w:rPr>
            </w:pPr>
            <w:r>
              <w:rPr>
                <w:rFonts w:ascii="Arial" w:cs="Arial" w:eastAsia="Arial" w:hAnsi="Arial"/>
                <w:sz w:val="18"/>
                <w:szCs w:val="18"/>
                <w:color w:val="auto"/>
              </w:rPr>
              <w:t>10.3</w:t>
            </w:r>
          </w:p>
        </w:tc>
        <w:tc>
          <w:tcPr>
            <w:tcW w:w="9700" w:type="dxa"/>
            <w:vAlign w:val="bottom"/>
            <w:gridSpan w:val="39"/>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Feedstock Supply Agreement between Westlake Petrochemicals LLC and Westlake Chemical OpCo LP (incorporated by reference to</w:t>
              </w:r>
            </w:hyperlink>
          </w:p>
        </w:tc>
      </w:tr>
      <w:tr>
        <w:trPr>
          <w:trHeight w:val="224"/>
        </w:trPr>
        <w:tc>
          <w:tcPr>
            <w:tcW w:w="1560" w:type="dxa"/>
            <w:vAlign w:val="bottom"/>
          </w:tcPr>
          <w:p>
            <w:pPr>
              <w:spacing w:after="0"/>
              <w:rPr>
                <w:sz w:val="19"/>
                <w:szCs w:val="19"/>
                <w:color w:val="auto"/>
              </w:rPr>
            </w:pPr>
          </w:p>
        </w:tc>
        <w:tc>
          <w:tcPr>
            <w:tcW w:w="9640" w:type="dxa"/>
            <w:vAlign w:val="bottom"/>
            <w:tcBorders>
              <w:top w:val="single" w:sz="8" w:color="0000FF"/>
            </w:tcBorders>
            <w:gridSpan w:val="36"/>
          </w:tcPr>
          <w:p>
            <w:pPr>
              <w:spacing w:after="0"/>
              <w:rPr>
                <w:rFonts w:ascii="Arial" w:cs="Arial" w:eastAsia="Arial" w:hAnsi="Arial"/>
                <w:sz w:val="18"/>
                <w:szCs w:val="18"/>
                <w:u w:val="single" w:color="auto"/>
                <w:color w:val="0000FF"/>
                <w:w w:val="97"/>
              </w:rPr>
            </w:pPr>
            <w:hyperlink r:id="rId155">
              <w:r>
                <w:rPr>
                  <w:rFonts w:ascii="Arial" w:cs="Arial" w:eastAsia="Arial" w:hAnsi="Arial"/>
                  <w:sz w:val="18"/>
                  <w:szCs w:val="18"/>
                  <w:u w:val="single" w:color="auto"/>
                  <w:color w:val="0000FF"/>
                  <w:w w:val="97"/>
                </w:rPr>
                <w:t>Exhibit 10.3 to Westlake Chemical Partners LP's Current Report on Form 8-K (File No. 001-36567) filed on August 8, 2014).</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15"/>
        </w:trPr>
        <w:tc>
          <w:tcPr>
            <w:tcW w:w="1560" w:type="dxa"/>
            <w:vAlign w:val="bottom"/>
          </w:tcPr>
          <w:p>
            <w:pPr>
              <w:ind w:left="20"/>
              <w:spacing w:after="0"/>
              <w:rPr>
                <w:sz w:val="20"/>
                <w:szCs w:val="20"/>
                <w:color w:val="auto"/>
              </w:rPr>
            </w:pPr>
            <w:r>
              <w:rPr>
                <w:rFonts w:ascii="Arial" w:cs="Arial" w:eastAsia="Arial" w:hAnsi="Arial"/>
                <w:sz w:val="18"/>
                <w:szCs w:val="18"/>
                <w:color w:val="auto"/>
              </w:rPr>
              <w:t>10.4††</w:t>
            </w:r>
          </w:p>
        </w:tc>
        <w:tc>
          <w:tcPr>
            <w:tcW w:w="9700" w:type="dxa"/>
            <w:vAlign w:val="bottom"/>
            <w:gridSpan w:val="39"/>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Ethylene Sales Agreement between Westlake Chemical OpCo LP, WPT LLC, Westlake Vinyls, Inc. and Westlake Petrochemicals</w:t>
              </w:r>
            </w:hyperlink>
          </w:p>
        </w:tc>
      </w:tr>
      <w:tr>
        <w:trPr>
          <w:trHeight w:val="155"/>
        </w:trPr>
        <w:tc>
          <w:tcPr>
            <w:tcW w:w="156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LLC (incorporated by reference to Exhibit 10.4 to Westlake Chemical Partners LP's Current Report on Form 8-K (File No. 001-</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36567) filed on August 8, 2014).</w:t>
              </w:r>
            </w:hyperlink>
          </w:p>
        </w:tc>
        <w:tc>
          <w:tcPr>
            <w:tcW w:w="68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560" w:type="dxa"/>
            <w:vAlign w:val="bottom"/>
          </w:tcPr>
          <w:p>
            <w:pPr>
              <w:ind w:left="20"/>
              <w:spacing w:after="0"/>
              <w:rPr>
                <w:sz w:val="20"/>
                <w:szCs w:val="20"/>
                <w:color w:val="auto"/>
              </w:rPr>
            </w:pPr>
            <w:r>
              <w:rPr>
                <w:rFonts w:ascii="Arial" w:cs="Arial" w:eastAsia="Arial" w:hAnsi="Arial"/>
                <w:sz w:val="18"/>
                <w:szCs w:val="18"/>
                <w:color w:val="auto"/>
              </w:rPr>
              <w:t>10.5</w:t>
            </w:r>
          </w:p>
        </w:tc>
        <w:tc>
          <w:tcPr>
            <w:tcW w:w="9700" w:type="dxa"/>
            <w:vAlign w:val="bottom"/>
            <w:gridSpan w:val="39"/>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Site Lease Agreement (Calvert City) between Westlake Vinyls, Inc. and Westlake Chemical OpCo LP (incorporated by reference to</w:t>
              </w:r>
            </w:hyperlink>
          </w:p>
        </w:tc>
      </w:tr>
      <w:tr>
        <w:trPr>
          <w:trHeight w:val="224"/>
        </w:trPr>
        <w:tc>
          <w:tcPr>
            <w:tcW w:w="1560" w:type="dxa"/>
            <w:vAlign w:val="bottom"/>
          </w:tcPr>
          <w:p>
            <w:pPr>
              <w:spacing w:after="0"/>
              <w:rPr>
                <w:sz w:val="19"/>
                <w:szCs w:val="19"/>
                <w:color w:val="auto"/>
              </w:rPr>
            </w:pPr>
          </w:p>
        </w:tc>
        <w:tc>
          <w:tcPr>
            <w:tcW w:w="9460" w:type="dxa"/>
            <w:vAlign w:val="bottom"/>
            <w:tcBorders>
              <w:top w:val="single" w:sz="8" w:color="0000FF"/>
            </w:tcBorders>
            <w:gridSpan w:val="27"/>
          </w:tcPr>
          <w:p>
            <w:pPr>
              <w:spacing w:after="0"/>
              <w:rPr>
                <w:rFonts w:ascii="Arial" w:cs="Arial" w:eastAsia="Arial" w:hAnsi="Arial"/>
                <w:sz w:val="18"/>
                <w:szCs w:val="18"/>
                <w:u w:val="single" w:color="auto"/>
                <w:color w:val="0000FF"/>
                <w:w w:val="95"/>
              </w:rPr>
            </w:pPr>
            <w:hyperlink r:id="rId157">
              <w:r>
                <w:rPr>
                  <w:rFonts w:ascii="Arial" w:cs="Arial" w:eastAsia="Arial" w:hAnsi="Arial"/>
                  <w:sz w:val="18"/>
                  <w:szCs w:val="18"/>
                  <w:u w:val="single" w:color="auto"/>
                  <w:color w:val="0000FF"/>
                  <w:w w:val="95"/>
                </w:rPr>
                <w:t>Exhibit 10.5 to Westlake Chemical Partners LP's Current Report on Form 8-K (File No. 001-36567) filed on August 8, 2014).</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15"/>
        </w:trPr>
        <w:tc>
          <w:tcPr>
            <w:tcW w:w="1560" w:type="dxa"/>
            <w:vAlign w:val="bottom"/>
          </w:tcPr>
          <w:p>
            <w:pPr>
              <w:ind w:left="20"/>
              <w:spacing w:after="0"/>
              <w:rPr>
                <w:sz w:val="20"/>
                <w:szCs w:val="20"/>
                <w:color w:val="auto"/>
              </w:rPr>
            </w:pPr>
            <w:r>
              <w:rPr>
                <w:rFonts w:ascii="Arial" w:cs="Arial" w:eastAsia="Arial" w:hAnsi="Arial"/>
                <w:sz w:val="18"/>
                <w:szCs w:val="18"/>
                <w:color w:val="auto"/>
              </w:rPr>
              <w:t>10.6</w:t>
            </w:r>
          </w:p>
        </w:tc>
        <w:tc>
          <w:tcPr>
            <w:tcW w:w="9700" w:type="dxa"/>
            <w:vAlign w:val="bottom"/>
            <w:gridSpan w:val="39"/>
          </w:tcPr>
          <w:p>
            <w:pPr>
              <w:spacing w:after="0"/>
              <w:rPr>
                <w:rFonts w:ascii="Arial" w:cs="Arial" w:eastAsia="Arial" w:hAnsi="Arial"/>
                <w:sz w:val="18"/>
                <w:szCs w:val="18"/>
                <w:color w:val="0000FF"/>
                <w:w w:val="95"/>
              </w:rPr>
            </w:pPr>
            <w:hyperlink r:id="rId158">
              <w:r>
                <w:rPr>
                  <w:rFonts w:ascii="Arial" w:cs="Arial" w:eastAsia="Arial" w:hAnsi="Arial"/>
                  <w:sz w:val="18"/>
                  <w:szCs w:val="18"/>
                  <w:color w:val="0000FF"/>
                  <w:w w:val="95"/>
                </w:rPr>
                <w:t>Site Lease Agreement (Lake Charles) between Westlake Petrochemical LLC and Westlake Chemical OpCo LP (incorporated by</w:t>
              </w:r>
            </w:hyperlink>
          </w:p>
        </w:tc>
      </w:tr>
      <w:tr>
        <w:trPr>
          <w:trHeight w:val="156"/>
        </w:trPr>
        <w:tc>
          <w:tcPr>
            <w:tcW w:w="156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reference to Exhibit 10.6 to Westlake Chemical Partners LP's Current Report on Form 8-K (File No. 001-36567) filed on August</w:t>
              </w:r>
            </w:hyperlink>
          </w:p>
        </w:tc>
        <w:tc>
          <w:tcPr>
            <w:tcW w:w="280" w:type="dxa"/>
            <w:vAlign w:val="bottom"/>
            <w:gridSpan w:val="11"/>
          </w:tcPr>
          <w:p>
            <w:pPr>
              <w:jc w:val="right"/>
              <w:ind w:right="80"/>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58">
              <w:r>
                <w:rPr>
                  <w:rFonts w:ascii="Arial" w:cs="Arial" w:eastAsia="Arial" w:hAnsi="Arial"/>
                  <w:sz w:val="18"/>
                  <w:szCs w:val="18"/>
                  <w:color w:val="0000FF"/>
                  <w:w w:val="86"/>
                </w:rPr>
                <w:t>2014).</w:t>
              </w:r>
            </w:hyperlink>
          </w:p>
        </w:tc>
        <w:tc>
          <w:tcPr>
            <w:tcW w:w="3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9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560" w:type="dxa"/>
            <w:vAlign w:val="bottom"/>
          </w:tcPr>
          <w:p>
            <w:pPr>
              <w:ind w:left="20"/>
              <w:spacing w:after="0"/>
              <w:rPr>
                <w:sz w:val="20"/>
                <w:szCs w:val="20"/>
                <w:color w:val="auto"/>
              </w:rPr>
            </w:pPr>
            <w:r>
              <w:rPr>
                <w:rFonts w:ascii="Arial" w:cs="Arial" w:eastAsia="Arial" w:hAnsi="Arial"/>
                <w:sz w:val="18"/>
                <w:szCs w:val="18"/>
                <w:color w:val="auto"/>
              </w:rPr>
              <w:t>10.7</w:t>
            </w:r>
          </w:p>
        </w:tc>
        <w:tc>
          <w:tcPr>
            <w:tcW w:w="9700" w:type="dxa"/>
            <w:vAlign w:val="bottom"/>
            <w:gridSpan w:val="39"/>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Senior Unsecured Revolving Credit Agreement by and among Westlake Chemical OpCo LP and Westlake Development Corporation,</w:t>
              </w:r>
            </w:hyperlink>
          </w:p>
        </w:tc>
      </w:tr>
      <w:tr>
        <w:trPr>
          <w:trHeight w:val="156"/>
        </w:trPr>
        <w:tc>
          <w:tcPr>
            <w:tcW w:w="1560" w:type="dxa"/>
            <w:vAlign w:val="bottom"/>
          </w:tcPr>
          <w:p>
            <w:pPr>
              <w:spacing w:after="0"/>
              <w:rPr>
                <w:sz w:val="13"/>
                <w:szCs w:val="13"/>
                <w:color w:val="auto"/>
              </w:rPr>
            </w:pPr>
          </w:p>
        </w:tc>
        <w:tc>
          <w:tcPr>
            <w:tcW w:w="9660" w:type="dxa"/>
            <w:vAlign w:val="bottom"/>
            <w:tcBorders>
              <w:top w:val="single" w:sz="8" w:color="0000FF"/>
            </w:tcBorders>
            <w:gridSpan w:val="37"/>
          </w:tcPr>
          <w:p>
            <w:pPr>
              <w:spacing w:after="0" w:line="15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dated as of August 4, 2014 (incorporated by reference to Exhibit 10.9 to Westlake Chemical Partners LP's Current Report on Form 8-</w:t>
              </w:r>
            </w:hyperlink>
          </w:p>
        </w:tc>
        <w:tc>
          <w:tcPr>
            <w:tcW w:w="40" w:type="dxa"/>
            <w:vAlign w:val="bottom"/>
            <w:gridSpan w:val="2"/>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K (File No. 001-36567) filed on August 8, 2014).</w:t>
              </w:r>
            </w:hyperlink>
          </w:p>
        </w:tc>
        <w:tc>
          <w:tcPr>
            <w:tcW w:w="6060" w:type="dxa"/>
            <w:vAlign w:val="bottom"/>
            <w:tcBorders>
              <w:top w:val="single" w:sz="8" w:color="0000FF"/>
            </w:tcBorders>
            <w:gridSpan w:val="2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1560" w:type="dxa"/>
            <w:vAlign w:val="bottom"/>
          </w:tcPr>
          <w:p>
            <w:pPr>
              <w:ind w:left="20"/>
              <w:spacing w:after="0"/>
              <w:rPr>
                <w:sz w:val="20"/>
                <w:szCs w:val="20"/>
                <w:color w:val="auto"/>
              </w:rPr>
            </w:pPr>
            <w:r>
              <w:rPr>
                <w:rFonts w:ascii="Arial" w:cs="Arial" w:eastAsia="Arial" w:hAnsi="Arial"/>
                <w:sz w:val="18"/>
                <w:szCs w:val="18"/>
                <w:color w:val="auto"/>
              </w:rPr>
              <w:t>10.8</w:t>
            </w:r>
          </w:p>
        </w:tc>
        <w:tc>
          <w:tcPr>
            <w:tcW w:w="9700" w:type="dxa"/>
            <w:vAlign w:val="bottom"/>
            <w:gridSpan w:val="39"/>
          </w:tcPr>
          <w:p>
            <w:pPr>
              <w:spacing w:after="0"/>
              <w:rPr>
                <w:rFonts w:ascii="Arial" w:cs="Arial" w:eastAsia="Arial" w:hAnsi="Arial"/>
                <w:sz w:val="18"/>
                <w:szCs w:val="18"/>
                <w:color w:val="0000FF"/>
                <w:w w:val="95"/>
              </w:rPr>
            </w:pPr>
            <w:hyperlink r:id="rId160">
              <w:r>
                <w:rPr>
                  <w:rFonts w:ascii="Arial" w:cs="Arial" w:eastAsia="Arial" w:hAnsi="Arial"/>
                  <w:sz w:val="18"/>
                  <w:szCs w:val="18"/>
                  <w:color w:val="0000FF"/>
                  <w:w w:val="95"/>
                </w:rPr>
                <w:t>Amended and Restated Senior Unsecured Revolving Credit Agreement by and among Westlake Chemical OpCo LP, Westlake</w:t>
              </w:r>
            </w:hyperlink>
          </w:p>
        </w:tc>
      </w:tr>
      <w:tr>
        <w:trPr>
          <w:trHeight w:val="142"/>
        </w:trPr>
        <w:tc>
          <w:tcPr>
            <w:tcW w:w="1560" w:type="dxa"/>
            <w:vAlign w:val="bottom"/>
          </w:tcPr>
          <w:p>
            <w:pPr>
              <w:spacing w:after="0"/>
              <w:rPr>
                <w:sz w:val="12"/>
                <w:szCs w:val="12"/>
                <w:color w:val="auto"/>
              </w:rPr>
            </w:pPr>
          </w:p>
        </w:tc>
        <w:tc>
          <w:tcPr>
            <w:tcW w:w="9080" w:type="dxa"/>
            <w:vAlign w:val="bottom"/>
            <w:tcBorders>
              <w:top w:val="single" w:sz="8" w:color="0000FF"/>
            </w:tcBorders>
            <w:gridSpan w:val="14"/>
          </w:tcPr>
          <w:p>
            <w:pPr>
              <w:spacing w:after="0" w:line="142" w:lineRule="exact"/>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Polymers LLC, and the lenders party thereto, dated as of June 1, 2017 (incorporated by reference to Exhibit 10.9 to Westlake</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89"/>
        </w:trPr>
        <w:tc>
          <w:tcPr>
            <w:tcW w:w="1560" w:type="dxa"/>
            <w:vAlign w:val="bottom"/>
          </w:tcPr>
          <w:p>
            <w:pPr>
              <w:spacing w:after="0"/>
              <w:rPr>
                <w:sz w:val="16"/>
                <w:szCs w:val="16"/>
                <w:color w:val="auto"/>
              </w:rPr>
            </w:pPr>
          </w:p>
        </w:tc>
        <w:tc>
          <w:tcPr>
            <w:tcW w:w="9700" w:type="dxa"/>
            <w:vAlign w:val="bottom"/>
            <w:gridSpan w:val="39"/>
          </w:tcPr>
          <w:p>
            <w:pPr>
              <w:spacing w:after="0" w:line="189" w:lineRule="exact"/>
              <w:rPr>
                <w:rFonts w:ascii="Arial" w:cs="Arial" w:eastAsia="Arial" w:hAnsi="Arial"/>
                <w:sz w:val="18"/>
                <w:szCs w:val="18"/>
                <w:color w:val="0000FF"/>
                <w:w w:val="94"/>
              </w:rPr>
            </w:pPr>
            <w:hyperlink r:id="rId160">
              <w:r>
                <w:rPr>
                  <w:rFonts w:ascii="Arial" w:cs="Arial" w:eastAsia="Arial" w:hAnsi="Arial"/>
                  <w:sz w:val="18"/>
                  <w:szCs w:val="18"/>
                  <w:color w:val="0000FF"/>
                  <w:w w:val="94"/>
                </w:rPr>
                <w:t xml:space="preserve">Chemical Partners LP's </w:t>
              </w:r>
              <w:r>
                <w:rPr>
                  <w:rFonts w:ascii="Arial" w:cs="Arial" w:eastAsia="Arial" w:hAnsi="Arial"/>
                  <w:sz w:val="18"/>
                  <w:szCs w:val="18"/>
                  <w:u w:val="single" w:color="auto"/>
                  <w:color w:val="0000FF"/>
                  <w:w w:val="94"/>
                </w:rPr>
                <w:t>Annual Report on Form 10-K for the year ended December 31, 2019, filed on February 28, 2020,</w:t>
              </w:r>
              <w:r>
                <w:rPr>
                  <w:rFonts w:ascii="Arial" w:cs="Arial" w:eastAsia="Arial" w:hAnsi="Arial"/>
                  <w:sz w:val="18"/>
                  <w:szCs w:val="18"/>
                  <w:color w:val="0000FF"/>
                  <w:w w:val="94"/>
                </w:rPr>
                <w:t xml:space="preserve"> File No.</w:t>
              </w:r>
            </w:hyperlink>
          </w:p>
        </w:tc>
      </w:tr>
      <w:tr>
        <w:trPr>
          <w:trHeight w:val="155"/>
        </w:trPr>
        <w:tc>
          <w:tcPr>
            <w:tcW w:w="1560" w:type="dxa"/>
            <w:vAlign w:val="bottom"/>
          </w:tcPr>
          <w:p>
            <w:pPr>
              <w:spacing w:after="0"/>
              <w:rPr>
                <w:sz w:val="13"/>
                <w:szCs w:val="13"/>
                <w:color w:val="auto"/>
              </w:rPr>
            </w:pPr>
          </w:p>
        </w:tc>
        <w:tc>
          <w:tcPr>
            <w:tcW w:w="120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001-36567)</w:t>
              </w:r>
              <w:r>
                <w:rPr>
                  <w:rFonts w:ascii="Arial" w:cs="Arial" w:eastAsia="Arial" w:hAnsi="Arial"/>
                  <w:sz w:val="18"/>
                  <w:szCs w:val="18"/>
                  <w:u w:val="single" w:color="auto"/>
                  <w:color w:val="0000FF"/>
                </w:rPr>
                <w:t>.</w:t>
              </w:r>
            </w:hyperlink>
          </w:p>
        </w:tc>
        <w:tc>
          <w:tcPr>
            <w:tcW w:w="52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3"/>
        </w:trPr>
        <w:tc>
          <w:tcPr>
            <w:tcW w:w="1560" w:type="dxa"/>
            <w:vAlign w:val="bottom"/>
          </w:tcPr>
          <w:p>
            <w:pPr>
              <w:ind w:left="20"/>
              <w:spacing w:after="0"/>
              <w:rPr>
                <w:sz w:val="20"/>
                <w:szCs w:val="20"/>
                <w:color w:val="auto"/>
              </w:rPr>
            </w:pPr>
            <w:r>
              <w:rPr>
                <w:rFonts w:ascii="Arial" w:cs="Arial" w:eastAsia="Arial" w:hAnsi="Arial"/>
                <w:sz w:val="18"/>
                <w:szCs w:val="18"/>
                <w:color w:val="auto"/>
              </w:rPr>
              <w:t>10.9†</w:t>
            </w:r>
          </w:p>
        </w:tc>
        <w:tc>
          <w:tcPr>
            <w:tcW w:w="9700" w:type="dxa"/>
            <w:vAlign w:val="bottom"/>
            <w:gridSpan w:val="39"/>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Westlake Chemical Partners LP Long-Term Incentive Plan (incorporated by reference to Exhibit 10.8 to Westlake Chemical Partners</w:t>
              </w:r>
            </w:hyperlink>
          </w:p>
        </w:tc>
      </w:tr>
      <w:tr>
        <w:trPr>
          <w:trHeight w:val="155"/>
        </w:trPr>
        <w:tc>
          <w:tcPr>
            <w:tcW w:w="156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LP's Current Report on Form 8-K (File No. 001-36567) filed on August 8, 2014).</w:t>
              </w:r>
            </w:hyperlink>
          </w:p>
        </w:tc>
        <w:tc>
          <w:tcPr>
            <w:tcW w:w="370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4"/>
        </w:trPr>
        <w:tc>
          <w:tcPr>
            <w:tcW w:w="1560" w:type="dxa"/>
            <w:vAlign w:val="bottom"/>
          </w:tcPr>
          <w:p>
            <w:pPr>
              <w:ind w:left="20"/>
              <w:spacing w:after="0"/>
              <w:rPr>
                <w:sz w:val="20"/>
                <w:szCs w:val="20"/>
                <w:color w:val="auto"/>
              </w:rPr>
            </w:pPr>
            <w:r>
              <w:rPr>
                <w:rFonts w:ascii="Arial" w:cs="Arial" w:eastAsia="Arial" w:hAnsi="Arial"/>
                <w:sz w:val="18"/>
                <w:szCs w:val="18"/>
                <w:color w:val="auto"/>
              </w:rPr>
              <w:t>10.10</w:t>
            </w:r>
          </w:p>
        </w:tc>
        <w:tc>
          <w:tcPr>
            <w:tcW w:w="9700" w:type="dxa"/>
            <w:vAlign w:val="bottom"/>
            <w:gridSpan w:val="39"/>
          </w:tcPr>
          <w:p>
            <w:pPr>
              <w:spacing w:after="0"/>
              <w:rPr>
                <w:rFonts w:ascii="Arial" w:cs="Arial" w:eastAsia="Arial" w:hAnsi="Arial"/>
                <w:sz w:val="18"/>
                <w:szCs w:val="18"/>
                <w:color w:val="0000FF"/>
                <w:w w:val="95"/>
              </w:rPr>
            </w:pPr>
            <w:hyperlink r:id="rId162">
              <w:r>
                <w:rPr>
                  <w:rFonts w:ascii="Arial" w:cs="Arial" w:eastAsia="Arial" w:hAnsi="Arial"/>
                  <w:sz w:val="18"/>
                  <w:szCs w:val="18"/>
                  <w:color w:val="0000FF"/>
                  <w:w w:val="95"/>
                </w:rPr>
                <w:t>Senior Unsecured Revolving Credit Agreement by and among Westlake Chemical Partners LP and Westlake Chemical Finance</w:t>
              </w:r>
            </w:hyperlink>
          </w:p>
        </w:tc>
      </w:tr>
      <w:tr>
        <w:trPr>
          <w:trHeight w:val="155"/>
        </w:trPr>
        <w:tc>
          <w:tcPr>
            <w:tcW w:w="1560" w:type="dxa"/>
            <w:vAlign w:val="bottom"/>
          </w:tcPr>
          <w:p>
            <w:pPr>
              <w:spacing w:after="0"/>
              <w:rPr>
                <w:sz w:val="13"/>
                <w:szCs w:val="13"/>
                <w:color w:val="auto"/>
              </w:rPr>
            </w:pPr>
          </w:p>
        </w:tc>
        <w:tc>
          <w:tcPr>
            <w:tcW w:w="916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Corporation, dated as of April 29, 2015 (incorporated by reference to Exhibit 10.1 to Westlake Chemical Partners LP's Current</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Report on Form 8-K, filed on April 30, 2015, File No. 001-36567).</w:t>
              </w:r>
            </w:hyperlink>
          </w:p>
        </w:tc>
        <w:tc>
          <w:tcPr>
            <w:tcW w:w="4280" w:type="dxa"/>
            <w:vAlign w:val="bottom"/>
            <w:tcBorders>
              <w:top w:val="single" w:sz="8" w:color="0000FF"/>
            </w:tcBorders>
            <w:gridSpan w:val="6"/>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3"/>
        </w:trPr>
        <w:tc>
          <w:tcPr>
            <w:tcW w:w="1560" w:type="dxa"/>
            <w:vAlign w:val="bottom"/>
          </w:tcPr>
          <w:p>
            <w:pPr>
              <w:ind w:left="20"/>
              <w:spacing w:after="0"/>
              <w:rPr>
                <w:sz w:val="20"/>
                <w:szCs w:val="20"/>
                <w:color w:val="auto"/>
              </w:rPr>
            </w:pPr>
            <w:r>
              <w:rPr>
                <w:rFonts w:ascii="Arial" w:cs="Arial" w:eastAsia="Arial" w:hAnsi="Arial"/>
                <w:sz w:val="18"/>
                <w:szCs w:val="18"/>
                <w:color w:val="auto"/>
              </w:rPr>
              <w:t>10.11</w:t>
            </w:r>
          </w:p>
        </w:tc>
        <w:tc>
          <w:tcPr>
            <w:tcW w:w="9700" w:type="dxa"/>
            <w:vAlign w:val="bottom"/>
            <w:gridSpan w:val="39"/>
          </w:tcPr>
          <w:p>
            <w:pPr>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First Amendment to Ethylene Sales Agreement (incorporated herein by reference to Exhibit 10.1 to Westlake Chemical Partners LP's</w:t>
              </w:r>
            </w:hyperlink>
          </w:p>
        </w:tc>
      </w:tr>
      <w:tr>
        <w:trPr>
          <w:trHeight w:val="224"/>
        </w:trPr>
        <w:tc>
          <w:tcPr>
            <w:tcW w:w="1560" w:type="dxa"/>
            <w:vAlign w:val="bottom"/>
          </w:tcPr>
          <w:p>
            <w:pPr>
              <w:spacing w:after="0"/>
              <w:rPr>
                <w:sz w:val="19"/>
                <w:szCs w:val="19"/>
                <w:color w:val="auto"/>
              </w:rPr>
            </w:pPr>
          </w:p>
        </w:tc>
        <w:tc>
          <w:tcPr>
            <w:tcW w:w="9600" w:type="dxa"/>
            <w:vAlign w:val="bottom"/>
            <w:tcBorders>
              <w:top w:val="single" w:sz="8" w:color="0000FF"/>
            </w:tcBorders>
            <w:gridSpan w:val="34"/>
          </w:tcPr>
          <w:p>
            <w:pPr>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Quarterly Report on Form 10-Q for the quarter ended June 30, 2016, filed on August 9, 2016, File No. 1-32260).</w:t>
              </w:r>
            </w:hyperlink>
          </w:p>
        </w:tc>
        <w:tc>
          <w:tcPr>
            <w:tcW w:w="100" w:type="dxa"/>
            <w:vAlign w:val="bottom"/>
            <w:gridSpan w:val="5"/>
          </w:tcPr>
          <w:p>
            <w:pPr>
              <w:spacing w:after="0"/>
              <w:rPr>
                <w:sz w:val="19"/>
                <w:szCs w:val="19"/>
                <w:color w:val="auto"/>
              </w:rPr>
            </w:pPr>
          </w:p>
        </w:tc>
      </w:tr>
      <w:tr>
        <w:trPr>
          <w:trHeight w:val="215"/>
        </w:trPr>
        <w:tc>
          <w:tcPr>
            <w:tcW w:w="1560" w:type="dxa"/>
            <w:vAlign w:val="bottom"/>
          </w:tcPr>
          <w:p>
            <w:pPr>
              <w:ind w:left="20"/>
              <w:spacing w:after="0"/>
              <w:rPr>
                <w:sz w:val="20"/>
                <w:szCs w:val="20"/>
                <w:color w:val="auto"/>
              </w:rPr>
            </w:pPr>
            <w:r>
              <w:rPr>
                <w:rFonts w:ascii="Arial" w:cs="Arial" w:eastAsia="Arial" w:hAnsi="Arial"/>
                <w:sz w:val="18"/>
                <w:szCs w:val="18"/>
                <w:color w:val="auto"/>
              </w:rPr>
              <w:t>10.12</w:t>
            </w:r>
          </w:p>
        </w:tc>
        <w:tc>
          <w:tcPr>
            <w:tcW w:w="9700" w:type="dxa"/>
            <w:vAlign w:val="bottom"/>
            <w:gridSpan w:val="39"/>
          </w:tcPr>
          <w:p>
            <w:pPr>
              <w:spacing w:after="0"/>
              <w:rPr>
                <w:rFonts w:ascii="Arial" w:cs="Arial" w:eastAsia="Arial" w:hAnsi="Arial"/>
                <w:sz w:val="18"/>
                <w:szCs w:val="18"/>
                <w:color w:val="0000FF"/>
                <w:w w:val="92"/>
              </w:rPr>
            </w:pPr>
            <w:hyperlink r:id="rId164">
              <w:r>
                <w:rPr>
                  <w:rFonts w:ascii="Arial" w:cs="Arial" w:eastAsia="Arial" w:hAnsi="Arial"/>
                  <w:sz w:val="18"/>
                  <w:szCs w:val="18"/>
                  <w:color w:val="0000FF"/>
                  <w:w w:val="92"/>
                </w:rPr>
                <w:t>Exchange Agreement, effective as of August 1, 2014, by and between WPT LLC and Westlake Chemical OpCo LP (incorporated by</w:t>
              </w:r>
            </w:hyperlink>
          </w:p>
        </w:tc>
      </w:tr>
      <w:tr>
        <w:trPr>
          <w:trHeight w:val="155"/>
        </w:trPr>
        <w:tc>
          <w:tcPr>
            <w:tcW w:w="1560" w:type="dxa"/>
            <w:vAlign w:val="bottom"/>
          </w:tcPr>
          <w:p>
            <w:pPr>
              <w:spacing w:after="0"/>
              <w:rPr>
                <w:sz w:val="13"/>
                <w:szCs w:val="13"/>
                <w:color w:val="auto"/>
              </w:rPr>
            </w:pPr>
          </w:p>
        </w:tc>
        <w:tc>
          <w:tcPr>
            <w:tcW w:w="9540" w:type="dxa"/>
            <w:vAlign w:val="bottom"/>
            <w:tcBorders>
              <w:top w:val="single" w:sz="8" w:color="0000FF"/>
            </w:tcBorders>
            <w:gridSpan w:val="31"/>
          </w:tcPr>
          <w:p>
            <w:pPr>
              <w:spacing w:after="0" w:line="156"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reference to Exhibit 10.20 to Westlake Chemical Partners LP's Annual Report on Form 10-K for the year ended December 30, 2016</w:t>
              </w:r>
            </w:hyperlink>
          </w:p>
        </w:tc>
        <w:tc>
          <w:tcPr>
            <w:tcW w:w="160" w:type="dxa"/>
            <w:vAlign w:val="bottom"/>
            <w:gridSpan w:val="8"/>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64">
              <w:r>
                <w:rPr>
                  <w:rFonts w:ascii="Arial" w:cs="Arial" w:eastAsia="Arial" w:hAnsi="Arial"/>
                  <w:sz w:val="18"/>
                  <w:szCs w:val="18"/>
                  <w:color w:val="0000FF"/>
                  <w:w w:val="92"/>
                </w:rPr>
                <w:t>(File No. 01-36567) filed on March 7, 2017).</w:t>
              </w:r>
            </w:hyperlink>
          </w:p>
        </w:tc>
        <w:tc>
          <w:tcPr>
            <w:tcW w:w="62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64"/>
        </w:trPr>
        <w:tc>
          <w:tcPr>
            <w:tcW w:w="1560" w:type="dxa"/>
            <w:vAlign w:val="bottom"/>
          </w:tcPr>
          <w:p>
            <w:pPr>
              <w:ind w:left="20"/>
              <w:spacing w:after="0"/>
              <w:rPr>
                <w:sz w:val="20"/>
                <w:szCs w:val="20"/>
                <w:color w:val="auto"/>
              </w:rPr>
            </w:pPr>
            <w:r>
              <w:rPr>
                <w:rFonts w:ascii="Arial" w:cs="Arial" w:eastAsia="Arial" w:hAnsi="Arial"/>
                <w:sz w:val="18"/>
                <w:szCs w:val="18"/>
                <w:color w:val="auto"/>
              </w:rPr>
              <w:t>10.13</w:t>
            </w:r>
          </w:p>
        </w:tc>
        <w:tc>
          <w:tcPr>
            <w:tcW w:w="9700" w:type="dxa"/>
            <w:vAlign w:val="bottom"/>
            <w:gridSpan w:val="39"/>
          </w:tcPr>
          <w:p>
            <w:pPr>
              <w:spacing w:after="0"/>
              <w:rPr>
                <w:rFonts w:ascii="Arial" w:cs="Arial" w:eastAsia="Arial" w:hAnsi="Arial"/>
                <w:sz w:val="18"/>
                <w:szCs w:val="18"/>
                <w:color w:val="0000FF"/>
                <w:w w:val="92"/>
              </w:rPr>
            </w:pPr>
            <w:hyperlink r:id="rId165">
              <w:r>
                <w:rPr>
                  <w:rFonts w:ascii="Arial" w:cs="Arial" w:eastAsia="Arial" w:hAnsi="Arial"/>
                  <w:sz w:val="18"/>
                  <w:szCs w:val="18"/>
                  <w:color w:val="0000FF"/>
                  <w:w w:val="92"/>
                </w:rPr>
                <w:t>Investment Management Agreement among Westlake Chemical Corporation, Westlake Chemical OpCo LP, and Westlake Chemical</w:t>
              </w:r>
            </w:hyperlink>
          </w:p>
        </w:tc>
      </w:tr>
      <w:tr>
        <w:trPr>
          <w:trHeight w:val="155"/>
        </w:trPr>
        <w:tc>
          <w:tcPr>
            <w:tcW w:w="1560" w:type="dxa"/>
            <w:vAlign w:val="bottom"/>
          </w:tcPr>
          <w:p>
            <w:pPr>
              <w:spacing w:after="0"/>
              <w:rPr>
                <w:sz w:val="13"/>
                <w:szCs w:val="13"/>
                <w:color w:val="auto"/>
              </w:rPr>
            </w:pPr>
          </w:p>
        </w:tc>
        <w:tc>
          <w:tcPr>
            <w:tcW w:w="9520" w:type="dxa"/>
            <w:vAlign w:val="bottom"/>
            <w:tcBorders>
              <w:top w:val="single" w:sz="8" w:color="0000FF"/>
            </w:tcBorders>
            <w:gridSpan w:val="30"/>
          </w:tcPr>
          <w:p>
            <w:pPr>
              <w:spacing w:after="0" w:line="156"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Partners LP, dated as of August 1, 2017 (incorporated by reference to Exhibit 10.1 to Westlake Chemical Partners LP's Quarterly</w:t>
              </w:r>
            </w:hyperlink>
          </w:p>
        </w:tc>
        <w:tc>
          <w:tcPr>
            <w:tcW w:w="180" w:type="dxa"/>
            <w:vAlign w:val="bottom"/>
            <w:gridSpan w:val="9"/>
          </w:tcPr>
          <w:p>
            <w:pPr>
              <w:spacing w:after="0"/>
              <w:rPr>
                <w:sz w:val="13"/>
                <w:szCs w:val="13"/>
                <w:color w:val="auto"/>
              </w:rPr>
            </w:pPr>
          </w:p>
        </w:tc>
      </w:tr>
      <w:tr>
        <w:trPr>
          <w:trHeight w:val="224"/>
        </w:trPr>
        <w:tc>
          <w:tcPr>
            <w:tcW w:w="1560" w:type="dxa"/>
            <w:vAlign w:val="bottom"/>
          </w:tcPr>
          <w:p>
            <w:pPr>
              <w:spacing w:after="0"/>
              <w:rPr>
                <w:sz w:val="19"/>
                <w:szCs w:val="19"/>
                <w:color w:val="auto"/>
              </w:rPr>
            </w:pPr>
          </w:p>
        </w:tc>
        <w:tc>
          <w:tcPr>
            <w:tcW w:w="9260" w:type="dxa"/>
            <w:vAlign w:val="bottom"/>
            <w:tcBorders>
              <w:top w:val="single" w:sz="8" w:color="0000FF"/>
            </w:tcBorders>
            <w:gridSpan w:val="20"/>
          </w:tcPr>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Report on Form 10-Q for the quarter ended September 30, 2017, (File No. 01-36567) filed on November 7, 2017).</w:t>
              </w:r>
            </w:hyperlink>
          </w:p>
        </w:tc>
        <w:tc>
          <w:tcPr>
            <w:tcW w:w="12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80" w:type="dxa"/>
            <w:vAlign w:val="bottom"/>
            <w:gridSpan w:val="14"/>
          </w:tcPr>
          <w:p>
            <w:pPr>
              <w:spacing w:after="0"/>
              <w:rPr>
                <w:sz w:val="19"/>
                <w:szCs w:val="19"/>
                <w:color w:val="auto"/>
              </w:rPr>
            </w:pPr>
          </w:p>
        </w:tc>
      </w:tr>
      <w:tr>
        <w:trPr>
          <w:trHeight w:val="215"/>
        </w:trPr>
        <w:tc>
          <w:tcPr>
            <w:tcW w:w="1560" w:type="dxa"/>
            <w:vAlign w:val="bottom"/>
          </w:tcPr>
          <w:p>
            <w:pPr>
              <w:ind w:left="20"/>
              <w:spacing w:after="0"/>
              <w:rPr>
                <w:sz w:val="20"/>
                <w:szCs w:val="20"/>
                <w:color w:val="auto"/>
              </w:rPr>
            </w:pPr>
            <w:r>
              <w:rPr>
                <w:rFonts w:ascii="Arial" w:cs="Arial" w:eastAsia="Arial" w:hAnsi="Arial"/>
                <w:sz w:val="18"/>
                <w:szCs w:val="18"/>
                <w:color w:val="auto"/>
              </w:rPr>
              <w:t>10.14</w:t>
            </w:r>
          </w:p>
        </w:tc>
        <w:tc>
          <w:tcPr>
            <w:tcW w:w="9700" w:type="dxa"/>
            <w:vAlign w:val="bottom"/>
            <w:gridSpan w:val="39"/>
          </w:tcPr>
          <w:p>
            <w:pPr>
              <w:spacing w:after="0"/>
              <w:rPr>
                <w:rFonts w:ascii="Arial" w:cs="Arial" w:eastAsia="Arial" w:hAnsi="Arial"/>
                <w:sz w:val="18"/>
                <w:szCs w:val="18"/>
                <w:color w:val="0000FF"/>
                <w:w w:val="93"/>
              </w:rPr>
            </w:pPr>
            <w:hyperlink r:id="rId166">
              <w:r>
                <w:rPr>
                  <w:rFonts w:ascii="Arial" w:cs="Arial" w:eastAsia="Arial" w:hAnsi="Arial"/>
                  <w:sz w:val="18"/>
                  <w:szCs w:val="18"/>
                  <w:color w:val="0000FF"/>
                  <w:w w:val="93"/>
                </w:rPr>
                <w:t>First Amendment to Senior Unsecured Revolving Credit Agreement by and between Westlake Chemical Partners LP, as borrower,</w:t>
              </w:r>
            </w:hyperlink>
          </w:p>
        </w:tc>
      </w:tr>
      <w:tr>
        <w:trPr>
          <w:trHeight w:val="156"/>
        </w:trPr>
        <w:tc>
          <w:tcPr>
            <w:tcW w:w="1560" w:type="dxa"/>
            <w:vAlign w:val="bottom"/>
          </w:tcPr>
          <w:p>
            <w:pPr>
              <w:spacing w:after="0"/>
              <w:rPr>
                <w:sz w:val="13"/>
                <w:szCs w:val="13"/>
                <w:color w:val="auto"/>
              </w:rPr>
            </w:pPr>
          </w:p>
        </w:tc>
        <w:tc>
          <w:tcPr>
            <w:tcW w:w="9380" w:type="dxa"/>
            <w:vAlign w:val="bottom"/>
            <w:tcBorders>
              <w:top w:val="single" w:sz="8" w:color="0000FF"/>
            </w:tcBorders>
            <w:gridSpan w:val="23"/>
          </w:tcPr>
          <w:p>
            <w:pPr>
              <w:spacing w:after="0" w:line="15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and Westlake Chemical Finance Corporation, as lender, dated as of August 1, 2017 (incorporated by reference to Exhibit 10.1 to</w:t>
              </w:r>
            </w:hyperlink>
          </w:p>
        </w:tc>
        <w:tc>
          <w:tcPr>
            <w:tcW w:w="40" w:type="dxa"/>
            <w:vAlign w:val="bottom"/>
            <w:gridSpan w:val="2"/>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924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Westlake Chemical Partners LP's Quarterly Report on Form 10-Q for the quarter ended June 30, 2017 (File No. 01-36567) filed</w:t>
              </w:r>
            </w:hyperlink>
          </w:p>
        </w:tc>
        <w:tc>
          <w:tcPr>
            <w:tcW w:w="460" w:type="dxa"/>
            <w:vAlign w:val="bottom"/>
            <w:gridSpan w:val="20"/>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on</w:t>
              </w:r>
            </w:hyperlink>
          </w:p>
        </w:tc>
      </w:tr>
      <w:tr>
        <w:trPr>
          <w:trHeight w:val="155"/>
        </w:trPr>
        <w:tc>
          <w:tcPr>
            <w:tcW w:w="1560" w:type="dxa"/>
            <w:vAlign w:val="bottom"/>
          </w:tcPr>
          <w:p>
            <w:pPr>
              <w:spacing w:after="0"/>
              <w:rPr>
                <w:sz w:val="13"/>
                <w:szCs w:val="13"/>
                <w:color w:val="auto"/>
              </w:rPr>
            </w:pPr>
          </w:p>
        </w:tc>
        <w:tc>
          <w:tcPr>
            <w:tcW w:w="94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August 3, 2017).</w:t>
              </w:r>
            </w:hyperlink>
          </w:p>
        </w:tc>
        <w:tc>
          <w:tcPr>
            <w:tcW w:w="280" w:type="dxa"/>
            <w:vAlign w:val="bottom"/>
            <w:gridSpan w:val="14"/>
          </w:tcPr>
          <w:p>
            <w:pPr>
              <w:spacing w:after="0"/>
              <w:rPr>
                <w:sz w:val="13"/>
                <w:szCs w:val="13"/>
                <w:color w:val="auto"/>
              </w:rPr>
            </w:pPr>
          </w:p>
        </w:tc>
      </w:tr>
      <w:tr>
        <w:trPr>
          <w:trHeight w:val="925"/>
        </w:trPr>
        <w:tc>
          <w:tcPr>
            <w:tcW w:w="1560" w:type="dxa"/>
            <w:vAlign w:val="bottom"/>
          </w:tcPr>
          <w:p>
            <w:pPr>
              <w:spacing w:after="0"/>
              <w:rPr>
                <w:sz w:val="24"/>
                <w:szCs w:val="24"/>
                <w:color w:val="auto"/>
              </w:rPr>
            </w:pPr>
          </w:p>
        </w:tc>
        <w:tc>
          <w:tcPr>
            <w:tcW w:w="1200" w:type="dxa"/>
            <w:vAlign w:val="bottom"/>
            <w:tcBorders>
              <w:top w:val="single" w:sz="8" w:color="0000FF"/>
            </w:tcBorders>
            <w:gridSpan w:val="3"/>
          </w:tcPr>
          <w:p>
            <w:pPr>
              <w:spacing w:after="0"/>
              <w:rPr>
                <w:sz w:val="24"/>
                <w:szCs w:val="24"/>
                <w:color w:val="auto"/>
              </w:rPr>
            </w:pPr>
          </w:p>
        </w:tc>
        <w:tc>
          <w:tcPr>
            <w:tcW w:w="3620" w:type="dxa"/>
            <w:vAlign w:val="bottom"/>
            <w:gridSpan w:val="6"/>
          </w:tcPr>
          <w:p>
            <w:pPr>
              <w:jc w:val="right"/>
              <w:ind w:right="66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540" w:type="dxa"/>
            <w:vAlign w:val="bottom"/>
          </w:tcPr>
          <w:p>
            <w:pPr>
              <w:ind w:left="300"/>
              <w:spacing w:after="0"/>
              <w:rPr>
                <w:sz w:val="20"/>
                <w:szCs w:val="20"/>
                <w:color w:val="auto"/>
              </w:rPr>
            </w:pPr>
            <w:r>
              <w:rPr>
                <w:rFonts w:ascii="Arial" w:cs="Arial" w:eastAsia="Arial" w:hAnsi="Arial"/>
                <w:sz w:val="16"/>
                <w:szCs w:val="16"/>
                <w:b w:val="1"/>
                <w:bCs w:val="1"/>
                <w:color w:val="auto"/>
              </w:rPr>
              <w:t>Exhibit No.</w:t>
            </w:r>
          </w:p>
        </w:tc>
        <w:tc>
          <w:tcPr>
            <w:tcW w:w="9660" w:type="dxa"/>
            <w:vAlign w:val="bottom"/>
            <w:gridSpan w:val="24"/>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95"/>
        </w:trPr>
        <w:tc>
          <w:tcPr>
            <w:tcW w:w="1540" w:type="dxa"/>
            <w:vAlign w:val="bottom"/>
          </w:tcPr>
          <w:p>
            <w:pPr>
              <w:spacing w:after="0" w:line="195" w:lineRule="exact"/>
              <w:rPr>
                <w:sz w:val="20"/>
                <w:szCs w:val="20"/>
                <w:color w:val="auto"/>
              </w:rPr>
            </w:pPr>
            <w:r>
              <w:rPr>
                <w:rFonts w:ascii="Arial" w:cs="Arial" w:eastAsia="Arial" w:hAnsi="Arial"/>
                <w:sz w:val="18"/>
                <w:szCs w:val="18"/>
                <w:color w:val="auto"/>
              </w:rPr>
              <w:t>10.15</w:t>
            </w:r>
          </w:p>
        </w:tc>
        <w:tc>
          <w:tcPr>
            <w:tcW w:w="9660" w:type="dxa"/>
            <w:vAlign w:val="bottom"/>
            <w:gridSpan w:val="24"/>
          </w:tcPr>
          <w:p>
            <w:pPr>
              <w:spacing w:after="0" w:line="195" w:lineRule="exact"/>
              <w:rPr>
                <w:rFonts w:ascii="Arial" w:cs="Arial" w:eastAsia="Arial" w:hAnsi="Arial"/>
                <w:sz w:val="18"/>
                <w:szCs w:val="18"/>
                <w:color w:val="0000FF"/>
                <w:w w:val="90"/>
              </w:rPr>
            </w:pPr>
            <w:hyperlink r:id="rId169">
              <w:r>
                <w:rPr>
                  <w:rFonts w:ascii="Arial" w:cs="Arial" w:eastAsia="Arial" w:hAnsi="Arial"/>
                  <w:sz w:val="18"/>
                  <w:szCs w:val="18"/>
                  <w:color w:val="0000FF"/>
                  <w:w w:val="90"/>
                </w:rPr>
                <w:t>Second Amendment to Senior Unsecured Revolving Credit Agreement by and between Westlake Chemical Partners LP, as borrower,</w:t>
              </w:r>
            </w:hyperlink>
          </w:p>
        </w:tc>
      </w:tr>
      <w:tr>
        <w:trPr>
          <w:trHeight w:val="156"/>
        </w:trPr>
        <w:tc>
          <w:tcPr>
            <w:tcW w:w="1540" w:type="dxa"/>
            <w:vAlign w:val="bottom"/>
          </w:tcPr>
          <w:p>
            <w:pPr>
              <w:spacing w:after="0"/>
              <w:rPr>
                <w:sz w:val="13"/>
                <w:szCs w:val="13"/>
                <w:color w:val="auto"/>
              </w:rPr>
            </w:pPr>
          </w:p>
        </w:tc>
        <w:tc>
          <w:tcPr>
            <w:tcW w:w="956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169">
              <w:r>
                <w:rPr>
                  <w:rFonts w:ascii="Arial" w:cs="Arial" w:eastAsia="Arial" w:hAnsi="Arial"/>
                  <w:sz w:val="18"/>
                  <w:szCs w:val="18"/>
                  <w:color w:val="0000FF"/>
                  <w:w w:val="90"/>
                </w:rPr>
                <w:t>and Westlake Chemical Finance Corporation, as lender, dated as of November 28, 2017 (incorporated by reference to Exhibit 10.24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48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to Westlake Chemical Partners LP's Annual Report on Form 10-K for the year ended December 31, 2017 (File No. 01-36567)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69">
              <w:r>
                <w:rPr>
                  <w:rFonts w:ascii="Arial" w:cs="Arial" w:eastAsia="Arial" w:hAnsi="Arial"/>
                  <w:sz w:val="18"/>
                  <w:szCs w:val="18"/>
                  <w:color w:val="0000FF"/>
                  <w:w w:val="89"/>
                </w:rPr>
                <w:t>on March 1, 2018).</w:t>
              </w:r>
            </w:hyperlink>
          </w:p>
        </w:tc>
        <w:tc>
          <w:tcPr>
            <w:tcW w:w="80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540" w:type="dxa"/>
            <w:vAlign w:val="bottom"/>
          </w:tcPr>
          <w:p>
            <w:pPr>
              <w:spacing w:after="0"/>
              <w:rPr>
                <w:sz w:val="20"/>
                <w:szCs w:val="20"/>
                <w:color w:val="auto"/>
              </w:rPr>
            </w:pPr>
            <w:r>
              <w:rPr>
                <w:rFonts w:ascii="Arial" w:cs="Arial" w:eastAsia="Arial" w:hAnsi="Arial"/>
                <w:sz w:val="18"/>
                <w:szCs w:val="18"/>
                <w:color w:val="auto"/>
              </w:rPr>
              <w:t>10.16</w:t>
            </w:r>
          </w:p>
        </w:tc>
        <w:tc>
          <w:tcPr>
            <w:tcW w:w="9440" w:type="dxa"/>
            <w:vAlign w:val="bottom"/>
            <w:tcBorders>
              <w:bottom w:val="single" w:sz="8" w:color="0000FF"/>
            </w:tcBorders>
            <w:gridSpan w:val="13"/>
          </w:tcPr>
          <w:p>
            <w:pPr>
              <w:spacing w:after="0"/>
              <w:rPr>
                <w:rFonts w:ascii="Arial" w:cs="Arial" w:eastAsia="Arial" w:hAnsi="Arial"/>
                <w:sz w:val="18"/>
                <w:szCs w:val="18"/>
                <w:color w:val="0000FF"/>
                <w:w w:val="90"/>
              </w:rPr>
            </w:pPr>
            <w:hyperlink r:id="rId170">
              <w:r>
                <w:rPr>
                  <w:rFonts w:ascii="Arial" w:cs="Arial" w:eastAsia="Arial" w:hAnsi="Arial"/>
                  <w:sz w:val="18"/>
                  <w:szCs w:val="18"/>
                  <w:color w:val="0000FF"/>
                  <w:w w:val="90"/>
                </w:rPr>
                <w:t>Third Amendment to Senior Unsecured Revolving Credit Agreement by and between Westlake Chemical Partners LP, as borrower,</w:t>
              </w:r>
            </w:hyperlink>
          </w:p>
        </w:tc>
        <w:tc>
          <w:tcPr>
            <w:tcW w:w="220" w:type="dxa"/>
            <w:vAlign w:val="bottom"/>
            <w:gridSpan w:val="11"/>
          </w:tcPr>
          <w:p>
            <w:pPr>
              <w:spacing w:after="0"/>
              <w:rPr>
                <w:sz w:val="22"/>
                <w:szCs w:val="22"/>
                <w:color w:val="auto"/>
              </w:rPr>
            </w:pPr>
          </w:p>
        </w:tc>
      </w:tr>
      <w:tr>
        <w:trPr>
          <w:trHeight w:val="156"/>
        </w:trPr>
        <w:tc>
          <w:tcPr>
            <w:tcW w:w="1540" w:type="dxa"/>
            <w:vAlign w:val="bottom"/>
          </w:tcPr>
          <w:p>
            <w:pPr>
              <w:spacing w:after="0"/>
              <w:rPr>
                <w:sz w:val="13"/>
                <w:szCs w:val="13"/>
                <w:color w:val="auto"/>
              </w:rPr>
            </w:pPr>
          </w:p>
        </w:tc>
        <w:tc>
          <w:tcPr>
            <w:tcW w:w="9660" w:type="dxa"/>
            <w:vAlign w:val="bottom"/>
            <w:gridSpan w:val="24"/>
          </w:tcPr>
          <w:p>
            <w:pPr>
              <w:spacing w:after="0" w:line="156"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and Westlake Chemical Finance Corporation, as lender, dated as of March 19, 2020 (incorporated herein by reference to Exhibit 10.1</w:t>
              </w:r>
            </w:hyperlink>
          </w:p>
        </w:tc>
      </w:tr>
      <w:tr>
        <w:trPr>
          <w:trHeight w:val="156"/>
        </w:trPr>
        <w:tc>
          <w:tcPr>
            <w:tcW w:w="154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to Westlake Chemical Partners LP's Quarterly Report on Form 10-Q for the quarter ended March 31, 2020, filed on May 6, 2020,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640" w:type="dxa"/>
            <w:vAlign w:val="bottom"/>
            <w:gridSpan w:val="23"/>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No. 001-36567)</w:t>
              </w:r>
              <w:r>
                <w:rPr>
                  <w:rFonts w:ascii="Arial" w:cs="Arial" w:eastAsia="Arial" w:hAnsi="Arial"/>
                  <w:sz w:val="18"/>
                  <w:szCs w:val="18"/>
                  <w:u w:val="single" w:color="auto"/>
                  <w:color w:val="0000FF"/>
                </w:rPr>
                <w:t>.</w:t>
              </w:r>
            </w:hyperlink>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Arial" w:cs="Arial" w:eastAsia="Arial" w:hAnsi="Arial"/>
                <w:sz w:val="18"/>
                <w:szCs w:val="18"/>
                <w:color w:val="auto"/>
              </w:rPr>
              <w:t>10.17†</w:t>
            </w:r>
          </w:p>
        </w:tc>
        <w:tc>
          <w:tcPr>
            <w:tcW w:w="9660" w:type="dxa"/>
            <w:vAlign w:val="bottom"/>
            <w:gridSpan w:val="24"/>
          </w:tcPr>
          <w:p>
            <w:pPr>
              <w:spacing w:after="0"/>
              <w:rPr>
                <w:rFonts w:ascii="Arial" w:cs="Arial" w:eastAsia="Arial" w:hAnsi="Arial"/>
                <w:sz w:val="18"/>
                <w:szCs w:val="18"/>
                <w:color w:val="0000FF"/>
                <w:w w:val="91"/>
              </w:rPr>
            </w:pPr>
            <w:hyperlink r:id="rId171">
              <w:r>
                <w:rPr>
                  <w:rFonts w:ascii="Arial" w:cs="Arial" w:eastAsia="Arial" w:hAnsi="Arial"/>
                  <w:sz w:val="18"/>
                  <w:szCs w:val="18"/>
                  <w:color w:val="0000FF"/>
                  <w:w w:val="91"/>
                </w:rPr>
                <w:t>Form of Phantom Unit Agreement (incorporated by reference to Exhibit 10.12 to Westlake Chemical Partners LP's Annual Report on</w:t>
              </w:r>
            </w:hyperlink>
          </w:p>
        </w:tc>
      </w:tr>
      <w:tr>
        <w:trPr>
          <w:trHeight w:val="156"/>
        </w:trPr>
        <w:tc>
          <w:tcPr>
            <w:tcW w:w="1540" w:type="dxa"/>
            <w:vAlign w:val="bottom"/>
          </w:tcPr>
          <w:p>
            <w:pPr>
              <w:spacing w:after="0"/>
              <w:rPr>
                <w:sz w:val="13"/>
                <w:szCs w:val="13"/>
                <w:color w:val="auto"/>
              </w:rPr>
            </w:pPr>
          </w:p>
        </w:tc>
        <w:tc>
          <w:tcPr>
            <w:tcW w:w="96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Form 10-K for the year ended December 31, 2017 (File No. 01-36567) filed on March 1, 2018)</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1540" w:type="dxa"/>
            <w:vAlign w:val="bottom"/>
          </w:tcPr>
          <w:p>
            <w:pPr>
              <w:spacing w:after="0"/>
              <w:rPr>
                <w:sz w:val="20"/>
                <w:szCs w:val="20"/>
                <w:color w:val="auto"/>
              </w:rPr>
            </w:pPr>
            <w:r>
              <w:rPr>
                <w:rFonts w:ascii="Arial" w:cs="Arial" w:eastAsia="Arial" w:hAnsi="Arial"/>
                <w:sz w:val="18"/>
                <w:szCs w:val="18"/>
                <w:color w:val="auto"/>
              </w:rPr>
              <w:t>10.18</w:t>
            </w:r>
          </w:p>
        </w:tc>
        <w:tc>
          <w:tcPr>
            <w:tcW w:w="9660" w:type="dxa"/>
            <w:vAlign w:val="bottom"/>
            <w:gridSpan w:val="24"/>
          </w:tcPr>
          <w:p>
            <w:pPr>
              <w:spacing w:after="0"/>
              <w:rPr>
                <w:rFonts w:ascii="Arial" w:cs="Arial" w:eastAsia="Arial" w:hAnsi="Arial"/>
                <w:sz w:val="18"/>
                <w:szCs w:val="18"/>
                <w:color w:val="0000FF"/>
                <w:w w:val="92"/>
              </w:rPr>
            </w:pPr>
            <w:hyperlink r:id="rId172">
              <w:r>
                <w:rPr>
                  <w:rFonts w:ascii="Arial" w:cs="Arial" w:eastAsia="Arial" w:hAnsi="Arial"/>
                  <w:sz w:val="18"/>
                  <w:szCs w:val="18"/>
                  <w:color w:val="0000FF"/>
                  <w:w w:val="92"/>
                </w:rPr>
                <w:t>Equity Distribution Agreement, dated October 4, 2018, by and among Westlake Chemical Partners LP, Westlake Chemical Partners</w:t>
              </w:r>
            </w:hyperlink>
          </w:p>
        </w:tc>
      </w:tr>
      <w:tr>
        <w:trPr>
          <w:trHeight w:val="155"/>
        </w:trPr>
        <w:tc>
          <w:tcPr>
            <w:tcW w:w="154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GP LLC, UBS Securities LLC, Barclays Capital Inc., Citigroup Global Markets Inc., Deutsche Bank Securities Inc., Merrill Lynch,</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500" w:type="dxa"/>
            <w:vAlign w:val="bottom"/>
            <w:gridSpan w:val="16"/>
          </w:tcPr>
          <w:p>
            <w:pPr>
              <w:spacing w:after="0" w:line="156"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Pierce, Fenner &amp; Smith Incorporated, RBC Capital Markets, LLC and Wells Fargo Securities, LLC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4"/>
        </w:trPr>
        <w:tc>
          <w:tcPr>
            <w:tcW w:w="1540" w:type="dxa"/>
            <w:vAlign w:val="bottom"/>
          </w:tcPr>
          <w:p>
            <w:pPr>
              <w:spacing w:after="0"/>
              <w:rPr>
                <w:sz w:val="19"/>
                <w:szCs w:val="19"/>
                <w:color w:val="auto"/>
              </w:rPr>
            </w:pPr>
          </w:p>
        </w:tc>
        <w:tc>
          <w:tcPr>
            <w:tcW w:w="9280" w:type="dxa"/>
            <w:vAlign w:val="bottom"/>
            <w:tcBorders>
              <w:top w:val="single" w:sz="8" w:color="0000FF"/>
            </w:tcBorders>
            <w:gridSpan w:val="7"/>
          </w:tcPr>
          <w:p>
            <w:pPr>
              <w:spacing w:after="0"/>
              <w:rPr>
                <w:rFonts w:ascii="Arial" w:cs="Arial" w:eastAsia="Arial" w:hAnsi="Arial"/>
                <w:sz w:val="18"/>
                <w:szCs w:val="18"/>
                <w:u w:val="single" w:color="auto"/>
                <w:color w:val="0000FF"/>
                <w:w w:val="94"/>
              </w:rPr>
            </w:pPr>
            <w:hyperlink r:id="rId172">
              <w:r>
                <w:rPr>
                  <w:rFonts w:ascii="Arial" w:cs="Arial" w:eastAsia="Arial" w:hAnsi="Arial"/>
                  <w:sz w:val="18"/>
                  <w:szCs w:val="18"/>
                  <w:u w:val="single" w:color="auto"/>
                  <w:color w:val="0000FF"/>
                  <w:w w:val="94"/>
                </w:rPr>
                <w:t>Exhibit 1.1 to Westlake Chemical Partners LP's Current Report on Form 8-K filed on October 5, 2018, File No. 001-36567).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15"/>
        </w:trPr>
        <w:tc>
          <w:tcPr>
            <w:tcW w:w="1540" w:type="dxa"/>
            <w:vAlign w:val="bottom"/>
          </w:tcPr>
          <w:p>
            <w:pPr>
              <w:spacing w:after="0"/>
              <w:rPr>
                <w:sz w:val="20"/>
                <w:szCs w:val="20"/>
                <w:color w:val="auto"/>
              </w:rPr>
            </w:pPr>
            <w:r>
              <w:rPr>
                <w:rFonts w:ascii="Arial" w:cs="Arial" w:eastAsia="Arial" w:hAnsi="Arial"/>
                <w:sz w:val="18"/>
                <w:szCs w:val="18"/>
                <w:color w:val="auto"/>
              </w:rPr>
              <w:t>10.19</w:t>
            </w:r>
          </w:p>
        </w:tc>
        <w:tc>
          <w:tcPr>
            <w:tcW w:w="9660" w:type="dxa"/>
            <w:vAlign w:val="bottom"/>
            <w:gridSpan w:val="24"/>
          </w:tcPr>
          <w:p>
            <w:pPr>
              <w:spacing w:after="0"/>
              <w:rPr>
                <w:rFonts w:ascii="Arial" w:cs="Arial" w:eastAsia="Arial" w:hAnsi="Arial"/>
                <w:sz w:val="18"/>
                <w:szCs w:val="18"/>
                <w:color w:val="0000FF"/>
                <w:w w:val="94"/>
              </w:rPr>
            </w:pPr>
            <w:hyperlink r:id="rId173">
              <w:r>
                <w:rPr>
                  <w:rFonts w:ascii="Arial" w:cs="Arial" w:eastAsia="Arial" w:hAnsi="Arial"/>
                  <w:sz w:val="18"/>
                  <w:szCs w:val="18"/>
                  <w:color w:val="0000FF"/>
                  <w:w w:val="94"/>
                </w:rPr>
                <w:t>First Amendment to Amended and Restated Senior Unsecured Revolving Credit Agreement (incorporated by reference to Exhibit</w:t>
              </w:r>
            </w:hyperlink>
          </w:p>
        </w:tc>
      </w:tr>
      <w:tr>
        <w:trPr>
          <w:trHeight w:val="155"/>
        </w:trPr>
        <w:tc>
          <w:tcPr>
            <w:tcW w:w="1540" w:type="dxa"/>
            <w:vAlign w:val="bottom"/>
          </w:tcPr>
          <w:p>
            <w:pPr>
              <w:spacing w:after="0"/>
              <w:rPr>
                <w:sz w:val="13"/>
                <w:szCs w:val="13"/>
                <w:color w:val="auto"/>
              </w:rPr>
            </w:pPr>
          </w:p>
        </w:tc>
        <w:tc>
          <w:tcPr>
            <w:tcW w:w="9340" w:type="dxa"/>
            <w:vAlign w:val="bottom"/>
            <w:tcBorders>
              <w:top w:val="single" w:sz="8" w:color="0000FF"/>
            </w:tcBorders>
            <w:gridSpan w:val="10"/>
          </w:tcPr>
          <w:p>
            <w:pPr>
              <w:spacing w:after="0" w:line="156" w:lineRule="exact"/>
              <w:rPr>
                <w:rFonts w:ascii="Arial" w:cs="Arial" w:eastAsia="Arial" w:hAnsi="Arial"/>
                <w:sz w:val="18"/>
                <w:szCs w:val="18"/>
                <w:color w:val="0000FF"/>
                <w:w w:val="90"/>
              </w:rPr>
            </w:pPr>
            <w:hyperlink r:id="rId17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to Westlake Chemical Partners LP's Quarterly Report on Form 10-Q for the quarter ended September 30, 2018 (File No. 01-</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3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36567) filed on November 6, 2018)</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1540" w:type="dxa"/>
            <w:vAlign w:val="bottom"/>
          </w:tcPr>
          <w:p>
            <w:pPr>
              <w:spacing w:after="0"/>
              <w:rPr>
                <w:sz w:val="20"/>
                <w:szCs w:val="20"/>
                <w:color w:val="auto"/>
              </w:rPr>
            </w:pPr>
            <w:r>
              <w:rPr>
                <w:rFonts w:ascii="Arial" w:cs="Arial" w:eastAsia="Arial" w:hAnsi="Arial"/>
                <w:sz w:val="18"/>
                <w:szCs w:val="18"/>
                <w:color w:val="auto"/>
              </w:rPr>
              <w:t>10.20</w:t>
            </w:r>
          </w:p>
        </w:tc>
        <w:tc>
          <w:tcPr>
            <w:tcW w:w="9660" w:type="dxa"/>
            <w:vAlign w:val="bottom"/>
            <w:gridSpan w:val="24"/>
          </w:tcPr>
          <w:p>
            <w:pPr>
              <w:spacing w:after="0"/>
              <w:rPr>
                <w:rFonts w:ascii="Arial" w:cs="Arial" w:eastAsia="Arial" w:hAnsi="Arial"/>
                <w:sz w:val="18"/>
                <w:szCs w:val="18"/>
                <w:color w:val="0000FF"/>
                <w:w w:val="93"/>
              </w:rPr>
            </w:pPr>
            <w:hyperlink r:id="rId174">
              <w:r>
                <w:rPr>
                  <w:rFonts w:ascii="Arial" w:cs="Arial" w:eastAsia="Arial" w:hAnsi="Arial"/>
                  <w:sz w:val="18"/>
                  <w:szCs w:val="18"/>
                  <w:color w:val="0000FF"/>
                  <w:w w:val="93"/>
                </w:rPr>
                <w:t>Second Amendment to Ethylene Sales Agreement (incorporated by reference to Exhibit 10.2 to Westlake Chemical Partners LP's</w:t>
              </w:r>
            </w:hyperlink>
          </w:p>
        </w:tc>
      </w:tr>
      <w:tr>
        <w:trPr>
          <w:trHeight w:val="224"/>
        </w:trPr>
        <w:tc>
          <w:tcPr>
            <w:tcW w:w="1540" w:type="dxa"/>
            <w:vAlign w:val="bottom"/>
          </w:tcPr>
          <w:p>
            <w:pPr>
              <w:spacing w:after="0"/>
              <w:rPr>
                <w:sz w:val="19"/>
                <w:szCs w:val="19"/>
                <w:color w:val="auto"/>
              </w:rPr>
            </w:pPr>
          </w:p>
        </w:tc>
        <w:tc>
          <w:tcPr>
            <w:tcW w:w="9300" w:type="dxa"/>
            <w:vAlign w:val="bottom"/>
            <w:tcBorders>
              <w:top w:val="single" w:sz="8" w:color="0000FF"/>
            </w:tcBorders>
            <w:gridSpan w:val="8"/>
          </w:tcPr>
          <w:p>
            <w:pPr>
              <w:spacing w:after="0"/>
              <w:rPr>
                <w:rFonts w:ascii="Arial" w:cs="Arial" w:eastAsia="Arial" w:hAnsi="Arial"/>
                <w:sz w:val="18"/>
                <w:szCs w:val="18"/>
                <w:u w:val="single" w:color="auto"/>
                <w:color w:val="0000FF"/>
                <w:w w:val="94"/>
              </w:rPr>
            </w:pPr>
            <w:hyperlink r:id="rId174">
              <w:r>
                <w:rPr>
                  <w:rFonts w:ascii="Arial" w:cs="Arial" w:eastAsia="Arial" w:hAnsi="Arial"/>
                  <w:sz w:val="18"/>
                  <w:szCs w:val="18"/>
                  <w:u w:val="single" w:color="auto"/>
                  <w:color w:val="0000FF"/>
                  <w:w w:val="94"/>
                </w:rPr>
                <w:t>Quarterly Report on Form 10-Q for the quarter ended September 30, 2018 (File No. 01-36567) filed on November 6, 2018).</w:t>
              </w:r>
            </w:hyperlink>
          </w:p>
        </w:tc>
        <w:tc>
          <w:tcPr>
            <w:tcW w:w="60" w:type="dxa"/>
            <w:vAlign w:val="bottom"/>
            <w:gridSpan w:val="3"/>
          </w:tcPr>
          <w:p>
            <w:pPr>
              <w:spacing w:after="0"/>
              <w:rPr>
                <w:sz w:val="19"/>
                <w:szCs w:val="19"/>
                <w:color w:val="auto"/>
              </w:rPr>
            </w:pPr>
          </w:p>
        </w:tc>
        <w:tc>
          <w:tcPr>
            <w:tcW w:w="10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15"/>
        </w:trPr>
        <w:tc>
          <w:tcPr>
            <w:tcW w:w="1540" w:type="dxa"/>
            <w:vAlign w:val="bottom"/>
          </w:tcPr>
          <w:p>
            <w:pPr>
              <w:spacing w:after="0"/>
              <w:rPr>
                <w:sz w:val="20"/>
                <w:szCs w:val="20"/>
                <w:color w:val="auto"/>
              </w:rPr>
            </w:pPr>
            <w:r>
              <w:rPr>
                <w:rFonts w:ascii="Arial" w:cs="Arial" w:eastAsia="Arial" w:hAnsi="Arial"/>
                <w:sz w:val="18"/>
                <w:szCs w:val="18"/>
                <w:color w:val="auto"/>
              </w:rPr>
              <w:t>10.21</w:t>
            </w:r>
          </w:p>
        </w:tc>
        <w:tc>
          <w:tcPr>
            <w:tcW w:w="9660" w:type="dxa"/>
            <w:vAlign w:val="bottom"/>
            <w:gridSpan w:val="24"/>
          </w:tcPr>
          <w:p>
            <w:pPr>
              <w:spacing w:after="0"/>
              <w:rPr>
                <w:rFonts w:ascii="Arial" w:cs="Arial" w:eastAsia="Arial" w:hAnsi="Arial"/>
                <w:sz w:val="18"/>
                <w:szCs w:val="18"/>
                <w:color w:val="0000FF"/>
                <w:w w:val="90"/>
              </w:rPr>
            </w:pPr>
            <w:hyperlink r:id="rId175">
              <w:r>
                <w:rPr>
                  <w:rFonts w:ascii="Arial" w:cs="Arial" w:eastAsia="Arial" w:hAnsi="Arial"/>
                  <w:sz w:val="18"/>
                  <w:szCs w:val="18"/>
                  <w:color w:val="0000FF"/>
                  <w:w w:val="90"/>
                </w:rPr>
                <w:t>Equity Purchase Agreement by and among Westlake Chemical Partners LP, Westlake Chemical OpCo LP and WPT LLC, dated as of</w:t>
              </w:r>
            </w:hyperlink>
          </w:p>
        </w:tc>
      </w:tr>
      <w:tr>
        <w:trPr>
          <w:trHeight w:val="156"/>
        </w:trPr>
        <w:tc>
          <w:tcPr>
            <w:tcW w:w="1540" w:type="dxa"/>
            <w:vAlign w:val="bottom"/>
          </w:tcPr>
          <w:p>
            <w:pPr>
              <w:spacing w:after="0"/>
              <w:rPr>
                <w:sz w:val="13"/>
                <w:szCs w:val="13"/>
                <w:color w:val="auto"/>
              </w:rPr>
            </w:pPr>
          </w:p>
        </w:tc>
        <w:tc>
          <w:tcPr>
            <w:tcW w:w="960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March 26, 2019 (incorporated by reference to Exhibit 2.1 to Westlake Chemical Partners LP's Current Report on Form 8-K, filed on</w:t>
              </w:r>
            </w:hyperlink>
          </w:p>
        </w:tc>
        <w:tc>
          <w:tcPr>
            <w:tcW w:w="60" w:type="dxa"/>
            <w:vAlign w:val="bottom"/>
            <w:gridSpan w:val="3"/>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5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March 27, 2019, File No. 001-36567).</w:t>
              </w:r>
            </w:hyperlink>
          </w:p>
        </w:tc>
        <w:tc>
          <w:tcPr>
            <w:tcW w:w="120" w:type="dxa"/>
            <w:vAlign w:val="bottom"/>
            <w:gridSpan w:val="6"/>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Arial" w:cs="Arial" w:eastAsia="Arial" w:hAnsi="Arial"/>
                <w:sz w:val="18"/>
                <w:szCs w:val="18"/>
                <w:color w:val="auto"/>
              </w:rPr>
              <w:t>10.22</w:t>
            </w:r>
          </w:p>
        </w:tc>
        <w:tc>
          <w:tcPr>
            <w:tcW w:w="9660" w:type="dxa"/>
            <w:vAlign w:val="bottom"/>
            <w:gridSpan w:val="24"/>
          </w:tcPr>
          <w:p>
            <w:pPr>
              <w:spacing w:after="0"/>
              <w:rPr>
                <w:rFonts w:ascii="Arial" w:cs="Arial" w:eastAsia="Arial" w:hAnsi="Arial"/>
                <w:sz w:val="18"/>
                <w:szCs w:val="18"/>
                <w:color w:val="0000FF"/>
                <w:w w:val="92"/>
              </w:rPr>
            </w:pPr>
            <w:hyperlink r:id="rId176">
              <w:r>
                <w:rPr>
                  <w:rFonts w:ascii="Arial" w:cs="Arial" w:eastAsia="Arial" w:hAnsi="Arial"/>
                  <w:sz w:val="18"/>
                  <w:szCs w:val="18"/>
                  <w:color w:val="0000FF"/>
                  <w:w w:val="92"/>
                </w:rPr>
                <w:t>First Amendment to Equity Distribution Agreement by and among Westlake Chemical Partners LP, Westlake Chemical Partners GP</w:t>
              </w:r>
            </w:hyperlink>
          </w:p>
        </w:tc>
      </w:tr>
      <w:tr>
        <w:trPr>
          <w:trHeight w:val="156"/>
        </w:trPr>
        <w:tc>
          <w:tcPr>
            <w:tcW w:w="1540" w:type="dxa"/>
            <w:vAlign w:val="bottom"/>
          </w:tcPr>
          <w:p>
            <w:pPr>
              <w:spacing w:after="0"/>
              <w:rPr>
                <w:sz w:val="13"/>
                <w:szCs w:val="13"/>
                <w:color w:val="auto"/>
              </w:rPr>
            </w:pPr>
          </w:p>
        </w:tc>
        <w:tc>
          <w:tcPr>
            <w:tcW w:w="9520" w:type="dxa"/>
            <w:vAlign w:val="bottom"/>
            <w:tcBorders>
              <w:top w:val="single" w:sz="8" w:color="0000FF"/>
            </w:tcBorders>
            <w:gridSpan w:val="17"/>
          </w:tcPr>
          <w:p>
            <w:pPr>
              <w:spacing w:after="0" w:line="156" w:lineRule="exact"/>
              <w:rPr>
                <w:rFonts w:ascii="Arial" w:cs="Arial" w:eastAsia="Arial" w:hAnsi="Arial"/>
                <w:sz w:val="18"/>
                <w:szCs w:val="18"/>
                <w:color w:val="0000FF"/>
                <w:w w:val="94"/>
              </w:rPr>
            </w:pPr>
            <w:hyperlink r:id="rId176">
              <w:r>
                <w:rPr>
                  <w:rFonts w:ascii="Arial" w:cs="Arial" w:eastAsia="Arial" w:hAnsi="Arial"/>
                  <w:sz w:val="18"/>
                  <w:szCs w:val="18"/>
                  <w:color w:val="0000FF"/>
                  <w:w w:val="94"/>
                </w:rPr>
                <w:t>LLC, UBS Securities LLC, Barclays Capital Inc., BofA Securities, Inc., Citigroup Global Markets Inc., Deutsche Bank Securities</w:t>
              </w:r>
            </w:hyperlink>
          </w:p>
        </w:tc>
        <w:tc>
          <w:tcPr>
            <w:tcW w:w="140" w:type="dxa"/>
            <w:vAlign w:val="bottom"/>
            <w:gridSpan w:val="7"/>
          </w:tcPr>
          <w:p>
            <w:pPr>
              <w:spacing w:after="0"/>
              <w:rPr>
                <w:sz w:val="13"/>
                <w:szCs w:val="13"/>
                <w:color w:val="auto"/>
              </w:rPr>
            </w:pPr>
          </w:p>
        </w:tc>
      </w:tr>
      <w:tr>
        <w:trPr>
          <w:trHeight w:val="142"/>
        </w:trPr>
        <w:tc>
          <w:tcPr>
            <w:tcW w:w="1540" w:type="dxa"/>
            <w:vAlign w:val="bottom"/>
          </w:tcPr>
          <w:p>
            <w:pPr>
              <w:spacing w:after="0"/>
              <w:rPr>
                <w:sz w:val="12"/>
                <w:szCs w:val="12"/>
                <w:color w:val="auto"/>
              </w:rPr>
            </w:pPr>
          </w:p>
        </w:tc>
        <w:tc>
          <w:tcPr>
            <w:tcW w:w="9360" w:type="dxa"/>
            <w:vAlign w:val="bottom"/>
            <w:tcBorders>
              <w:top w:val="single" w:sz="8" w:color="0000FF"/>
            </w:tcBorders>
            <w:gridSpan w:val="11"/>
          </w:tcPr>
          <w:p>
            <w:pPr>
              <w:spacing w:after="0" w:line="142" w:lineRule="exact"/>
              <w:rPr>
                <w:rFonts w:ascii="Arial" w:cs="Arial" w:eastAsia="Arial" w:hAnsi="Arial"/>
                <w:sz w:val="16"/>
                <w:szCs w:val="16"/>
                <w:u w:val="single" w:color="auto"/>
                <w:color w:val="0000FF"/>
              </w:rPr>
            </w:pPr>
            <w:hyperlink r:id="rId176">
              <w:r>
                <w:rPr>
                  <w:rFonts w:ascii="Arial" w:cs="Arial" w:eastAsia="Arial" w:hAnsi="Arial"/>
                  <w:sz w:val="16"/>
                  <w:szCs w:val="16"/>
                  <w:u w:val="single" w:color="auto"/>
                  <w:color w:val="0000FF"/>
                </w:rPr>
                <w:t>Inc., RBC Capital Markets, LLC and Wells Fargo Securities, LLC dated as of February 28, 2020 (incorporated by reference to</w:t>
              </w:r>
            </w:hyperlink>
          </w:p>
        </w:tc>
        <w:tc>
          <w:tcPr>
            <w:tcW w:w="100" w:type="dxa"/>
            <w:vAlign w:val="bottom"/>
            <w:gridSpan w:val="3"/>
          </w:tcPr>
          <w:p>
            <w:pPr>
              <w:spacing w:after="0"/>
              <w:rPr>
                <w:sz w:val="12"/>
                <w:szCs w:val="12"/>
                <w:color w:val="auto"/>
              </w:rPr>
            </w:pPr>
          </w:p>
        </w:tc>
        <w:tc>
          <w:tcPr>
            <w:tcW w:w="200" w:type="dxa"/>
            <w:vAlign w:val="bottom"/>
            <w:gridSpan w:val="10"/>
          </w:tcPr>
          <w:p>
            <w:pPr>
              <w:spacing w:after="0"/>
              <w:rPr>
                <w:sz w:val="12"/>
                <w:szCs w:val="12"/>
                <w:color w:val="auto"/>
              </w:rPr>
            </w:pPr>
          </w:p>
        </w:tc>
      </w:tr>
      <w:tr>
        <w:trPr>
          <w:trHeight w:val="189"/>
        </w:trPr>
        <w:tc>
          <w:tcPr>
            <w:tcW w:w="1540" w:type="dxa"/>
            <w:vAlign w:val="bottom"/>
          </w:tcPr>
          <w:p>
            <w:pPr>
              <w:spacing w:after="0"/>
              <w:rPr>
                <w:sz w:val="16"/>
                <w:szCs w:val="16"/>
                <w:color w:val="auto"/>
              </w:rPr>
            </w:pPr>
          </w:p>
        </w:tc>
        <w:tc>
          <w:tcPr>
            <w:tcW w:w="9660" w:type="dxa"/>
            <w:vAlign w:val="bottom"/>
            <w:gridSpan w:val="24"/>
          </w:tcPr>
          <w:p>
            <w:pPr>
              <w:spacing w:after="0" w:line="189" w:lineRule="exact"/>
              <w:rPr>
                <w:rFonts w:ascii="Arial" w:cs="Arial" w:eastAsia="Arial" w:hAnsi="Arial"/>
                <w:sz w:val="18"/>
                <w:szCs w:val="18"/>
                <w:color w:val="0000FF"/>
                <w:w w:val="92"/>
              </w:rPr>
            </w:pPr>
            <w:hyperlink r:id="rId176">
              <w:r>
                <w:rPr>
                  <w:rFonts w:ascii="Arial" w:cs="Arial" w:eastAsia="Arial" w:hAnsi="Arial"/>
                  <w:sz w:val="18"/>
                  <w:szCs w:val="18"/>
                  <w:color w:val="0000FF"/>
                  <w:w w:val="92"/>
                </w:rPr>
                <w:t>Exhibit 10.22 to Westlake Chemical Partnership LP's Annual Report on Form 10-K for the year ended December 31, 2019, filed on</w:t>
              </w:r>
            </w:hyperlink>
          </w:p>
        </w:tc>
      </w:tr>
      <w:tr>
        <w:trPr>
          <w:trHeight w:val="155"/>
        </w:trPr>
        <w:tc>
          <w:tcPr>
            <w:tcW w:w="1540" w:type="dxa"/>
            <w:vAlign w:val="bottom"/>
          </w:tcPr>
          <w:p>
            <w:pPr>
              <w:spacing w:after="0"/>
              <w:rPr>
                <w:sz w:val="13"/>
                <w:szCs w:val="13"/>
                <w:color w:val="auto"/>
              </w:rPr>
            </w:pPr>
          </w:p>
        </w:tc>
        <w:tc>
          <w:tcPr>
            <w:tcW w:w="94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February 28, 2020, File No, 001-36567).</w:t>
              </w:r>
            </w:hyperlink>
          </w:p>
        </w:tc>
        <w:tc>
          <w:tcPr>
            <w:tcW w:w="200" w:type="dxa"/>
            <w:vAlign w:val="bottom"/>
            <w:gridSpan w:val="10"/>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920" w:type="dxa"/>
            <w:vAlign w:val="bottom"/>
            <w:gridSpan w:val="5"/>
            <w:shd w:val="clear" w:color="auto" w:fill="0000FF"/>
          </w:tcPr>
          <w:p>
            <w:pPr>
              <w:spacing w:after="0" w:line="20" w:lineRule="exact"/>
              <w:rPr>
                <w:sz w:val="1"/>
                <w:szCs w:val="1"/>
                <w:color w:val="auto"/>
              </w:rPr>
            </w:pPr>
          </w:p>
        </w:tc>
        <w:tc>
          <w:tcPr>
            <w:tcW w:w="6740" w:type="dxa"/>
            <w:vAlign w:val="bottom"/>
            <w:gridSpan w:val="19"/>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21.1*</w:t>
            </w:r>
          </w:p>
        </w:tc>
        <w:tc>
          <w:tcPr>
            <w:tcW w:w="9660" w:type="dxa"/>
            <w:vAlign w:val="bottom"/>
            <w:gridSpan w:val="24"/>
          </w:tcPr>
          <w:p>
            <w:pPr>
              <w:spacing w:after="0"/>
              <w:rPr>
                <w:rFonts w:ascii="Arial" w:cs="Arial" w:eastAsia="Arial" w:hAnsi="Arial"/>
                <w:sz w:val="18"/>
                <w:szCs w:val="18"/>
                <w:color w:val="0000FF"/>
              </w:rPr>
            </w:pPr>
            <w:hyperlink w:anchor="page98">
              <w:r>
                <w:rPr>
                  <w:rFonts w:ascii="Arial" w:cs="Arial" w:eastAsia="Arial" w:hAnsi="Arial"/>
                  <w:sz w:val="18"/>
                  <w:szCs w:val="18"/>
                  <w:u w:val="single" w:color="auto"/>
                  <w:color w:val="0000FF"/>
                </w:rPr>
                <w:t>List of Subsidiaries of Westlake Chemical Partners LP</w:t>
              </w:r>
              <w:r>
                <w:rPr>
                  <w:rFonts w:ascii="Arial" w:cs="Arial" w:eastAsia="Arial" w:hAnsi="Arial"/>
                  <w:sz w:val="18"/>
                  <w:szCs w:val="18"/>
                  <w:color w:val="0000FF"/>
                </w:rPr>
                <w:t>.</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23.1*</w:t>
            </w:r>
          </w:p>
        </w:tc>
        <w:tc>
          <w:tcPr>
            <w:tcW w:w="9660" w:type="dxa"/>
            <w:vAlign w:val="bottom"/>
            <w:gridSpan w:val="24"/>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Consent of PricewaterhouseCoopers LLP.</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31.1*</w:t>
            </w:r>
          </w:p>
        </w:tc>
        <w:tc>
          <w:tcPr>
            <w:tcW w:w="9660" w:type="dxa"/>
            <w:vAlign w:val="bottom"/>
            <w:gridSpan w:val="24"/>
          </w:tcPr>
          <w:p>
            <w:pPr>
              <w:spacing w:after="0"/>
              <w:rPr>
                <w:rFonts w:ascii="Arial" w:cs="Arial" w:eastAsia="Arial" w:hAnsi="Arial"/>
                <w:sz w:val="18"/>
                <w:szCs w:val="18"/>
                <w:color w:val="0000FF"/>
              </w:rPr>
            </w:pPr>
            <w:hyperlink w:anchor="page100">
              <w:r>
                <w:rPr>
                  <w:rFonts w:ascii="Arial" w:cs="Arial" w:eastAsia="Arial" w:hAnsi="Arial"/>
                  <w:sz w:val="18"/>
                  <w:szCs w:val="18"/>
                  <w:u w:val="single" w:color="auto"/>
                  <w:color w:val="0000FF"/>
                </w:rPr>
                <w:t>Rule 13a - 14(a) / 15d - 14(a) Certification (Principal Executive Officer)</w:t>
              </w:r>
              <w:r>
                <w:rPr>
                  <w:rFonts w:ascii="Arial" w:cs="Arial" w:eastAsia="Arial" w:hAnsi="Arial"/>
                  <w:sz w:val="18"/>
                  <w:szCs w:val="18"/>
                  <w:color w:val="0000FF"/>
                </w:rPr>
                <w:t>.</w:t>
              </w:r>
            </w:hyperlink>
          </w:p>
        </w:tc>
      </w:tr>
      <w:tr>
        <w:trPr>
          <w:trHeight w:val="284"/>
        </w:trPr>
        <w:tc>
          <w:tcPr>
            <w:tcW w:w="1540" w:type="dxa"/>
            <w:vAlign w:val="bottom"/>
          </w:tcPr>
          <w:p>
            <w:pPr>
              <w:spacing w:after="0"/>
              <w:rPr>
                <w:sz w:val="20"/>
                <w:szCs w:val="20"/>
                <w:color w:val="auto"/>
              </w:rPr>
            </w:pPr>
            <w:r>
              <w:rPr>
                <w:rFonts w:ascii="Arial" w:cs="Arial" w:eastAsia="Arial" w:hAnsi="Arial"/>
                <w:sz w:val="18"/>
                <w:szCs w:val="18"/>
                <w:color w:val="auto"/>
              </w:rPr>
              <w:t>31.2*</w:t>
            </w:r>
          </w:p>
        </w:tc>
        <w:tc>
          <w:tcPr>
            <w:tcW w:w="9660" w:type="dxa"/>
            <w:vAlign w:val="bottom"/>
            <w:gridSpan w:val="24"/>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Rule 13a - 14(a) / 15d - 14(a) Certification (Principal Financial Officer).</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32.1**</w:t>
            </w:r>
          </w:p>
        </w:tc>
        <w:tc>
          <w:tcPr>
            <w:tcW w:w="9660" w:type="dxa"/>
            <w:vAlign w:val="bottom"/>
            <w:gridSpan w:val="24"/>
          </w:tcPr>
          <w:p>
            <w:pPr>
              <w:spacing w:after="0"/>
              <w:rPr>
                <w:rFonts w:ascii="Arial" w:cs="Arial" w:eastAsia="Arial" w:hAnsi="Arial"/>
                <w:sz w:val="18"/>
                <w:szCs w:val="18"/>
                <w:color w:val="0000FF"/>
              </w:rPr>
            </w:pPr>
            <w:hyperlink w:anchor="page102">
              <w:r>
                <w:rPr>
                  <w:rFonts w:ascii="Arial" w:cs="Arial" w:eastAsia="Arial" w:hAnsi="Arial"/>
                  <w:sz w:val="18"/>
                  <w:szCs w:val="18"/>
                  <w:u w:val="single" w:color="auto"/>
                  <w:color w:val="0000FF"/>
                </w:rPr>
                <w:t>Section 1350 Certification (Principal Executive Officer and Principal Financial Officer)</w:t>
              </w:r>
              <w:r>
                <w:rPr>
                  <w:rFonts w:ascii="Arial" w:cs="Arial" w:eastAsia="Arial" w:hAnsi="Arial"/>
                  <w:sz w:val="18"/>
                  <w:szCs w:val="18"/>
                  <w:color w:val="0000FF"/>
                </w:rPr>
                <w:t>.</w:t>
              </w:r>
            </w:hyperlink>
          </w:p>
        </w:tc>
      </w:tr>
      <w:tr>
        <w:trPr>
          <w:trHeight w:val="229"/>
        </w:trPr>
        <w:tc>
          <w:tcPr>
            <w:tcW w:w="1540" w:type="dxa"/>
            <w:vAlign w:val="bottom"/>
          </w:tcPr>
          <w:p>
            <w:pPr>
              <w:spacing w:after="0"/>
              <w:rPr>
                <w:sz w:val="20"/>
                <w:szCs w:val="20"/>
                <w:color w:val="auto"/>
              </w:rPr>
            </w:pPr>
            <w:r>
              <w:rPr>
                <w:rFonts w:ascii="Arial" w:cs="Arial" w:eastAsia="Arial" w:hAnsi="Arial"/>
                <w:sz w:val="18"/>
                <w:szCs w:val="18"/>
                <w:color w:val="auto"/>
              </w:rPr>
              <w:t>101.INS*</w:t>
            </w:r>
          </w:p>
        </w:tc>
        <w:tc>
          <w:tcPr>
            <w:tcW w:w="9660" w:type="dxa"/>
            <w:vAlign w:val="bottom"/>
            <w:gridSpan w:val="24"/>
          </w:tcPr>
          <w:p>
            <w:pPr>
              <w:spacing w:after="0"/>
              <w:rPr>
                <w:sz w:val="20"/>
                <w:szCs w:val="20"/>
                <w:color w:val="auto"/>
              </w:rPr>
            </w:pPr>
            <w:r>
              <w:rPr>
                <w:rFonts w:ascii="Arial" w:cs="Arial" w:eastAsia="Arial" w:hAnsi="Arial"/>
                <w:sz w:val="18"/>
                <w:szCs w:val="18"/>
                <w:color w:val="auto"/>
                <w:w w:val="92"/>
              </w:rPr>
              <w:t>XBRL Instance Document-The instance document does not appear in the interactive data file because its XBRL tags are embedded</w:t>
            </w:r>
          </w:p>
        </w:tc>
      </w:tr>
      <w:tr>
        <w:trPr>
          <w:trHeight w:val="230"/>
        </w:trPr>
        <w:tc>
          <w:tcPr>
            <w:tcW w:w="1540" w:type="dxa"/>
            <w:vAlign w:val="bottom"/>
          </w:tcPr>
          <w:p>
            <w:pPr>
              <w:spacing w:after="0"/>
              <w:rPr>
                <w:sz w:val="20"/>
                <w:szCs w:val="20"/>
                <w:color w:val="auto"/>
              </w:rPr>
            </w:pPr>
          </w:p>
        </w:tc>
        <w:tc>
          <w:tcPr>
            <w:tcW w:w="9660" w:type="dxa"/>
            <w:vAlign w:val="bottom"/>
            <w:gridSpan w:val="24"/>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1540" w:type="dxa"/>
            <w:vAlign w:val="bottom"/>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560" w:right="80" w:hanging="1534"/>
        <w:spacing w:after="0" w:line="235" w:lineRule="auto"/>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31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hanging="412"/>
        <w:spacing w:after="0" w:line="308" w:lineRule="auto"/>
        <w:tabs>
          <w:tab w:leader="none" w:pos="3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WESTLAKE CHEMICAL PARTNERS LP</w:t>
      </w:r>
    </w:p>
    <w:p>
      <w:pPr>
        <w:spacing w:after="0" w:line="279" w:lineRule="exact"/>
        <w:rPr>
          <w:sz w:val="20"/>
          <w:szCs w:val="20"/>
          <w:color w:val="auto"/>
        </w:rPr>
      </w:pPr>
    </w:p>
    <w:p>
      <w:pPr>
        <w:ind w:left="20"/>
        <w:spacing w:after="0"/>
        <w:tabs>
          <w:tab w:leader="none" w:pos="640" w:val="left"/>
          <w:tab w:leader="none" w:pos="8160" w:val="left"/>
        </w:tabs>
        <w:rPr>
          <w:sz w:val="20"/>
          <w:szCs w:val="20"/>
          <w:color w:val="auto"/>
        </w:rPr>
      </w:pPr>
      <w:r>
        <w:rPr>
          <w:rFonts w:ascii="Arial" w:cs="Arial" w:eastAsia="Arial" w:hAnsi="Arial"/>
          <w:sz w:val="18"/>
          <w:szCs w:val="18"/>
          <w:color w:val="auto"/>
        </w:rPr>
        <w:t>Date:</w:t>
        <w:tab/>
        <w:t>March 2, 2021</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518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ind w:left="8420"/>
        <w:spacing w:after="0"/>
        <w:rPr>
          <w:sz w:val="20"/>
          <w:szCs w:val="20"/>
          <w:color w:val="auto"/>
        </w:rPr>
      </w:pPr>
      <w:r>
        <w:rPr>
          <w:rFonts w:ascii="Arial" w:cs="Arial" w:eastAsia="Arial" w:hAnsi="Arial"/>
          <w:sz w:val="14"/>
          <w:szCs w:val="14"/>
          <w:b w:val="1"/>
          <w:bCs w:val="1"/>
          <w:color w:val="auto"/>
        </w:rPr>
        <w:t>Albert Chao</w:t>
      </w:r>
    </w:p>
    <w:p>
      <w:pPr>
        <w:ind w:left="7260"/>
        <w:spacing w:after="0" w:line="201" w:lineRule="auto"/>
        <w:rPr>
          <w:sz w:val="20"/>
          <w:szCs w:val="20"/>
          <w:color w:val="auto"/>
        </w:rPr>
      </w:pPr>
      <w:r>
        <w:rPr>
          <w:rFonts w:ascii="Arial" w:cs="Arial" w:eastAsia="Arial" w:hAnsi="Arial"/>
          <w:sz w:val="14"/>
          <w:szCs w:val="14"/>
          <w:b w:val="1"/>
          <w:bCs w:val="1"/>
          <w:color w:val="auto"/>
        </w:rPr>
        <w:t>President, Chief Executive Officer and Director of</w:t>
      </w:r>
    </w:p>
    <w:p>
      <w:pPr>
        <w:ind w:left="7640"/>
        <w:spacing w:after="0" w:line="201" w:lineRule="auto"/>
        <w:rPr>
          <w:sz w:val="20"/>
          <w:szCs w:val="20"/>
          <w:color w:val="auto"/>
        </w:rPr>
      </w:pPr>
      <w:r>
        <w:rPr>
          <w:rFonts w:ascii="Arial" w:cs="Arial" w:eastAsia="Arial" w:hAnsi="Arial"/>
          <w:sz w:val="14"/>
          <w:szCs w:val="14"/>
          <w:b w:val="1"/>
          <w:bCs w:val="1"/>
          <w:color w:val="auto"/>
        </w:rPr>
        <w:t>Westlake Chemical Partners GP LLC</w:t>
      </w:r>
    </w:p>
    <w:p>
      <w:pPr>
        <w:ind w:left="792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20" w:type="dxa"/>
            <w:vAlign w:val="bottom"/>
          </w:tcPr>
          <w:p>
            <w:pPr>
              <w:spacing w:after="0"/>
              <w:rPr>
                <w:sz w:val="14"/>
                <w:szCs w:val="14"/>
                <w:color w:val="auto"/>
              </w:rPr>
            </w:pPr>
          </w:p>
        </w:tc>
        <w:tc>
          <w:tcPr>
            <w:tcW w:w="4640" w:type="dxa"/>
            <w:vAlign w:val="bottom"/>
            <w:gridSpan w:val="3"/>
          </w:tcPr>
          <w:p>
            <w:pPr>
              <w:ind w:left="2400"/>
              <w:spacing w:after="0"/>
              <w:rPr>
                <w:sz w:val="20"/>
                <w:szCs w:val="20"/>
                <w:color w:val="auto"/>
              </w:rPr>
            </w:pPr>
            <w:r>
              <w:rPr>
                <w:rFonts w:ascii="Arial" w:cs="Arial" w:eastAsia="Arial" w:hAnsi="Arial"/>
                <w:sz w:val="14"/>
                <w:szCs w:val="14"/>
                <w:b w:val="1"/>
                <w:bCs w:val="1"/>
                <w:color w:val="auto"/>
              </w:rPr>
              <w:t>Title</w:t>
            </w:r>
          </w:p>
        </w:tc>
        <w:tc>
          <w:tcPr>
            <w:tcW w:w="1820" w:type="dxa"/>
            <w:vAlign w:val="bottom"/>
            <w:gridSpan w:val="3"/>
          </w:tcPr>
          <w:p>
            <w:pPr>
              <w:jc w:val="center"/>
              <w:ind w:left="673"/>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60" w:type="dxa"/>
            <w:vAlign w:val="bottom"/>
            <w:gridSpan w:val="2"/>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gridSpan w:val="3"/>
          </w:tcPr>
          <w:p>
            <w:pPr>
              <w:jc w:val="center"/>
              <w:ind w:right="13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tc>
        <w:tc>
          <w:tcPr>
            <w:tcW w:w="464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w:t>
            </w:r>
          </w:p>
        </w:tc>
        <w:tc>
          <w:tcPr>
            <w:tcW w:w="1820" w:type="dxa"/>
            <w:vAlign w:val="bottom"/>
            <w:gridSpan w:val="3"/>
            <w:vMerge w:val="restart"/>
          </w:tcPr>
          <w:p>
            <w:pPr>
              <w:jc w:val="center"/>
              <w:ind w:left="673"/>
              <w:spacing w:after="0"/>
              <w:rPr>
                <w:sz w:val="20"/>
                <w:szCs w:val="20"/>
                <w:color w:val="auto"/>
              </w:rPr>
            </w:pPr>
            <w:r>
              <w:rPr>
                <w:rFonts w:ascii="Arial" w:cs="Arial" w:eastAsia="Arial" w:hAnsi="Arial"/>
                <w:sz w:val="18"/>
                <w:szCs w:val="18"/>
                <w:color w:val="auto"/>
                <w:w w:val="92"/>
              </w:rPr>
              <w:t>March 2, 2021</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300"/>
              <w:spacing w:after="0"/>
              <w:rPr>
                <w:sz w:val="20"/>
                <w:szCs w:val="20"/>
                <w:color w:val="auto"/>
              </w:rPr>
            </w:pPr>
            <w:r>
              <w:rPr>
                <w:rFonts w:ascii="Arial" w:cs="Arial" w:eastAsia="Arial" w:hAnsi="Arial"/>
                <w:sz w:val="18"/>
                <w:szCs w:val="18"/>
                <w:color w:val="auto"/>
              </w:rPr>
              <w:t>(Principal Executive Officer)</w:t>
            </w: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8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95"/>
              </w:rPr>
              <w:t>Albert Chao</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46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1560" w:type="dxa"/>
            <w:vAlign w:val="bottom"/>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80" w:type="dxa"/>
            <w:vAlign w:val="bottom"/>
            <w:gridSpan w:val="4"/>
          </w:tcPr>
          <w:p>
            <w:pPr>
              <w:jc w:val="center"/>
              <w:ind w:right="1200"/>
              <w:spacing w:after="0"/>
              <w:rPr>
                <w:sz w:val="20"/>
                <w:szCs w:val="20"/>
                <w:color w:val="auto"/>
              </w:rPr>
            </w:pPr>
            <w:r>
              <w:rPr>
                <w:rFonts w:ascii="Arial" w:cs="Arial" w:eastAsia="Arial" w:hAnsi="Arial"/>
                <w:sz w:val="18"/>
                <w:szCs w:val="18"/>
                <w:color w:val="auto"/>
                <w:w w:val="98"/>
              </w:rPr>
              <w:t>M. S</w:t>
            </w:r>
            <w:r>
              <w:rPr>
                <w:rFonts w:ascii="Arial" w:cs="Arial" w:eastAsia="Arial" w:hAnsi="Arial"/>
                <w:sz w:val="14"/>
                <w:szCs w:val="14"/>
                <w:color w:val="auto"/>
                <w:w w:val="98"/>
              </w:rPr>
              <w:t>TEVEN</w:t>
            </w:r>
            <w:r>
              <w:rPr>
                <w:rFonts w:ascii="Arial" w:cs="Arial" w:eastAsia="Arial" w:hAnsi="Arial"/>
                <w:sz w:val="18"/>
                <w:szCs w:val="18"/>
                <w:color w:val="auto"/>
                <w:w w:val="98"/>
              </w:rPr>
              <w:t xml:space="preserve"> B</w:t>
            </w:r>
            <w:r>
              <w:rPr>
                <w:rFonts w:ascii="Arial" w:cs="Arial" w:eastAsia="Arial" w:hAnsi="Arial"/>
                <w:sz w:val="14"/>
                <w:szCs w:val="14"/>
                <w:color w:val="auto"/>
                <w:w w:val="98"/>
              </w:rPr>
              <w:t>ENDER</w:t>
            </w:r>
          </w:p>
        </w:tc>
        <w:tc>
          <w:tcPr>
            <w:tcW w:w="464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Chief Financial Officer</w:t>
            </w:r>
          </w:p>
        </w:tc>
        <w:tc>
          <w:tcPr>
            <w:tcW w:w="1820" w:type="dxa"/>
            <w:vAlign w:val="bottom"/>
            <w:gridSpan w:val="3"/>
            <w:vMerge w:val="restart"/>
          </w:tcPr>
          <w:p>
            <w:pPr>
              <w:jc w:val="center"/>
              <w:ind w:left="673"/>
              <w:spacing w:after="0"/>
              <w:rPr>
                <w:sz w:val="20"/>
                <w:szCs w:val="20"/>
                <w:color w:val="auto"/>
              </w:rPr>
            </w:pPr>
            <w:r>
              <w:rPr>
                <w:rFonts w:ascii="Arial" w:cs="Arial" w:eastAsia="Arial" w:hAnsi="Arial"/>
                <w:sz w:val="18"/>
                <w:szCs w:val="18"/>
                <w:color w:val="auto"/>
                <w:w w:val="92"/>
              </w:rPr>
              <w:t>March 2, 2021</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300"/>
              <w:spacing w:after="0"/>
              <w:rPr>
                <w:sz w:val="20"/>
                <w:szCs w:val="20"/>
                <w:color w:val="auto"/>
              </w:rPr>
            </w:pPr>
            <w:r>
              <w:rPr>
                <w:rFonts w:ascii="Arial" w:cs="Arial" w:eastAsia="Arial" w:hAnsi="Arial"/>
                <w:sz w:val="18"/>
                <w:szCs w:val="18"/>
                <w:color w:val="auto"/>
              </w:rPr>
              <w:t>and Director (Principal Financial Officer)</w:t>
            </w: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60" w:type="dxa"/>
            <w:vAlign w:val="bottom"/>
          </w:tcPr>
          <w:p>
            <w:pPr>
              <w:spacing w:after="0"/>
              <w:rPr>
                <w:sz w:val="7"/>
                <w:szCs w:val="7"/>
                <w:color w:val="auto"/>
              </w:rPr>
            </w:pPr>
          </w:p>
        </w:tc>
        <w:tc>
          <w:tcPr>
            <w:tcW w:w="2680" w:type="dxa"/>
            <w:vAlign w:val="bottom"/>
            <w:gridSpan w:val="4"/>
            <w:vMerge w:val="restart"/>
          </w:tcPr>
          <w:p>
            <w:pPr>
              <w:jc w:val="center"/>
              <w:ind w:right="1540"/>
              <w:spacing w:after="0"/>
              <w:rPr>
                <w:sz w:val="20"/>
                <w:szCs w:val="20"/>
                <w:color w:val="auto"/>
              </w:rPr>
            </w:pPr>
            <w:r>
              <w:rPr>
                <w:rFonts w:ascii="Arial" w:cs="Arial" w:eastAsia="Arial" w:hAnsi="Arial"/>
                <w:sz w:val="14"/>
                <w:szCs w:val="14"/>
                <w:b w:val="1"/>
                <w:bCs w:val="1"/>
                <w:color w:val="auto"/>
                <w:w w:val="93"/>
              </w:rPr>
              <w:t>M. Steven Bender</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60" w:type="dxa"/>
            <w:vAlign w:val="bottom"/>
          </w:tcPr>
          <w:p>
            <w:pPr>
              <w:spacing w:after="0"/>
              <w:rPr>
                <w:sz w:val="9"/>
                <w:szCs w:val="9"/>
                <w:color w:val="auto"/>
              </w:rPr>
            </w:pPr>
          </w:p>
        </w:tc>
        <w:tc>
          <w:tcPr>
            <w:tcW w:w="2680" w:type="dxa"/>
            <w:vAlign w:val="bottom"/>
            <w:gridSpan w:val="4"/>
            <w:vMerge w:val="continue"/>
          </w:tcPr>
          <w:p>
            <w:pPr>
              <w:spacing w:after="0"/>
              <w:rPr>
                <w:sz w:val="9"/>
                <w:szCs w:val="9"/>
                <w:color w:val="auto"/>
              </w:rPr>
            </w:pPr>
          </w:p>
        </w:tc>
        <w:tc>
          <w:tcPr>
            <w:tcW w:w="46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240" w:type="dxa"/>
            <w:vAlign w:val="bottom"/>
            <w:gridSpan w:val="5"/>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OHNATHAN</w:t>
            </w:r>
            <w:r>
              <w:rPr>
                <w:rFonts w:ascii="Arial" w:cs="Arial" w:eastAsia="Arial" w:hAnsi="Arial"/>
                <w:sz w:val="18"/>
                <w:szCs w:val="18"/>
                <w:color w:val="auto"/>
              </w:rPr>
              <w:t xml:space="preserve"> S. Z</w:t>
            </w:r>
            <w:r>
              <w:rPr>
                <w:rFonts w:ascii="Arial" w:cs="Arial" w:eastAsia="Arial" w:hAnsi="Arial"/>
                <w:sz w:val="14"/>
                <w:szCs w:val="14"/>
                <w:color w:val="auto"/>
              </w:rPr>
              <w:t>OELLER</w:t>
            </w:r>
          </w:p>
        </w:tc>
        <w:tc>
          <w:tcPr>
            <w:tcW w:w="4640" w:type="dxa"/>
            <w:vAlign w:val="bottom"/>
            <w:gridSpan w:val="3"/>
          </w:tcPr>
          <w:p>
            <w:pPr>
              <w:ind w:left="300"/>
              <w:spacing w:after="0"/>
              <w:rPr>
                <w:sz w:val="20"/>
                <w:szCs w:val="20"/>
                <w:color w:val="auto"/>
              </w:rPr>
            </w:pPr>
            <w:r>
              <w:rPr>
                <w:rFonts w:ascii="Arial" w:cs="Arial" w:eastAsia="Arial" w:hAnsi="Arial"/>
                <w:sz w:val="18"/>
                <w:szCs w:val="18"/>
                <w:color w:val="auto"/>
              </w:rPr>
              <w:t>Vice President and Chief Accounting Officer</w:t>
            </w:r>
          </w:p>
        </w:tc>
        <w:tc>
          <w:tcPr>
            <w:tcW w:w="1820" w:type="dxa"/>
            <w:vAlign w:val="bottom"/>
            <w:gridSpan w:val="3"/>
            <w:vMerge w:val="restart"/>
          </w:tcPr>
          <w:p>
            <w:pPr>
              <w:jc w:val="center"/>
              <w:ind w:left="673"/>
              <w:spacing w:after="0"/>
              <w:rPr>
                <w:sz w:val="20"/>
                <w:szCs w:val="20"/>
                <w:color w:val="auto"/>
              </w:rPr>
            </w:pPr>
            <w:r>
              <w:rPr>
                <w:rFonts w:ascii="Arial" w:cs="Arial" w:eastAsia="Arial" w:hAnsi="Arial"/>
                <w:sz w:val="18"/>
                <w:szCs w:val="18"/>
                <w:color w:val="auto"/>
                <w:w w:val="92"/>
              </w:rPr>
              <w:t>March 2, 2021</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300"/>
              <w:spacing w:after="0"/>
              <w:rPr>
                <w:sz w:val="20"/>
                <w:szCs w:val="20"/>
                <w:color w:val="auto"/>
              </w:rPr>
            </w:pPr>
            <w:r>
              <w:rPr>
                <w:rFonts w:ascii="Arial" w:cs="Arial" w:eastAsia="Arial" w:hAnsi="Arial"/>
                <w:sz w:val="18"/>
                <w:szCs w:val="18"/>
                <w:color w:val="auto"/>
              </w:rPr>
              <w:t>(Principal Accounting Officer)</w:t>
            </w: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Johnathan S. Zoeller</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240" w:type="dxa"/>
            <w:vAlign w:val="bottom"/>
            <w:gridSpan w:val="5"/>
            <w:vMerge w:val="continue"/>
          </w:tcPr>
          <w:p>
            <w:pPr>
              <w:spacing w:after="0"/>
              <w:rPr>
                <w:sz w:val="9"/>
                <w:szCs w:val="9"/>
                <w:color w:val="auto"/>
              </w:rPr>
            </w:pPr>
          </w:p>
        </w:tc>
        <w:tc>
          <w:tcPr>
            <w:tcW w:w="46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4240" w:type="dxa"/>
            <w:vAlign w:val="bottom"/>
            <w:gridSpan w:val="5"/>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L. B</w:t>
            </w:r>
            <w:r>
              <w:rPr>
                <w:rFonts w:ascii="Arial" w:cs="Arial" w:eastAsia="Arial" w:hAnsi="Arial"/>
                <w:sz w:val="14"/>
                <w:szCs w:val="14"/>
                <w:color w:val="auto"/>
                <w:w w:val="98"/>
              </w:rPr>
              <w:t>ENJAMIN</w:t>
            </w:r>
            <w:r>
              <w:rPr>
                <w:rFonts w:ascii="Arial" w:cs="Arial" w:eastAsia="Arial" w:hAnsi="Arial"/>
                <w:sz w:val="18"/>
                <w:szCs w:val="18"/>
                <w:color w:val="auto"/>
                <w:w w:val="98"/>
              </w:rPr>
              <w:t xml:space="preserve"> E</w:t>
            </w:r>
            <w:r>
              <w:rPr>
                <w:rFonts w:ascii="Arial" w:cs="Arial" w:eastAsia="Arial" w:hAnsi="Arial"/>
                <w:sz w:val="14"/>
                <w:szCs w:val="14"/>
                <w:color w:val="auto"/>
                <w:w w:val="98"/>
              </w:rPr>
              <w:t>DERINGTON</w:t>
            </w:r>
          </w:p>
        </w:tc>
        <w:tc>
          <w:tcPr>
            <w:tcW w:w="4640" w:type="dxa"/>
            <w:vAlign w:val="bottom"/>
            <w:gridSpan w:val="3"/>
          </w:tcPr>
          <w:p>
            <w:pPr>
              <w:ind w:left="300"/>
              <w:spacing w:after="0"/>
              <w:rPr>
                <w:sz w:val="20"/>
                <w:szCs w:val="20"/>
                <w:color w:val="auto"/>
              </w:rPr>
            </w:pPr>
            <w:r>
              <w:rPr>
                <w:rFonts w:ascii="Arial" w:cs="Arial" w:eastAsia="Arial" w:hAnsi="Arial"/>
                <w:sz w:val="18"/>
                <w:szCs w:val="18"/>
                <w:color w:val="auto"/>
              </w:rPr>
              <w:t>Senior Vice President, General Counsel, Chief</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4640" w:type="dxa"/>
            <w:vAlign w:val="bottom"/>
            <w:gridSpan w:val="3"/>
            <w:vMerge w:val="restart"/>
          </w:tcPr>
          <w:p>
            <w:pPr>
              <w:ind w:left="300"/>
              <w:spacing w:after="0" w:line="149" w:lineRule="exact"/>
              <w:rPr>
                <w:sz w:val="20"/>
                <w:szCs w:val="20"/>
                <w:color w:val="auto"/>
              </w:rPr>
            </w:pPr>
            <w:r>
              <w:rPr>
                <w:rFonts w:ascii="Arial" w:cs="Arial" w:eastAsia="Arial" w:hAnsi="Arial"/>
                <w:sz w:val="17"/>
                <w:szCs w:val="17"/>
                <w:color w:val="auto"/>
              </w:rPr>
              <w:t>Administrative Officer, Corporate Secretary</w:t>
            </w:r>
          </w:p>
        </w:tc>
        <w:tc>
          <w:tcPr>
            <w:tcW w:w="1820" w:type="dxa"/>
            <w:vAlign w:val="bottom"/>
            <w:gridSpan w:val="3"/>
            <w:vMerge w:val="restart"/>
          </w:tcPr>
          <w:p>
            <w:pPr>
              <w:jc w:val="center"/>
              <w:ind w:left="673"/>
              <w:spacing w:after="0" w:line="149" w:lineRule="exact"/>
              <w:rPr>
                <w:sz w:val="20"/>
                <w:szCs w:val="20"/>
                <w:color w:val="auto"/>
              </w:rPr>
            </w:pPr>
            <w:r>
              <w:rPr>
                <w:rFonts w:ascii="Arial" w:cs="Arial" w:eastAsia="Arial" w:hAnsi="Arial"/>
                <w:sz w:val="17"/>
                <w:szCs w:val="17"/>
                <w:color w:val="auto"/>
                <w:w w:val="97"/>
              </w:rPr>
              <w:t>March 2, 2021</w:t>
            </w:r>
          </w:p>
        </w:tc>
        <w:tc>
          <w:tcPr>
            <w:tcW w:w="0" w:type="dxa"/>
            <w:vAlign w:val="bottom"/>
          </w:tcPr>
          <w:p>
            <w:pPr>
              <w:spacing w:after="0"/>
              <w:rPr>
                <w:sz w:val="1"/>
                <w:szCs w:val="1"/>
                <w:color w:val="auto"/>
              </w:rPr>
            </w:pPr>
          </w:p>
        </w:tc>
      </w:tr>
      <w:tr>
        <w:trPr>
          <w:trHeight w:val="48"/>
        </w:trPr>
        <w:tc>
          <w:tcPr>
            <w:tcW w:w="4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5"/>
              </w:rPr>
              <w:t>L. Benjamin Ederington</w:t>
            </w:r>
          </w:p>
        </w:tc>
        <w:tc>
          <w:tcPr>
            <w:tcW w:w="4640" w:type="dxa"/>
            <w:vAlign w:val="bottom"/>
            <w:gridSpan w:val="3"/>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240" w:type="dxa"/>
            <w:vAlign w:val="bottom"/>
            <w:gridSpan w:val="5"/>
            <w:vMerge w:val="continue"/>
          </w:tcPr>
          <w:p>
            <w:pPr>
              <w:spacing w:after="0"/>
              <w:rPr>
                <w:sz w:val="20"/>
                <w:szCs w:val="20"/>
                <w:color w:val="auto"/>
              </w:rPr>
            </w:pPr>
          </w:p>
        </w:tc>
        <w:tc>
          <w:tcPr>
            <w:tcW w:w="4640" w:type="dxa"/>
            <w:vAlign w:val="bottom"/>
            <w:gridSpan w:val="3"/>
          </w:tcPr>
          <w:p>
            <w:pPr>
              <w:ind w:left="300"/>
              <w:spacing w:after="0"/>
              <w:rPr>
                <w:sz w:val="20"/>
                <w:szCs w:val="20"/>
                <w:color w:val="auto"/>
              </w:rPr>
            </w:pPr>
            <w:r>
              <w:rPr>
                <w:rFonts w:ascii="Arial" w:cs="Arial" w:eastAsia="Arial" w:hAnsi="Arial"/>
                <w:sz w:val="18"/>
                <w:szCs w:val="18"/>
                <w:color w:val="auto"/>
              </w:rPr>
              <w:t>and Director</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66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center"/>
              <w:ind w:right="146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C</w:t>
            </w:r>
            <w:r>
              <w:rPr>
                <w:rFonts w:ascii="Arial" w:cs="Arial" w:eastAsia="Arial" w:hAnsi="Arial"/>
                <w:sz w:val="14"/>
                <w:szCs w:val="14"/>
                <w:color w:val="auto"/>
                <w:w w:val="98"/>
              </w:rPr>
              <w:t>HAO</w:t>
            </w:r>
          </w:p>
        </w:tc>
        <w:tc>
          <w:tcPr>
            <w:tcW w:w="4640" w:type="dxa"/>
            <w:vAlign w:val="bottom"/>
            <w:gridSpan w:val="3"/>
            <w:vMerge w:val="restart"/>
          </w:tcPr>
          <w:p>
            <w:pPr>
              <w:ind w:left="300"/>
              <w:spacing w:after="0"/>
              <w:rPr>
                <w:sz w:val="20"/>
                <w:szCs w:val="20"/>
                <w:color w:val="auto"/>
              </w:rPr>
            </w:pPr>
            <w:r>
              <w:rPr>
                <w:rFonts w:ascii="Arial" w:cs="Arial" w:eastAsia="Arial" w:hAnsi="Arial"/>
                <w:sz w:val="18"/>
                <w:szCs w:val="18"/>
                <w:color w:val="auto"/>
              </w:rPr>
              <w:t>Chairman of the Board of Directors</w:t>
            </w:r>
          </w:p>
        </w:tc>
        <w:tc>
          <w:tcPr>
            <w:tcW w:w="1820" w:type="dxa"/>
            <w:vAlign w:val="bottom"/>
            <w:gridSpan w:val="3"/>
            <w:vMerge w:val="restart"/>
          </w:tcPr>
          <w:p>
            <w:pPr>
              <w:jc w:val="center"/>
              <w:ind w:left="673"/>
              <w:spacing w:after="0"/>
              <w:rPr>
                <w:sz w:val="20"/>
                <w:szCs w:val="20"/>
                <w:color w:val="auto"/>
              </w:rPr>
            </w:pPr>
            <w:r>
              <w:rPr>
                <w:rFonts w:ascii="Arial" w:cs="Arial" w:eastAsia="Arial" w:hAnsi="Arial"/>
                <w:sz w:val="18"/>
                <w:szCs w:val="18"/>
                <w:color w:val="auto"/>
                <w:w w:val="92"/>
              </w:rPr>
              <w:t>March 2, 2021</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8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92"/>
              </w:rPr>
              <w:t>James Chao</w:t>
            </w:r>
          </w:p>
        </w:tc>
        <w:tc>
          <w:tcPr>
            <w:tcW w:w="4640" w:type="dxa"/>
            <w:vAlign w:val="bottom"/>
            <w:gridSpan w:val="3"/>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15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80" w:type="dxa"/>
            <w:vAlign w:val="bottom"/>
            <w:tcBorders>
              <w:bottom w:val="single" w:sz="8" w:color="auto"/>
            </w:tcBorders>
            <w:gridSpan w:val="4"/>
          </w:tcPr>
          <w:p>
            <w:pPr>
              <w:jc w:val="center"/>
              <w:ind w:right="1200"/>
              <w:spacing w:after="0"/>
              <w:rPr>
                <w:sz w:val="20"/>
                <w:szCs w:val="20"/>
                <w:color w:val="auto"/>
              </w:rPr>
            </w:pPr>
            <w:r>
              <w:rPr>
                <w:rFonts w:ascii="Arial" w:cs="Arial" w:eastAsia="Arial" w:hAnsi="Arial"/>
                <w:sz w:val="18"/>
                <w:szCs w:val="18"/>
                <w:color w:val="auto"/>
                <w:w w:val="96"/>
              </w:rPr>
              <w:t>G. S</w:t>
            </w:r>
            <w:r>
              <w:rPr>
                <w:rFonts w:ascii="Arial" w:cs="Arial" w:eastAsia="Arial" w:hAnsi="Arial"/>
                <w:sz w:val="14"/>
                <w:szCs w:val="14"/>
                <w:color w:val="auto"/>
                <w:w w:val="96"/>
              </w:rPr>
              <w:t>TEPHEN</w:t>
            </w:r>
            <w:r>
              <w:rPr>
                <w:rFonts w:ascii="Arial" w:cs="Arial" w:eastAsia="Arial" w:hAnsi="Arial"/>
                <w:sz w:val="18"/>
                <w:szCs w:val="18"/>
                <w:color w:val="auto"/>
                <w:w w:val="96"/>
              </w:rPr>
              <w:t xml:space="preserve"> F</w:t>
            </w:r>
            <w:r>
              <w:rPr>
                <w:rFonts w:ascii="Arial" w:cs="Arial" w:eastAsia="Arial" w:hAnsi="Arial"/>
                <w:sz w:val="14"/>
                <w:szCs w:val="14"/>
                <w:color w:val="auto"/>
                <w:w w:val="96"/>
              </w:rPr>
              <w:t>INLEY</w:t>
            </w:r>
          </w:p>
        </w:tc>
        <w:tc>
          <w:tcPr>
            <w:tcW w:w="464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820" w:type="dxa"/>
            <w:vAlign w:val="bottom"/>
            <w:gridSpan w:val="3"/>
            <w:vMerge w:val="restart"/>
          </w:tcPr>
          <w:p>
            <w:pPr>
              <w:jc w:val="center"/>
              <w:ind w:left="673"/>
              <w:spacing w:after="0"/>
              <w:rPr>
                <w:sz w:val="20"/>
                <w:szCs w:val="20"/>
                <w:color w:val="auto"/>
              </w:rPr>
            </w:pPr>
            <w:r>
              <w:rPr>
                <w:rFonts w:ascii="Arial" w:cs="Arial" w:eastAsia="Arial" w:hAnsi="Arial"/>
                <w:sz w:val="18"/>
                <w:szCs w:val="18"/>
                <w:color w:val="auto"/>
                <w:w w:val="92"/>
              </w:rPr>
              <w:t>March 2, 2021</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2680" w:type="dxa"/>
            <w:vAlign w:val="bottom"/>
            <w:gridSpan w:val="4"/>
            <w:vMerge w:val="restart"/>
          </w:tcPr>
          <w:p>
            <w:pPr>
              <w:jc w:val="center"/>
              <w:ind w:right="1540"/>
              <w:spacing w:after="0"/>
              <w:rPr>
                <w:sz w:val="20"/>
                <w:szCs w:val="20"/>
                <w:color w:val="auto"/>
              </w:rPr>
            </w:pPr>
            <w:r>
              <w:rPr>
                <w:rFonts w:ascii="Arial" w:cs="Arial" w:eastAsia="Arial" w:hAnsi="Arial"/>
                <w:sz w:val="14"/>
                <w:szCs w:val="14"/>
                <w:b w:val="1"/>
                <w:bCs w:val="1"/>
                <w:color w:val="auto"/>
                <w:w w:val="92"/>
              </w:rPr>
              <w:t>G. Stephen Finley</w:t>
            </w:r>
          </w:p>
        </w:tc>
        <w:tc>
          <w:tcPr>
            <w:tcW w:w="4640" w:type="dxa"/>
            <w:vAlign w:val="bottom"/>
            <w:gridSpan w:val="3"/>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2680" w:type="dxa"/>
            <w:vAlign w:val="bottom"/>
            <w:gridSpan w:val="4"/>
            <w:vMerge w:val="continue"/>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15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NGELA</w:t>
            </w:r>
            <w:r>
              <w:rPr>
                <w:rFonts w:ascii="Arial" w:cs="Arial" w:eastAsia="Arial" w:hAnsi="Arial"/>
                <w:sz w:val="18"/>
                <w:szCs w:val="18"/>
                <w:color w:val="auto"/>
              </w:rPr>
              <w:t xml:space="preserve"> M</w:t>
            </w:r>
            <w:r>
              <w:rPr>
                <w:rFonts w:ascii="Arial" w:cs="Arial" w:eastAsia="Arial" w:hAnsi="Arial"/>
                <w:sz w:val="14"/>
                <w:szCs w:val="14"/>
                <w:color w:val="auto"/>
              </w:rPr>
              <w:t>INAS</w:t>
            </w:r>
          </w:p>
        </w:tc>
        <w:tc>
          <w:tcPr>
            <w:tcW w:w="464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820" w:type="dxa"/>
            <w:vAlign w:val="bottom"/>
            <w:gridSpan w:val="3"/>
            <w:vMerge w:val="restart"/>
          </w:tcPr>
          <w:p>
            <w:pPr>
              <w:jc w:val="center"/>
              <w:ind w:left="673"/>
              <w:spacing w:after="0"/>
              <w:rPr>
                <w:sz w:val="20"/>
                <w:szCs w:val="20"/>
                <w:color w:val="auto"/>
              </w:rPr>
            </w:pPr>
            <w:r>
              <w:rPr>
                <w:rFonts w:ascii="Arial" w:cs="Arial" w:eastAsia="Arial" w:hAnsi="Arial"/>
                <w:sz w:val="18"/>
                <w:szCs w:val="18"/>
                <w:color w:val="auto"/>
                <w:w w:val="92"/>
              </w:rPr>
              <w:t>March 2, 2021</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8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93"/>
              </w:rPr>
              <w:t>Angela Minas</w:t>
            </w:r>
          </w:p>
        </w:tc>
        <w:tc>
          <w:tcPr>
            <w:tcW w:w="4640" w:type="dxa"/>
            <w:vAlign w:val="bottom"/>
            <w:gridSpan w:val="3"/>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15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ANDY</w:t>
            </w:r>
            <w:r>
              <w:rPr>
                <w:rFonts w:ascii="Arial" w:cs="Arial" w:eastAsia="Arial" w:hAnsi="Arial"/>
                <w:sz w:val="18"/>
                <w:szCs w:val="18"/>
                <w:color w:val="auto"/>
              </w:rPr>
              <w:t xml:space="preserve"> W</w:t>
            </w:r>
            <w:r>
              <w:rPr>
                <w:rFonts w:ascii="Arial" w:cs="Arial" w:eastAsia="Arial" w:hAnsi="Arial"/>
                <w:sz w:val="14"/>
                <w:szCs w:val="14"/>
                <w:color w:val="auto"/>
              </w:rPr>
              <w:t>OELFEL</w:t>
            </w:r>
          </w:p>
        </w:tc>
        <w:tc>
          <w:tcPr>
            <w:tcW w:w="464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820" w:type="dxa"/>
            <w:vAlign w:val="bottom"/>
            <w:gridSpan w:val="3"/>
            <w:vMerge w:val="restart"/>
          </w:tcPr>
          <w:p>
            <w:pPr>
              <w:jc w:val="center"/>
              <w:ind w:left="673"/>
              <w:spacing w:after="0"/>
              <w:rPr>
                <w:sz w:val="20"/>
                <w:szCs w:val="20"/>
                <w:color w:val="auto"/>
              </w:rPr>
            </w:pPr>
            <w:r>
              <w:rPr>
                <w:rFonts w:ascii="Arial" w:cs="Arial" w:eastAsia="Arial" w:hAnsi="Arial"/>
                <w:sz w:val="18"/>
                <w:szCs w:val="18"/>
                <w:color w:val="auto"/>
                <w:w w:val="92"/>
              </w:rPr>
              <w:t>March 2, 2021</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95"/>
              </w:rPr>
              <w:t>Randy Woelfel</w:t>
            </w:r>
          </w:p>
        </w:tc>
        <w:tc>
          <w:tcPr>
            <w:tcW w:w="4640" w:type="dxa"/>
            <w:vAlign w:val="bottom"/>
            <w:gridSpan w:val="3"/>
            <w:vMerge w:val="continue"/>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80" w:type="dxa"/>
            <w:vAlign w:val="bottom"/>
            <w:gridSpan w:val="3"/>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820"/>
          </w:cols>
          <w:pgMar w:left="320" w:top="121" w:right="7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21.1</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8360" w:type="dxa"/>
            <w:vAlign w:val="bottom"/>
            <w:gridSpan w:val="3"/>
          </w:tcPr>
          <w:p>
            <w:pPr>
              <w:ind w:left="300"/>
              <w:spacing w:after="0"/>
              <w:rPr>
                <w:sz w:val="20"/>
                <w:szCs w:val="20"/>
                <w:color w:val="auto"/>
              </w:rPr>
            </w:pPr>
            <w:r>
              <w:rPr>
                <w:rFonts w:ascii="Arial" w:cs="Arial" w:eastAsia="Arial" w:hAnsi="Arial"/>
                <w:sz w:val="18"/>
                <w:szCs w:val="18"/>
                <w:b w:val="1"/>
                <w:bCs w:val="1"/>
                <w:color w:val="auto"/>
              </w:rPr>
              <w:t>SUBSIDIARIES OF WESTLAKE CHEMICAL PARTNERS LP</w:t>
            </w:r>
          </w:p>
        </w:tc>
      </w:tr>
      <w:tr>
        <w:trPr>
          <w:trHeight w:val="688"/>
        </w:trPr>
        <w:tc>
          <w:tcPr>
            <w:tcW w:w="28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Name of Subsidiary</w:t>
            </w:r>
          </w:p>
        </w:tc>
        <w:tc>
          <w:tcPr>
            <w:tcW w:w="6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63"/>
        </w:trPr>
        <w:tc>
          <w:tcPr>
            <w:tcW w:w="2840" w:type="dxa"/>
            <w:vAlign w:val="bottom"/>
          </w:tcPr>
          <w:p>
            <w:pPr>
              <w:ind w:left="20"/>
              <w:spacing w:after="0"/>
              <w:rPr>
                <w:sz w:val="20"/>
                <w:szCs w:val="20"/>
                <w:color w:val="auto"/>
              </w:rPr>
            </w:pPr>
            <w:r>
              <w:rPr>
                <w:rFonts w:ascii="Arial" w:cs="Arial" w:eastAsia="Arial" w:hAnsi="Arial"/>
                <w:sz w:val="18"/>
                <w:szCs w:val="18"/>
                <w:color w:val="auto"/>
              </w:rPr>
              <w:t>Westlake Chemical OpCo GP LLC</w:t>
            </w:r>
          </w:p>
        </w:tc>
        <w:tc>
          <w:tcPr>
            <w:tcW w:w="6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83"/>
        </w:trPr>
        <w:tc>
          <w:tcPr>
            <w:tcW w:w="2840" w:type="dxa"/>
            <w:vAlign w:val="bottom"/>
          </w:tcPr>
          <w:p>
            <w:pPr>
              <w:ind w:left="20"/>
              <w:spacing w:after="0"/>
              <w:rPr>
                <w:sz w:val="20"/>
                <w:szCs w:val="20"/>
                <w:color w:val="auto"/>
              </w:rPr>
            </w:pPr>
            <w:r>
              <w:rPr>
                <w:rFonts w:ascii="Arial" w:cs="Arial" w:eastAsia="Arial" w:hAnsi="Arial"/>
                <w:sz w:val="18"/>
                <w:szCs w:val="18"/>
                <w:color w:val="auto"/>
              </w:rPr>
              <w:t>Westlake Chemical OpCo LP</w:t>
            </w: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89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333-236768 and 333-230611) and Form S-8 (No. 333-198233) of Westlake Chemical Partners LP of our report dated March 2, 2021 relating to the financial statements and the effectiveness of internal control over financial reporting, which appears in this Form 10-K.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2021</w:t>
      </w:r>
    </w:p>
    <w:p>
      <w:pPr>
        <w:sectPr>
          <w:pgSz w:w="11900" w:h="16838" w:orient="portrait"/>
          <w:cols w:equalWidth="0" w:num="1">
            <w:col w:w="11240"/>
          </w:cols>
          <w:pgMar w:left="320" w:top="89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22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652"/>
        <w:spacing w:after="0" w:line="255"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1300" w:right="120" w:hanging="644"/>
        <w:spacing w:after="0" w:line="250"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40" w:hanging="644"/>
        <w:spacing w:after="0" w:line="250"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220" w:hanging="644"/>
        <w:spacing w:after="0" w:line="281"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80" w:hanging="644"/>
        <w:spacing w:after="0" w:line="255"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60" w:right="100" w:hanging="652"/>
        <w:spacing w:after="0" w:line="291"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644"/>
        <w:spacing w:after="0" w:line="281"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644"/>
        <w:spacing w:after="0" w:line="260"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660" w:val="left"/>
          <w:tab w:leader="none" w:pos="8140" w:val="left"/>
        </w:tabs>
        <w:rPr>
          <w:sz w:val="20"/>
          <w:szCs w:val="20"/>
          <w:color w:val="auto"/>
        </w:rPr>
      </w:pPr>
      <w:r>
        <w:rPr>
          <w:rFonts w:ascii="Arial" w:cs="Arial" w:eastAsia="Arial" w:hAnsi="Arial"/>
          <w:sz w:val="18"/>
          <w:szCs w:val="18"/>
          <w:color w:val="auto"/>
        </w:rPr>
        <w:t>Date:</w:t>
        <w:tab/>
        <w:t>March 2, 2021</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600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8400"/>
        <w:spacing w:after="0"/>
        <w:rPr>
          <w:sz w:val="20"/>
          <w:szCs w:val="20"/>
          <w:color w:val="auto"/>
        </w:rPr>
      </w:pPr>
      <w:r>
        <w:rPr>
          <w:rFonts w:ascii="Arial" w:cs="Arial" w:eastAsia="Arial" w:hAnsi="Arial"/>
          <w:sz w:val="14"/>
          <w:szCs w:val="14"/>
          <w:b w:val="1"/>
          <w:bCs w:val="1"/>
          <w:color w:val="auto"/>
        </w:rPr>
        <w:t>Albert Chao</w:t>
      </w:r>
    </w:p>
    <w:p>
      <w:pPr>
        <w:ind w:left="7240"/>
        <w:spacing w:after="0" w:line="201" w:lineRule="auto"/>
        <w:rPr>
          <w:sz w:val="20"/>
          <w:szCs w:val="20"/>
          <w:color w:val="auto"/>
        </w:rPr>
      </w:pPr>
      <w:r>
        <w:rPr>
          <w:rFonts w:ascii="Arial" w:cs="Arial" w:eastAsia="Arial" w:hAnsi="Arial"/>
          <w:sz w:val="14"/>
          <w:szCs w:val="14"/>
          <w:b w:val="1"/>
          <w:bCs w:val="1"/>
          <w:color w:val="auto"/>
        </w:rPr>
        <w:t>President, Chief Executive Officer and Director of</w:t>
      </w:r>
    </w:p>
    <w:p>
      <w:pPr>
        <w:ind w:left="7620"/>
        <w:spacing w:after="0" w:line="201" w:lineRule="auto"/>
        <w:rPr>
          <w:sz w:val="20"/>
          <w:szCs w:val="20"/>
          <w:color w:val="auto"/>
        </w:rPr>
      </w:pPr>
      <w:r>
        <w:rPr>
          <w:rFonts w:ascii="Arial" w:cs="Arial" w:eastAsia="Arial" w:hAnsi="Arial"/>
          <w:sz w:val="14"/>
          <w:szCs w:val="14"/>
          <w:b w:val="1"/>
          <w:bCs w:val="1"/>
          <w:color w:val="auto"/>
        </w:rPr>
        <w:t>Westlake Chemical Partners GP LLC</w:t>
      </w:r>
    </w:p>
    <w:p>
      <w:pPr>
        <w:ind w:left="79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22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652"/>
        <w:spacing w:after="0" w:line="25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1300" w:right="120" w:hanging="644"/>
        <w:spacing w:after="0" w:line="250"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40" w:hanging="644"/>
        <w:spacing w:after="0" w:line="250"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220" w:hanging="644"/>
        <w:spacing w:after="0" w:line="281"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80" w:hanging="644"/>
        <w:spacing w:after="0" w:line="255"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60" w:right="100" w:hanging="652"/>
        <w:spacing w:after="0" w:line="291"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644"/>
        <w:spacing w:after="0" w:line="281"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644"/>
        <w:spacing w:after="0" w:line="260"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660" w:val="left"/>
          <w:tab w:leader="none" w:pos="7920" w:val="left"/>
        </w:tabs>
        <w:rPr>
          <w:sz w:val="20"/>
          <w:szCs w:val="20"/>
          <w:color w:val="auto"/>
        </w:rPr>
      </w:pPr>
      <w:r>
        <w:rPr>
          <w:rFonts w:ascii="Arial" w:cs="Arial" w:eastAsia="Arial" w:hAnsi="Arial"/>
          <w:sz w:val="18"/>
          <w:szCs w:val="18"/>
          <w:color w:val="auto"/>
        </w:rPr>
        <w:t>Date:</w:t>
        <w:tab/>
        <w:t>March 2, 2021</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600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jc w:val="center"/>
        <w:ind w:left="6320"/>
        <w:spacing w:after="0"/>
        <w:rPr>
          <w:sz w:val="20"/>
          <w:szCs w:val="20"/>
          <w:color w:val="auto"/>
        </w:rPr>
      </w:pPr>
      <w:r>
        <w:rPr>
          <w:rFonts w:ascii="Arial" w:cs="Arial" w:eastAsia="Arial" w:hAnsi="Arial"/>
          <w:sz w:val="14"/>
          <w:szCs w:val="14"/>
          <w:b w:val="1"/>
          <w:bCs w:val="1"/>
          <w:color w:val="auto"/>
        </w:rPr>
        <w:t>M. Steven Bender</w:t>
      </w:r>
    </w:p>
    <w:p>
      <w:pPr>
        <w:jc w:val="center"/>
        <w:ind w:left="6320"/>
        <w:spacing w:after="0" w:line="201" w:lineRule="auto"/>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320"/>
        <w:spacing w:after="0" w:line="20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3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connection with the Annual Report on Form 10-K of Westlake Chemical Partners LP (the "Partnership"), as filed with the Securities and Exchange Commission on the date hereof (the "Report"), Albert Chao, President, Chief Executive Officer and Director of the general partner of the Partnership, and M. Steven Bender, Senior Vice President, Chief Financial Officer, and Director of the general partner of the Partnership, each certify, pursuant to 18 U.S.C. Section 1350, as adopted pursuant to Section 906 of the Sarbanes-Oxley Act of 2002, that, to his knowledge:</w:t>
      </w:r>
    </w:p>
    <w:p>
      <w:pPr>
        <w:spacing w:after="0" w:line="171" w:lineRule="exact"/>
        <w:rPr>
          <w:sz w:val="20"/>
          <w:szCs w:val="20"/>
          <w:color w:val="auto"/>
        </w:rPr>
      </w:pPr>
    </w:p>
    <w:p>
      <w:pPr>
        <w:ind w:left="1040" w:hanging="384"/>
        <w:spacing w:after="0"/>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600" w:hanging="644"/>
        <w:spacing w:after="0" w:line="277" w:lineRule="auto"/>
        <w:tabs>
          <w:tab w:leader="none" w:pos="10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660" w:val="left"/>
          <w:tab w:leader="none" w:pos="8140" w:val="left"/>
        </w:tabs>
        <w:rPr>
          <w:sz w:val="20"/>
          <w:szCs w:val="20"/>
          <w:color w:val="auto"/>
        </w:rPr>
      </w:pPr>
      <w:r>
        <w:rPr>
          <w:rFonts w:ascii="Arial" w:cs="Arial" w:eastAsia="Arial" w:hAnsi="Arial"/>
          <w:sz w:val="18"/>
          <w:szCs w:val="18"/>
          <w:color w:val="auto"/>
        </w:rPr>
        <w:t>Date:</w:t>
        <w:tab/>
        <w:t>March 2, 2021</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600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jc w:val="center"/>
        <w:ind w:left="6320"/>
        <w:spacing w:after="0"/>
        <w:rPr>
          <w:sz w:val="20"/>
          <w:szCs w:val="20"/>
          <w:color w:val="auto"/>
        </w:rPr>
      </w:pPr>
      <w:r>
        <w:rPr>
          <w:rFonts w:ascii="Arial" w:cs="Arial" w:eastAsia="Arial" w:hAnsi="Arial"/>
          <w:sz w:val="14"/>
          <w:szCs w:val="14"/>
          <w:b w:val="1"/>
          <w:bCs w:val="1"/>
          <w:color w:val="auto"/>
        </w:rPr>
        <w:t>Albert Chao</w:t>
      </w:r>
    </w:p>
    <w:p>
      <w:pPr>
        <w:jc w:val="center"/>
        <w:ind w:left="6280"/>
        <w:spacing w:after="0" w:line="201"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320"/>
        <w:spacing w:after="0" w:line="201" w:lineRule="auto"/>
        <w:rPr>
          <w:sz w:val="20"/>
          <w:szCs w:val="20"/>
          <w:color w:val="auto"/>
        </w:rPr>
      </w:pPr>
      <w:r>
        <w:rPr>
          <w:rFonts w:ascii="Arial" w:cs="Arial" w:eastAsia="Arial" w:hAnsi="Arial"/>
          <w:sz w:val="14"/>
          <w:szCs w:val="14"/>
          <w:b w:val="1"/>
          <w:bCs w:val="1"/>
          <w:color w:val="auto"/>
        </w:rPr>
        <w:t>Westlake Chemical Partners GP LLC</w:t>
      </w:r>
    </w:p>
    <w:p>
      <w:pPr>
        <w:jc w:val="center"/>
        <w:ind w:left="6320"/>
        <w:spacing w:after="0"/>
        <w:rPr>
          <w:sz w:val="20"/>
          <w:szCs w:val="20"/>
          <w:color w:val="auto"/>
        </w:rPr>
      </w:pPr>
      <w:r>
        <w:rPr>
          <w:rFonts w:ascii="Arial" w:cs="Arial" w:eastAsia="Arial" w:hAnsi="Arial"/>
          <w:sz w:val="14"/>
          <w:szCs w:val="14"/>
          <w:b w:val="1"/>
          <w:bCs w:val="1"/>
          <w:color w:val="auto"/>
        </w:rPr>
        <w:t>(Principal Executive Officer)</w:t>
      </w:r>
    </w:p>
    <w:p>
      <w:pPr>
        <w:spacing w:after="0" w:line="290" w:lineRule="exact"/>
        <w:rPr>
          <w:sz w:val="20"/>
          <w:szCs w:val="20"/>
          <w:color w:val="auto"/>
        </w:rPr>
      </w:pPr>
    </w:p>
    <w:p>
      <w:pPr>
        <w:ind w:left="20"/>
        <w:spacing w:after="0"/>
        <w:tabs>
          <w:tab w:leader="none" w:pos="660" w:val="left"/>
          <w:tab w:leader="none" w:pos="7920" w:val="left"/>
        </w:tabs>
        <w:rPr>
          <w:sz w:val="20"/>
          <w:szCs w:val="20"/>
          <w:color w:val="auto"/>
        </w:rPr>
      </w:pPr>
      <w:r>
        <w:rPr>
          <w:rFonts w:ascii="Arial" w:cs="Arial" w:eastAsia="Arial" w:hAnsi="Arial"/>
          <w:sz w:val="18"/>
          <w:szCs w:val="18"/>
          <w:color w:val="auto"/>
        </w:rPr>
        <w:t>Date:</w:t>
        <w:tab/>
        <w:t>March 2, 2021</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600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jc w:val="center"/>
        <w:ind w:left="6320"/>
        <w:spacing w:after="0"/>
        <w:rPr>
          <w:sz w:val="20"/>
          <w:szCs w:val="20"/>
          <w:color w:val="auto"/>
        </w:rPr>
      </w:pPr>
      <w:r>
        <w:rPr>
          <w:rFonts w:ascii="Arial" w:cs="Arial" w:eastAsia="Arial" w:hAnsi="Arial"/>
          <w:sz w:val="14"/>
          <w:szCs w:val="14"/>
          <w:b w:val="1"/>
          <w:bCs w:val="1"/>
          <w:color w:val="auto"/>
        </w:rPr>
        <w:t>M. Steven Bender</w:t>
      </w:r>
    </w:p>
    <w:p>
      <w:pPr>
        <w:jc w:val="center"/>
        <w:ind w:left="6320"/>
        <w:spacing w:after="0" w:line="201" w:lineRule="auto"/>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320"/>
        <w:spacing w:after="0" w:line="20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3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lvl w:ilvl="1">
      <w:lvlJc w:val="left"/>
      <w:lvlText w:val="(%2)"/>
      <w:numFmt w:val="decimal"/>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3"/>
    </w:lvl>
    <w:lvl w:ilvl="1">
      <w:lvlJc w:val="left"/>
      <w:lvlText w:val="•"/>
      <w:numFmt w:val="bullet"/>
      <w:start w:val="1"/>
    </w:lvl>
  </w:abstractNum>
  <w:abstractNum w:abstractNumId="30">
    <w:nsid w:val="57E4CCAF"/>
    <w:multiLevelType w:val="hybridMultilevel"/>
    <w:lvl w:ilvl="0">
      <w:lvlJc w:val="left"/>
      <w:lvlText w:val="(%1)"/>
      <w:numFmt w:val="decimal"/>
      <w:start w:val="4"/>
    </w:lvl>
    <w:lvl w:ilvl="1">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decimal"/>
      <w:start w:val="16"/>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2"/>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104"/>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1."/>
      <w:numFmt w:val="decimal"/>
      <w:start w:val="1"/>
    </w:lvl>
    <w:lvl w:ilvl="1">
      <w:lvlJc w:val="left"/>
      <w:lvlText w:val="%2."/>
      <w:numFmt w:val="decimal"/>
      <w:start w:val="1"/>
    </w:lvl>
  </w:abstractNum>
  <w:abstractNum w:abstractNumId="57">
    <w:nsid w:val="47398C89"/>
    <w:multiLevelType w:val="hybridMultilevel"/>
    <w:lvl w:ilvl="0">
      <w:lvlJc w:val="left"/>
      <w:lvlText w:val="%1."/>
      <w:numFmt w:val="decimal"/>
      <w:start w:val="1"/>
    </w:lvl>
    <w:lvl w:ilvl="1">
      <w:lvlJc w:val="left"/>
      <w:lvlText w:val="%2."/>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34" Type="http://schemas.openxmlformats.org/officeDocument/2006/relationships/hyperlink" Target="http://www.sec.gov/Archives/edgar/data/1604665/000119312514164760/d715499dex31.htm" TargetMode="External"/><Relationship Id="rId135" Type="http://schemas.openxmlformats.org/officeDocument/2006/relationships/hyperlink" Target="http://www.sec.gov/Archives/edgar/data/1604665/000119312514303305/d756630dex31.htm" TargetMode="External"/><Relationship Id="rId136" Type="http://schemas.openxmlformats.org/officeDocument/2006/relationships/hyperlink" Target="http://www.sec.gov/Archives/edgar/data/1604665/000119312517345554/d493400dex31.htm" TargetMode="External"/><Relationship Id="rId137" Type="http://schemas.openxmlformats.org/officeDocument/2006/relationships/hyperlink" Target="http://www.sec.gov/Archives/edgar/data/1604665/000119312518231463/d583758dex31.htm" TargetMode="External"/><Relationship Id="rId138" Type="http://schemas.openxmlformats.org/officeDocument/2006/relationships/hyperlink" Target="http://www.sec.gov/Archives/edgar/data/1604665/000119312514303305/d756630dex107.htm" TargetMode="External"/><Relationship Id="rId139" Type="http://schemas.openxmlformats.org/officeDocument/2006/relationships/hyperlink" Target="http://www.sec.gov/Archives/edgar/data/1604665/000160466518000007/ex3412311710k.htm" TargetMode="External"/><Relationship Id="rId140" Type="http://schemas.openxmlformats.org/officeDocument/2006/relationships/hyperlink" Target="http://www.sec.gov/Archives/edgar/data/1604665/000160466520000007/ex4112311910k.htm" TargetMode="External"/><Relationship Id="rId141" Type="http://schemas.openxmlformats.org/officeDocument/2006/relationships/hyperlink" Target="http://www.sec.gov/Archives/edgar/data/1262823/000119312506005830/dex41.htm" TargetMode="External"/><Relationship Id="rId142" Type="http://schemas.openxmlformats.org/officeDocument/2006/relationships/hyperlink" Target="http://www.sec.gov/Archives/edgar/data/1262823/000119312512303588/d381139dex42.htm" TargetMode="External"/><Relationship Id="rId143" Type="http://schemas.openxmlformats.org/officeDocument/2006/relationships/hyperlink" Target="http://www.sec.gov/Archives/edgar/data/1262823/000126282313000007/exhibit41612311210k.htm" TargetMode="External"/><Relationship Id="rId144" Type="http://schemas.openxmlformats.org/officeDocument/2006/relationships/hyperlink" Target="http://www.sec.gov/Archives/edgar/data/1262823/000119312516678207/d235680dex42.htm" TargetMode="External"/><Relationship Id="rId145" Type="http://schemas.openxmlformats.org/officeDocument/2006/relationships/hyperlink" Target="http://www.sec.gov/Archives/edgar/data/1262823/000119312517353189/d499857dex42.htm" TargetMode="External"/><Relationship Id="rId146" Type="http://schemas.openxmlformats.org/officeDocument/2006/relationships/hyperlink" Target="http://www.sec.gov/Archives/edgar/data/1262823/000119312517353189/d499857dex43.htm" TargetMode="External"/><Relationship Id="rId147" Type="http://schemas.openxmlformats.org/officeDocument/2006/relationships/hyperlink" Target="http://www.sec.gov/Archives/edgar/data/1604665/000119312519092653/d728262dex41.htm" TargetMode="External"/><Relationship Id="rId148" Type="http://schemas.openxmlformats.org/officeDocument/2006/relationships/hyperlink" Target="http://www.sec.gov/Archives/edgar/data/1262823/000119312519195643/d770084dex42.htm" TargetMode="External"/><Relationship Id="rId151" Type="http://schemas.openxmlformats.org/officeDocument/2006/relationships/hyperlink" Target="http://www.sec.gov/Archives/edgar/data/1262823/000119312519195643/d770084dex44.htm" TargetMode="External"/><Relationship Id="rId152" Type="http://schemas.openxmlformats.org/officeDocument/2006/relationships/hyperlink" Target="http://www.sec.gov/ix?doc=/Archives/edgar/data/1262823/000119312520167137/d943281d8k.htm" TargetMode="External"/><Relationship Id="rId153" Type="http://schemas.openxmlformats.org/officeDocument/2006/relationships/hyperlink" Target="http://www.sec.gov/Archives/edgar/data/1604665/000119312514303305/d756630dex101.htm" TargetMode="External"/><Relationship Id="rId154" Type="http://schemas.openxmlformats.org/officeDocument/2006/relationships/hyperlink" Target="http://www.sec.gov/Archives/edgar/data/1604665/000119312514303305/d756630dex102.htm" TargetMode="External"/><Relationship Id="rId155" Type="http://schemas.openxmlformats.org/officeDocument/2006/relationships/hyperlink" Target="http://www.sec.gov/Archives/edgar/data/1604665/000119312514303305/d756630dex103.htm" TargetMode="External"/><Relationship Id="rId156" Type="http://schemas.openxmlformats.org/officeDocument/2006/relationships/hyperlink" Target="http://www.sec.gov/Archives/edgar/data/1604665/000119312514303305/d756630dex104.htm" TargetMode="External"/><Relationship Id="rId157" Type="http://schemas.openxmlformats.org/officeDocument/2006/relationships/hyperlink" Target="http://www.sec.gov/Archives/edgar/data/1604665/000119312514303305/d756630dex105.htm" TargetMode="External"/><Relationship Id="rId158" Type="http://schemas.openxmlformats.org/officeDocument/2006/relationships/hyperlink" Target="http://www.sec.gov/Archives/edgar/data/1604665/000119312514303305/d756630dex106.htm" TargetMode="External"/><Relationship Id="rId159" Type="http://schemas.openxmlformats.org/officeDocument/2006/relationships/hyperlink" Target="http://www.sec.gov/Archives/edgar/data/1604665/000119312514303305/d756630dex109.htm" TargetMode="External"/><Relationship Id="rId160" Type="http://schemas.openxmlformats.org/officeDocument/2006/relationships/hyperlink" Target="http://www.sec.gov/Archives/edgar/data/1604665/000160466520000007/ex10912311910k.htm" TargetMode="External"/><Relationship Id="rId161" Type="http://schemas.openxmlformats.org/officeDocument/2006/relationships/hyperlink" Target="http://www.sec.gov/Archives/edgar/data/1604665/000119312514303305/d756630dex108.htm" TargetMode="External"/><Relationship Id="rId162" Type="http://schemas.openxmlformats.org/officeDocument/2006/relationships/hyperlink" Target="http://www.sec.gov/Archives/edgar/data/1604665/000119312515162335/d919736dex101.htm" TargetMode="External"/><Relationship Id="rId163" Type="http://schemas.openxmlformats.org/officeDocument/2006/relationships/hyperlink" Target="http://www.sec.gov/Archives/edgar/data/1604665/000160466516000044/exhibit101_20160630.htm" TargetMode="External"/><Relationship Id="rId164" Type="http://schemas.openxmlformats.org/officeDocument/2006/relationships/hyperlink" Target="http://www.sec.gov/Archives/edgar/data/1604665/000160466517000008/ex102012311610k.htm" TargetMode="External"/><Relationship Id="rId165" Type="http://schemas.openxmlformats.org/officeDocument/2006/relationships/hyperlink" Target="http://www.sec.gov/Archives/edgar/data/1604665/000160466517000033/exhibit101_20170930.htm" TargetMode="External"/><Relationship Id="rId166" Type="http://schemas.openxmlformats.org/officeDocument/2006/relationships/hyperlink" Target="http://www.sec.gov/Archives/edgar/data/1604665/000160466517000025/exhibit101_20170630.htm" TargetMode="External"/><Relationship Id="rId169" Type="http://schemas.openxmlformats.org/officeDocument/2006/relationships/hyperlink" Target="http://www.sec.gov/Archives/edgar/data/1604665/000160466518000007/ex102412311710k.htm" TargetMode="External"/><Relationship Id="rId170" Type="http://schemas.openxmlformats.org/officeDocument/2006/relationships/hyperlink" Target="http://www.sec.gov/Archives/edgar/data/1604665/000160466520000015/exhibit10120200331.htm" TargetMode="External"/><Relationship Id="rId171" Type="http://schemas.openxmlformats.org/officeDocument/2006/relationships/hyperlink" Target="http://www.sec.gov/Archives/edgar/data/1604665/000160466518000007/ex101212311710k.htm" TargetMode="External"/><Relationship Id="rId172" Type="http://schemas.openxmlformats.org/officeDocument/2006/relationships/hyperlink" Target="http://www.sec.gov/Archives/edgar/data/1604665/000119312518294123/d633576dex11.htm" TargetMode="External"/><Relationship Id="rId173" Type="http://schemas.openxmlformats.org/officeDocument/2006/relationships/hyperlink" Target="http://www.sec.gov/Archives/edgar/data/1604665/000160466518000027/exhibit101_20180930.htm" TargetMode="External"/><Relationship Id="rId174" Type="http://schemas.openxmlformats.org/officeDocument/2006/relationships/hyperlink" Target="http://www.sec.gov/Archives/edgar/data/1604665/000160466518000027/exhibit102_20180930.htm" TargetMode="External"/><Relationship Id="rId175" Type="http://schemas.openxmlformats.org/officeDocument/2006/relationships/hyperlink" Target="http://www.sec.gov/Archives/edgar/data/0001604665/000119312519087399/d929398dex21.htm" TargetMode="External"/><Relationship Id="rId176" Type="http://schemas.openxmlformats.org/officeDocument/2006/relationships/hyperlink" Target="http://www.sec.gov/Archives/edgar/data/1604665/000160466520000007/ex1022123119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2021-03-02T12:11:35Z</dcterms:created>
  <dcterms:modified xsi:type="dcterms:W3CDTF">2021-03-02T12:11:35Z</dcterms:modified>
</cp:coreProperties>
</file>