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r>
        <w:rPr/>
      </w:r>
      <w:bookmarkStart w:id="0" w:name="s280C394319641C32449066ECEBC96FA2"/>
      <w:bookmarkStart w:id="1" w:name="a2014093010q.htm"/>
      <w:bookmarkStart w:id="2" w:name="ksa2014093010q"/>
      <w:bookmarkStart w:id="3" w:name="s280C394319641C32449066ECEBC96FA2"/>
      <w:bookmarkStart w:id="4" w:name="a2014093010q.htm"/>
      <w:bookmarkStart w:id="5" w:name="ksa2014093010q"/>
      <w:bookmarkEnd w:id="3"/>
      <w:bookmarkEnd w:id="4"/>
      <w:bookmarkEnd w:id="5"/>
    </w:p>
    <w:p>
      <w:pPr>
        <w:pStyle w:val="TextBody"/>
        <w:spacing w:lineRule="auto" w:line="288" w:before="0" w:after="0"/>
        <w:jc w:val="center"/>
        <w:rPr>
          <w:rFonts w:ascii="inherit" w:hAnsi="inherit"/>
          <w:b/>
          <w:sz w:val="30"/>
        </w:rPr>
      </w:pPr>
      <w:r>
        <w:rPr>
          <w:rFonts w:ascii="inherit" w:hAnsi="inherit"/>
          <w:b/>
          <w:sz w:val="30"/>
        </w:rPr>
        <w:t>UNITED STATES</w:t>
      </w:r>
    </w:p>
    <w:p>
      <w:pPr>
        <w:pStyle w:val="TextBody"/>
        <w:spacing w:lineRule="auto" w:line="288" w:before="0" w:after="0"/>
        <w:jc w:val="center"/>
        <w:rPr>
          <w:rFonts w:ascii="inherit" w:hAnsi="inherit"/>
          <w:b/>
          <w:sz w:val="30"/>
        </w:rPr>
      </w:pPr>
      <w:r>
        <w:rPr>
          <w:rFonts w:ascii="inherit" w:hAnsi="inherit"/>
          <w:b/>
          <w:sz w:val="30"/>
        </w:rPr>
        <w:t>SECURITIES AND EXCHANGE COMMISSION</w:t>
      </w:r>
    </w:p>
    <w:p>
      <w:pPr>
        <w:pStyle w:val="TextBody"/>
        <w:spacing w:lineRule="auto" w:line="288" w:before="0" w:after="0"/>
        <w:jc w:val="center"/>
        <w:rPr>
          <w:rFonts w:ascii="inherit" w:hAnsi="inherit"/>
          <w:b/>
          <w:sz w:val="20"/>
        </w:rPr>
      </w:pPr>
      <w:r>
        <w:rPr>
          <w:rFonts w:ascii="inherit" w:hAnsi="inherit"/>
          <w:b/>
          <w:sz w:val="20"/>
        </w:rPr>
        <w:t>Washington, D.C. 20549</w:t>
      </w:r>
    </w:p>
    <w:tbl>
      <w:tblPr>
        <w:tblW w:w="10205" w:type="dxa"/>
        <w:jc w:val="center"/>
        <w:tblInd w:w="0" w:type="dxa"/>
        <w:tblCellMar>
          <w:top w:w="0" w:type="dxa"/>
          <w:left w:w="0" w:type="dxa"/>
          <w:bottom w:w="0" w:type="dxa"/>
          <w:right w:w="0" w:type="dxa"/>
        </w:tblCellMar>
      </w:tblPr>
      <w:tblGrid>
        <w:gridCol w:w="1122"/>
        <w:gridCol w:w="1107"/>
        <w:gridCol w:w="5745"/>
        <w:gridCol w:w="1107"/>
        <w:gridCol w:w="1124"/>
      </w:tblGrid>
      <w:tr>
        <w:trPr/>
        <w:tc>
          <w:tcPr>
            <w:tcW w:w="10205" w:type="dxa"/>
            <w:gridSpan w:val="5"/>
            <w:tcBorders/>
            <w:shd w:fill="auto" w:val="clear"/>
            <w:vAlign w:val="center"/>
          </w:tcPr>
          <w:p>
            <w:pPr>
              <w:pStyle w:val="TableContents"/>
              <w:spacing w:before="0" w:after="283"/>
              <w:rPr>
                <w:sz w:val="4"/>
                <w:szCs w:val="4"/>
              </w:rPr>
            </w:pPr>
            <w:r>
              <w:rPr>
                <w:sz w:val="4"/>
                <w:szCs w:val="4"/>
              </w:rPr>
            </w:r>
          </w:p>
        </w:tc>
      </w:tr>
      <w:tr>
        <w:trPr/>
        <w:tc>
          <w:tcPr>
            <w:tcW w:w="1122"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5745"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122" w:type="dxa"/>
            <w:tcBorders/>
            <w:shd w:fill="auto" w:val="clear"/>
            <w:vAlign w:val="center"/>
          </w:tcPr>
          <w:p>
            <w:pPr>
              <w:pStyle w:val="TableContents"/>
              <w:spacing w:before="0" w:after="0"/>
              <w:ind w:left="0" w:right="0" w:firstLine="30"/>
              <w:rPr/>
            </w:pPr>
            <w:r>
              <w:rPr/>
              <w:t> </w:t>
            </w:r>
          </w:p>
        </w:tc>
        <w:tc>
          <w:tcPr>
            <w:tcW w:w="1107" w:type="dxa"/>
            <w:tcBorders/>
            <w:shd w:fill="auto" w:val="clear"/>
            <w:vAlign w:val="center"/>
          </w:tcPr>
          <w:p>
            <w:pPr>
              <w:pStyle w:val="TableContents"/>
              <w:spacing w:before="0" w:after="0"/>
              <w:ind w:left="0" w:right="0" w:firstLine="30"/>
              <w:rPr/>
            </w:pPr>
            <w:r>
              <w:rPr/>
              <w:t> </w:t>
            </w:r>
          </w:p>
        </w:tc>
        <w:tc>
          <w:tcPr>
            <w:tcW w:w="574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107" w:type="dxa"/>
            <w:tcBorders/>
            <w:shd w:fill="auto" w:val="clear"/>
            <w:vAlign w:val="center"/>
          </w:tcPr>
          <w:p>
            <w:pPr>
              <w:pStyle w:val="TableContents"/>
              <w:spacing w:before="0" w:after="0"/>
              <w:ind w:left="0" w:right="0" w:firstLine="30"/>
              <w:rPr/>
            </w:pPr>
            <w:r>
              <w:rPr/>
              <w:t> </w:t>
            </w:r>
          </w:p>
        </w:tc>
        <w:tc>
          <w:tcPr>
            <w:tcW w:w="1124" w:type="dxa"/>
            <w:tcBorders/>
            <w:shd w:fill="auto" w:val="clear"/>
            <w:vAlign w:val="center"/>
          </w:tcPr>
          <w:p>
            <w:pPr>
              <w:pStyle w:val="TableContents"/>
              <w:spacing w:before="0" w:after="0"/>
              <w:rPr/>
            </w:pPr>
            <w:r>
              <w:rPr/>
              <w:t> </w:t>
            </w:r>
          </w:p>
        </w:tc>
      </w:tr>
    </w:tbl>
    <w:p>
      <w:pPr>
        <w:pStyle w:val="TextBody"/>
        <w:spacing w:lineRule="auto" w:line="288" w:before="0" w:after="0"/>
        <w:jc w:val="center"/>
        <w:rPr>
          <w:rFonts w:ascii="inherit" w:hAnsi="inherit"/>
          <w:b/>
          <w:sz w:val="30"/>
        </w:rPr>
      </w:pPr>
      <w:r>
        <w:rPr>
          <w:rFonts w:ascii="inherit" w:hAnsi="inherit"/>
          <w:b/>
          <w:sz w:val="30"/>
        </w:rPr>
        <w:t>Form 10-Q</w:t>
      </w:r>
    </w:p>
    <w:tbl>
      <w:tblPr>
        <w:tblW w:w="10205" w:type="dxa"/>
        <w:jc w:val="center"/>
        <w:tblInd w:w="0" w:type="dxa"/>
        <w:tblCellMar>
          <w:top w:w="0" w:type="dxa"/>
          <w:left w:w="0" w:type="dxa"/>
          <w:bottom w:w="0" w:type="dxa"/>
          <w:right w:w="0" w:type="dxa"/>
        </w:tblCellMar>
      </w:tblPr>
      <w:tblGrid>
        <w:gridCol w:w="1122"/>
        <w:gridCol w:w="1107"/>
        <w:gridCol w:w="5745"/>
        <w:gridCol w:w="1107"/>
        <w:gridCol w:w="1124"/>
      </w:tblGrid>
      <w:tr>
        <w:trPr/>
        <w:tc>
          <w:tcPr>
            <w:tcW w:w="10205" w:type="dxa"/>
            <w:gridSpan w:val="5"/>
            <w:tcBorders/>
            <w:shd w:fill="auto" w:val="clear"/>
            <w:vAlign w:val="center"/>
          </w:tcPr>
          <w:p>
            <w:pPr>
              <w:pStyle w:val="TableContents"/>
              <w:spacing w:before="0" w:after="283"/>
              <w:rPr>
                <w:sz w:val="4"/>
                <w:szCs w:val="4"/>
              </w:rPr>
            </w:pPr>
            <w:r>
              <w:rPr>
                <w:sz w:val="4"/>
                <w:szCs w:val="4"/>
              </w:rPr>
            </w:r>
          </w:p>
        </w:tc>
      </w:tr>
      <w:tr>
        <w:trPr/>
        <w:tc>
          <w:tcPr>
            <w:tcW w:w="1122"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5745"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122" w:type="dxa"/>
            <w:tcBorders/>
            <w:shd w:fill="auto" w:val="clear"/>
            <w:vAlign w:val="center"/>
          </w:tcPr>
          <w:p>
            <w:pPr>
              <w:pStyle w:val="TableContents"/>
              <w:spacing w:before="0" w:after="0"/>
              <w:ind w:left="0" w:right="0" w:firstLine="30"/>
              <w:rPr/>
            </w:pPr>
            <w:r>
              <w:rPr/>
              <w:t> </w:t>
            </w:r>
          </w:p>
        </w:tc>
        <w:tc>
          <w:tcPr>
            <w:tcW w:w="1107" w:type="dxa"/>
            <w:tcBorders/>
            <w:shd w:fill="auto" w:val="clear"/>
            <w:vAlign w:val="center"/>
          </w:tcPr>
          <w:p>
            <w:pPr>
              <w:pStyle w:val="TableContents"/>
              <w:spacing w:before="0" w:after="0"/>
              <w:ind w:left="0" w:right="0" w:firstLine="30"/>
              <w:rPr/>
            </w:pPr>
            <w:r>
              <w:rPr/>
              <w:t> </w:t>
            </w:r>
          </w:p>
        </w:tc>
        <w:tc>
          <w:tcPr>
            <w:tcW w:w="5745"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107" w:type="dxa"/>
            <w:tcBorders/>
            <w:shd w:fill="auto" w:val="clear"/>
            <w:vAlign w:val="center"/>
          </w:tcPr>
          <w:p>
            <w:pPr>
              <w:pStyle w:val="TableContents"/>
              <w:spacing w:before="0" w:after="0"/>
              <w:ind w:left="0" w:right="0" w:firstLine="30"/>
              <w:rPr/>
            </w:pPr>
            <w:r>
              <w:rPr/>
              <w:t> </w:t>
            </w:r>
          </w:p>
        </w:tc>
        <w:tc>
          <w:tcPr>
            <w:tcW w:w="1124" w:type="dxa"/>
            <w:tcBorders/>
            <w:shd w:fill="auto" w:val="clear"/>
            <w:vAlign w:val="center"/>
          </w:tcPr>
          <w:p>
            <w:pPr>
              <w:pStyle w:val="TableContents"/>
              <w:spacing w:before="0" w:after="0"/>
              <w:rPr/>
            </w:pPr>
            <w:r>
              <w:rPr/>
              <w:t> </w:t>
            </w:r>
          </w:p>
        </w:tc>
      </w:tr>
    </w:tbl>
    <w:tbl>
      <w:tblPr>
        <w:tblW w:w="10205" w:type="dxa"/>
        <w:jc w:val="left"/>
        <w:tblInd w:w="0" w:type="dxa"/>
        <w:tblCellMar>
          <w:top w:w="0" w:type="dxa"/>
          <w:left w:w="0" w:type="dxa"/>
          <w:bottom w:w="0" w:type="dxa"/>
          <w:right w:w="0" w:type="dxa"/>
        </w:tblCellMar>
      </w:tblPr>
      <w:tblGrid>
        <w:gridCol w:w="629"/>
        <w:gridCol w:w="9576"/>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629" w:type="dxa"/>
            <w:tcBorders/>
            <w:shd w:fill="auto" w:val="clear"/>
            <w:vAlign w:val="center"/>
          </w:tcPr>
          <w:p>
            <w:pPr>
              <w:pStyle w:val="TableContents"/>
              <w:spacing w:before="0" w:after="283"/>
              <w:rPr>
                <w:sz w:val="4"/>
                <w:szCs w:val="4"/>
              </w:rPr>
            </w:pPr>
            <w:r>
              <w:rPr>
                <w:sz w:val="4"/>
                <w:szCs w:val="4"/>
              </w:rPr>
            </w:r>
          </w:p>
        </w:tc>
        <w:tc>
          <w:tcPr>
            <w:tcW w:w="957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29" w:type="dxa"/>
            <w:tcBorders/>
            <w:shd w:fill="auto" w:val="clear"/>
            <w:vAlign w:val="center"/>
          </w:tcPr>
          <w:p>
            <w:pPr>
              <w:pStyle w:val="TableContents"/>
              <w:spacing w:before="0" w:after="0"/>
              <w:ind w:left="0" w:right="0" w:firstLine="30"/>
              <w:jc w:val="left"/>
              <w:rPr>
                <w:rFonts w:ascii="Wingdings" w:hAnsi="Wingdings"/>
                <w:sz w:val="20"/>
              </w:rPr>
            </w:pPr>
            <w:r>
              <w:rPr>
                <w:rFonts w:ascii="Wingdings" w:hAnsi="Wingdings"/>
                <w:sz w:val="20"/>
              </w:rPr>
              <w:t>x</w:t>
            </w:r>
          </w:p>
        </w:tc>
        <w:tc>
          <w:tcPr>
            <w:tcW w:w="9576" w:type="dxa"/>
            <w:tcBorders/>
            <w:shd w:fill="auto" w:val="clear"/>
            <w:vAlign w:val="center"/>
          </w:tcPr>
          <w:p>
            <w:pPr>
              <w:pStyle w:val="TableContents"/>
              <w:spacing w:before="0" w:after="0"/>
              <w:ind w:left="0" w:right="0" w:firstLine="30"/>
              <w:jc w:val="left"/>
              <w:rPr>
                <w:rFonts w:ascii="inherit" w:hAnsi="inherit"/>
                <w:b/>
                <w:sz w:val="20"/>
              </w:rPr>
            </w:pPr>
            <w:r>
              <w:rPr>
                <w:rFonts w:ascii="inherit" w:hAnsi="inherit"/>
                <w:b/>
                <w:sz w:val="20"/>
              </w:rPr>
              <w:t>QUARTERLY REPORT PURSUANT TO SECTION 13 OR 15(d) OF THE SECURITIES EXCHANGE ACT OF 1934</w:t>
            </w:r>
          </w:p>
        </w:tc>
      </w:tr>
      <w:tr>
        <w:trPr/>
        <w:tc>
          <w:tcPr>
            <w:tcW w:w="629" w:type="dxa"/>
            <w:tcBorders/>
            <w:shd w:fill="auto" w:val="clear"/>
            <w:vAlign w:val="center"/>
          </w:tcPr>
          <w:p>
            <w:pPr>
              <w:pStyle w:val="TableContents"/>
              <w:spacing w:before="0" w:after="0"/>
              <w:ind w:left="0" w:right="0" w:firstLine="30"/>
              <w:rPr/>
            </w:pPr>
            <w:r>
              <w:rPr/>
              <w:t> </w:t>
            </w:r>
          </w:p>
        </w:tc>
        <w:tc>
          <w:tcPr>
            <w:tcW w:w="9576" w:type="dxa"/>
            <w:tcBorders/>
            <w:shd w:fill="auto" w:val="clear"/>
            <w:vAlign w:val="center"/>
          </w:tcPr>
          <w:p>
            <w:pPr>
              <w:pStyle w:val="TableContents"/>
              <w:spacing w:before="0" w:after="0"/>
              <w:jc w:val="left"/>
              <w:rPr>
                <w:rFonts w:ascii="inherit" w:hAnsi="inherit"/>
                <w:b/>
                <w:sz w:val="17"/>
              </w:rPr>
            </w:pPr>
            <w:r>
              <w:rPr>
                <w:rFonts w:ascii="inherit" w:hAnsi="inherit"/>
                <w:b/>
                <w:sz w:val="17"/>
              </w:rPr>
              <w:t>For the quarterly period ended September 30, 2014</w:t>
            </w:r>
          </w:p>
        </w:tc>
      </w:tr>
    </w:tbl>
    <w:p>
      <w:pPr>
        <w:pStyle w:val="TextBody"/>
        <w:spacing w:lineRule="auto" w:line="288" w:before="0" w:after="0"/>
        <w:jc w:val="center"/>
        <w:rPr>
          <w:rFonts w:ascii="inherit" w:hAnsi="inherit"/>
          <w:b/>
          <w:sz w:val="17"/>
        </w:rPr>
      </w:pPr>
      <w:r>
        <w:rPr>
          <w:rFonts w:ascii="inherit" w:hAnsi="inherit"/>
          <w:b/>
          <w:sz w:val="17"/>
        </w:rPr>
        <w:t>or</w:t>
      </w:r>
    </w:p>
    <w:tbl>
      <w:tblPr>
        <w:tblW w:w="10205" w:type="dxa"/>
        <w:jc w:val="center"/>
        <w:tblInd w:w="0" w:type="dxa"/>
        <w:tblCellMar>
          <w:top w:w="0" w:type="dxa"/>
          <w:left w:w="0" w:type="dxa"/>
          <w:bottom w:w="0" w:type="dxa"/>
          <w:right w:w="0" w:type="dxa"/>
        </w:tblCellMar>
      </w:tblPr>
      <w:tblGrid>
        <w:gridCol w:w="629"/>
        <w:gridCol w:w="9576"/>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629" w:type="dxa"/>
            <w:tcBorders/>
            <w:shd w:fill="auto" w:val="clear"/>
            <w:vAlign w:val="center"/>
          </w:tcPr>
          <w:p>
            <w:pPr>
              <w:pStyle w:val="TableContents"/>
              <w:spacing w:before="0" w:after="283"/>
              <w:rPr>
                <w:sz w:val="4"/>
                <w:szCs w:val="4"/>
              </w:rPr>
            </w:pPr>
            <w:r>
              <w:rPr>
                <w:sz w:val="4"/>
                <w:szCs w:val="4"/>
              </w:rPr>
            </w:r>
          </w:p>
        </w:tc>
        <w:tc>
          <w:tcPr>
            <w:tcW w:w="957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29" w:type="dxa"/>
            <w:tcBorders/>
            <w:shd w:fill="auto" w:val="clear"/>
            <w:vAlign w:val="center"/>
          </w:tcPr>
          <w:p>
            <w:pPr>
              <w:pStyle w:val="TableContents"/>
              <w:spacing w:before="0" w:after="0"/>
              <w:ind w:left="0" w:right="0" w:firstLine="30"/>
              <w:jc w:val="left"/>
              <w:rPr/>
            </w:pPr>
            <w:r>
              <w:rPr/>
              <w:t>☐</w:t>
            </w:r>
          </w:p>
        </w:tc>
        <w:tc>
          <w:tcPr>
            <w:tcW w:w="9576" w:type="dxa"/>
            <w:tcBorders/>
            <w:shd w:fill="auto" w:val="clear"/>
            <w:vAlign w:val="center"/>
          </w:tcPr>
          <w:p>
            <w:pPr>
              <w:pStyle w:val="TableContents"/>
              <w:spacing w:before="0" w:after="0"/>
              <w:ind w:left="0" w:right="0" w:firstLine="30"/>
              <w:jc w:val="left"/>
              <w:rPr>
                <w:rFonts w:ascii="inherit" w:hAnsi="inherit"/>
                <w:b/>
                <w:sz w:val="20"/>
              </w:rPr>
            </w:pPr>
            <w:r>
              <w:rPr>
                <w:rFonts w:ascii="inherit" w:hAnsi="inherit"/>
                <w:b/>
                <w:sz w:val="20"/>
              </w:rPr>
              <w:t>TRANSITION REPORT PURSUANT TO SECTION 13 OR 15(d) OF THE SECURITIES EXCHANGE ACT OF 1934</w:t>
            </w:r>
          </w:p>
        </w:tc>
      </w:tr>
      <w:tr>
        <w:trPr/>
        <w:tc>
          <w:tcPr>
            <w:tcW w:w="629" w:type="dxa"/>
            <w:tcBorders/>
            <w:shd w:fill="auto" w:val="clear"/>
            <w:vAlign w:val="center"/>
          </w:tcPr>
          <w:p>
            <w:pPr>
              <w:pStyle w:val="TableContents"/>
              <w:spacing w:before="0" w:after="0"/>
              <w:ind w:left="0" w:right="0" w:firstLine="30"/>
              <w:rPr/>
            </w:pPr>
            <w:r>
              <w:rPr/>
              <w:t> </w:t>
            </w:r>
          </w:p>
        </w:tc>
        <w:tc>
          <w:tcPr>
            <w:tcW w:w="9576" w:type="dxa"/>
            <w:tcBorders/>
            <w:shd w:fill="auto" w:val="clear"/>
            <w:vAlign w:val="center"/>
          </w:tcPr>
          <w:p>
            <w:pPr>
              <w:pStyle w:val="TableContents"/>
              <w:spacing w:before="0" w:after="0"/>
              <w:jc w:val="left"/>
              <w:rPr>
                <w:rFonts w:ascii="inherit" w:hAnsi="inherit"/>
                <w:b/>
                <w:sz w:val="17"/>
              </w:rPr>
            </w:pPr>
            <w:r>
              <w:rPr>
                <w:rFonts w:ascii="inherit" w:hAnsi="inherit"/>
                <w:b/>
                <w:sz w:val="17"/>
              </w:rPr>
              <w:t>For the Transition Period from                    to                    </w:t>
            </w:r>
          </w:p>
        </w:tc>
      </w:tr>
    </w:tbl>
    <w:p>
      <w:pPr>
        <w:pStyle w:val="TextBody"/>
        <w:spacing w:lineRule="auto" w:line="288" w:before="0" w:after="0"/>
        <w:jc w:val="center"/>
        <w:rPr>
          <w:rFonts w:ascii="inherit" w:hAnsi="inherit"/>
          <w:b/>
          <w:sz w:val="17"/>
        </w:rPr>
      </w:pPr>
      <w:r>
        <w:rPr>
          <w:rFonts w:ascii="inherit" w:hAnsi="inherit"/>
          <w:b/>
          <w:sz w:val="17"/>
        </w:rPr>
        <w:t>Commission File No. 001-36567</w:t>
      </w:r>
    </w:p>
    <w:tbl>
      <w:tblPr>
        <w:tblW w:w="10205" w:type="dxa"/>
        <w:jc w:val="center"/>
        <w:tblInd w:w="0" w:type="dxa"/>
        <w:tblCellMar>
          <w:top w:w="0" w:type="dxa"/>
          <w:left w:w="0" w:type="dxa"/>
          <w:bottom w:w="0" w:type="dxa"/>
          <w:right w:w="0" w:type="dxa"/>
        </w:tblCellMar>
      </w:tblPr>
      <w:tblGrid>
        <w:gridCol w:w="1122"/>
        <w:gridCol w:w="1107"/>
        <w:gridCol w:w="5745"/>
        <w:gridCol w:w="1107"/>
        <w:gridCol w:w="1124"/>
      </w:tblGrid>
      <w:tr>
        <w:trPr/>
        <w:tc>
          <w:tcPr>
            <w:tcW w:w="10205" w:type="dxa"/>
            <w:gridSpan w:val="5"/>
            <w:tcBorders/>
            <w:shd w:fill="auto" w:val="clear"/>
            <w:vAlign w:val="center"/>
          </w:tcPr>
          <w:p>
            <w:pPr>
              <w:pStyle w:val="TableContents"/>
              <w:spacing w:before="0" w:after="283"/>
              <w:rPr>
                <w:sz w:val="4"/>
                <w:szCs w:val="4"/>
              </w:rPr>
            </w:pPr>
            <w:r>
              <w:rPr>
                <w:sz w:val="4"/>
                <w:szCs w:val="4"/>
              </w:rPr>
            </w:r>
          </w:p>
        </w:tc>
      </w:tr>
      <w:tr>
        <w:trPr/>
        <w:tc>
          <w:tcPr>
            <w:tcW w:w="1122"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5745"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122" w:type="dxa"/>
            <w:tcBorders/>
            <w:shd w:fill="auto" w:val="clear"/>
            <w:vAlign w:val="center"/>
          </w:tcPr>
          <w:p>
            <w:pPr>
              <w:pStyle w:val="TableContents"/>
              <w:spacing w:before="0" w:after="0"/>
              <w:ind w:left="0" w:right="0" w:firstLine="30"/>
              <w:rPr/>
            </w:pPr>
            <w:r>
              <w:rPr/>
              <w:t> </w:t>
            </w:r>
          </w:p>
        </w:tc>
        <w:tc>
          <w:tcPr>
            <w:tcW w:w="1107" w:type="dxa"/>
            <w:tcBorders/>
            <w:shd w:fill="auto" w:val="clear"/>
            <w:vAlign w:val="center"/>
          </w:tcPr>
          <w:p>
            <w:pPr>
              <w:pStyle w:val="TableContents"/>
              <w:spacing w:before="0" w:after="0"/>
              <w:ind w:left="0" w:right="0" w:firstLine="30"/>
              <w:rPr/>
            </w:pPr>
            <w:r>
              <w:rPr/>
              <w:t> </w:t>
            </w:r>
          </w:p>
        </w:tc>
        <w:tc>
          <w:tcPr>
            <w:tcW w:w="574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107" w:type="dxa"/>
            <w:tcBorders/>
            <w:shd w:fill="auto" w:val="clear"/>
            <w:vAlign w:val="center"/>
          </w:tcPr>
          <w:p>
            <w:pPr>
              <w:pStyle w:val="TableContents"/>
              <w:spacing w:before="0" w:after="0"/>
              <w:ind w:left="0" w:right="0" w:firstLine="30"/>
              <w:rPr/>
            </w:pPr>
            <w:r>
              <w:rPr/>
              <w:t> </w:t>
            </w:r>
          </w:p>
        </w:tc>
        <w:tc>
          <w:tcPr>
            <w:tcW w:w="1124" w:type="dxa"/>
            <w:tcBorders/>
            <w:shd w:fill="auto" w:val="clear"/>
            <w:vAlign w:val="center"/>
          </w:tcPr>
          <w:p>
            <w:pPr>
              <w:pStyle w:val="TableContents"/>
              <w:spacing w:before="0" w:after="0"/>
              <w:rPr/>
            </w:pPr>
            <w:r>
              <w:rPr/>
              <w:t> </w:t>
            </w:r>
          </w:p>
        </w:tc>
      </w:tr>
    </w:tbl>
    <w:p>
      <w:pPr>
        <w:pStyle w:val="TextBody"/>
        <w:spacing w:lineRule="auto" w:line="288" w:before="0" w:after="0"/>
        <w:jc w:val="center"/>
        <w:rPr>
          <w:rFonts w:ascii="inherit" w:hAnsi="inherit"/>
          <w:b/>
          <w:sz w:val="40"/>
        </w:rPr>
      </w:pPr>
      <w:r>
        <w:rPr>
          <w:rFonts w:ascii="inherit" w:hAnsi="inherit"/>
          <w:b/>
          <w:sz w:val="40"/>
        </w:rPr>
        <w:t>Westlake Chemical Partners LP</w:t>
      </w:r>
    </w:p>
    <w:p>
      <w:pPr>
        <w:pStyle w:val="TextBody"/>
        <w:spacing w:lineRule="auto" w:line="288" w:before="0" w:after="0"/>
        <w:jc w:val="center"/>
        <w:rPr>
          <w:rFonts w:ascii="inherit" w:hAnsi="inherit"/>
          <w:b/>
          <w:sz w:val="17"/>
        </w:rPr>
      </w:pPr>
      <w:r>
        <w:rPr>
          <w:rFonts w:ascii="inherit" w:hAnsi="inherit"/>
          <w:b/>
          <w:sz w:val="17"/>
        </w:rPr>
        <w:t>(Exact name of Registrant as specified in its charter)</w:t>
      </w:r>
    </w:p>
    <w:tbl>
      <w:tblPr>
        <w:tblW w:w="10205" w:type="dxa"/>
        <w:jc w:val="center"/>
        <w:tblInd w:w="0" w:type="dxa"/>
        <w:tblCellMar>
          <w:top w:w="0" w:type="dxa"/>
          <w:left w:w="0" w:type="dxa"/>
          <w:bottom w:w="0" w:type="dxa"/>
          <w:right w:w="0" w:type="dxa"/>
        </w:tblCellMar>
      </w:tblPr>
      <w:tblGrid>
        <w:gridCol w:w="1122"/>
        <w:gridCol w:w="1107"/>
        <w:gridCol w:w="5745"/>
        <w:gridCol w:w="1107"/>
        <w:gridCol w:w="1124"/>
      </w:tblGrid>
      <w:tr>
        <w:trPr/>
        <w:tc>
          <w:tcPr>
            <w:tcW w:w="10205" w:type="dxa"/>
            <w:gridSpan w:val="5"/>
            <w:tcBorders/>
            <w:shd w:fill="auto" w:val="clear"/>
            <w:vAlign w:val="center"/>
          </w:tcPr>
          <w:p>
            <w:pPr>
              <w:pStyle w:val="TableContents"/>
              <w:spacing w:before="0" w:after="283"/>
              <w:rPr>
                <w:sz w:val="4"/>
                <w:szCs w:val="4"/>
              </w:rPr>
            </w:pPr>
            <w:r>
              <w:rPr>
                <w:sz w:val="4"/>
                <w:szCs w:val="4"/>
              </w:rPr>
            </w:r>
          </w:p>
        </w:tc>
      </w:tr>
      <w:tr>
        <w:trPr/>
        <w:tc>
          <w:tcPr>
            <w:tcW w:w="1122"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5745"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122" w:type="dxa"/>
            <w:tcBorders/>
            <w:shd w:fill="auto" w:val="clear"/>
            <w:vAlign w:val="center"/>
          </w:tcPr>
          <w:p>
            <w:pPr>
              <w:pStyle w:val="TableContents"/>
              <w:spacing w:before="0" w:after="0"/>
              <w:ind w:left="0" w:right="0" w:firstLine="30"/>
              <w:rPr/>
            </w:pPr>
            <w:r>
              <w:rPr/>
              <w:t> </w:t>
            </w:r>
          </w:p>
        </w:tc>
        <w:tc>
          <w:tcPr>
            <w:tcW w:w="1107" w:type="dxa"/>
            <w:tcBorders/>
            <w:shd w:fill="auto" w:val="clear"/>
            <w:vAlign w:val="center"/>
          </w:tcPr>
          <w:p>
            <w:pPr>
              <w:pStyle w:val="TableContents"/>
              <w:spacing w:before="0" w:after="0"/>
              <w:ind w:left="0" w:right="0" w:firstLine="30"/>
              <w:rPr/>
            </w:pPr>
            <w:r>
              <w:rPr/>
              <w:t> </w:t>
            </w:r>
          </w:p>
        </w:tc>
        <w:tc>
          <w:tcPr>
            <w:tcW w:w="5745"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107" w:type="dxa"/>
            <w:tcBorders/>
            <w:shd w:fill="auto" w:val="clear"/>
            <w:vAlign w:val="center"/>
          </w:tcPr>
          <w:p>
            <w:pPr>
              <w:pStyle w:val="TableContents"/>
              <w:spacing w:before="0" w:after="0"/>
              <w:ind w:left="0" w:right="0" w:firstLine="30"/>
              <w:rPr/>
            </w:pPr>
            <w:r>
              <w:rPr/>
              <w:t> </w:t>
            </w:r>
          </w:p>
        </w:tc>
        <w:tc>
          <w:tcPr>
            <w:tcW w:w="1124" w:type="dxa"/>
            <w:tcBorders/>
            <w:shd w:fill="auto" w:val="clear"/>
            <w:vAlign w:val="center"/>
          </w:tcPr>
          <w:p>
            <w:pPr>
              <w:pStyle w:val="TableContents"/>
              <w:spacing w:before="0" w:after="0"/>
              <w:rPr/>
            </w:pPr>
            <w:r>
              <w:rPr/>
              <w:t> </w:t>
            </w:r>
          </w:p>
        </w:tc>
      </w:tr>
    </w:tbl>
    <w:p>
      <w:pPr>
        <w:pStyle w:val="TextBody"/>
        <w:spacing w:lineRule="auto" w:line="288" w:before="0" w:after="0"/>
        <w:jc w:val="center"/>
        <w:rPr>
          <w:rFonts w:ascii="inherit" w:hAnsi="inherit"/>
          <w:sz w:val="17"/>
        </w:rPr>
      </w:pPr>
      <w:r>
        <w:rPr>
          <w:rFonts w:ascii="inherit" w:hAnsi="inherit"/>
          <w:sz w:val="17"/>
        </w:rPr>
      </w:r>
    </w:p>
    <w:tbl>
      <w:tblPr>
        <w:tblW w:w="4648" w:type="dxa"/>
        <w:jc w:val="left"/>
        <w:tblInd w:w="0" w:type="dxa"/>
        <w:tblCellMar>
          <w:top w:w="0" w:type="dxa"/>
          <w:left w:w="0" w:type="dxa"/>
          <w:bottom w:w="0" w:type="dxa"/>
          <w:right w:w="0" w:type="dxa"/>
        </w:tblCellMar>
      </w:tblPr>
      <w:tblGrid>
        <w:gridCol w:w="2278"/>
        <w:gridCol w:w="139"/>
        <w:gridCol w:w="2231"/>
      </w:tblGrid>
      <w:tr>
        <w:trPr/>
        <w:tc>
          <w:tcPr>
            <w:tcW w:w="4648" w:type="dxa"/>
            <w:gridSpan w:val="3"/>
            <w:tcBorders/>
            <w:shd w:fill="auto" w:val="clear"/>
            <w:vAlign w:val="center"/>
          </w:tcPr>
          <w:p>
            <w:pPr>
              <w:pStyle w:val="TableContents"/>
              <w:spacing w:before="0" w:after="283"/>
              <w:rPr>
                <w:sz w:val="4"/>
                <w:szCs w:val="4"/>
              </w:rPr>
            </w:pPr>
            <w:r>
              <w:rPr>
                <w:sz w:val="4"/>
                <w:szCs w:val="4"/>
              </w:rPr>
            </w:r>
          </w:p>
        </w:tc>
      </w:tr>
      <w:tr>
        <w:trPr/>
        <w:tc>
          <w:tcPr>
            <w:tcW w:w="2278"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23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278"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Delaware</w:t>
            </w:r>
          </w:p>
        </w:tc>
        <w:tc>
          <w:tcPr>
            <w:tcW w:w="139" w:type="dxa"/>
            <w:tcBorders/>
            <w:shd w:fill="auto" w:val="clear"/>
            <w:vAlign w:val="center"/>
          </w:tcPr>
          <w:p>
            <w:pPr>
              <w:pStyle w:val="TableContents"/>
              <w:spacing w:before="0" w:after="0"/>
              <w:ind w:left="0" w:right="0" w:firstLine="30"/>
              <w:jc w:val="left"/>
              <w:rPr/>
            </w:pPr>
            <w:r>
              <w:rPr/>
              <w:t> </w:t>
            </w:r>
          </w:p>
        </w:tc>
        <w:tc>
          <w:tcPr>
            <w:tcW w:w="2231"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32-0436529</w:t>
            </w:r>
          </w:p>
        </w:tc>
      </w:tr>
      <w:tr>
        <w:trPr/>
        <w:tc>
          <w:tcPr>
            <w:tcW w:w="2278" w:type="dxa"/>
            <w:tcBorders/>
            <w:shd w:fill="auto" w:val="clear"/>
            <w:vAlign w:val="center"/>
          </w:tcPr>
          <w:p>
            <w:pPr>
              <w:pStyle w:val="TableContents"/>
              <w:spacing w:before="0" w:after="0"/>
              <w:jc w:val="center"/>
              <w:rPr>
                <w:rFonts w:ascii="inherit" w:hAnsi="inherit"/>
                <w:b/>
                <w:sz w:val="13"/>
              </w:rPr>
            </w:pPr>
            <w:r>
              <w:rPr>
                <w:rFonts w:ascii="inherit" w:hAnsi="inherit"/>
                <w:b/>
                <w:sz w:val="13"/>
              </w:rPr>
              <w:t>(State or other jurisdiction of</w:t>
            </w:r>
          </w:p>
          <w:p>
            <w:pPr>
              <w:pStyle w:val="TableContents"/>
              <w:spacing w:before="0" w:after="0"/>
              <w:ind w:left="0" w:right="0" w:firstLine="30"/>
              <w:jc w:val="center"/>
              <w:rPr>
                <w:rFonts w:ascii="inherit" w:hAnsi="inherit"/>
                <w:b/>
                <w:sz w:val="13"/>
              </w:rPr>
            </w:pPr>
            <w:r>
              <w:rPr>
                <w:rFonts w:ascii="inherit" w:hAnsi="inherit"/>
                <w:b/>
                <w:sz w:val="13"/>
              </w:rPr>
              <w:t>incorporation or organization)</w:t>
            </w:r>
          </w:p>
        </w:tc>
        <w:tc>
          <w:tcPr>
            <w:tcW w:w="139" w:type="dxa"/>
            <w:tcBorders/>
            <w:shd w:fill="auto" w:val="clear"/>
            <w:vAlign w:val="center"/>
          </w:tcPr>
          <w:p>
            <w:pPr>
              <w:pStyle w:val="TableContents"/>
              <w:spacing w:before="0" w:after="0"/>
              <w:ind w:left="0" w:right="0" w:firstLine="30"/>
              <w:jc w:val="left"/>
              <w:rPr/>
            </w:pPr>
            <w:r>
              <w:rPr/>
              <w:t> </w:t>
            </w:r>
          </w:p>
        </w:tc>
        <w:tc>
          <w:tcPr>
            <w:tcW w:w="2231" w:type="dxa"/>
            <w:tcBorders/>
            <w:shd w:fill="auto" w:val="clear"/>
            <w:vAlign w:val="center"/>
          </w:tcPr>
          <w:p>
            <w:pPr>
              <w:pStyle w:val="TableContents"/>
              <w:spacing w:before="0" w:after="0"/>
              <w:jc w:val="center"/>
              <w:rPr>
                <w:rFonts w:ascii="inherit" w:hAnsi="inherit"/>
                <w:b/>
                <w:sz w:val="13"/>
              </w:rPr>
            </w:pPr>
            <w:r>
              <w:rPr>
                <w:rFonts w:ascii="inherit" w:hAnsi="inherit"/>
                <w:b/>
                <w:sz w:val="13"/>
              </w:rPr>
              <w:t>(I.R.S. Employer</w:t>
            </w:r>
          </w:p>
          <w:p>
            <w:pPr>
              <w:pStyle w:val="TableContents"/>
              <w:spacing w:before="0" w:after="0"/>
              <w:jc w:val="center"/>
              <w:rPr>
                <w:rFonts w:ascii="inherit" w:hAnsi="inherit"/>
                <w:b/>
                <w:sz w:val="13"/>
              </w:rPr>
            </w:pPr>
            <w:r>
              <w:rPr>
                <w:rFonts w:ascii="inherit" w:hAnsi="inherit"/>
                <w:b/>
                <w:sz w:val="13"/>
              </w:rPr>
              <w:t>Identification Number)</w:t>
            </w:r>
          </w:p>
        </w:tc>
      </w:tr>
    </w:tbl>
    <w:p>
      <w:pPr>
        <w:pStyle w:val="TextBody"/>
        <w:spacing w:lineRule="auto" w:line="288" w:before="0" w:after="0"/>
        <w:jc w:val="center"/>
        <w:rPr>
          <w:rFonts w:ascii="inherit" w:hAnsi="inherit"/>
          <w:b/>
          <w:sz w:val="17"/>
        </w:rPr>
      </w:pPr>
      <w:r>
        <w:rPr>
          <w:rFonts w:ascii="inherit" w:hAnsi="inherit"/>
          <w:b/>
          <w:sz w:val="17"/>
        </w:rPr>
        <w:t>2801 Post Oak Boulevard, Suite 600</w:t>
      </w:r>
    </w:p>
    <w:p>
      <w:pPr>
        <w:pStyle w:val="TextBody"/>
        <w:spacing w:lineRule="auto" w:line="288" w:before="0" w:after="0"/>
        <w:jc w:val="center"/>
        <w:rPr>
          <w:rFonts w:ascii="inherit" w:hAnsi="inherit"/>
          <w:b/>
          <w:sz w:val="17"/>
        </w:rPr>
      </w:pPr>
      <w:r>
        <w:rPr>
          <w:rFonts w:ascii="inherit" w:hAnsi="inherit"/>
          <w:b/>
          <w:sz w:val="17"/>
        </w:rPr>
        <w:t>Houston, Texas 77056</w:t>
      </w:r>
    </w:p>
    <w:p>
      <w:pPr>
        <w:pStyle w:val="TextBody"/>
        <w:spacing w:lineRule="auto" w:line="288" w:before="0" w:after="0"/>
        <w:jc w:val="center"/>
        <w:rPr>
          <w:rFonts w:ascii="inherit" w:hAnsi="inherit"/>
          <w:b/>
          <w:sz w:val="13"/>
        </w:rPr>
      </w:pPr>
      <w:r>
        <w:rPr>
          <w:rFonts w:ascii="inherit" w:hAnsi="inherit"/>
          <w:b/>
          <w:sz w:val="13"/>
        </w:rPr>
        <w:t>(Address of principal executive offices, including zip code)</w:t>
      </w:r>
    </w:p>
    <w:p>
      <w:pPr>
        <w:pStyle w:val="TextBody"/>
        <w:spacing w:lineRule="auto" w:line="288" w:before="0" w:after="0"/>
        <w:jc w:val="center"/>
        <w:rPr>
          <w:rFonts w:ascii="inherit" w:hAnsi="inherit"/>
          <w:b/>
          <w:sz w:val="17"/>
        </w:rPr>
      </w:pPr>
      <w:r>
        <w:rPr>
          <w:rFonts w:ascii="inherit" w:hAnsi="inherit"/>
          <w:b/>
          <w:sz w:val="17"/>
        </w:rPr>
        <w:t>(713) 585-2900</w:t>
      </w:r>
    </w:p>
    <w:p>
      <w:pPr>
        <w:pStyle w:val="TextBody"/>
        <w:spacing w:lineRule="auto" w:line="288" w:before="0" w:after="0"/>
        <w:jc w:val="center"/>
        <w:rPr>
          <w:rFonts w:ascii="inherit" w:hAnsi="inherit"/>
          <w:b/>
          <w:sz w:val="13"/>
        </w:rPr>
      </w:pPr>
      <w:r>
        <w:rPr>
          <w:rFonts w:ascii="inherit" w:hAnsi="inherit"/>
          <w:b/>
          <w:sz w:val="13"/>
        </w:rPr>
        <w:t>(Registrant's telephone number, including area code)</w:t>
      </w:r>
    </w:p>
    <w:p>
      <w:pPr>
        <w:pStyle w:val="TextBody"/>
        <w:spacing w:lineRule="auto" w:line="288" w:before="0" w:after="0"/>
        <w:rPr>
          <w:sz w:val="17"/>
        </w:rPr>
      </w:pPr>
      <w:r>
        <w:rPr>
          <w:rFonts w:ascii="inherit" w:hAnsi="inherit"/>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inherit" w:hAnsi="inherit"/>
          <w:b/>
          <w:sz w:val="17"/>
        </w:rPr>
        <w:t>Yes</w:t>
      </w:r>
      <w:r>
        <w:rPr>
          <w:sz w:val="17"/>
        </w:rPr>
        <w:t>   </w:t>
      </w:r>
      <w:r>
        <w:rPr>
          <w:rFonts w:ascii="Wingdings" w:hAnsi="Wingdings"/>
          <w:sz w:val="17"/>
        </w:rPr>
        <w:t>x</w:t>
      </w:r>
      <w:r>
        <w:rPr>
          <w:sz w:val="17"/>
        </w:rPr>
        <w:t>     </w:t>
      </w:r>
      <w:r>
        <w:rPr>
          <w:rFonts w:ascii="inherit" w:hAnsi="inherit"/>
          <w:b/>
          <w:sz w:val="17"/>
        </w:rPr>
        <w:t>No</w:t>
      </w:r>
      <w:r>
        <w:rPr>
          <w:sz w:val="17"/>
        </w:rPr>
        <w:t>   ☐</w:t>
      </w:r>
    </w:p>
    <w:p>
      <w:pPr>
        <w:pStyle w:val="TextBody"/>
        <w:spacing w:lineRule="auto" w:line="288" w:before="0" w:after="0"/>
        <w:rPr>
          <w:sz w:val="17"/>
        </w:rPr>
      </w:pPr>
      <w:r>
        <w:rPr>
          <w:rFonts w:ascii="inherit" w:hAnsi="inherit"/>
          <w:sz w:val="17"/>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inherit" w:hAnsi="inherit"/>
          <w:b/>
          <w:sz w:val="17"/>
        </w:rPr>
        <w:t>Yes</w:t>
      </w:r>
      <w:r>
        <w:rPr>
          <w:sz w:val="17"/>
        </w:rPr>
        <w:t>   </w:t>
      </w:r>
      <w:r>
        <w:rPr>
          <w:rFonts w:ascii="Wingdings" w:hAnsi="Wingdings"/>
          <w:sz w:val="17"/>
        </w:rPr>
        <w:t>x</w:t>
      </w:r>
      <w:r>
        <w:rPr>
          <w:sz w:val="17"/>
        </w:rPr>
        <w:t>     </w:t>
      </w:r>
      <w:r>
        <w:rPr>
          <w:rFonts w:ascii="inherit" w:hAnsi="inherit"/>
          <w:b/>
          <w:sz w:val="17"/>
        </w:rPr>
        <w:t>No</w:t>
      </w:r>
      <w:r>
        <w:rPr>
          <w:sz w:val="17"/>
        </w:rPr>
        <w:t>   ☐</w:t>
      </w:r>
    </w:p>
    <w:p>
      <w:pPr>
        <w:pStyle w:val="TextBody"/>
        <w:spacing w:lineRule="auto" w:line="288" w:before="0" w:after="0"/>
        <w:rPr>
          <w:rFonts w:ascii="inherit" w:hAnsi="inherit"/>
          <w:sz w:val="17"/>
        </w:rPr>
      </w:pPr>
      <w:r>
        <w:rPr>
          <w:rFonts w:ascii="inherit" w:hAnsi="inherit"/>
          <w:sz w:val="17"/>
        </w:rPr>
        <w:t>Indicate by check mark whether the registrant is a large accelerated filer, an accelerated filer, or a smaller reporting company. See definitions of "large accelerated filer," "accelerated filer" and "smaller reporting company" in Rule 12b-2 of the Exchange Act (Check one):</w:t>
      </w:r>
    </w:p>
    <w:tbl>
      <w:tblPr>
        <w:tblW w:w="9985" w:type="dxa"/>
        <w:jc w:val="left"/>
        <w:tblInd w:w="0" w:type="dxa"/>
        <w:tblCellMar>
          <w:top w:w="0" w:type="dxa"/>
          <w:left w:w="0" w:type="dxa"/>
          <w:bottom w:w="0" w:type="dxa"/>
          <w:right w:w="0" w:type="dxa"/>
        </w:tblCellMar>
      </w:tblPr>
      <w:tblGrid>
        <w:gridCol w:w="2497"/>
        <w:gridCol w:w="99"/>
        <w:gridCol w:w="4095"/>
        <w:gridCol w:w="99"/>
        <w:gridCol w:w="2597"/>
        <w:gridCol w:w="199"/>
        <w:gridCol w:w="399"/>
      </w:tblGrid>
      <w:tr>
        <w:trPr/>
        <w:tc>
          <w:tcPr>
            <w:tcW w:w="9985" w:type="dxa"/>
            <w:gridSpan w:val="7"/>
            <w:tcBorders/>
            <w:shd w:fill="auto" w:val="clear"/>
            <w:vAlign w:val="center"/>
          </w:tcPr>
          <w:p>
            <w:pPr>
              <w:pStyle w:val="TableContents"/>
              <w:spacing w:before="0" w:after="283"/>
              <w:rPr>
                <w:sz w:val="4"/>
                <w:szCs w:val="4"/>
              </w:rPr>
            </w:pPr>
            <w:r>
              <w:rPr>
                <w:sz w:val="4"/>
                <w:szCs w:val="4"/>
              </w:rPr>
            </w:r>
          </w:p>
        </w:tc>
      </w:tr>
      <w:tr>
        <w:trPr/>
        <w:tc>
          <w:tcPr>
            <w:tcW w:w="2497"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2597"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497"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Large accelerated filer</w:t>
            </w:r>
          </w:p>
        </w:tc>
        <w:tc>
          <w:tcPr>
            <w:tcW w:w="99" w:type="dxa"/>
            <w:tcBorders/>
            <w:shd w:fill="auto" w:val="clear"/>
            <w:vAlign w:val="center"/>
          </w:tcPr>
          <w:p>
            <w:pPr>
              <w:pStyle w:val="TableContents"/>
              <w:spacing w:before="0" w:after="0"/>
              <w:ind w:left="0" w:right="0" w:firstLine="30"/>
              <w:rPr/>
            </w:pPr>
            <w:r>
              <w:rPr/>
              <w:t> </w:t>
            </w:r>
          </w:p>
        </w:tc>
        <w:tc>
          <w:tcPr>
            <w:tcW w:w="4095" w:type="dxa"/>
            <w:tcBorders/>
            <w:shd w:fill="auto" w:val="clear"/>
            <w:vAlign w:val="center"/>
          </w:tcPr>
          <w:p>
            <w:pPr>
              <w:pStyle w:val="TableContents"/>
              <w:spacing w:before="0" w:after="0"/>
              <w:ind w:left="0" w:right="0" w:firstLine="30"/>
              <w:jc w:val="left"/>
              <w:rPr/>
            </w:pPr>
            <w:r>
              <w:rPr/>
              <w:t>☐</w:t>
            </w:r>
          </w:p>
        </w:tc>
        <w:tc>
          <w:tcPr>
            <w:tcW w:w="99" w:type="dxa"/>
            <w:tcBorders/>
            <w:shd w:fill="auto" w:val="clear"/>
            <w:vAlign w:val="center"/>
          </w:tcPr>
          <w:p>
            <w:pPr>
              <w:pStyle w:val="TableContents"/>
              <w:spacing w:before="0" w:after="0"/>
              <w:ind w:left="0" w:right="0" w:firstLine="30"/>
              <w:rPr/>
            </w:pPr>
            <w:r>
              <w:rPr/>
              <w:t> </w:t>
            </w:r>
          </w:p>
        </w:tc>
        <w:tc>
          <w:tcPr>
            <w:tcW w:w="2597"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Accelerated filer</w:t>
            </w:r>
          </w:p>
        </w:tc>
        <w:tc>
          <w:tcPr>
            <w:tcW w:w="199" w:type="dxa"/>
            <w:tcBorders/>
            <w:shd w:fill="auto" w:val="clear"/>
            <w:vAlign w:val="center"/>
          </w:tcPr>
          <w:p>
            <w:pPr>
              <w:pStyle w:val="TableContents"/>
              <w:spacing w:before="0" w:after="0"/>
              <w:ind w:left="0" w:right="0" w:firstLine="30"/>
              <w:jc w:val="left"/>
              <w:rPr/>
            </w:pPr>
            <w:r>
              <w:rPr/>
              <w:t> </w:t>
            </w:r>
          </w:p>
        </w:tc>
        <w:tc>
          <w:tcPr>
            <w:tcW w:w="399" w:type="dxa"/>
            <w:tcBorders/>
            <w:shd w:fill="auto" w:val="clear"/>
            <w:vAlign w:val="center"/>
          </w:tcPr>
          <w:p>
            <w:pPr>
              <w:pStyle w:val="TableContents"/>
              <w:spacing w:before="0" w:after="0"/>
              <w:ind w:left="0" w:right="0" w:firstLine="30"/>
              <w:jc w:val="left"/>
              <w:rPr/>
            </w:pPr>
            <w:r>
              <w:rPr/>
              <w:t>☐</w:t>
            </w:r>
          </w:p>
        </w:tc>
      </w:tr>
      <w:tr>
        <w:trPr/>
        <w:tc>
          <w:tcPr>
            <w:tcW w:w="2497"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Non-accelerated filer</w:t>
            </w:r>
          </w:p>
        </w:tc>
        <w:tc>
          <w:tcPr>
            <w:tcW w:w="99" w:type="dxa"/>
            <w:tcBorders/>
            <w:shd w:fill="auto" w:val="clear"/>
            <w:vAlign w:val="center"/>
          </w:tcPr>
          <w:p>
            <w:pPr>
              <w:pStyle w:val="TableContents"/>
              <w:spacing w:before="0" w:after="0"/>
              <w:ind w:left="0" w:right="0" w:firstLine="30"/>
              <w:rPr/>
            </w:pPr>
            <w:r>
              <w:rPr/>
              <w:t> </w:t>
            </w:r>
          </w:p>
        </w:tc>
        <w:tc>
          <w:tcPr>
            <w:tcW w:w="4095" w:type="dxa"/>
            <w:tcBorders/>
            <w:shd w:fill="auto" w:val="clear"/>
            <w:vAlign w:val="center"/>
          </w:tcPr>
          <w:p>
            <w:pPr>
              <w:pStyle w:val="TableContents"/>
              <w:spacing w:before="0" w:after="0"/>
              <w:ind w:left="0" w:right="0" w:firstLine="30"/>
              <w:rPr>
                <w:sz w:val="17"/>
              </w:rPr>
            </w:pPr>
            <w:r>
              <w:rPr>
                <w:rFonts w:ascii="Wingdings" w:hAnsi="Wingdings"/>
                <w:sz w:val="17"/>
              </w:rPr>
              <w:t>x</w:t>
            </w:r>
            <w:r>
              <w:rPr>
                <w:sz w:val="17"/>
              </w:rPr>
              <w:t>  </w:t>
            </w:r>
            <w:r>
              <w:rPr>
                <w:rFonts w:ascii="inherit" w:hAnsi="inherit"/>
                <w:sz w:val="17"/>
              </w:rPr>
              <w:t>(Do not check if a smaller reporting company)</w:t>
            </w:r>
          </w:p>
        </w:tc>
        <w:tc>
          <w:tcPr>
            <w:tcW w:w="99" w:type="dxa"/>
            <w:tcBorders/>
            <w:shd w:fill="auto" w:val="clear"/>
            <w:vAlign w:val="center"/>
          </w:tcPr>
          <w:p>
            <w:pPr>
              <w:pStyle w:val="TableContents"/>
              <w:spacing w:before="0" w:after="0"/>
              <w:ind w:left="0" w:right="0" w:firstLine="30"/>
              <w:rPr/>
            </w:pPr>
            <w:r>
              <w:rPr/>
              <w:t> </w:t>
            </w:r>
          </w:p>
        </w:tc>
        <w:tc>
          <w:tcPr>
            <w:tcW w:w="2597"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Smaller reporting company</w:t>
            </w:r>
          </w:p>
        </w:tc>
        <w:tc>
          <w:tcPr>
            <w:tcW w:w="199" w:type="dxa"/>
            <w:tcBorders/>
            <w:shd w:fill="auto" w:val="clear"/>
            <w:vAlign w:val="center"/>
          </w:tcPr>
          <w:p>
            <w:pPr>
              <w:pStyle w:val="TableContents"/>
              <w:spacing w:before="0" w:after="0"/>
              <w:ind w:left="0" w:right="0" w:firstLine="30"/>
              <w:jc w:val="left"/>
              <w:rPr/>
            </w:pPr>
            <w:r>
              <w:rPr/>
              <w:t> </w:t>
            </w:r>
          </w:p>
        </w:tc>
        <w:tc>
          <w:tcPr>
            <w:tcW w:w="399" w:type="dxa"/>
            <w:tcBorders/>
            <w:shd w:fill="auto" w:val="clear"/>
            <w:vAlign w:val="center"/>
          </w:tcPr>
          <w:p>
            <w:pPr>
              <w:pStyle w:val="TableContents"/>
              <w:spacing w:before="0" w:after="0"/>
              <w:jc w:val="left"/>
              <w:rPr/>
            </w:pPr>
            <w:r>
              <w:rPr/>
              <w:t>☐</w:t>
            </w:r>
          </w:p>
        </w:tc>
      </w:tr>
    </w:tbl>
    <w:p>
      <w:pPr>
        <w:pStyle w:val="TextBody"/>
        <w:spacing w:lineRule="auto" w:line="288" w:before="0" w:after="0"/>
        <w:rPr>
          <w:sz w:val="17"/>
        </w:rPr>
      </w:pPr>
      <w:r>
        <w:rPr>
          <w:rFonts w:ascii="inherit" w:hAnsi="inherit"/>
          <w:sz w:val="17"/>
        </w:rPr>
        <w:t>Indicate by check mark whether the registrant is a shell company (as defined in Rule 12b-2 of the Exchange Act)     </w:t>
      </w:r>
      <w:r>
        <w:rPr>
          <w:rFonts w:ascii="inherit" w:hAnsi="inherit"/>
          <w:b/>
          <w:sz w:val="17"/>
        </w:rPr>
        <w:t>Yes</w:t>
      </w:r>
      <w:r>
        <w:rPr>
          <w:sz w:val="17"/>
        </w:rPr>
        <w:t>   ☐     </w:t>
      </w:r>
      <w:r>
        <w:rPr>
          <w:rFonts w:ascii="inherit" w:hAnsi="inherit"/>
          <w:b/>
          <w:sz w:val="17"/>
        </w:rPr>
        <w:t>No</w:t>
      </w:r>
      <w:r>
        <w:rPr>
          <w:sz w:val="17"/>
        </w:rPr>
        <w:t>   </w:t>
      </w:r>
      <w:r>
        <w:rPr>
          <w:rFonts w:ascii="Wingdings" w:hAnsi="Wingdings"/>
          <w:sz w:val="17"/>
        </w:rPr>
        <w:t>x</w:t>
      </w:r>
    </w:p>
    <w:p>
      <w:pPr>
        <w:pStyle w:val="TextBody"/>
        <w:spacing w:lineRule="auto" w:line="288" w:before="0" w:after="0"/>
        <w:jc w:val="left"/>
        <w:rPr>
          <w:sz w:val="17"/>
        </w:rPr>
      </w:pPr>
      <w:r>
        <w:rPr>
          <w:rFonts w:ascii="inherit" w:hAnsi="inherit"/>
          <w:sz w:val="17"/>
        </w:rPr>
        <w:t xml:space="preserve">The registrant had </w:t>
      </w:r>
      <w:r>
        <w:rPr>
          <w:rFonts w:ascii="Times New Roman" w:hAnsi="Times New Roman"/>
          <w:color w:val="000000"/>
          <w:sz w:val="17"/>
        </w:rPr>
        <w:t>14,373,615</w:t>
      </w:r>
      <w:r>
        <w:rPr>
          <w:sz w:val="17"/>
        </w:rPr>
        <w:t xml:space="preserve"> </w:t>
      </w:r>
      <w:r>
        <w:rPr>
          <w:rFonts w:ascii="inherit" w:hAnsi="inherit"/>
          <w:sz w:val="17"/>
        </w:rPr>
        <w:t xml:space="preserve">common units and </w:t>
      </w:r>
      <w:r>
        <w:rPr>
          <w:rFonts w:ascii="Times New Roman" w:hAnsi="Times New Roman"/>
          <w:b w:val="false"/>
          <w:i w:val="false"/>
          <w:caps w:val="false"/>
          <w:smallCaps w:val="false"/>
          <w:strike w:val="false"/>
          <w:dstrike w:val="false"/>
          <w:color w:val="000000"/>
          <w:sz w:val="17"/>
          <w:u w:val="none"/>
          <w:effect w:val="none"/>
        </w:rPr>
        <w:t>12,686,115</w:t>
      </w:r>
      <w:r>
        <w:rPr>
          <w:sz w:val="17"/>
        </w:rPr>
        <w:t xml:space="preserve"> </w:t>
      </w:r>
      <w:r>
        <w:rPr>
          <w:rFonts w:ascii="inherit" w:hAnsi="inherit"/>
          <w:sz w:val="17"/>
        </w:rPr>
        <w:t xml:space="preserve">subordinated units outstanding as of </w:t>
      </w:r>
      <w:r>
        <w:rPr>
          <w:rFonts w:ascii="inherit" w:hAnsi="inherit"/>
          <w:strike w:val="false"/>
          <w:dstrike w:val="false"/>
          <w:color w:val="000000"/>
          <w:sz w:val="17"/>
          <w:u w:val="none"/>
          <w:effect w:val="none"/>
        </w:rPr>
        <w:t>October 31, 2014</w:t>
      </w:r>
      <w:r>
        <w:rPr>
          <w:rFonts w:ascii="inherit" w:hAnsi="inherit"/>
          <w:sz w:val="17"/>
        </w:rPr>
        <w:t>.</w:t>
      </w:r>
    </w:p>
    <w:p>
      <w:pPr>
        <w:pStyle w:val="TextBody"/>
        <w:rPr/>
      </w:pPr>
      <w:r>
        <w:rPr/>
      </w:r>
      <w:r>
        <w:br w:type="page"/>
      </w:r>
    </w:p>
    <w:p>
      <w:pPr>
        <w:pStyle w:val="TextBody"/>
        <w:spacing w:before="0" w:after="0"/>
        <w:rPr/>
      </w:pPr>
      <w:r>
        <w:rPr/>
      </w:r>
      <w:bookmarkStart w:id="6" w:name="s7D21BC485A80E1C3273666ECEC2365C6"/>
      <w:bookmarkStart w:id="7" w:name="s7D21BC485A80E1C3273666ECEC2365C6"/>
      <w:bookmarkEnd w:id="7"/>
    </w:p>
    <w:p>
      <w:pPr>
        <w:pStyle w:val="TextBody"/>
        <w:spacing w:lineRule="auto" w:line="288" w:before="0" w:after="0"/>
        <w:jc w:val="center"/>
        <w:rPr>
          <w:rFonts w:ascii="inherit" w:hAnsi="inherit"/>
          <w:b/>
          <w:sz w:val="17"/>
        </w:rPr>
      </w:pPr>
      <w:r>
        <w:rPr>
          <w:rFonts w:ascii="inherit" w:hAnsi="inherit"/>
          <w:b/>
          <w:sz w:val="17"/>
        </w:rPr>
        <w:t>INDEX</w:t>
      </w:r>
    </w:p>
    <w:p>
      <w:pPr>
        <w:pStyle w:val="TextBody"/>
        <w:spacing w:lineRule="auto" w:line="288" w:before="0" w:after="0"/>
        <w:rPr>
          <w:rFonts w:ascii="inherit" w:hAnsi="inherit"/>
          <w:sz w:val="15"/>
        </w:rPr>
      </w:pPr>
      <w:r>
        <w:rPr>
          <w:rFonts w:ascii="inherit" w:hAnsi="inherit"/>
          <w:sz w:val="15"/>
        </w:rPr>
      </w:r>
    </w:p>
    <w:tbl>
      <w:tblPr>
        <w:tblW w:w="9587" w:type="dxa"/>
        <w:jc w:val="left"/>
        <w:tblInd w:w="0" w:type="dxa"/>
        <w:tblCellMar>
          <w:top w:w="0" w:type="dxa"/>
          <w:left w:w="0" w:type="dxa"/>
          <w:bottom w:w="0" w:type="dxa"/>
          <w:right w:w="0" w:type="dxa"/>
        </w:tblCellMar>
      </w:tblPr>
      <w:tblGrid>
        <w:gridCol w:w="8916"/>
        <w:gridCol w:w="671"/>
      </w:tblGrid>
      <w:tr>
        <w:trPr/>
        <w:tc>
          <w:tcPr>
            <w:tcW w:w="9587" w:type="dxa"/>
            <w:gridSpan w:val="2"/>
            <w:tcBorders/>
            <w:shd w:fill="auto" w:val="clear"/>
            <w:vAlign w:val="center"/>
          </w:tcPr>
          <w:p>
            <w:pPr>
              <w:pStyle w:val="TableContents"/>
              <w:spacing w:before="0" w:after="283"/>
              <w:rPr>
                <w:sz w:val="4"/>
                <w:szCs w:val="4"/>
              </w:rPr>
            </w:pPr>
            <w:r>
              <w:rPr>
                <w:sz w:val="4"/>
                <w:szCs w:val="4"/>
              </w:rPr>
            </w:r>
          </w:p>
        </w:tc>
      </w:tr>
      <w:tr>
        <w:trPr/>
        <w:tc>
          <w:tcPr>
            <w:tcW w:w="891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8916" w:type="dxa"/>
            <w:tcBorders/>
            <w:shd w:fill="auto" w:val="clear"/>
            <w:vAlign w:val="center"/>
          </w:tcPr>
          <w:p>
            <w:pPr>
              <w:pStyle w:val="TableContents"/>
              <w:spacing w:before="0" w:after="0"/>
              <w:ind w:left="0" w:right="0" w:firstLine="30"/>
              <w:rPr/>
            </w:pPr>
            <w:r>
              <w:rPr/>
              <w:t> </w:t>
            </w:r>
          </w:p>
        </w:tc>
        <w:tc>
          <w:tcPr>
            <w:tcW w:w="671" w:type="dxa"/>
            <w:tcBorders/>
            <w:shd w:fill="auto" w:val="clear"/>
            <w:vAlign w:val="center"/>
          </w:tcPr>
          <w:p>
            <w:pPr>
              <w:pStyle w:val="TableContents"/>
              <w:spacing w:before="0" w:after="0"/>
              <w:ind w:left="0" w:right="0" w:firstLine="30"/>
              <w:rPr/>
            </w:pPr>
            <w:r>
              <w:rPr/>
              <w:t> </w:t>
            </w:r>
          </w:p>
        </w:tc>
      </w:tr>
      <w:tr>
        <w:trPr/>
        <w:tc>
          <w:tcPr>
            <w:tcW w:w="8916" w:type="dxa"/>
            <w:tcBorders/>
            <w:shd w:fill="auto" w:val="clear"/>
            <w:vAlign w:val="center"/>
          </w:tcPr>
          <w:p>
            <w:pPr>
              <w:pStyle w:val="TableContents"/>
              <w:spacing w:before="0" w:after="0"/>
              <w:ind w:left="0" w:right="0" w:firstLine="30"/>
              <w:jc w:val="left"/>
              <w:rPr>
                <w:rFonts w:ascii="inherit" w:hAnsi="inherit"/>
                <w:b/>
                <w:sz w:val="13"/>
                <w:u w:val="single"/>
              </w:rPr>
            </w:pPr>
            <w:r>
              <w:rPr>
                <w:rFonts w:ascii="inherit" w:hAnsi="inherit"/>
                <w:b/>
                <w:sz w:val="13"/>
                <w:u w:val="single"/>
              </w:rPr>
              <w:t xml:space="preserve">Item </w:t>
            </w:r>
          </w:p>
        </w:tc>
        <w:tc>
          <w:tcPr>
            <w:tcW w:w="671"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Page</w:t>
            </w:r>
          </w:p>
        </w:tc>
      </w:tr>
      <w:tr>
        <w:trPr/>
        <w:tc>
          <w:tcPr>
            <w:tcW w:w="8916" w:type="dxa"/>
            <w:tcBorders/>
            <w:shd w:fill="auto" w:val="clear"/>
            <w:vAlign w:val="center"/>
          </w:tcPr>
          <w:p>
            <w:pPr>
              <w:pStyle w:val="TableContents"/>
              <w:spacing w:before="0" w:after="0"/>
              <w:ind w:left="0" w:right="0" w:firstLine="30"/>
              <w:rPr/>
            </w:pPr>
            <w:hyperlink w:anchor="s594C6E9C360E92163E4366ECEC415F57">
              <w:r>
                <w:rPr>
                  <w:rStyle w:val="InternetLink"/>
                  <w:rFonts w:ascii="inherit" w:hAnsi="inherit"/>
                  <w:b/>
                  <w:strike w:val="false"/>
                  <w:dstrike w:val="false"/>
                  <w:color w:val="000000"/>
                  <w:sz w:val="17"/>
                  <w:u w:val="none"/>
                  <w:effect w:val="none"/>
                </w:rPr>
                <w:t>PART I. FINANCIAL INFORMATION</w:t>
              </w:r>
            </w:hyperlink>
          </w:p>
        </w:tc>
        <w:tc>
          <w:tcPr>
            <w:tcW w:w="671" w:type="dxa"/>
            <w:tcBorders/>
            <w:shd w:fill="auto" w:val="clear"/>
            <w:vAlign w:val="center"/>
          </w:tcPr>
          <w:p>
            <w:pPr>
              <w:pStyle w:val="TableContents"/>
              <w:spacing w:before="0" w:after="0"/>
              <w:ind w:left="0" w:right="0" w:firstLine="420"/>
              <w:rPr/>
            </w:pPr>
            <w:r>
              <w:rPr/>
              <w:t> </w:t>
            </w:r>
          </w:p>
        </w:tc>
      </w:tr>
      <w:tr>
        <w:trPr/>
        <w:tc>
          <w:tcPr>
            <w:tcW w:w="8916" w:type="dxa"/>
            <w:tcBorders/>
            <w:shd w:fill="auto" w:val="clear"/>
            <w:vAlign w:val="center"/>
          </w:tcPr>
          <w:p>
            <w:pPr>
              <w:pStyle w:val="TableContents"/>
              <w:spacing w:before="0" w:after="0"/>
              <w:ind w:left="0" w:right="0" w:firstLine="30"/>
              <w:rPr/>
            </w:pPr>
            <w:hyperlink w:anchor="sD37D13143A0C8ABE481E66ECEC736D50">
              <w:r>
                <w:rPr>
                  <w:rStyle w:val="InternetLink"/>
                  <w:rFonts w:ascii="inherit" w:hAnsi="inherit"/>
                  <w:strike w:val="false"/>
                  <w:dstrike w:val="false"/>
                  <w:color w:val="000000"/>
                  <w:sz w:val="17"/>
                  <w:u w:val="none"/>
                  <w:effect w:val="none"/>
                </w:rPr>
                <w:t>1) Financial Statements</w:t>
              </w:r>
            </w:hyperlink>
          </w:p>
        </w:tc>
        <w:tc>
          <w:tcPr>
            <w:tcW w:w="671" w:type="dxa"/>
            <w:tcBorders/>
            <w:shd w:fill="auto" w:val="clear"/>
            <w:vAlign w:val="center"/>
          </w:tcPr>
          <w:p>
            <w:pPr>
              <w:pStyle w:val="TableContents"/>
              <w:spacing w:before="0" w:after="0"/>
              <w:ind w:left="0" w:right="0" w:firstLine="420"/>
              <w:jc w:val="right"/>
              <w:rPr/>
            </w:pPr>
            <w:hyperlink w:anchor="sD37D13143A0C8ABE481E66ECEC736D50">
              <w:r>
                <w:rPr>
                  <w:rStyle w:val="InternetLink"/>
                  <w:rFonts w:ascii="inherit" w:hAnsi="inherit"/>
                  <w:strike w:val="false"/>
                  <w:dstrike w:val="false"/>
                  <w:color w:val="000000"/>
                  <w:sz w:val="17"/>
                  <w:u w:val="none"/>
                  <w:effect w:val="none"/>
                </w:rPr>
                <w:t>1</w:t>
              </w:r>
            </w:hyperlink>
          </w:p>
        </w:tc>
      </w:tr>
      <w:tr>
        <w:trPr/>
        <w:tc>
          <w:tcPr>
            <w:tcW w:w="8916" w:type="dxa"/>
            <w:tcBorders/>
            <w:shd w:fill="auto" w:val="clear"/>
            <w:vAlign w:val="center"/>
          </w:tcPr>
          <w:p>
            <w:pPr>
              <w:pStyle w:val="TableContents"/>
              <w:spacing w:before="0" w:after="0"/>
              <w:ind w:left="0" w:right="0" w:firstLine="30"/>
              <w:rPr/>
            </w:pPr>
            <w:hyperlink w:anchor="s9C2546C56352668CD99F66ECE9F30F6A">
              <w:r>
                <w:rPr>
                  <w:rStyle w:val="InternetLink"/>
                  <w:rFonts w:ascii="inherit" w:hAnsi="inherit"/>
                  <w:strike w:val="false"/>
                  <w:dstrike w:val="false"/>
                  <w:color w:val="000000"/>
                  <w:sz w:val="17"/>
                  <w:u w:val="none"/>
                  <w:effect w:val="none"/>
                </w:rPr>
                <w:t>2) Management's Discussion and Analysis of Financial Condition and Results of Operations</w:t>
              </w:r>
            </w:hyperlink>
          </w:p>
        </w:tc>
        <w:tc>
          <w:tcPr>
            <w:tcW w:w="671" w:type="dxa"/>
            <w:tcBorders/>
            <w:shd w:fill="auto" w:val="clear"/>
            <w:vAlign w:val="center"/>
          </w:tcPr>
          <w:p>
            <w:pPr>
              <w:pStyle w:val="TableContents"/>
              <w:spacing w:before="0" w:after="0"/>
              <w:ind w:left="0" w:right="0" w:firstLine="420"/>
              <w:jc w:val="right"/>
              <w:rPr/>
            </w:pPr>
            <w:hyperlink w:anchor="s9C2546C56352668CD99F66ECE9F30F6A">
              <w:r>
                <w:rPr>
                  <w:rStyle w:val="InternetLink"/>
                  <w:rFonts w:ascii="inherit" w:hAnsi="inherit"/>
                  <w:strike w:val="false"/>
                  <w:dstrike w:val="false"/>
                  <w:color w:val="000000"/>
                  <w:sz w:val="17"/>
                  <w:u w:val="none"/>
                  <w:effect w:val="none"/>
                </w:rPr>
                <w:t>19</w:t>
              </w:r>
            </w:hyperlink>
          </w:p>
        </w:tc>
      </w:tr>
      <w:tr>
        <w:trPr/>
        <w:tc>
          <w:tcPr>
            <w:tcW w:w="8916" w:type="dxa"/>
            <w:tcBorders/>
            <w:shd w:fill="auto" w:val="clear"/>
            <w:vAlign w:val="center"/>
          </w:tcPr>
          <w:p>
            <w:pPr>
              <w:pStyle w:val="TableContents"/>
              <w:spacing w:before="0" w:after="0"/>
              <w:ind w:left="0" w:right="0" w:firstLine="30"/>
              <w:rPr/>
            </w:pPr>
            <w:hyperlink w:anchor="s904C6E180600031C67BA66ECF06F366D">
              <w:r>
                <w:rPr>
                  <w:rStyle w:val="InternetLink"/>
                  <w:rFonts w:ascii="inherit" w:hAnsi="inherit"/>
                  <w:strike w:val="false"/>
                  <w:dstrike w:val="false"/>
                  <w:color w:val="000000"/>
                  <w:sz w:val="17"/>
                  <w:u w:val="none"/>
                  <w:effect w:val="none"/>
                </w:rPr>
                <w:t>3) Quantitative and Qualitative Disclosures about Market Risk</w:t>
              </w:r>
            </w:hyperlink>
          </w:p>
        </w:tc>
        <w:tc>
          <w:tcPr>
            <w:tcW w:w="671" w:type="dxa"/>
            <w:tcBorders/>
            <w:shd w:fill="auto" w:val="clear"/>
            <w:vAlign w:val="center"/>
          </w:tcPr>
          <w:p>
            <w:pPr>
              <w:pStyle w:val="TableContents"/>
              <w:spacing w:before="0" w:after="0"/>
              <w:ind w:left="0" w:right="0" w:firstLine="420"/>
              <w:jc w:val="right"/>
              <w:rPr/>
            </w:pPr>
            <w:hyperlink w:anchor="s904C6E180600031C67BA66ECF06F366D">
              <w:r>
                <w:rPr>
                  <w:rStyle w:val="InternetLink"/>
                  <w:rFonts w:ascii="inherit" w:hAnsi="inherit"/>
                  <w:strike w:val="false"/>
                  <w:dstrike w:val="false"/>
                  <w:color w:val="000000"/>
                  <w:sz w:val="17"/>
                  <w:u w:val="none"/>
                  <w:effect w:val="none"/>
                </w:rPr>
                <w:t>29</w:t>
              </w:r>
            </w:hyperlink>
          </w:p>
        </w:tc>
      </w:tr>
      <w:tr>
        <w:trPr/>
        <w:tc>
          <w:tcPr>
            <w:tcW w:w="8916" w:type="dxa"/>
            <w:tcBorders/>
            <w:shd w:fill="auto" w:val="clear"/>
            <w:vAlign w:val="center"/>
          </w:tcPr>
          <w:p>
            <w:pPr>
              <w:pStyle w:val="TableContents"/>
              <w:spacing w:before="0" w:after="0"/>
              <w:ind w:left="0" w:right="0" w:firstLine="30"/>
              <w:rPr/>
            </w:pPr>
            <w:hyperlink w:anchor="s7B0104DA923701FB127866ECF079C5A5">
              <w:r>
                <w:rPr>
                  <w:rStyle w:val="InternetLink"/>
                  <w:rFonts w:ascii="inherit" w:hAnsi="inherit"/>
                  <w:strike w:val="false"/>
                  <w:dstrike w:val="false"/>
                  <w:color w:val="000000"/>
                  <w:sz w:val="17"/>
                  <w:u w:val="none"/>
                  <w:effect w:val="none"/>
                </w:rPr>
                <w:t>4) Controls and Procedures</w:t>
              </w:r>
            </w:hyperlink>
          </w:p>
        </w:tc>
        <w:tc>
          <w:tcPr>
            <w:tcW w:w="671" w:type="dxa"/>
            <w:tcBorders/>
            <w:shd w:fill="auto" w:val="clear"/>
            <w:vAlign w:val="center"/>
          </w:tcPr>
          <w:p>
            <w:pPr>
              <w:pStyle w:val="TableContents"/>
              <w:spacing w:before="0" w:after="0"/>
              <w:ind w:left="0" w:right="0" w:firstLine="30"/>
              <w:jc w:val="right"/>
              <w:rPr/>
            </w:pPr>
            <w:hyperlink w:anchor="s7B0104DA923701FB127866ECF079C5A5">
              <w:r>
                <w:rPr>
                  <w:rStyle w:val="InternetLink"/>
                  <w:rFonts w:ascii="inherit" w:hAnsi="inherit"/>
                  <w:strike w:val="false"/>
                  <w:dstrike w:val="false"/>
                  <w:color w:val="000000"/>
                  <w:sz w:val="17"/>
                  <w:u w:val="none"/>
                  <w:effect w:val="none"/>
                </w:rPr>
                <w:t>30</w:t>
              </w:r>
            </w:hyperlink>
          </w:p>
        </w:tc>
      </w:tr>
      <w:tr>
        <w:trPr/>
        <w:tc>
          <w:tcPr>
            <w:tcW w:w="8916" w:type="dxa"/>
            <w:tcBorders/>
            <w:shd w:fill="auto" w:val="clear"/>
            <w:vAlign w:val="center"/>
          </w:tcPr>
          <w:p>
            <w:pPr>
              <w:pStyle w:val="TableContents"/>
              <w:spacing w:before="0" w:after="0"/>
              <w:ind w:left="0" w:right="0" w:firstLine="30"/>
              <w:rPr/>
            </w:pPr>
            <w:r>
              <w:rPr/>
              <w:t> </w:t>
            </w:r>
          </w:p>
        </w:tc>
        <w:tc>
          <w:tcPr>
            <w:tcW w:w="671" w:type="dxa"/>
            <w:tcBorders/>
            <w:shd w:fill="auto" w:val="clear"/>
            <w:vAlign w:val="center"/>
          </w:tcPr>
          <w:p>
            <w:pPr>
              <w:pStyle w:val="TableContents"/>
              <w:spacing w:before="0" w:after="0"/>
              <w:ind w:left="0" w:right="0" w:firstLine="30"/>
              <w:rPr/>
            </w:pPr>
            <w:r>
              <w:rPr/>
              <w:t> </w:t>
            </w:r>
          </w:p>
        </w:tc>
      </w:tr>
      <w:tr>
        <w:trPr/>
        <w:tc>
          <w:tcPr>
            <w:tcW w:w="8916" w:type="dxa"/>
            <w:tcBorders/>
            <w:shd w:fill="auto" w:val="clear"/>
            <w:vAlign w:val="center"/>
          </w:tcPr>
          <w:p>
            <w:pPr>
              <w:pStyle w:val="TableContents"/>
              <w:spacing w:before="0" w:after="0"/>
              <w:ind w:left="0" w:right="0" w:firstLine="30"/>
              <w:rPr/>
            </w:pPr>
            <w:hyperlink w:anchor="sBBF7E23B665DDC30B95F66ECF0AB4DB5">
              <w:r>
                <w:rPr>
                  <w:rStyle w:val="InternetLink"/>
                  <w:rFonts w:ascii="inherit" w:hAnsi="inherit"/>
                  <w:b/>
                  <w:strike w:val="false"/>
                  <w:dstrike w:val="false"/>
                  <w:color w:val="000000"/>
                  <w:sz w:val="17"/>
                  <w:u w:val="none"/>
                  <w:effect w:val="none"/>
                </w:rPr>
                <w:t>PART II. OTHER INFORMATION</w:t>
              </w:r>
            </w:hyperlink>
          </w:p>
        </w:tc>
        <w:tc>
          <w:tcPr>
            <w:tcW w:w="671" w:type="dxa"/>
            <w:tcBorders/>
            <w:shd w:fill="auto" w:val="clear"/>
            <w:vAlign w:val="center"/>
          </w:tcPr>
          <w:p>
            <w:pPr>
              <w:pStyle w:val="TableContents"/>
              <w:spacing w:before="0" w:after="0"/>
              <w:ind w:left="0" w:right="0" w:firstLine="420"/>
              <w:rPr/>
            </w:pPr>
            <w:r>
              <w:rPr/>
              <w:t> </w:t>
            </w:r>
          </w:p>
        </w:tc>
      </w:tr>
      <w:tr>
        <w:trPr/>
        <w:tc>
          <w:tcPr>
            <w:tcW w:w="8916" w:type="dxa"/>
            <w:tcBorders/>
            <w:shd w:fill="auto" w:val="clear"/>
            <w:vAlign w:val="center"/>
          </w:tcPr>
          <w:p>
            <w:pPr>
              <w:pStyle w:val="TableContents"/>
              <w:spacing w:before="0" w:after="0"/>
              <w:ind w:left="0" w:right="0" w:firstLine="30"/>
              <w:rPr/>
            </w:pPr>
            <w:hyperlink w:anchor="s963BDF4A3422D6DC8F2966ECF0D3A0F0">
              <w:r>
                <w:rPr>
                  <w:rStyle w:val="InternetLink"/>
                  <w:rFonts w:ascii="inherit" w:hAnsi="inherit"/>
                  <w:strike w:val="false"/>
                  <w:dstrike w:val="false"/>
                  <w:color w:val="000000"/>
                  <w:sz w:val="17"/>
                  <w:u w:val="none"/>
                  <w:effect w:val="none"/>
                </w:rPr>
                <w:t>1) Legal Proceedings</w:t>
              </w:r>
            </w:hyperlink>
          </w:p>
        </w:tc>
        <w:tc>
          <w:tcPr>
            <w:tcW w:w="671" w:type="dxa"/>
            <w:tcBorders/>
            <w:shd w:fill="auto" w:val="clear"/>
            <w:vAlign w:val="center"/>
          </w:tcPr>
          <w:p>
            <w:pPr>
              <w:pStyle w:val="TableContents"/>
              <w:spacing w:before="0" w:after="0"/>
              <w:ind w:left="0" w:right="0" w:firstLine="420"/>
              <w:jc w:val="right"/>
              <w:rPr/>
            </w:pPr>
            <w:hyperlink w:anchor="s963BDF4A3422D6DC8F2966ECF0D3A0F0">
              <w:r>
                <w:rPr>
                  <w:rStyle w:val="InternetLink"/>
                  <w:rFonts w:ascii="inherit" w:hAnsi="inherit"/>
                  <w:strike w:val="false"/>
                  <w:dstrike w:val="false"/>
                  <w:color w:val="000000"/>
                  <w:sz w:val="17"/>
                  <w:u w:val="none"/>
                  <w:effect w:val="none"/>
                </w:rPr>
                <w:t>31</w:t>
              </w:r>
            </w:hyperlink>
          </w:p>
        </w:tc>
      </w:tr>
      <w:tr>
        <w:trPr/>
        <w:tc>
          <w:tcPr>
            <w:tcW w:w="8916" w:type="dxa"/>
            <w:tcBorders/>
            <w:shd w:fill="auto" w:val="clear"/>
            <w:vAlign w:val="center"/>
          </w:tcPr>
          <w:p>
            <w:pPr>
              <w:pStyle w:val="TableContents"/>
              <w:spacing w:before="0" w:after="0"/>
              <w:ind w:left="0" w:right="0" w:firstLine="30"/>
              <w:rPr/>
            </w:pPr>
            <w:hyperlink w:anchor="s48259A4E929578BCEC3966ECF1059910">
              <w:r>
                <w:rPr>
                  <w:rStyle w:val="InternetLink"/>
                  <w:rFonts w:ascii="inherit" w:hAnsi="inherit"/>
                  <w:strike w:val="false"/>
                  <w:dstrike w:val="false"/>
                  <w:color w:val="000000"/>
                  <w:sz w:val="17"/>
                  <w:u w:val="none"/>
                  <w:effect w:val="none"/>
                </w:rPr>
                <w:t>1A) Risk Factors</w:t>
              </w:r>
            </w:hyperlink>
          </w:p>
        </w:tc>
        <w:tc>
          <w:tcPr>
            <w:tcW w:w="671" w:type="dxa"/>
            <w:tcBorders/>
            <w:shd w:fill="auto" w:val="clear"/>
            <w:vAlign w:val="center"/>
          </w:tcPr>
          <w:p>
            <w:pPr>
              <w:pStyle w:val="TableContents"/>
              <w:spacing w:before="0" w:after="0"/>
              <w:ind w:left="0" w:right="0" w:firstLine="420"/>
              <w:jc w:val="right"/>
              <w:rPr/>
            </w:pPr>
            <w:hyperlink w:anchor="s48259A4E929578BCEC3966ECF1059910">
              <w:r>
                <w:rPr>
                  <w:rStyle w:val="InternetLink"/>
                  <w:rFonts w:ascii="inherit" w:hAnsi="inherit"/>
                  <w:strike w:val="false"/>
                  <w:dstrike w:val="false"/>
                  <w:color w:val="000000"/>
                  <w:sz w:val="17"/>
                  <w:u w:val="none"/>
                  <w:effect w:val="none"/>
                </w:rPr>
                <w:t>31</w:t>
              </w:r>
            </w:hyperlink>
          </w:p>
        </w:tc>
      </w:tr>
      <w:tr>
        <w:trPr/>
        <w:tc>
          <w:tcPr>
            <w:tcW w:w="8916" w:type="dxa"/>
            <w:tcBorders/>
            <w:shd w:fill="auto" w:val="clear"/>
            <w:vAlign w:val="center"/>
          </w:tcPr>
          <w:p>
            <w:pPr>
              <w:pStyle w:val="TableContents"/>
              <w:spacing w:before="0" w:after="0"/>
              <w:ind w:left="0" w:right="0" w:firstLine="30"/>
              <w:rPr/>
            </w:pPr>
            <w:hyperlink w:anchor="sBB828432019A8EBBB91466ECF15538BB">
              <w:r>
                <w:rPr>
                  <w:rStyle w:val="InternetLink"/>
                  <w:rFonts w:ascii="inherit" w:hAnsi="inherit"/>
                  <w:strike w:val="false"/>
                  <w:dstrike w:val="false"/>
                  <w:color w:val="000000"/>
                  <w:sz w:val="17"/>
                  <w:u w:val="none"/>
                  <w:effect w:val="none"/>
                </w:rPr>
                <w:t>6) Exhibits</w:t>
              </w:r>
            </w:hyperlink>
          </w:p>
        </w:tc>
        <w:tc>
          <w:tcPr>
            <w:tcW w:w="671" w:type="dxa"/>
            <w:tcBorders/>
            <w:shd w:fill="auto" w:val="clear"/>
            <w:vAlign w:val="center"/>
          </w:tcPr>
          <w:p>
            <w:pPr>
              <w:pStyle w:val="TableContents"/>
              <w:spacing w:before="0" w:after="0"/>
              <w:jc w:val="right"/>
              <w:rPr/>
            </w:pPr>
            <w:hyperlink w:anchor="sBB828432019A8EBBB91466ECF15538BB">
              <w:r>
                <w:rPr>
                  <w:rStyle w:val="InternetLink"/>
                  <w:rFonts w:ascii="inherit" w:hAnsi="inherit"/>
                  <w:strike w:val="false"/>
                  <w:dstrike w:val="false"/>
                  <w:color w:val="000000"/>
                  <w:sz w:val="17"/>
                  <w:u w:val="none"/>
                  <w:effect w:val="none"/>
                </w:rPr>
                <w:t>31</w:t>
              </w:r>
            </w:hyperlink>
          </w:p>
        </w:tc>
      </w:tr>
    </w:tbl>
    <w:p>
      <w:pPr>
        <w:pStyle w:val="TextBody"/>
        <w:rPr/>
      </w:pPr>
      <w:r>
        <w:rPr/>
      </w:r>
      <w:r>
        <w:br w:type="page"/>
      </w:r>
    </w:p>
    <w:p>
      <w:pPr>
        <w:pStyle w:val="TextBody"/>
        <w:spacing w:lineRule="auto" w:line="288" w:before="0" w:after="0"/>
        <w:rPr/>
      </w:pPr>
      <w:hyperlink w:anchor="s7D21BC485A80E1C3273666ECEC2365C6">
        <w:bookmarkStart w:id="8" w:name="s594C6E9C360E92163E4366ECEC415F57"/>
        <w:bookmarkEnd w:id="8"/>
        <w:r>
          <w:rPr>
            <w:rStyle w:val="InternetLink"/>
            <w:rFonts w:ascii="inherit" w:hAnsi="inherit"/>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PART I. FINANCIAL INFORMATION</w:t>
      </w:r>
    </w:p>
    <w:p>
      <w:pPr>
        <w:pStyle w:val="TextBody"/>
        <w:spacing w:lineRule="auto" w:line="288" w:before="0" w:after="0"/>
        <w:rPr>
          <w:rFonts w:ascii="inherit" w:hAnsi="inherit"/>
          <w:b/>
          <w:sz w:val="17"/>
        </w:rPr>
      </w:pPr>
      <w:bookmarkStart w:id="9" w:name="sD37D13143A0C8ABE481E66ECEC736D50"/>
      <w:bookmarkEnd w:id="9"/>
      <w:r>
        <w:rPr>
          <w:rFonts w:ascii="inherit" w:hAnsi="inherit"/>
          <w:b/>
          <w:sz w:val="17"/>
        </w:rPr>
        <w:t>Item 1. Financial Statements</w:t>
      </w:r>
    </w:p>
    <w:p>
      <w:pPr>
        <w:pStyle w:val="TextBody"/>
        <w:spacing w:lineRule="auto" w:line="288" w:before="0" w:after="0"/>
        <w:jc w:val="center"/>
        <w:rPr>
          <w:rFonts w:ascii="inherit" w:hAnsi="inherit"/>
          <w:b/>
          <w:sz w:val="17"/>
        </w:rPr>
      </w:pPr>
      <w:bookmarkStart w:id="10" w:name="sCA613C565D87F22E523C66ECE8593D82"/>
      <w:bookmarkEnd w:id="10"/>
      <w:r>
        <w:rPr>
          <w:rFonts w:ascii="inherit" w:hAnsi="inherit"/>
          <w:b/>
          <w:sz w:val="17"/>
        </w:rPr>
        <w:t xml:space="preserve">WESTLAKE CHEMICAL PARTNERS LP </w:t>
      </w:r>
    </w:p>
    <w:p>
      <w:pPr>
        <w:pStyle w:val="TextBody"/>
        <w:spacing w:lineRule="auto" w:line="288" w:before="0" w:after="0"/>
        <w:jc w:val="center"/>
        <w:rPr>
          <w:rFonts w:ascii="inherit" w:hAnsi="inherit"/>
          <w:b/>
          <w:sz w:val="17"/>
        </w:rPr>
      </w:pPr>
      <w:r>
        <w:rPr>
          <w:rFonts w:ascii="inherit" w:hAnsi="inherit"/>
          <w:b/>
          <w:sz w:val="17"/>
        </w:rPr>
        <w:t>COMBINED AND CONSOLIDATED BALANCE SHEETS</w:t>
      </w:r>
    </w:p>
    <w:p>
      <w:pPr>
        <w:pStyle w:val="TextBody"/>
        <w:spacing w:lineRule="auto" w:line="288" w:before="0" w:after="0"/>
        <w:jc w:val="center"/>
        <w:rPr>
          <w:rFonts w:ascii="inherit" w:hAnsi="inherit"/>
          <w:b/>
          <w:sz w:val="17"/>
        </w:rPr>
      </w:pPr>
      <w:r>
        <w:rPr>
          <w:rFonts w:ascii="inherit" w:hAnsi="inherit"/>
          <w:b/>
          <w:sz w:val="17"/>
        </w:rPr>
        <w:t>(Unaudited)</w:t>
      </w:r>
    </w:p>
    <w:tbl>
      <w:tblPr>
        <w:tblW w:w="10205" w:type="dxa"/>
        <w:jc w:val="left"/>
        <w:tblInd w:w="0" w:type="dxa"/>
        <w:tblCellMar>
          <w:top w:w="0" w:type="dxa"/>
          <w:left w:w="0" w:type="dxa"/>
          <w:bottom w:w="0" w:type="dxa"/>
          <w:right w:w="0" w:type="dxa"/>
        </w:tblCellMar>
      </w:tblPr>
      <w:tblGrid>
        <w:gridCol w:w="5645"/>
        <w:gridCol w:w="145"/>
        <w:gridCol w:w="181"/>
        <w:gridCol w:w="1486"/>
        <w:gridCol w:w="167"/>
        <w:gridCol w:w="145"/>
        <w:gridCol w:w="177"/>
        <w:gridCol w:w="1461"/>
        <w:gridCol w:w="798"/>
      </w:tblGrid>
      <w:tr>
        <w:trPr/>
        <w:tc>
          <w:tcPr>
            <w:tcW w:w="10205" w:type="dxa"/>
            <w:gridSpan w:val="9"/>
            <w:tcBorders/>
            <w:shd w:fill="auto" w:val="clear"/>
            <w:vAlign w:val="center"/>
          </w:tcPr>
          <w:p>
            <w:pPr>
              <w:pStyle w:val="TableContents"/>
              <w:spacing w:before="0" w:after="283"/>
              <w:rPr>
                <w:sz w:val="4"/>
                <w:szCs w:val="4"/>
              </w:rPr>
            </w:pPr>
            <w:r>
              <w:rPr>
                <w:sz w:val="4"/>
                <w:szCs w:val="4"/>
              </w:rPr>
            </w:r>
          </w:p>
        </w:tc>
      </w:tr>
      <w:tr>
        <w:trPr/>
        <w:tc>
          <w:tcPr>
            <w:tcW w:w="56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86"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461"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645" w:type="dxa"/>
            <w:tcBorders/>
            <w:shd w:fill="auto" w:val="clear"/>
            <w:vAlign w:val="center"/>
          </w:tcPr>
          <w:p>
            <w:pPr>
              <w:pStyle w:val="TableContents"/>
              <w:spacing w:before="0" w:after="0"/>
              <w:ind w:left="0" w:right="0" w:firstLine="30"/>
              <w:rPr/>
            </w:pPr>
            <w:r>
              <w:rPr/>
              <w:t> </w:t>
            </w:r>
          </w:p>
        </w:tc>
        <w:tc>
          <w:tcPr>
            <w:tcW w:w="145" w:type="dxa"/>
            <w:tcBorders/>
            <w:shd w:fill="auto" w:val="clear"/>
            <w:vAlign w:val="center"/>
          </w:tcPr>
          <w:p>
            <w:pPr>
              <w:pStyle w:val="TableContents"/>
              <w:spacing w:before="0" w:after="0"/>
              <w:ind w:left="0" w:right="0" w:firstLine="30"/>
              <w:rPr/>
            </w:pPr>
            <w:r>
              <w:rPr/>
              <w:t> </w:t>
            </w:r>
          </w:p>
        </w:tc>
        <w:tc>
          <w:tcPr>
            <w:tcW w:w="183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September 30, </w:t>
              <w:br/>
              <w:t>2014</w:t>
            </w:r>
          </w:p>
        </w:tc>
        <w:tc>
          <w:tcPr>
            <w:tcW w:w="145" w:type="dxa"/>
            <w:tcBorders/>
            <w:shd w:fill="auto" w:val="clear"/>
            <w:vAlign w:val="center"/>
          </w:tcPr>
          <w:p>
            <w:pPr>
              <w:pStyle w:val="TableContents"/>
              <w:spacing w:before="0" w:after="0"/>
              <w:ind w:left="0" w:right="0" w:firstLine="30"/>
              <w:rPr/>
            </w:pPr>
            <w:r>
              <w:rPr/>
              <w:t> </w:t>
            </w:r>
          </w:p>
        </w:tc>
        <w:tc>
          <w:tcPr>
            <w:tcW w:w="243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December 31, </w:t>
              <w:br/>
              <w:t>2013</w:t>
            </w:r>
          </w:p>
        </w:tc>
      </w:tr>
      <w:tr>
        <w:trPr/>
        <w:tc>
          <w:tcPr>
            <w:tcW w:w="5645" w:type="dxa"/>
            <w:tcBorders/>
            <w:shd w:fill="auto" w:val="clear"/>
            <w:vAlign w:val="center"/>
          </w:tcPr>
          <w:p>
            <w:pPr>
              <w:pStyle w:val="TableContents"/>
              <w:spacing w:before="0" w:after="0"/>
              <w:ind w:left="0" w:right="0" w:firstLine="30"/>
              <w:rPr/>
            </w:pPr>
            <w:r>
              <w:rPr/>
              <w:t> </w:t>
            </w:r>
          </w:p>
        </w:tc>
        <w:tc>
          <w:tcPr>
            <w:tcW w:w="145" w:type="dxa"/>
            <w:tcBorders/>
            <w:shd w:fill="auto" w:val="clear"/>
            <w:vAlign w:val="center"/>
          </w:tcPr>
          <w:p>
            <w:pPr>
              <w:pStyle w:val="TableContents"/>
              <w:spacing w:before="0" w:after="0"/>
              <w:ind w:left="0" w:right="0" w:firstLine="30"/>
              <w:rPr/>
            </w:pPr>
            <w:r>
              <w:rPr/>
              <w:t> </w:t>
            </w:r>
          </w:p>
        </w:tc>
        <w:tc>
          <w:tcPr>
            <w:tcW w:w="1834" w:type="dxa"/>
            <w:gridSpan w:val="3"/>
            <w:tcBorders/>
            <w:shd w:fill="auto" w:val="clear"/>
            <w:vAlign w:val="center"/>
          </w:tcPr>
          <w:p>
            <w:pPr>
              <w:pStyle w:val="TableContents"/>
              <w:spacing w:before="0" w:after="0"/>
              <w:ind w:left="0" w:right="0" w:firstLine="30"/>
              <w:rPr/>
            </w:pPr>
            <w:r>
              <w:rPr/>
              <w:t> </w:t>
            </w:r>
          </w:p>
        </w:tc>
        <w:tc>
          <w:tcPr>
            <w:tcW w:w="145" w:type="dxa"/>
            <w:tcBorders/>
            <w:shd w:fill="auto" w:val="clear"/>
            <w:vAlign w:val="center"/>
          </w:tcPr>
          <w:p>
            <w:pPr>
              <w:pStyle w:val="TableContents"/>
              <w:spacing w:before="0" w:after="0"/>
              <w:ind w:left="0" w:right="0" w:firstLine="30"/>
              <w:rPr/>
            </w:pPr>
            <w:r>
              <w:rPr/>
              <w:t> </w:t>
            </w:r>
          </w:p>
        </w:tc>
        <w:tc>
          <w:tcPr>
            <w:tcW w:w="2436" w:type="dxa"/>
            <w:gridSpan w:val="3"/>
            <w:tcBorders/>
            <w:shd w:fill="auto" w:val="clear"/>
            <w:vAlign w:val="center"/>
          </w:tcPr>
          <w:p>
            <w:pPr>
              <w:pStyle w:val="TableContents"/>
              <w:spacing w:before="0" w:after="0"/>
              <w:ind w:left="0" w:right="0" w:firstLine="30"/>
              <w:jc w:val="center"/>
              <w:rPr>
                <w:rFonts w:ascii="inherit" w:hAnsi="inherit"/>
                <w:b/>
                <w:i/>
                <w:sz w:val="13"/>
              </w:rPr>
            </w:pPr>
            <w:r>
              <w:rPr>
                <w:rFonts w:ascii="inherit" w:hAnsi="inherit"/>
                <w:b/>
                <w:i/>
                <w:sz w:val="13"/>
              </w:rPr>
              <w:t>Predecessor</w:t>
            </w:r>
          </w:p>
        </w:tc>
      </w:tr>
      <w:tr>
        <w:trPr/>
        <w:tc>
          <w:tcPr>
            <w:tcW w:w="5645" w:type="dxa"/>
            <w:tcBorders/>
            <w:shd w:fill="auto" w:val="clear"/>
            <w:vAlign w:val="center"/>
          </w:tcPr>
          <w:p>
            <w:pPr>
              <w:pStyle w:val="TableContents"/>
              <w:spacing w:before="0" w:after="0"/>
              <w:ind w:left="0" w:right="0" w:firstLine="30"/>
              <w:rPr/>
            </w:pPr>
            <w:r>
              <w:rPr/>
              <w:t> </w:t>
            </w:r>
          </w:p>
        </w:tc>
        <w:tc>
          <w:tcPr>
            <w:tcW w:w="145" w:type="dxa"/>
            <w:tcBorders/>
            <w:shd w:fill="auto" w:val="clear"/>
            <w:vAlign w:val="center"/>
          </w:tcPr>
          <w:p>
            <w:pPr>
              <w:pStyle w:val="TableContents"/>
              <w:spacing w:before="0" w:after="0"/>
              <w:ind w:left="0" w:right="0" w:firstLine="30"/>
              <w:rPr/>
            </w:pPr>
            <w:r>
              <w:rPr/>
              <w:t> </w:t>
            </w:r>
          </w:p>
        </w:tc>
        <w:tc>
          <w:tcPr>
            <w:tcW w:w="1834" w:type="dxa"/>
            <w:gridSpan w:val="3"/>
            <w:tcBorders/>
            <w:shd w:fill="auto" w:val="clear"/>
            <w:vAlign w:val="center"/>
          </w:tcPr>
          <w:p>
            <w:pPr>
              <w:pStyle w:val="TableContents"/>
              <w:spacing w:before="0" w:after="0"/>
              <w:ind w:left="0" w:right="0" w:firstLine="30"/>
              <w:rPr/>
            </w:pPr>
            <w:r>
              <w:rPr/>
              <w:t> </w:t>
            </w:r>
          </w:p>
        </w:tc>
        <w:tc>
          <w:tcPr>
            <w:tcW w:w="145" w:type="dxa"/>
            <w:tcBorders/>
            <w:shd w:fill="auto" w:val="clear"/>
            <w:vAlign w:val="center"/>
          </w:tcPr>
          <w:p>
            <w:pPr>
              <w:pStyle w:val="TableContents"/>
              <w:spacing w:before="0" w:after="0"/>
              <w:ind w:left="0" w:right="0" w:firstLine="30"/>
              <w:rPr/>
            </w:pPr>
            <w:r>
              <w:rPr/>
              <w:t> </w:t>
            </w:r>
          </w:p>
        </w:tc>
        <w:tc>
          <w:tcPr>
            <w:tcW w:w="2436" w:type="dxa"/>
            <w:gridSpan w:val="3"/>
            <w:tcBorders/>
            <w:shd w:fill="auto" w:val="clear"/>
            <w:vAlign w:val="center"/>
          </w:tcPr>
          <w:p>
            <w:pPr>
              <w:pStyle w:val="TableContents"/>
              <w:spacing w:before="0" w:after="0"/>
              <w:ind w:left="0" w:right="0" w:firstLine="30"/>
              <w:rPr/>
            </w:pPr>
            <w:r>
              <w:rPr/>
              <w:t> </w:t>
            </w:r>
          </w:p>
        </w:tc>
      </w:tr>
      <w:tr>
        <w:trPr/>
        <w:tc>
          <w:tcPr>
            <w:tcW w:w="5645" w:type="dxa"/>
            <w:tcBorders/>
            <w:shd w:fill="auto" w:val="clear"/>
            <w:vAlign w:val="center"/>
          </w:tcPr>
          <w:p>
            <w:pPr>
              <w:pStyle w:val="TableContents"/>
              <w:spacing w:before="0" w:after="0"/>
              <w:ind w:left="0" w:right="0" w:firstLine="30"/>
              <w:rPr/>
            </w:pPr>
            <w:r>
              <w:rPr/>
              <w:t> </w:t>
            </w:r>
          </w:p>
        </w:tc>
        <w:tc>
          <w:tcPr>
            <w:tcW w:w="145" w:type="dxa"/>
            <w:tcBorders/>
            <w:shd w:fill="auto" w:val="clear"/>
            <w:vAlign w:val="center"/>
          </w:tcPr>
          <w:p>
            <w:pPr>
              <w:pStyle w:val="TableContents"/>
              <w:spacing w:before="0" w:after="0"/>
              <w:ind w:left="0" w:right="0" w:firstLine="30"/>
              <w:rPr/>
            </w:pPr>
            <w:r>
              <w:rPr/>
              <w:t> </w:t>
            </w:r>
          </w:p>
        </w:tc>
        <w:tc>
          <w:tcPr>
            <w:tcW w:w="4415" w:type="dxa"/>
            <w:gridSpan w:val="7"/>
            <w:tcBorders/>
            <w:shd w:fill="auto" w:val="clear"/>
            <w:vAlign w:val="center"/>
          </w:tcPr>
          <w:p>
            <w:pPr>
              <w:pStyle w:val="TableContents"/>
              <w:spacing w:before="0" w:after="0"/>
              <w:jc w:val="center"/>
              <w:rPr>
                <w:rFonts w:ascii="inherit" w:hAnsi="inherit"/>
                <w:b/>
                <w:sz w:val="13"/>
              </w:rPr>
            </w:pPr>
            <w:r>
              <w:rPr>
                <w:rFonts w:ascii="inherit" w:hAnsi="inherit"/>
                <w:b/>
                <w:sz w:val="13"/>
              </w:rPr>
              <w:t xml:space="preserve">(in thousands of dollars, </w:t>
            </w:r>
          </w:p>
          <w:p>
            <w:pPr>
              <w:pStyle w:val="TableContents"/>
              <w:spacing w:before="0" w:after="0"/>
              <w:ind w:left="0" w:right="0" w:firstLine="30"/>
              <w:jc w:val="center"/>
              <w:rPr>
                <w:rFonts w:ascii="inherit" w:hAnsi="inherit"/>
                <w:b/>
                <w:sz w:val="13"/>
              </w:rPr>
            </w:pPr>
            <w:r>
              <w:rPr>
                <w:rFonts w:ascii="inherit" w:hAnsi="inherit"/>
                <w:b/>
                <w:sz w:val="13"/>
              </w:rPr>
              <w:t>except unit amounts)</w:t>
            </w:r>
          </w:p>
        </w:tc>
      </w:tr>
      <w:tr>
        <w:trPr/>
        <w:tc>
          <w:tcPr>
            <w:tcW w:w="5645" w:type="dxa"/>
            <w:tcBorders/>
            <w:shd w:fill="CCEEFF" w:val="clear"/>
            <w:vAlign w:val="center"/>
          </w:tcPr>
          <w:p>
            <w:pPr>
              <w:pStyle w:val="TableContents"/>
              <w:spacing w:before="0" w:after="0"/>
              <w:ind w:left="0" w:right="0" w:firstLine="30"/>
              <w:jc w:val="center"/>
              <w:rPr>
                <w:rFonts w:ascii="inherit" w:hAnsi="inherit"/>
                <w:b/>
                <w:sz w:val="17"/>
              </w:rPr>
            </w:pPr>
            <w:r>
              <w:rPr>
                <w:rFonts w:ascii="inherit" w:hAnsi="inherit"/>
                <w:b/>
                <w:sz w:val="17"/>
              </w:rPr>
              <w:t>ASSETS</w:t>
            </w:r>
          </w:p>
        </w:tc>
        <w:tc>
          <w:tcPr>
            <w:tcW w:w="145" w:type="dxa"/>
            <w:tcBorders/>
            <w:shd w:fill="CCEEFF" w:val="clear"/>
            <w:vAlign w:val="center"/>
          </w:tcPr>
          <w:p>
            <w:pPr>
              <w:pStyle w:val="TableContents"/>
              <w:spacing w:before="0" w:after="0"/>
              <w:ind w:left="0" w:right="0" w:firstLine="30"/>
              <w:rPr/>
            </w:pPr>
            <w:r>
              <w:rPr/>
              <w:t> </w:t>
            </w:r>
          </w:p>
        </w:tc>
        <w:tc>
          <w:tcPr>
            <w:tcW w:w="1834" w:type="dxa"/>
            <w:gridSpan w:val="3"/>
            <w:tcBorders/>
            <w:shd w:fill="CCEEFF" w:val="clear"/>
            <w:vAlign w:val="center"/>
          </w:tcPr>
          <w:p>
            <w:pPr>
              <w:pStyle w:val="TableContents"/>
              <w:spacing w:before="0" w:after="0"/>
              <w:ind w:left="0" w:right="0" w:firstLine="30"/>
              <w:rPr/>
            </w:pPr>
            <w:r>
              <w:rPr/>
              <w:t> </w:t>
            </w:r>
          </w:p>
        </w:tc>
        <w:tc>
          <w:tcPr>
            <w:tcW w:w="145" w:type="dxa"/>
            <w:tcBorders/>
            <w:shd w:fill="CCEEFF" w:val="clear"/>
            <w:vAlign w:val="center"/>
          </w:tcPr>
          <w:p>
            <w:pPr>
              <w:pStyle w:val="TableContents"/>
              <w:spacing w:before="0" w:after="0"/>
              <w:ind w:left="0" w:right="0" w:firstLine="30"/>
              <w:rPr/>
            </w:pPr>
            <w:r>
              <w:rPr/>
              <w:t> </w:t>
            </w:r>
          </w:p>
        </w:tc>
        <w:tc>
          <w:tcPr>
            <w:tcW w:w="2436" w:type="dxa"/>
            <w:gridSpan w:val="3"/>
            <w:tcBorders/>
            <w:shd w:fill="CCEEFF" w:val="clear"/>
            <w:vAlign w:val="center"/>
          </w:tcPr>
          <w:p>
            <w:pPr>
              <w:pStyle w:val="TableContents"/>
              <w:spacing w:before="0" w:after="0"/>
              <w:ind w:left="0" w:right="0" w:firstLine="30"/>
              <w:rPr/>
            </w:pPr>
            <w:r>
              <w:rPr/>
              <w:t> </w:t>
            </w:r>
          </w:p>
        </w:tc>
      </w:tr>
      <w:tr>
        <w:trPr/>
        <w:tc>
          <w:tcPr>
            <w:tcW w:w="56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 assets</w:t>
            </w:r>
          </w:p>
        </w:tc>
        <w:tc>
          <w:tcPr>
            <w:tcW w:w="145" w:type="dxa"/>
            <w:tcBorders/>
            <w:shd w:fill="auto" w:val="clear"/>
            <w:vAlign w:val="center"/>
          </w:tcPr>
          <w:p>
            <w:pPr>
              <w:pStyle w:val="TableContents"/>
              <w:spacing w:before="0" w:after="0"/>
              <w:ind w:left="0" w:right="0" w:firstLine="30"/>
              <w:rPr/>
            </w:pPr>
            <w:r>
              <w:rPr/>
              <w:t> </w:t>
            </w:r>
          </w:p>
        </w:tc>
        <w:tc>
          <w:tcPr>
            <w:tcW w:w="1834" w:type="dxa"/>
            <w:gridSpan w:val="3"/>
            <w:tcBorders/>
            <w:shd w:fill="auto" w:val="clear"/>
            <w:vAlign w:val="center"/>
          </w:tcPr>
          <w:p>
            <w:pPr>
              <w:pStyle w:val="TableContents"/>
              <w:spacing w:before="0" w:after="0"/>
              <w:ind w:left="0" w:right="0" w:firstLine="30"/>
              <w:rPr/>
            </w:pPr>
            <w:r>
              <w:rPr/>
              <w:t> </w:t>
            </w:r>
          </w:p>
        </w:tc>
        <w:tc>
          <w:tcPr>
            <w:tcW w:w="145" w:type="dxa"/>
            <w:tcBorders/>
            <w:shd w:fill="auto" w:val="clear"/>
            <w:vAlign w:val="center"/>
          </w:tcPr>
          <w:p>
            <w:pPr>
              <w:pStyle w:val="TableContents"/>
              <w:spacing w:before="0" w:after="0"/>
              <w:ind w:left="0" w:right="0" w:firstLine="30"/>
              <w:rPr/>
            </w:pPr>
            <w:r>
              <w:rPr/>
              <w:t> </w:t>
            </w:r>
          </w:p>
        </w:tc>
        <w:tc>
          <w:tcPr>
            <w:tcW w:w="2436" w:type="dxa"/>
            <w:gridSpan w:val="3"/>
            <w:tcBorders/>
            <w:shd w:fill="auto" w:val="clear"/>
            <w:vAlign w:val="center"/>
          </w:tcPr>
          <w:p>
            <w:pPr>
              <w:pStyle w:val="TableContents"/>
              <w:spacing w:before="0" w:after="0"/>
              <w:ind w:left="0" w:right="0" w:firstLine="420"/>
              <w:rPr/>
            </w:pPr>
            <w:r>
              <w:rPr/>
              <w:t> </w:t>
            </w:r>
          </w:p>
        </w:tc>
      </w:tr>
      <w:tr>
        <w:trPr/>
        <w:tc>
          <w:tcPr>
            <w:tcW w:w="56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w:t>
            </w:r>
          </w:p>
        </w:tc>
        <w:tc>
          <w:tcPr>
            <w:tcW w:w="145" w:type="dxa"/>
            <w:tcBorders/>
            <w:shd w:fill="CCEEFF" w:val="clear"/>
            <w:vAlign w:val="center"/>
          </w:tcPr>
          <w:p>
            <w:pPr>
              <w:pStyle w:val="TableContents"/>
              <w:spacing w:before="0" w:after="0"/>
              <w:ind w:left="0" w:right="0" w:firstLine="30"/>
              <w:rPr/>
            </w:pPr>
            <w:r>
              <w:rPr/>
              <w:t> </w:t>
            </w:r>
          </w:p>
        </w:tc>
        <w:tc>
          <w:tcPr>
            <w:tcW w:w="18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486" w:type="dxa"/>
            <w:tcBorders/>
            <w:shd w:fill="CCEEFF" w:val="clear"/>
            <w:vAlign w:val="center"/>
          </w:tcPr>
          <w:p>
            <w:pPr>
              <w:pStyle w:val="TableContents"/>
              <w:spacing w:before="0" w:after="0"/>
              <w:jc w:val="right"/>
              <w:rPr>
                <w:rFonts w:ascii="inherit" w:hAnsi="inherit"/>
                <w:sz w:val="17"/>
              </w:rPr>
            </w:pPr>
            <w:r>
              <w:rPr>
                <w:rFonts w:ascii="inherit" w:hAnsi="inherit"/>
                <w:sz w:val="17"/>
              </w:rPr>
              <w:t>89,988</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CCEEFF" w:val="clear"/>
            <w:vAlign w:val="center"/>
          </w:tcPr>
          <w:p>
            <w:pPr>
              <w:pStyle w:val="TableContents"/>
              <w:spacing w:before="0" w:after="0"/>
              <w:ind w:left="0" w:right="0" w:firstLine="30"/>
              <w:rPr/>
            </w:pPr>
            <w:r>
              <w:rPr/>
              <w:t> </w:t>
            </w:r>
          </w:p>
        </w:tc>
        <w:tc>
          <w:tcPr>
            <w:tcW w:w="17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461" w:type="dxa"/>
            <w:tcBorders/>
            <w:shd w:fill="CCEEFF" w:val="clear"/>
            <w:vAlign w:val="center"/>
          </w:tcPr>
          <w:p>
            <w:pPr>
              <w:pStyle w:val="TableContents"/>
              <w:spacing w:before="0" w:after="0"/>
              <w:jc w:val="right"/>
              <w:rPr/>
            </w:pPr>
            <w:r>
              <w:rPr/>
              <w:t>—</w:t>
            </w:r>
          </w:p>
        </w:tc>
        <w:tc>
          <w:tcPr>
            <w:tcW w:w="79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6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Accounts receivable, net—Westlake</w:t>
            </w:r>
          </w:p>
        </w:tc>
        <w:tc>
          <w:tcPr>
            <w:tcW w:w="145" w:type="dxa"/>
            <w:tcBorders/>
            <w:shd w:fill="auto" w:val="clear"/>
            <w:vAlign w:val="center"/>
          </w:tcPr>
          <w:p>
            <w:pPr>
              <w:pStyle w:val="TableContents"/>
              <w:spacing w:before="0" w:after="0"/>
              <w:ind w:left="0" w:right="0" w:firstLine="30"/>
              <w:rPr/>
            </w:pPr>
            <w:r>
              <w:rPr/>
              <w:t> </w:t>
            </w:r>
          </w:p>
        </w:tc>
        <w:tc>
          <w:tcPr>
            <w:tcW w:w="166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28,500</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auto" w:val="clear"/>
            <w:vAlign w:val="center"/>
          </w:tcPr>
          <w:p>
            <w:pPr>
              <w:pStyle w:val="TableContents"/>
              <w:spacing w:before="0" w:after="0"/>
              <w:ind w:left="0" w:right="0" w:firstLine="30"/>
              <w:rPr/>
            </w:pPr>
            <w:r>
              <w:rPr/>
              <w:t> </w:t>
            </w:r>
          </w:p>
        </w:tc>
        <w:tc>
          <w:tcPr>
            <w:tcW w:w="1638" w:type="dxa"/>
            <w:gridSpan w:val="2"/>
            <w:tcBorders/>
            <w:shd w:fill="auto" w:val="clear"/>
            <w:vAlign w:val="center"/>
          </w:tcPr>
          <w:p>
            <w:pPr>
              <w:pStyle w:val="TableContents"/>
              <w:spacing w:before="0" w:after="0"/>
              <w:jc w:val="right"/>
              <w:rPr/>
            </w:pPr>
            <w:r>
              <w:rPr/>
              <w:t>—</w:t>
            </w:r>
          </w:p>
        </w:tc>
        <w:tc>
          <w:tcPr>
            <w:tcW w:w="79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6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Accounts receivable, net—third parties</w:t>
            </w:r>
          </w:p>
        </w:tc>
        <w:tc>
          <w:tcPr>
            <w:tcW w:w="145" w:type="dxa"/>
            <w:tcBorders/>
            <w:shd w:fill="CCEEFF" w:val="clear"/>
            <w:vAlign w:val="center"/>
          </w:tcPr>
          <w:p>
            <w:pPr>
              <w:pStyle w:val="TableContents"/>
              <w:spacing w:before="0" w:after="0"/>
              <w:ind w:left="0" w:right="0" w:firstLine="30"/>
              <w:rPr/>
            </w:pPr>
            <w:r>
              <w:rPr/>
              <w:t> </w:t>
            </w:r>
          </w:p>
        </w:tc>
        <w:tc>
          <w:tcPr>
            <w:tcW w:w="166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29,606</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CCEEFF" w:val="clear"/>
            <w:vAlign w:val="center"/>
          </w:tcPr>
          <w:p>
            <w:pPr>
              <w:pStyle w:val="TableContents"/>
              <w:spacing w:before="0" w:after="0"/>
              <w:ind w:left="0" w:right="0" w:firstLine="30"/>
              <w:rPr/>
            </w:pPr>
            <w:r>
              <w:rPr/>
              <w:t> </w:t>
            </w:r>
          </w:p>
        </w:tc>
        <w:tc>
          <w:tcPr>
            <w:tcW w:w="16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71,812</w:t>
            </w:r>
          </w:p>
        </w:tc>
        <w:tc>
          <w:tcPr>
            <w:tcW w:w="79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6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Inventories</w:t>
            </w:r>
          </w:p>
        </w:tc>
        <w:tc>
          <w:tcPr>
            <w:tcW w:w="145" w:type="dxa"/>
            <w:tcBorders/>
            <w:shd w:fill="auto" w:val="clear"/>
            <w:vAlign w:val="center"/>
          </w:tcPr>
          <w:p>
            <w:pPr>
              <w:pStyle w:val="TableContents"/>
              <w:spacing w:before="0" w:after="0"/>
              <w:ind w:left="0" w:right="0" w:firstLine="30"/>
              <w:rPr/>
            </w:pPr>
            <w:r>
              <w:rPr/>
              <w:t> </w:t>
            </w:r>
          </w:p>
        </w:tc>
        <w:tc>
          <w:tcPr>
            <w:tcW w:w="166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5,551</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auto" w:val="clear"/>
            <w:vAlign w:val="center"/>
          </w:tcPr>
          <w:p>
            <w:pPr>
              <w:pStyle w:val="TableContents"/>
              <w:spacing w:before="0" w:after="0"/>
              <w:ind w:left="0" w:right="0" w:firstLine="30"/>
              <w:rPr/>
            </w:pPr>
            <w:r>
              <w:rPr/>
              <w:t> </w:t>
            </w:r>
          </w:p>
        </w:tc>
        <w:tc>
          <w:tcPr>
            <w:tcW w:w="16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116,377</w:t>
            </w:r>
          </w:p>
        </w:tc>
        <w:tc>
          <w:tcPr>
            <w:tcW w:w="79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6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Prepaid expenses and other current assets</w:t>
            </w:r>
          </w:p>
        </w:tc>
        <w:tc>
          <w:tcPr>
            <w:tcW w:w="145" w:type="dxa"/>
            <w:tcBorders/>
            <w:shd w:fill="CCEEFF" w:val="clear"/>
            <w:vAlign w:val="center"/>
          </w:tcPr>
          <w:p>
            <w:pPr>
              <w:pStyle w:val="TableContents"/>
              <w:spacing w:before="0" w:after="0"/>
              <w:ind w:left="0" w:right="0" w:firstLine="30"/>
              <w:rPr/>
            </w:pPr>
            <w:r>
              <w:rPr/>
              <w:t> </w:t>
            </w:r>
          </w:p>
        </w:tc>
        <w:tc>
          <w:tcPr>
            <w:tcW w:w="166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303</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CCEEFF" w:val="clear"/>
            <w:vAlign w:val="center"/>
          </w:tcPr>
          <w:p>
            <w:pPr>
              <w:pStyle w:val="TableContents"/>
              <w:spacing w:before="0" w:after="0"/>
              <w:ind w:left="0" w:right="0" w:firstLine="30"/>
              <w:rPr/>
            </w:pPr>
            <w:r>
              <w:rPr/>
              <w:t> </w:t>
            </w:r>
          </w:p>
        </w:tc>
        <w:tc>
          <w:tcPr>
            <w:tcW w:w="16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257</w:t>
            </w:r>
          </w:p>
        </w:tc>
        <w:tc>
          <w:tcPr>
            <w:tcW w:w="79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6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Deferred income taxes</w:t>
            </w:r>
          </w:p>
        </w:tc>
        <w:tc>
          <w:tcPr>
            <w:tcW w:w="145" w:type="dxa"/>
            <w:tcBorders/>
            <w:shd w:fill="auto" w:val="clear"/>
            <w:vAlign w:val="center"/>
          </w:tcPr>
          <w:p>
            <w:pPr>
              <w:pStyle w:val="TableContents"/>
              <w:spacing w:before="0" w:after="0"/>
              <w:ind w:left="0" w:right="0" w:firstLine="30"/>
              <w:rPr/>
            </w:pPr>
            <w:r>
              <w:rPr/>
              <w:t> </w:t>
            </w:r>
          </w:p>
        </w:tc>
        <w:tc>
          <w:tcPr>
            <w:tcW w:w="1667"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6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auto" w:val="clear"/>
            <w:vAlign w:val="center"/>
          </w:tcPr>
          <w:p>
            <w:pPr>
              <w:pStyle w:val="TableContents"/>
              <w:spacing w:before="0" w:after="0"/>
              <w:ind w:left="0" w:right="0" w:firstLine="30"/>
              <w:rPr/>
            </w:pPr>
            <w:r>
              <w:rPr/>
              <w:t> </w:t>
            </w:r>
          </w:p>
        </w:tc>
        <w:tc>
          <w:tcPr>
            <w:tcW w:w="16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4,448</w:t>
            </w:r>
          </w:p>
        </w:tc>
        <w:tc>
          <w:tcPr>
            <w:tcW w:w="798"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6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current assets</w:t>
            </w:r>
          </w:p>
        </w:tc>
        <w:tc>
          <w:tcPr>
            <w:tcW w:w="145" w:type="dxa"/>
            <w:tcBorders/>
            <w:shd w:fill="CCEEFF" w:val="clear"/>
            <w:vAlign w:val="center"/>
          </w:tcPr>
          <w:p>
            <w:pPr>
              <w:pStyle w:val="TableContents"/>
              <w:spacing w:before="0" w:after="0"/>
              <w:ind w:left="0" w:right="0" w:firstLine="30"/>
              <w:rPr/>
            </w:pPr>
            <w:r>
              <w:rPr/>
              <w:t> </w:t>
            </w:r>
          </w:p>
        </w:tc>
        <w:tc>
          <w:tcPr>
            <w:tcW w:w="166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153,948</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CCEEFF" w:val="clear"/>
            <w:vAlign w:val="center"/>
          </w:tcPr>
          <w:p>
            <w:pPr>
              <w:pStyle w:val="TableContents"/>
              <w:spacing w:before="0" w:after="0"/>
              <w:ind w:left="0" w:right="0" w:firstLine="30"/>
              <w:rPr/>
            </w:pPr>
            <w:r>
              <w:rPr/>
              <w:t> </w:t>
            </w:r>
          </w:p>
        </w:tc>
        <w:tc>
          <w:tcPr>
            <w:tcW w:w="16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192,894</w:t>
            </w:r>
          </w:p>
        </w:tc>
        <w:tc>
          <w:tcPr>
            <w:tcW w:w="7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Property, plant and equipment, net</w:t>
            </w:r>
          </w:p>
        </w:tc>
        <w:tc>
          <w:tcPr>
            <w:tcW w:w="145" w:type="dxa"/>
            <w:tcBorders/>
            <w:shd w:fill="auto" w:val="clear"/>
            <w:vAlign w:val="center"/>
          </w:tcPr>
          <w:p>
            <w:pPr>
              <w:pStyle w:val="TableContents"/>
              <w:spacing w:before="0" w:after="0"/>
              <w:ind w:left="0" w:right="0" w:firstLine="30"/>
              <w:rPr/>
            </w:pPr>
            <w:r>
              <w:rPr/>
              <w:t> </w:t>
            </w:r>
          </w:p>
        </w:tc>
        <w:tc>
          <w:tcPr>
            <w:tcW w:w="166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806,648</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auto" w:val="clear"/>
            <w:vAlign w:val="center"/>
          </w:tcPr>
          <w:p>
            <w:pPr>
              <w:pStyle w:val="TableContents"/>
              <w:spacing w:before="0" w:after="0"/>
              <w:ind w:left="0" w:right="0" w:firstLine="30"/>
              <w:rPr/>
            </w:pPr>
            <w:r>
              <w:rPr/>
              <w:t> </w:t>
            </w:r>
          </w:p>
        </w:tc>
        <w:tc>
          <w:tcPr>
            <w:tcW w:w="16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762,972</w:t>
            </w:r>
          </w:p>
        </w:tc>
        <w:tc>
          <w:tcPr>
            <w:tcW w:w="7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investment</w:t>
            </w:r>
          </w:p>
        </w:tc>
        <w:tc>
          <w:tcPr>
            <w:tcW w:w="145" w:type="dxa"/>
            <w:tcBorders/>
            <w:shd w:fill="CCEEFF" w:val="clear"/>
            <w:vAlign w:val="center"/>
          </w:tcPr>
          <w:p>
            <w:pPr>
              <w:pStyle w:val="TableContents"/>
              <w:spacing w:before="0" w:after="0"/>
              <w:ind w:left="0" w:right="0" w:firstLine="30"/>
              <w:rPr/>
            </w:pPr>
            <w:r>
              <w:rPr/>
              <w:t> </w:t>
            </w:r>
          </w:p>
        </w:tc>
        <w:tc>
          <w:tcPr>
            <w:tcW w:w="1667" w:type="dxa"/>
            <w:gridSpan w:val="2"/>
            <w:tcBorders/>
            <w:shd w:fill="CCEEFF" w:val="clear"/>
            <w:vAlign w:val="center"/>
          </w:tcPr>
          <w:p>
            <w:pPr>
              <w:pStyle w:val="TableContents"/>
              <w:spacing w:before="0" w:after="0"/>
              <w:jc w:val="right"/>
              <w:rPr/>
            </w:pPr>
            <w:r>
              <w:rPr/>
              <w:t>—</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CCEEFF" w:val="clear"/>
            <w:vAlign w:val="center"/>
          </w:tcPr>
          <w:p>
            <w:pPr>
              <w:pStyle w:val="TableContents"/>
              <w:spacing w:before="0" w:after="0"/>
              <w:ind w:left="0" w:right="0" w:firstLine="30"/>
              <w:rPr/>
            </w:pPr>
            <w:r>
              <w:rPr/>
              <w:t> </w:t>
            </w:r>
          </w:p>
        </w:tc>
        <w:tc>
          <w:tcPr>
            <w:tcW w:w="16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10,411</w:t>
            </w:r>
          </w:p>
        </w:tc>
        <w:tc>
          <w:tcPr>
            <w:tcW w:w="7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assets, net</w:t>
            </w:r>
          </w:p>
        </w:tc>
        <w:tc>
          <w:tcPr>
            <w:tcW w:w="145" w:type="dxa"/>
            <w:tcBorders/>
            <w:shd w:fill="auto" w:val="clear"/>
            <w:vAlign w:val="center"/>
          </w:tcPr>
          <w:p>
            <w:pPr>
              <w:pStyle w:val="TableContents"/>
              <w:spacing w:before="0" w:after="0"/>
              <w:ind w:left="0" w:right="0" w:firstLine="30"/>
              <w:rPr/>
            </w:pPr>
            <w:r>
              <w:rPr/>
              <w:t> </w:t>
            </w:r>
          </w:p>
        </w:tc>
        <w:tc>
          <w:tcPr>
            <w:tcW w:w="166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auto" w:val="clear"/>
            <w:vAlign w:val="center"/>
          </w:tcPr>
          <w:p>
            <w:pPr>
              <w:pStyle w:val="TableContents"/>
              <w:spacing w:before="0" w:after="0"/>
              <w:ind w:left="0" w:right="0" w:firstLine="30"/>
              <w:rPr/>
            </w:pPr>
            <w:r>
              <w:rPr/>
              <w:t> </w:t>
            </w:r>
          </w:p>
        </w:tc>
        <w:tc>
          <w:tcPr>
            <w:tcW w:w="16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r>
          </w:p>
        </w:tc>
        <w:tc>
          <w:tcPr>
            <w:tcW w:w="79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6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Goodwill and intangible assets, net</w:t>
            </w:r>
          </w:p>
        </w:tc>
        <w:tc>
          <w:tcPr>
            <w:tcW w:w="145" w:type="dxa"/>
            <w:tcBorders/>
            <w:shd w:fill="CCEEFF" w:val="clear"/>
            <w:vAlign w:val="center"/>
          </w:tcPr>
          <w:p>
            <w:pPr>
              <w:pStyle w:val="TableContents"/>
              <w:spacing w:before="0" w:after="0"/>
              <w:ind w:left="0" w:right="0" w:firstLine="30"/>
              <w:rPr/>
            </w:pPr>
            <w:r>
              <w:rPr/>
              <w:t> </w:t>
            </w:r>
          </w:p>
        </w:tc>
        <w:tc>
          <w:tcPr>
            <w:tcW w:w="166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5,814</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CCEEFF" w:val="clear"/>
            <w:vAlign w:val="center"/>
          </w:tcPr>
          <w:p>
            <w:pPr>
              <w:pStyle w:val="TableContents"/>
              <w:spacing w:before="0" w:after="0"/>
              <w:ind w:left="0" w:right="0" w:firstLine="30"/>
              <w:rPr/>
            </w:pPr>
            <w:r>
              <w:rPr/>
              <w:t> </w:t>
            </w:r>
          </w:p>
        </w:tc>
        <w:tc>
          <w:tcPr>
            <w:tcW w:w="16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5,873</w:t>
            </w:r>
          </w:p>
        </w:tc>
        <w:tc>
          <w:tcPr>
            <w:tcW w:w="79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6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Deferred charges and other assets, net</w:t>
            </w:r>
          </w:p>
        </w:tc>
        <w:tc>
          <w:tcPr>
            <w:tcW w:w="145" w:type="dxa"/>
            <w:tcBorders/>
            <w:shd w:fill="auto" w:val="clear"/>
            <w:vAlign w:val="center"/>
          </w:tcPr>
          <w:p>
            <w:pPr>
              <w:pStyle w:val="TableContents"/>
              <w:spacing w:before="0" w:after="0"/>
              <w:ind w:left="0" w:right="0" w:firstLine="30"/>
              <w:rPr/>
            </w:pPr>
            <w:r>
              <w:rPr/>
              <w:t> </w:t>
            </w:r>
          </w:p>
        </w:tc>
        <w:tc>
          <w:tcPr>
            <w:tcW w:w="166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55,865</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auto" w:val="clear"/>
            <w:vAlign w:val="center"/>
          </w:tcPr>
          <w:p>
            <w:pPr>
              <w:pStyle w:val="TableContents"/>
              <w:spacing w:before="0" w:after="0"/>
              <w:ind w:left="0" w:right="0" w:firstLine="30"/>
              <w:rPr/>
            </w:pPr>
            <w:r>
              <w:rPr/>
              <w:t> </w:t>
            </w:r>
          </w:p>
        </w:tc>
        <w:tc>
          <w:tcPr>
            <w:tcW w:w="16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69,324</w:t>
            </w:r>
          </w:p>
        </w:tc>
        <w:tc>
          <w:tcPr>
            <w:tcW w:w="798"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6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other assets, net</w:t>
            </w:r>
          </w:p>
        </w:tc>
        <w:tc>
          <w:tcPr>
            <w:tcW w:w="145" w:type="dxa"/>
            <w:tcBorders/>
            <w:shd w:fill="CCEEFF" w:val="clear"/>
            <w:vAlign w:val="center"/>
          </w:tcPr>
          <w:p>
            <w:pPr>
              <w:pStyle w:val="TableContents"/>
              <w:spacing w:before="0" w:after="0"/>
              <w:ind w:left="0" w:right="0" w:firstLine="30"/>
              <w:rPr/>
            </w:pPr>
            <w:r>
              <w:rPr/>
              <w:t> </w:t>
            </w:r>
          </w:p>
        </w:tc>
        <w:tc>
          <w:tcPr>
            <w:tcW w:w="1667"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61,679</w:t>
            </w:r>
          </w:p>
        </w:tc>
        <w:tc>
          <w:tcPr>
            <w:tcW w:w="167"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CCEEFF" w:val="clear"/>
            <w:vAlign w:val="center"/>
          </w:tcPr>
          <w:p>
            <w:pPr>
              <w:pStyle w:val="TableContents"/>
              <w:spacing w:before="0" w:after="0"/>
              <w:ind w:left="0" w:right="0" w:firstLine="30"/>
              <w:rPr/>
            </w:pPr>
            <w:r>
              <w:rPr/>
              <w:t> </w:t>
            </w:r>
          </w:p>
        </w:tc>
        <w:tc>
          <w:tcPr>
            <w:tcW w:w="1638"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75,197</w:t>
            </w:r>
          </w:p>
        </w:tc>
        <w:tc>
          <w:tcPr>
            <w:tcW w:w="798"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64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Total assets</w:t>
            </w:r>
          </w:p>
        </w:tc>
        <w:tc>
          <w:tcPr>
            <w:tcW w:w="145" w:type="dxa"/>
            <w:tcBorders/>
            <w:shd w:fill="auto" w:val="clear"/>
            <w:vAlign w:val="center"/>
          </w:tcPr>
          <w:p>
            <w:pPr>
              <w:pStyle w:val="TableContents"/>
              <w:spacing w:before="0" w:after="0"/>
              <w:ind w:left="0" w:right="0" w:firstLine="30"/>
              <w:rPr/>
            </w:pPr>
            <w:r>
              <w:rPr/>
              <w:t> </w:t>
            </w:r>
          </w:p>
        </w:tc>
        <w:tc>
          <w:tcPr>
            <w:tcW w:w="18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48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1,022,275</w:t>
            </w:r>
          </w:p>
        </w:tc>
        <w:tc>
          <w:tcPr>
            <w:tcW w:w="167"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auto" w:val="clear"/>
            <w:vAlign w:val="center"/>
          </w:tcPr>
          <w:p>
            <w:pPr>
              <w:pStyle w:val="TableContents"/>
              <w:spacing w:before="0" w:after="0"/>
              <w:ind w:left="0" w:right="0" w:firstLine="30"/>
              <w:rPr/>
            </w:pPr>
            <w:r>
              <w:rPr/>
              <w:t> </w:t>
            </w:r>
          </w:p>
        </w:tc>
        <w:tc>
          <w:tcPr>
            <w:tcW w:w="17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46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1,041,474</w:t>
            </w:r>
          </w:p>
        </w:tc>
        <w:tc>
          <w:tcPr>
            <w:tcW w:w="79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45" w:type="dxa"/>
            <w:tcBorders/>
            <w:shd w:fill="CCEEFF" w:val="clear"/>
            <w:vAlign w:val="center"/>
          </w:tcPr>
          <w:p>
            <w:pPr>
              <w:pStyle w:val="TableContents"/>
              <w:spacing w:before="0" w:after="0"/>
              <w:ind w:left="0" w:right="0" w:firstLine="30"/>
              <w:jc w:val="center"/>
              <w:rPr>
                <w:rFonts w:ascii="inherit" w:hAnsi="inherit"/>
                <w:b/>
                <w:sz w:val="17"/>
              </w:rPr>
            </w:pPr>
            <w:r>
              <w:rPr>
                <w:rFonts w:ascii="inherit" w:hAnsi="inherit"/>
                <w:b/>
                <w:sz w:val="17"/>
              </w:rPr>
              <w:t>LIABILITIES</w:t>
            </w:r>
          </w:p>
        </w:tc>
        <w:tc>
          <w:tcPr>
            <w:tcW w:w="145" w:type="dxa"/>
            <w:tcBorders/>
            <w:shd w:fill="CCEEFF" w:val="clear"/>
            <w:vAlign w:val="center"/>
          </w:tcPr>
          <w:p>
            <w:pPr>
              <w:pStyle w:val="TableContents"/>
              <w:spacing w:before="0" w:after="0"/>
              <w:ind w:left="0" w:right="0" w:firstLine="30"/>
              <w:rPr/>
            </w:pPr>
            <w:r>
              <w:rPr/>
              <w:t> </w:t>
            </w:r>
          </w:p>
        </w:tc>
        <w:tc>
          <w:tcPr>
            <w:tcW w:w="1834" w:type="dxa"/>
            <w:gridSpan w:val="3"/>
            <w:tcBorders/>
            <w:shd w:fill="CCEEFF" w:val="clear"/>
            <w:vAlign w:val="center"/>
          </w:tcPr>
          <w:p>
            <w:pPr>
              <w:pStyle w:val="TableContents"/>
              <w:spacing w:before="0" w:after="0"/>
              <w:ind w:left="0" w:right="0" w:firstLine="30"/>
              <w:rPr/>
            </w:pPr>
            <w:r>
              <w:rPr/>
              <w:t> </w:t>
            </w:r>
          </w:p>
        </w:tc>
        <w:tc>
          <w:tcPr>
            <w:tcW w:w="145" w:type="dxa"/>
            <w:tcBorders/>
            <w:shd w:fill="CCEEFF" w:val="clear"/>
            <w:vAlign w:val="center"/>
          </w:tcPr>
          <w:p>
            <w:pPr>
              <w:pStyle w:val="TableContents"/>
              <w:spacing w:before="0" w:after="0"/>
              <w:ind w:left="0" w:right="0" w:firstLine="30"/>
              <w:rPr/>
            </w:pPr>
            <w:r>
              <w:rPr/>
              <w:t> </w:t>
            </w:r>
          </w:p>
        </w:tc>
        <w:tc>
          <w:tcPr>
            <w:tcW w:w="2436" w:type="dxa"/>
            <w:gridSpan w:val="3"/>
            <w:tcBorders/>
            <w:shd w:fill="CCEEFF" w:val="clear"/>
            <w:vAlign w:val="center"/>
          </w:tcPr>
          <w:p>
            <w:pPr>
              <w:pStyle w:val="TableContents"/>
              <w:spacing w:before="0" w:after="0"/>
              <w:ind w:left="0" w:right="0" w:firstLine="30"/>
              <w:rPr/>
            </w:pPr>
            <w:r>
              <w:rPr/>
              <w:t> </w:t>
            </w:r>
          </w:p>
        </w:tc>
      </w:tr>
      <w:tr>
        <w:trPr/>
        <w:tc>
          <w:tcPr>
            <w:tcW w:w="56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 liabilities</w:t>
            </w:r>
          </w:p>
        </w:tc>
        <w:tc>
          <w:tcPr>
            <w:tcW w:w="145" w:type="dxa"/>
            <w:tcBorders/>
            <w:shd w:fill="auto" w:val="clear"/>
            <w:vAlign w:val="center"/>
          </w:tcPr>
          <w:p>
            <w:pPr>
              <w:pStyle w:val="TableContents"/>
              <w:spacing w:before="0" w:after="0"/>
              <w:ind w:left="0" w:right="0" w:firstLine="30"/>
              <w:rPr/>
            </w:pPr>
            <w:r>
              <w:rPr/>
              <w:t> </w:t>
            </w:r>
          </w:p>
        </w:tc>
        <w:tc>
          <w:tcPr>
            <w:tcW w:w="1834" w:type="dxa"/>
            <w:gridSpan w:val="3"/>
            <w:tcBorders/>
            <w:shd w:fill="auto" w:val="clear"/>
            <w:vAlign w:val="center"/>
          </w:tcPr>
          <w:p>
            <w:pPr>
              <w:pStyle w:val="TableContents"/>
              <w:spacing w:before="0" w:after="0"/>
              <w:ind w:left="0" w:right="0" w:firstLine="30"/>
              <w:rPr/>
            </w:pPr>
            <w:r>
              <w:rPr/>
              <w:t> </w:t>
            </w:r>
          </w:p>
        </w:tc>
        <w:tc>
          <w:tcPr>
            <w:tcW w:w="145" w:type="dxa"/>
            <w:tcBorders/>
            <w:shd w:fill="auto" w:val="clear"/>
            <w:vAlign w:val="center"/>
          </w:tcPr>
          <w:p>
            <w:pPr>
              <w:pStyle w:val="TableContents"/>
              <w:spacing w:before="0" w:after="0"/>
              <w:ind w:left="0" w:right="0" w:firstLine="30"/>
              <w:rPr/>
            </w:pPr>
            <w:r>
              <w:rPr/>
              <w:t> </w:t>
            </w:r>
          </w:p>
        </w:tc>
        <w:tc>
          <w:tcPr>
            <w:tcW w:w="2436" w:type="dxa"/>
            <w:gridSpan w:val="3"/>
            <w:tcBorders/>
            <w:shd w:fill="auto" w:val="clear"/>
            <w:vAlign w:val="center"/>
          </w:tcPr>
          <w:p>
            <w:pPr>
              <w:pStyle w:val="TableContents"/>
              <w:spacing w:before="0" w:after="0"/>
              <w:ind w:left="0" w:right="0" w:firstLine="420"/>
              <w:rPr/>
            </w:pPr>
            <w:r>
              <w:rPr/>
              <w:t> </w:t>
            </w:r>
          </w:p>
        </w:tc>
      </w:tr>
      <w:tr>
        <w:trPr/>
        <w:tc>
          <w:tcPr>
            <w:tcW w:w="56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Accounts payable—Westlake</w:t>
            </w:r>
          </w:p>
        </w:tc>
        <w:tc>
          <w:tcPr>
            <w:tcW w:w="145" w:type="dxa"/>
            <w:tcBorders/>
            <w:shd w:fill="CCEEFF" w:val="clear"/>
            <w:vAlign w:val="center"/>
          </w:tcPr>
          <w:p>
            <w:pPr>
              <w:pStyle w:val="TableContents"/>
              <w:spacing w:before="0" w:after="0"/>
              <w:ind w:left="0" w:right="0" w:firstLine="30"/>
              <w:rPr/>
            </w:pPr>
            <w:r>
              <w:rPr/>
              <w:t> </w:t>
            </w:r>
          </w:p>
        </w:tc>
        <w:tc>
          <w:tcPr>
            <w:tcW w:w="18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486" w:type="dxa"/>
            <w:tcBorders/>
            <w:shd w:fill="CCEEFF" w:val="clear"/>
            <w:vAlign w:val="center"/>
          </w:tcPr>
          <w:p>
            <w:pPr>
              <w:pStyle w:val="TableContents"/>
              <w:spacing w:before="0" w:after="0"/>
              <w:jc w:val="right"/>
              <w:rPr>
                <w:rFonts w:ascii="inherit" w:hAnsi="inherit"/>
                <w:sz w:val="17"/>
              </w:rPr>
            </w:pPr>
            <w:r>
              <w:rPr>
                <w:rFonts w:ascii="inherit" w:hAnsi="inherit"/>
                <w:sz w:val="17"/>
              </w:rPr>
              <w:t>18,127</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CCEEFF" w:val="clear"/>
            <w:vAlign w:val="center"/>
          </w:tcPr>
          <w:p>
            <w:pPr>
              <w:pStyle w:val="TableContents"/>
              <w:spacing w:before="0" w:after="0"/>
              <w:ind w:left="0" w:right="0" w:firstLine="30"/>
              <w:rPr/>
            </w:pPr>
            <w:r>
              <w:rPr/>
              <w:t> </w:t>
            </w:r>
          </w:p>
        </w:tc>
        <w:tc>
          <w:tcPr>
            <w:tcW w:w="17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461" w:type="dxa"/>
            <w:tcBorders/>
            <w:shd w:fill="CCEEFF" w:val="clear"/>
            <w:vAlign w:val="center"/>
          </w:tcPr>
          <w:p>
            <w:pPr>
              <w:pStyle w:val="TableContents"/>
              <w:spacing w:before="0" w:after="0"/>
              <w:jc w:val="right"/>
              <w:rPr/>
            </w:pPr>
            <w:r>
              <w:rPr/>
              <w:t>—</w:t>
            </w:r>
          </w:p>
        </w:tc>
        <w:tc>
          <w:tcPr>
            <w:tcW w:w="79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6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Accounts payable—third parties</w:t>
            </w:r>
          </w:p>
        </w:tc>
        <w:tc>
          <w:tcPr>
            <w:tcW w:w="145" w:type="dxa"/>
            <w:tcBorders/>
            <w:shd w:fill="auto" w:val="clear"/>
            <w:vAlign w:val="center"/>
          </w:tcPr>
          <w:p>
            <w:pPr>
              <w:pStyle w:val="TableContents"/>
              <w:spacing w:before="0" w:after="0"/>
              <w:ind w:left="0" w:right="0" w:firstLine="30"/>
              <w:rPr/>
            </w:pPr>
            <w:r>
              <w:rPr/>
              <w:t> </w:t>
            </w:r>
          </w:p>
        </w:tc>
        <w:tc>
          <w:tcPr>
            <w:tcW w:w="166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12,827</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auto" w:val="clear"/>
            <w:vAlign w:val="center"/>
          </w:tcPr>
          <w:p>
            <w:pPr>
              <w:pStyle w:val="TableContents"/>
              <w:spacing w:before="0" w:after="0"/>
              <w:ind w:left="0" w:right="0" w:firstLine="30"/>
              <w:rPr/>
            </w:pPr>
            <w:r>
              <w:rPr/>
              <w:t> </w:t>
            </w:r>
          </w:p>
        </w:tc>
        <w:tc>
          <w:tcPr>
            <w:tcW w:w="16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122,564</w:t>
            </w:r>
          </w:p>
        </w:tc>
        <w:tc>
          <w:tcPr>
            <w:tcW w:w="79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6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Accrued liabilities</w:t>
            </w:r>
          </w:p>
        </w:tc>
        <w:tc>
          <w:tcPr>
            <w:tcW w:w="145" w:type="dxa"/>
            <w:tcBorders/>
            <w:shd w:fill="CCEEFF" w:val="clear"/>
            <w:vAlign w:val="center"/>
          </w:tcPr>
          <w:p>
            <w:pPr>
              <w:pStyle w:val="TableContents"/>
              <w:spacing w:before="0" w:after="0"/>
              <w:ind w:left="0" w:right="0" w:firstLine="30"/>
              <w:rPr/>
            </w:pPr>
            <w:r>
              <w:rPr/>
              <w:t> </w:t>
            </w:r>
          </w:p>
        </w:tc>
        <w:tc>
          <w:tcPr>
            <w:tcW w:w="166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3,999</w:t>
            </w:r>
          </w:p>
        </w:tc>
        <w:tc>
          <w:tcPr>
            <w:tcW w:w="16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CCEEFF" w:val="clear"/>
            <w:vAlign w:val="center"/>
          </w:tcPr>
          <w:p>
            <w:pPr>
              <w:pStyle w:val="TableContents"/>
              <w:spacing w:before="0" w:after="0"/>
              <w:ind w:left="0" w:right="0" w:firstLine="30"/>
              <w:rPr/>
            </w:pPr>
            <w:r>
              <w:rPr/>
              <w:t> </w:t>
            </w:r>
          </w:p>
        </w:tc>
        <w:tc>
          <w:tcPr>
            <w:tcW w:w="16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26,688</w:t>
            </w:r>
          </w:p>
        </w:tc>
        <w:tc>
          <w:tcPr>
            <w:tcW w:w="798"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6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current liabilities</w:t>
            </w:r>
          </w:p>
        </w:tc>
        <w:tc>
          <w:tcPr>
            <w:tcW w:w="145" w:type="dxa"/>
            <w:tcBorders/>
            <w:shd w:fill="auto" w:val="clear"/>
            <w:vAlign w:val="center"/>
          </w:tcPr>
          <w:p>
            <w:pPr>
              <w:pStyle w:val="TableContents"/>
              <w:spacing w:before="0" w:after="0"/>
              <w:ind w:left="0" w:right="0" w:firstLine="30"/>
              <w:rPr/>
            </w:pPr>
            <w:r>
              <w:rPr/>
              <w:t> </w:t>
            </w:r>
          </w:p>
        </w:tc>
        <w:tc>
          <w:tcPr>
            <w:tcW w:w="166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34,953</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auto" w:val="clear"/>
            <w:vAlign w:val="center"/>
          </w:tcPr>
          <w:p>
            <w:pPr>
              <w:pStyle w:val="TableContents"/>
              <w:spacing w:before="0" w:after="0"/>
              <w:ind w:left="0" w:right="0" w:firstLine="30"/>
              <w:rPr/>
            </w:pPr>
            <w:r>
              <w:rPr/>
              <w:t> </w:t>
            </w:r>
          </w:p>
        </w:tc>
        <w:tc>
          <w:tcPr>
            <w:tcW w:w="16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149,252</w:t>
            </w:r>
          </w:p>
        </w:tc>
        <w:tc>
          <w:tcPr>
            <w:tcW w:w="7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Long-term debt payable to Westlake</w:t>
            </w:r>
          </w:p>
        </w:tc>
        <w:tc>
          <w:tcPr>
            <w:tcW w:w="145" w:type="dxa"/>
            <w:tcBorders/>
            <w:shd w:fill="CCEEFF" w:val="clear"/>
            <w:vAlign w:val="center"/>
          </w:tcPr>
          <w:p>
            <w:pPr>
              <w:pStyle w:val="TableContents"/>
              <w:spacing w:before="0" w:after="0"/>
              <w:ind w:left="0" w:right="0" w:firstLine="30"/>
              <w:rPr/>
            </w:pPr>
            <w:r>
              <w:rPr/>
              <w:t> </w:t>
            </w:r>
          </w:p>
        </w:tc>
        <w:tc>
          <w:tcPr>
            <w:tcW w:w="166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188,523</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CCEEFF" w:val="clear"/>
            <w:vAlign w:val="center"/>
          </w:tcPr>
          <w:p>
            <w:pPr>
              <w:pStyle w:val="TableContents"/>
              <w:spacing w:before="0" w:after="0"/>
              <w:ind w:left="0" w:right="0" w:firstLine="30"/>
              <w:rPr/>
            </w:pPr>
            <w:r>
              <w:rPr/>
              <w:t> </w:t>
            </w:r>
          </w:p>
        </w:tc>
        <w:tc>
          <w:tcPr>
            <w:tcW w:w="16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252,973</w:t>
            </w:r>
          </w:p>
        </w:tc>
        <w:tc>
          <w:tcPr>
            <w:tcW w:w="7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Deferred income taxes</w:t>
            </w:r>
          </w:p>
        </w:tc>
        <w:tc>
          <w:tcPr>
            <w:tcW w:w="145" w:type="dxa"/>
            <w:tcBorders/>
            <w:shd w:fill="auto" w:val="clear"/>
            <w:vAlign w:val="center"/>
          </w:tcPr>
          <w:p>
            <w:pPr>
              <w:pStyle w:val="TableContents"/>
              <w:spacing w:before="0" w:after="0"/>
              <w:ind w:left="0" w:right="0" w:firstLine="30"/>
              <w:rPr/>
            </w:pPr>
            <w:r>
              <w:rPr/>
              <w:t> </w:t>
            </w:r>
          </w:p>
        </w:tc>
        <w:tc>
          <w:tcPr>
            <w:tcW w:w="166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1,507</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auto" w:val="clear"/>
            <w:vAlign w:val="center"/>
          </w:tcPr>
          <w:p>
            <w:pPr>
              <w:pStyle w:val="TableContents"/>
              <w:spacing w:before="0" w:after="0"/>
              <w:ind w:left="0" w:right="0" w:firstLine="30"/>
              <w:rPr/>
            </w:pPr>
            <w:r>
              <w:rPr/>
              <w:t> </w:t>
            </w:r>
          </w:p>
        </w:tc>
        <w:tc>
          <w:tcPr>
            <w:tcW w:w="16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182,855</w:t>
            </w:r>
          </w:p>
        </w:tc>
        <w:tc>
          <w:tcPr>
            <w:tcW w:w="7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liabilities</w:t>
            </w:r>
          </w:p>
        </w:tc>
        <w:tc>
          <w:tcPr>
            <w:tcW w:w="145" w:type="dxa"/>
            <w:tcBorders/>
            <w:shd w:fill="CCEEFF" w:val="clear"/>
            <w:vAlign w:val="center"/>
          </w:tcPr>
          <w:p>
            <w:pPr>
              <w:pStyle w:val="TableContents"/>
              <w:spacing w:before="0" w:after="0"/>
              <w:ind w:left="0" w:right="0" w:firstLine="30"/>
              <w:rPr/>
            </w:pPr>
            <w:r>
              <w:rPr/>
              <w:t> </w:t>
            </w:r>
          </w:p>
        </w:tc>
        <w:tc>
          <w:tcPr>
            <w:tcW w:w="166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w:t>
            </w:r>
          </w:p>
        </w:tc>
        <w:tc>
          <w:tcPr>
            <w:tcW w:w="16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CCEEFF" w:val="clear"/>
            <w:vAlign w:val="center"/>
          </w:tcPr>
          <w:p>
            <w:pPr>
              <w:pStyle w:val="TableContents"/>
              <w:spacing w:before="0" w:after="0"/>
              <w:ind w:left="0" w:right="0" w:firstLine="30"/>
              <w:rPr/>
            </w:pPr>
            <w:r>
              <w:rPr/>
              <w:t> </w:t>
            </w:r>
          </w:p>
        </w:tc>
        <w:tc>
          <w:tcPr>
            <w:tcW w:w="16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962</w:t>
            </w:r>
          </w:p>
        </w:tc>
        <w:tc>
          <w:tcPr>
            <w:tcW w:w="798"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6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liabilities</w:t>
            </w:r>
          </w:p>
        </w:tc>
        <w:tc>
          <w:tcPr>
            <w:tcW w:w="145" w:type="dxa"/>
            <w:tcBorders/>
            <w:shd w:fill="auto" w:val="clear"/>
            <w:vAlign w:val="center"/>
          </w:tcPr>
          <w:p>
            <w:pPr>
              <w:pStyle w:val="TableContents"/>
              <w:spacing w:before="0" w:after="0"/>
              <w:ind w:left="0" w:right="0" w:firstLine="30"/>
              <w:rPr/>
            </w:pPr>
            <w:r>
              <w:rPr/>
              <w:t> </w:t>
            </w:r>
          </w:p>
        </w:tc>
        <w:tc>
          <w:tcPr>
            <w:tcW w:w="166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224,988</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auto" w:val="clear"/>
            <w:vAlign w:val="center"/>
          </w:tcPr>
          <w:p>
            <w:pPr>
              <w:pStyle w:val="TableContents"/>
              <w:spacing w:before="0" w:after="0"/>
              <w:ind w:left="0" w:right="0" w:firstLine="30"/>
              <w:rPr/>
            </w:pPr>
            <w:r>
              <w:rPr/>
              <w:t> </w:t>
            </w:r>
          </w:p>
        </w:tc>
        <w:tc>
          <w:tcPr>
            <w:tcW w:w="16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586,042</w:t>
            </w:r>
          </w:p>
        </w:tc>
        <w:tc>
          <w:tcPr>
            <w:tcW w:w="7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Commitments and contingencies (Notes 10 and 16)</w:t>
            </w:r>
          </w:p>
        </w:tc>
        <w:tc>
          <w:tcPr>
            <w:tcW w:w="145" w:type="dxa"/>
            <w:tcBorders/>
            <w:shd w:fill="CCEEFF" w:val="clear"/>
            <w:vAlign w:val="center"/>
          </w:tcPr>
          <w:p>
            <w:pPr>
              <w:pStyle w:val="TableContents"/>
              <w:spacing w:before="0" w:after="0"/>
              <w:ind w:left="0" w:right="0" w:firstLine="30"/>
              <w:rPr/>
            </w:pPr>
            <w:r>
              <w:rPr/>
              <w:t> </w:t>
            </w:r>
          </w:p>
        </w:tc>
        <w:tc>
          <w:tcPr>
            <w:tcW w:w="166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CCEEFF" w:val="clear"/>
            <w:vAlign w:val="center"/>
          </w:tcPr>
          <w:p>
            <w:pPr>
              <w:pStyle w:val="TableContents"/>
              <w:spacing w:before="0" w:after="0"/>
              <w:ind w:left="0" w:right="0" w:firstLine="30"/>
              <w:rPr/>
            </w:pPr>
            <w:r>
              <w:rPr/>
              <w:t> </w:t>
            </w:r>
          </w:p>
        </w:tc>
        <w:tc>
          <w:tcPr>
            <w:tcW w:w="16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r>
          </w:p>
        </w:tc>
        <w:tc>
          <w:tcPr>
            <w:tcW w:w="7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45"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EQUITY</w:t>
            </w:r>
          </w:p>
        </w:tc>
        <w:tc>
          <w:tcPr>
            <w:tcW w:w="145" w:type="dxa"/>
            <w:tcBorders/>
            <w:shd w:fill="auto" w:val="clear"/>
            <w:vAlign w:val="center"/>
          </w:tcPr>
          <w:p>
            <w:pPr>
              <w:pStyle w:val="TableContents"/>
              <w:spacing w:before="0" w:after="0"/>
              <w:ind w:left="0" w:right="0" w:firstLine="30"/>
              <w:rPr/>
            </w:pPr>
            <w:r>
              <w:rPr/>
              <w:t> </w:t>
            </w:r>
          </w:p>
        </w:tc>
        <w:tc>
          <w:tcPr>
            <w:tcW w:w="1834" w:type="dxa"/>
            <w:gridSpan w:val="3"/>
            <w:tcBorders/>
            <w:shd w:fill="auto" w:val="clear"/>
            <w:vAlign w:val="center"/>
          </w:tcPr>
          <w:p>
            <w:pPr>
              <w:pStyle w:val="TableContents"/>
              <w:spacing w:before="0" w:after="0"/>
              <w:ind w:left="0" w:right="0" w:firstLine="30"/>
              <w:rPr/>
            </w:pPr>
            <w:r>
              <w:rPr/>
              <w:t> </w:t>
            </w:r>
          </w:p>
        </w:tc>
        <w:tc>
          <w:tcPr>
            <w:tcW w:w="145" w:type="dxa"/>
            <w:tcBorders/>
            <w:shd w:fill="auto" w:val="clear"/>
            <w:vAlign w:val="center"/>
          </w:tcPr>
          <w:p>
            <w:pPr>
              <w:pStyle w:val="TableContents"/>
              <w:spacing w:before="0" w:after="0"/>
              <w:ind w:left="0" w:right="0" w:firstLine="30"/>
              <w:rPr/>
            </w:pPr>
            <w:r>
              <w:rPr/>
              <w:t> </w:t>
            </w:r>
          </w:p>
        </w:tc>
        <w:tc>
          <w:tcPr>
            <w:tcW w:w="2436" w:type="dxa"/>
            <w:gridSpan w:val="3"/>
            <w:tcBorders/>
            <w:shd w:fill="auto" w:val="clear"/>
            <w:vAlign w:val="center"/>
          </w:tcPr>
          <w:p>
            <w:pPr>
              <w:pStyle w:val="TableContents"/>
              <w:spacing w:before="0" w:after="0"/>
              <w:ind w:left="0" w:right="0" w:firstLine="30"/>
              <w:rPr/>
            </w:pPr>
            <w:r>
              <w:rPr/>
              <w:t> </w:t>
            </w:r>
          </w:p>
        </w:tc>
      </w:tr>
      <w:tr>
        <w:trPr/>
        <w:tc>
          <w:tcPr>
            <w:tcW w:w="56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investment</w:t>
            </w:r>
          </w:p>
        </w:tc>
        <w:tc>
          <w:tcPr>
            <w:tcW w:w="145" w:type="dxa"/>
            <w:tcBorders/>
            <w:shd w:fill="CCEEFF" w:val="clear"/>
            <w:vAlign w:val="center"/>
          </w:tcPr>
          <w:p>
            <w:pPr>
              <w:pStyle w:val="TableContents"/>
              <w:spacing w:before="0" w:after="0"/>
              <w:ind w:left="0" w:right="0" w:firstLine="30"/>
              <w:rPr/>
            </w:pPr>
            <w:r>
              <w:rPr/>
              <w:t> </w:t>
            </w:r>
          </w:p>
        </w:tc>
        <w:tc>
          <w:tcPr>
            <w:tcW w:w="1667" w:type="dxa"/>
            <w:gridSpan w:val="2"/>
            <w:tcBorders/>
            <w:shd w:fill="CCEEFF" w:val="clear"/>
            <w:vAlign w:val="center"/>
          </w:tcPr>
          <w:p>
            <w:pPr>
              <w:pStyle w:val="TableContents"/>
              <w:spacing w:before="0" w:after="0"/>
              <w:jc w:val="right"/>
              <w:rPr/>
            </w:pPr>
            <w:r>
              <w:rPr/>
              <w:t>—</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CCEEFF" w:val="clear"/>
            <w:vAlign w:val="center"/>
          </w:tcPr>
          <w:p>
            <w:pPr>
              <w:pStyle w:val="TableContents"/>
              <w:spacing w:before="0" w:after="0"/>
              <w:ind w:left="0" w:right="0" w:firstLine="30"/>
              <w:rPr/>
            </w:pPr>
            <w:r>
              <w:rPr/>
              <w:t> </w:t>
            </w:r>
          </w:p>
        </w:tc>
        <w:tc>
          <w:tcPr>
            <w:tcW w:w="16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455,432</w:t>
            </w:r>
          </w:p>
        </w:tc>
        <w:tc>
          <w:tcPr>
            <w:tcW w:w="7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Common unitholders—public (12,937,500 units issued and outstanding)</w:t>
            </w:r>
          </w:p>
        </w:tc>
        <w:tc>
          <w:tcPr>
            <w:tcW w:w="145" w:type="dxa"/>
            <w:tcBorders/>
            <w:shd w:fill="auto" w:val="clear"/>
            <w:vAlign w:val="center"/>
          </w:tcPr>
          <w:p>
            <w:pPr>
              <w:pStyle w:val="TableContents"/>
              <w:spacing w:before="0" w:after="0"/>
              <w:ind w:left="0" w:right="0" w:firstLine="30"/>
              <w:rPr/>
            </w:pPr>
            <w:r>
              <w:rPr/>
              <w:t> </w:t>
            </w:r>
          </w:p>
        </w:tc>
        <w:tc>
          <w:tcPr>
            <w:tcW w:w="166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288,487</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auto" w:val="clear"/>
            <w:vAlign w:val="center"/>
          </w:tcPr>
          <w:p>
            <w:pPr>
              <w:pStyle w:val="TableContents"/>
              <w:spacing w:before="0" w:after="0"/>
              <w:ind w:left="0" w:right="0" w:firstLine="30"/>
              <w:rPr/>
            </w:pPr>
            <w:r>
              <w:rPr/>
              <w:t> </w:t>
            </w:r>
          </w:p>
        </w:tc>
        <w:tc>
          <w:tcPr>
            <w:tcW w:w="1638" w:type="dxa"/>
            <w:gridSpan w:val="2"/>
            <w:tcBorders/>
            <w:shd w:fill="auto" w:val="clear"/>
            <w:vAlign w:val="center"/>
          </w:tcPr>
          <w:p>
            <w:pPr>
              <w:pStyle w:val="TableContents"/>
              <w:spacing w:before="0" w:after="0"/>
              <w:jc w:val="right"/>
              <w:rPr/>
            </w:pPr>
            <w:r>
              <w:rPr/>
              <w:t>—</w:t>
            </w:r>
          </w:p>
        </w:tc>
        <w:tc>
          <w:tcPr>
            <w:tcW w:w="7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Common unitholder—Westlake (1,436,115 units issued and outstanding)</w:t>
            </w:r>
          </w:p>
        </w:tc>
        <w:tc>
          <w:tcPr>
            <w:tcW w:w="145" w:type="dxa"/>
            <w:tcBorders/>
            <w:shd w:fill="CCEEFF" w:val="clear"/>
            <w:vAlign w:val="center"/>
          </w:tcPr>
          <w:p>
            <w:pPr>
              <w:pStyle w:val="TableContents"/>
              <w:spacing w:before="0" w:after="0"/>
              <w:ind w:left="0" w:right="0" w:firstLine="30"/>
              <w:rPr/>
            </w:pPr>
            <w:r>
              <w:rPr/>
              <w:t> </w:t>
            </w:r>
          </w:p>
        </w:tc>
        <w:tc>
          <w:tcPr>
            <w:tcW w:w="166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3,828</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CCEEFF" w:val="clear"/>
            <w:vAlign w:val="center"/>
          </w:tcPr>
          <w:p>
            <w:pPr>
              <w:pStyle w:val="TableContents"/>
              <w:spacing w:before="0" w:after="0"/>
              <w:ind w:left="0" w:right="0" w:firstLine="30"/>
              <w:rPr/>
            </w:pPr>
            <w:r>
              <w:rPr/>
              <w:t> </w:t>
            </w:r>
          </w:p>
        </w:tc>
        <w:tc>
          <w:tcPr>
            <w:tcW w:w="1638" w:type="dxa"/>
            <w:gridSpan w:val="2"/>
            <w:tcBorders/>
            <w:shd w:fill="CCEEFF" w:val="clear"/>
            <w:vAlign w:val="center"/>
          </w:tcPr>
          <w:p>
            <w:pPr>
              <w:pStyle w:val="TableContents"/>
              <w:spacing w:before="0" w:after="0"/>
              <w:jc w:val="right"/>
              <w:rPr/>
            </w:pPr>
            <w:r>
              <w:rPr/>
              <w:t>—</w:t>
            </w:r>
          </w:p>
        </w:tc>
        <w:tc>
          <w:tcPr>
            <w:tcW w:w="7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Subordinated unitholder—Westlake (12,686,115 units issued and outstanding)</w:t>
            </w:r>
          </w:p>
        </w:tc>
        <w:tc>
          <w:tcPr>
            <w:tcW w:w="145" w:type="dxa"/>
            <w:tcBorders/>
            <w:shd w:fill="auto" w:val="clear"/>
            <w:vAlign w:val="center"/>
          </w:tcPr>
          <w:p>
            <w:pPr>
              <w:pStyle w:val="TableContents"/>
              <w:spacing w:before="0" w:after="0"/>
              <w:ind w:left="0" w:right="0" w:firstLine="30"/>
              <w:rPr/>
            </w:pPr>
            <w:r>
              <w:rPr/>
              <w:t> </w:t>
            </w:r>
          </w:p>
        </w:tc>
        <w:tc>
          <w:tcPr>
            <w:tcW w:w="166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33,830</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auto" w:val="clear"/>
            <w:vAlign w:val="center"/>
          </w:tcPr>
          <w:p>
            <w:pPr>
              <w:pStyle w:val="TableContents"/>
              <w:spacing w:before="0" w:after="0"/>
              <w:ind w:left="0" w:right="0" w:firstLine="30"/>
              <w:rPr/>
            </w:pPr>
            <w:r>
              <w:rPr/>
              <w:t> </w:t>
            </w:r>
          </w:p>
        </w:tc>
        <w:tc>
          <w:tcPr>
            <w:tcW w:w="1638" w:type="dxa"/>
            <w:gridSpan w:val="2"/>
            <w:tcBorders/>
            <w:shd w:fill="auto" w:val="clear"/>
            <w:vAlign w:val="center"/>
          </w:tcPr>
          <w:p>
            <w:pPr>
              <w:pStyle w:val="TableContents"/>
              <w:spacing w:before="0" w:after="0"/>
              <w:jc w:val="right"/>
              <w:rPr/>
            </w:pPr>
            <w:r>
              <w:rPr/>
              <w:t>—</w:t>
            </w:r>
          </w:p>
        </w:tc>
        <w:tc>
          <w:tcPr>
            <w:tcW w:w="7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General partner—Westlake</w:t>
            </w:r>
          </w:p>
        </w:tc>
        <w:tc>
          <w:tcPr>
            <w:tcW w:w="145" w:type="dxa"/>
            <w:tcBorders/>
            <w:shd w:fill="CCEEFF" w:val="clear"/>
            <w:vAlign w:val="center"/>
          </w:tcPr>
          <w:p>
            <w:pPr>
              <w:pStyle w:val="TableContents"/>
              <w:spacing w:before="0" w:after="0"/>
              <w:ind w:left="0" w:right="0" w:firstLine="30"/>
              <w:rPr/>
            </w:pPr>
            <w:r>
              <w:rPr/>
              <w:t> </w:t>
            </w:r>
          </w:p>
        </w:tc>
        <w:tc>
          <w:tcPr>
            <w:tcW w:w="166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(242,572</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5" w:type="dxa"/>
            <w:tcBorders/>
            <w:shd w:fill="CCEEFF" w:val="clear"/>
            <w:vAlign w:val="center"/>
          </w:tcPr>
          <w:p>
            <w:pPr>
              <w:pStyle w:val="TableContents"/>
              <w:spacing w:before="0" w:after="0"/>
              <w:ind w:left="0" w:right="0" w:firstLine="30"/>
              <w:rPr/>
            </w:pPr>
            <w:r>
              <w:rPr/>
              <w:t> </w:t>
            </w:r>
          </w:p>
        </w:tc>
        <w:tc>
          <w:tcPr>
            <w:tcW w:w="1638" w:type="dxa"/>
            <w:gridSpan w:val="2"/>
            <w:tcBorders/>
            <w:shd w:fill="CCEEFF" w:val="clear"/>
            <w:vAlign w:val="center"/>
          </w:tcPr>
          <w:p>
            <w:pPr>
              <w:pStyle w:val="TableContents"/>
              <w:spacing w:before="0" w:after="0"/>
              <w:jc w:val="right"/>
              <w:rPr/>
            </w:pPr>
            <w:r>
              <w:rPr/>
              <w:t>—</w:t>
            </w:r>
          </w:p>
        </w:tc>
        <w:tc>
          <w:tcPr>
            <w:tcW w:w="798"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6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Westlake Chemical Partners LP partners' capital</w:t>
            </w:r>
          </w:p>
        </w:tc>
        <w:tc>
          <w:tcPr>
            <w:tcW w:w="145" w:type="dxa"/>
            <w:tcBorders/>
            <w:shd w:fill="auto" w:val="clear"/>
            <w:vAlign w:val="center"/>
          </w:tcPr>
          <w:p>
            <w:pPr>
              <w:pStyle w:val="TableContents"/>
              <w:spacing w:before="0" w:after="0"/>
              <w:ind w:left="0" w:right="0" w:firstLine="30"/>
              <w:rPr/>
            </w:pPr>
            <w:r>
              <w:rPr/>
              <w:t> </w:t>
            </w:r>
          </w:p>
        </w:tc>
        <w:tc>
          <w:tcPr>
            <w:tcW w:w="1667"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83,573</w:t>
            </w:r>
          </w:p>
        </w:tc>
        <w:tc>
          <w:tcPr>
            <w:tcW w:w="167"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auto" w:val="clear"/>
            <w:vAlign w:val="center"/>
          </w:tcPr>
          <w:p>
            <w:pPr>
              <w:pStyle w:val="TableContents"/>
              <w:spacing w:before="0" w:after="0"/>
              <w:ind w:left="0" w:right="0" w:firstLine="30"/>
              <w:rPr/>
            </w:pPr>
            <w:r>
              <w:rPr/>
              <w:t> </w:t>
            </w:r>
          </w:p>
        </w:tc>
        <w:tc>
          <w:tcPr>
            <w:tcW w:w="163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455,432</w:t>
            </w:r>
          </w:p>
        </w:tc>
        <w:tc>
          <w:tcPr>
            <w:tcW w:w="798"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Noncontrolling interest in OpCo</w:t>
            </w:r>
          </w:p>
        </w:tc>
        <w:tc>
          <w:tcPr>
            <w:tcW w:w="145" w:type="dxa"/>
            <w:tcBorders/>
            <w:shd w:fill="CCEEFF" w:val="clear"/>
            <w:vAlign w:val="center"/>
          </w:tcPr>
          <w:p>
            <w:pPr>
              <w:pStyle w:val="TableContents"/>
              <w:spacing w:before="0" w:after="0"/>
              <w:ind w:left="0" w:right="0" w:firstLine="30"/>
              <w:rPr/>
            </w:pPr>
            <w:r>
              <w:rPr/>
              <w:t> </w:t>
            </w:r>
          </w:p>
        </w:tc>
        <w:tc>
          <w:tcPr>
            <w:tcW w:w="166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713,714</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CCEEFF" w:val="clear"/>
            <w:vAlign w:val="center"/>
          </w:tcPr>
          <w:p>
            <w:pPr>
              <w:pStyle w:val="TableContents"/>
              <w:spacing w:before="0" w:after="0"/>
              <w:ind w:left="0" w:right="0" w:firstLine="30"/>
              <w:rPr/>
            </w:pPr>
            <w:r>
              <w:rPr/>
              <w:t> </w:t>
            </w:r>
          </w:p>
        </w:tc>
        <w:tc>
          <w:tcPr>
            <w:tcW w:w="1638" w:type="dxa"/>
            <w:gridSpan w:val="2"/>
            <w:tcBorders/>
            <w:shd w:fill="CCEEFF" w:val="clear"/>
            <w:vAlign w:val="center"/>
          </w:tcPr>
          <w:p>
            <w:pPr>
              <w:pStyle w:val="TableContents"/>
              <w:spacing w:before="0" w:after="0"/>
              <w:jc w:val="right"/>
              <w:rPr/>
            </w:pPr>
            <w:r>
              <w:rPr/>
              <w:t>—</w:t>
            </w:r>
          </w:p>
        </w:tc>
        <w:tc>
          <w:tcPr>
            <w:tcW w:w="798"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6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equity</w:t>
            </w:r>
          </w:p>
        </w:tc>
        <w:tc>
          <w:tcPr>
            <w:tcW w:w="145" w:type="dxa"/>
            <w:tcBorders/>
            <w:shd w:fill="auto" w:val="clear"/>
            <w:vAlign w:val="center"/>
          </w:tcPr>
          <w:p>
            <w:pPr>
              <w:pStyle w:val="TableContents"/>
              <w:spacing w:before="0" w:after="0"/>
              <w:ind w:left="0" w:right="0" w:firstLine="30"/>
              <w:rPr/>
            </w:pPr>
            <w:r>
              <w:rPr/>
              <w:t> </w:t>
            </w:r>
          </w:p>
        </w:tc>
        <w:tc>
          <w:tcPr>
            <w:tcW w:w="1667"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797,287</w:t>
            </w:r>
          </w:p>
        </w:tc>
        <w:tc>
          <w:tcPr>
            <w:tcW w:w="167"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auto" w:val="clear"/>
            <w:vAlign w:val="center"/>
          </w:tcPr>
          <w:p>
            <w:pPr>
              <w:pStyle w:val="TableContents"/>
              <w:spacing w:before="0" w:after="0"/>
              <w:ind w:left="0" w:right="0" w:firstLine="30"/>
              <w:rPr/>
            </w:pPr>
            <w:r>
              <w:rPr/>
              <w:t> </w:t>
            </w:r>
          </w:p>
        </w:tc>
        <w:tc>
          <w:tcPr>
            <w:tcW w:w="1638"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455,432</w:t>
            </w:r>
          </w:p>
        </w:tc>
        <w:tc>
          <w:tcPr>
            <w:tcW w:w="798"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64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Total liabilities and equity</w:t>
            </w:r>
          </w:p>
        </w:tc>
        <w:tc>
          <w:tcPr>
            <w:tcW w:w="145" w:type="dxa"/>
            <w:tcBorders/>
            <w:shd w:fill="CCEEFF" w:val="clear"/>
            <w:vAlign w:val="center"/>
          </w:tcPr>
          <w:p>
            <w:pPr>
              <w:pStyle w:val="TableContents"/>
              <w:spacing w:before="0" w:after="0"/>
              <w:ind w:left="0" w:right="0" w:firstLine="30"/>
              <w:rPr/>
            </w:pPr>
            <w:r>
              <w:rPr/>
              <w:t> </w:t>
            </w:r>
          </w:p>
        </w:tc>
        <w:tc>
          <w:tcPr>
            <w:tcW w:w="18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48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1,022,275</w:t>
            </w:r>
          </w:p>
        </w:tc>
        <w:tc>
          <w:tcPr>
            <w:tcW w:w="16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CCEEFF" w:val="clear"/>
            <w:vAlign w:val="center"/>
          </w:tcPr>
          <w:p>
            <w:pPr>
              <w:pStyle w:val="TableContents"/>
              <w:spacing w:before="0" w:after="0"/>
              <w:ind w:left="0" w:right="0" w:firstLine="30"/>
              <w:rPr/>
            </w:pPr>
            <w:r>
              <w:rPr/>
              <w:t> </w:t>
            </w:r>
          </w:p>
        </w:tc>
        <w:tc>
          <w:tcPr>
            <w:tcW w:w="17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46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1,041,474</w:t>
            </w:r>
          </w:p>
        </w:tc>
        <w:tc>
          <w:tcPr>
            <w:tcW w:w="798"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t>The accompanying notes are an integral part of the combined and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w:t>
      </w:r>
      <w:r>
        <w:br w:type="page"/>
      </w:r>
    </w:p>
    <w:p>
      <w:pPr>
        <w:pStyle w:val="TextBody"/>
        <w:spacing w:lineRule="auto" w:line="288" w:before="0" w:after="0"/>
        <w:rPr/>
      </w:pPr>
      <w:hyperlink w:anchor="s7D21BC485A80E1C3273666ECEC2365C6">
        <w:bookmarkStart w:id="11" w:name="s9F03A60F2B46492D077166ECE89FFF9B"/>
        <w:bookmarkEnd w:id="11"/>
        <w:r>
          <w:rPr>
            <w:rStyle w:val="InternetLink"/>
            <w:rFonts w:ascii="inherit" w:hAnsi="inherit"/>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 xml:space="preserve">WESTLAKE CHEMICAL PARTNERS LP </w:t>
      </w:r>
    </w:p>
    <w:p>
      <w:pPr>
        <w:pStyle w:val="TextBody"/>
        <w:spacing w:lineRule="auto" w:line="288" w:before="0" w:after="0"/>
        <w:jc w:val="center"/>
        <w:rPr>
          <w:rFonts w:ascii="inherit" w:hAnsi="inherit"/>
          <w:b/>
          <w:sz w:val="17"/>
        </w:rPr>
      </w:pPr>
      <w:r>
        <w:rPr>
          <w:rFonts w:ascii="inherit" w:hAnsi="inherit"/>
          <w:b/>
          <w:sz w:val="17"/>
        </w:rPr>
        <w:t>COMBINED AND CONSOLIDATED STATEMENTS OF OPERATIONS</w:t>
      </w:r>
    </w:p>
    <w:p>
      <w:pPr>
        <w:pStyle w:val="TextBody"/>
        <w:spacing w:lineRule="auto" w:line="288" w:before="0" w:after="0"/>
        <w:jc w:val="center"/>
        <w:rPr>
          <w:rFonts w:ascii="inherit" w:hAnsi="inherit"/>
          <w:b/>
          <w:sz w:val="17"/>
        </w:rPr>
      </w:pPr>
      <w:r>
        <w:rPr>
          <w:rFonts w:ascii="inherit" w:hAnsi="inherit"/>
          <w:b/>
          <w:sz w:val="17"/>
        </w:rPr>
        <w:t>(Unaudited)</w:t>
      </w:r>
    </w:p>
    <w:tbl>
      <w:tblPr>
        <w:tblW w:w="10205" w:type="dxa"/>
        <w:jc w:val="left"/>
        <w:tblInd w:w="0" w:type="dxa"/>
        <w:tblCellMar>
          <w:top w:w="0" w:type="dxa"/>
          <w:left w:w="0" w:type="dxa"/>
          <w:bottom w:w="0" w:type="dxa"/>
          <w:right w:w="0" w:type="dxa"/>
        </w:tblCellMar>
      </w:tblPr>
      <w:tblGrid>
        <w:gridCol w:w="3249"/>
        <w:gridCol w:w="127"/>
        <w:gridCol w:w="214"/>
        <w:gridCol w:w="1200"/>
        <w:gridCol w:w="145"/>
        <w:gridCol w:w="127"/>
        <w:gridCol w:w="175"/>
        <w:gridCol w:w="1142"/>
        <w:gridCol w:w="145"/>
        <w:gridCol w:w="127"/>
        <w:gridCol w:w="171"/>
        <w:gridCol w:w="1274"/>
        <w:gridCol w:w="145"/>
        <w:gridCol w:w="127"/>
        <w:gridCol w:w="158"/>
        <w:gridCol w:w="1274"/>
        <w:gridCol w:w="405"/>
      </w:tblGrid>
      <w:tr>
        <w:trPr/>
        <w:tc>
          <w:tcPr>
            <w:tcW w:w="10205" w:type="dxa"/>
            <w:gridSpan w:val="17"/>
            <w:tcBorders/>
            <w:shd w:fill="auto" w:val="clear"/>
            <w:vAlign w:val="center"/>
          </w:tcPr>
          <w:p>
            <w:pPr>
              <w:pStyle w:val="TableContents"/>
              <w:spacing w:before="0" w:after="283"/>
              <w:rPr>
                <w:sz w:val="4"/>
                <w:szCs w:val="4"/>
              </w:rPr>
            </w:pPr>
            <w:r>
              <w:rPr>
                <w:sz w:val="4"/>
                <w:szCs w:val="4"/>
              </w:rPr>
            </w:r>
          </w:p>
        </w:tc>
      </w:tr>
      <w:tr>
        <w:trPr/>
        <w:tc>
          <w:tcPr>
            <w:tcW w:w="324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20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142"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249" w:type="dxa"/>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3148"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September 30,</w:t>
            </w:r>
          </w:p>
        </w:tc>
        <w:tc>
          <w:tcPr>
            <w:tcW w:w="127" w:type="dxa"/>
            <w:tcBorders/>
            <w:shd w:fill="auto" w:val="clear"/>
            <w:vAlign w:val="center"/>
          </w:tcPr>
          <w:p>
            <w:pPr>
              <w:pStyle w:val="TableContents"/>
              <w:spacing w:before="0" w:after="0"/>
              <w:ind w:left="0" w:right="0" w:firstLine="30"/>
              <w:rPr/>
            </w:pPr>
            <w:r>
              <w:rPr/>
              <w:t> </w:t>
            </w:r>
          </w:p>
        </w:tc>
        <w:tc>
          <w:tcPr>
            <w:tcW w:w="3554"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September 30,</w:t>
            </w:r>
          </w:p>
        </w:tc>
      </w:tr>
      <w:tr>
        <w:trPr/>
        <w:tc>
          <w:tcPr>
            <w:tcW w:w="3249" w:type="dxa"/>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55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2014</w:t>
            </w:r>
          </w:p>
        </w:tc>
        <w:tc>
          <w:tcPr>
            <w:tcW w:w="127" w:type="dxa"/>
            <w:tcBorders/>
            <w:shd w:fill="auto" w:val="clear"/>
            <w:vAlign w:val="center"/>
          </w:tcPr>
          <w:p>
            <w:pPr>
              <w:pStyle w:val="TableContents"/>
              <w:spacing w:before="0" w:after="0"/>
              <w:ind w:left="0" w:right="0" w:firstLine="30"/>
              <w:rPr/>
            </w:pPr>
            <w:r>
              <w:rPr/>
              <w:t> </w:t>
            </w:r>
          </w:p>
        </w:tc>
        <w:tc>
          <w:tcPr>
            <w:tcW w:w="146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27" w:type="dxa"/>
            <w:tcBorders/>
            <w:shd w:fill="auto" w:val="clear"/>
            <w:vAlign w:val="center"/>
          </w:tcPr>
          <w:p>
            <w:pPr>
              <w:pStyle w:val="TableContents"/>
              <w:spacing w:before="0" w:after="0"/>
              <w:ind w:left="0" w:right="0" w:firstLine="30"/>
              <w:rPr/>
            </w:pPr>
            <w:r>
              <w:rPr/>
              <w:t> </w:t>
            </w:r>
          </w:p>
        </w:tc>
        <w:tc>
          <w:tcPr>
            <w:tcW w:w="159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2014</w:t>
            </w:r>
          </w:p>
        </w:tc>
        <w:tc>
          <w:tcPr>
            <w:tcW w:w="127" w:type="dxa"/>
            <w:tcBorders/>
            <w:shd w:fill="auto" w:val="clear"/>
            <w:vAlign w:val="center"/>
          </w:tcPr>
          <w:p>
            <w:pPr>
              <w:pStyle w:val="TableContents"/>
              <w:spacing w:before="0" w:after="0"/>
              <w:ind w:left="0" w:right="0" w:firstLine="30"/>
              <w:rPr/>
            </w:pPr>
            <w:r>
              <w:rPr/>
              <w:t> </w:t>
            </w:r>
          </w:p>
        </w:tc>
        <w:tc>
          <w:tcPr>
            <w:tcW w:w="183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r>
      <w:tr>
        <w:trPr/>
        <w:tc>
          <w:tcPr>
            <w:tcW w:w="3249" w:type="dxa"/>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559"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462" w:type="dxa"/>
            <w:gridSpan w:val="3"/>
            <w:tcBorders/>
            <w:shd w:fill="auto" w:val="clear"/>
            <w:vAlign w:val="center"/>
          </w:tcPr>
          <w:p>
            <w:pPr>
              <w:pStyle w:val="TableContents"/>
              <w:spacing w:before="0" w:after="0"/>
              <w:ind w:left="0" w:right="0" w:firstLine="30"/>
              <w:jc w:val="center"/>
              <w:rPr>
                <w:rFonts w:ascii="inherit" w:hAnsi="inherit"/>
                <w:b/>
                <w:i/>
                <w:sz w:val="13"/>
              </w:rPr>
            </w:pPr>
            <w:r>
              <w:rPr>
                <w:rFonts w:ascii="inherit" w:hAnsi="inherit"/>
                <w:b/>
                <w:i/>
                <w:sz w:val="13"/>
              </w:rPr>
              <w:t>Predecessor</w:t>
            </w:r>
          </w:p>
        </w:tc>
        <w:tc>
          <w:tcPr>
            <w:tcW w:w="127" w:type="dxa"/>
            <w:tcBorders/>
            <w:shd w:fill="auto" w:val="clear"/>
            <w:vAlign w:val="center"/>
          </w:tcPr>
          <w:p>
            <w:pPr>
              <w:pStyle w:val="TableContents"/>
              <w:spacing w:before="0" w:after="0"/>
              <w:ind w:left="0" w:right="0" w:firstLine="30"/>
              <w:rPr/>
            </w:pPr>
            <w:r>
              <w:rPr/>
              <w:t> </w:t>
            </w:r>
          </w:p>
        </w:tc>
        <w:tc>
          <w:tcPr>
            <w:tcW w:w="1590"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837" w:type="dxa"/>
            <w:gridSpan w:val="3"/>
            <w:tcBorders/>
            <w:shd w:fill="auto" w:val="clear"/>
            <w:vAlign w:val="center"/>
          </w:tcPr>
          <w:p>
            <w:pPr>
              <w:pStyle w:val="TableContents"/>
              <w:spacing w:before="0" w:after="0"/>
              <w:ind w:left="0" w:right="0" w:firstLine="30"/>
              <w:jc w:val="center"/>
              <w:rPr>
                <w:rFonts w:ascii="inherit" w:hAnsi="inherit"/>
                <w:b/>
                <w:i/>
                <w:sz w:val="13"/>
              </w:rPr>
            </w:pPr>
            <w:r>
              <w:rPr>
                <w:rFonts w:ascii="inherit" w:hAnsi="inherit"/>
                <w:b/>
                <w:i/>
                <w:sz w:val="13"/>
              </w:rPr>
              <w:t>Predecessor</w:t>
            </w:r>
          </w:p>
        </w:tc>
      </w:tr>
      <w:tr>
        <w:trPr/>
        <w:tc>
          <w:tcPr>
            <w:tcW w:w="3249" w:type="dxa"/>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559"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462"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590"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837" w:type="dxa"/>
            <w:gridSpan w:val="3"/>
            <w:tcBorders/>
            <w:shd w:fill="auto" w:val="clear"/>
            <w:vAlign w:val="center"/>
          </w:tcPr>
          <w:p>
            <w:pPr>
              <w:pStyle w:val="TableContents"/>
              <w:spacing w:before="0" w:after="0"/>
              <w:ind w:left="0" w:right="0" w:firstLine="30"/>
              <w:rPr/>
            </w:pPr>
            <w:r>
              <w:rPr/>
              <w:t> </w:t>
            </w:r>
          </w:p>
        </w:tc>
      </w:tr>
      <w:tr>
        <w:trPr/>
        <w:tc>
          <w:tcPr>
            <w:tcW w:w="3249" w:type="dxa"/>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6829" w:type="dxa"/>
            <w:gridSpan w:val="15"/>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(in thousands of dollars, except unit amounts and per unit data)</w:t>
            </w:r>
          </w:p>
        </w:tc>
      </w:tr>
      <w:tr>
        <w:trPr/>
        <w:tc>
          <w:tcPr>
            <w:tcW w:w="3249"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Revenue</w:t>
            </w:r>
          </w:p>
        </w:tc>
        <w:tc>
          <w:tcPr>
            <w:tcW w:w="127" w:type="dxa"/>
            <w:tcBorders/>
            <w:shd w:fill="CCEEFF" w:val="clear"/>
            <w:vAlign w:val="center"/>
          </w:tcPr>
          <w:p>
            <w:pPr>
              <w:pStyle w:val="TableContents"/>
              <w:spacing w:before="0" w:after="0"/>
              <w:ind w:left="0" w:right="0" w:firstLine="30"/>
              <w:rPr/>
            </w:pPr>
            <w:r>
              <w:rPr/>
              <w:t> </w:t>
            </w:r>
          </w:p>
        </w:tc>
        <w:tc>
          <w:tcPr>
            <w:tcW w:w="1559" w:type="dxa"/>
            <w:gridSpan w:val="3"/>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ind w:left="0" w:right="0" w:firstLine="30"/>
              <w:rPr/>
            </w:pPr>
            <w:r>
              <w:rPr/>
              <w:t> </w:t>
            </w:r>
          </w:p>
        </w:tc>
        <w:tc>
          <w:tcPr>
            <w:tcW w:w="1462" w:type="dxa"/>
            <w:gridSpan w:val="3"/>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ind w:left="0" w:right="0" w:firstLine="30"/>
              <w:rPr/>
            </w:pPr>
            <w:r>
              <w:rPr/>
              <w:t> </w:t>
            </w:r>
          </w:p>
        </w:tc>
        <w:tc>
          <w:tcPr>
            <w:tcW w:w="1590" w:type="dxa"/>
            <w:gridSpan w:val="3"/>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ind w:left="0" w:right="0" w:firstLine="30"/>
              <w:rPr/>
            </w:pPr>
            <w:r>
              <w:rPr/>
              <w:t> </w:t>
            </w:r>
          </w:p>
        </w:tc>
        <w:tc>
          <w:tcPr>
            <w:tcW w:w="1837" w:type="dxa"/>
            <w:gridSpan w:val="3"/>
            <w:tcBorders/>
            <w:shd w:fill="CCEEFF" w:val="clear"/>
            <w:vAlign w:val="center"/>
          </w:tcPr>
          <w:p>
            <w:pPr>
              <w:pStyle w:val="TableContents"/>
              <w:spacing w:before="0" w:after="0"/>
              <w:ind w:left="0" w:right="0" w:firstLine="300"/>
              <w:rPr/>
            </w:pPr>
            <w:r>
              <w:rPr/>
              <w:t> </w:t>
            </w:r>
          </w:p>
        </w:tc>
      </w:tr>
      <w:tr>
        <w:trPr/>
        <w:tc>
          <w:tcPr>
            <w:tcW w:w="3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sales—Westlake</w:t>
            </w:r>
          </w:p>
        </w:tc>
        <w:tc>
          <w:tcPr>
            <w:tcW w:w="127" w:type="dxa"/>
            <w:tcBorders/>
            <w:shd w:fill="auto" w:val="clear"/>
            <w:vAlign w:val="center"/>
          </w:tcPr>
          <w:p>
            <w:pPr>
              <w:pStyle w:val="TableContents"/>
              <w:spacing w:before="0" w:after="0"/>
              <w:ind w:left="0" w:right="0" w:firstLine="30"/>
              <w:rPr/>
            </w:pPr>
            <w:r>
              <w:rPr/>
              <w:t> </w:t>
            </w:r>
          </w:p>
        </w:tc>
        <w:tc>
          <w:tcPr>
            <w:tcW w:w="21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00" w:type="dxa"/>
            <w:tcBorders/>
            <w:shd w:fill="auto" w:val="clear"/>
            <w:vAlign w:val="center"/>
          </w:tcPr>
          <w:p>
            <w:pPr>
              <w:pStyle w:val="TableContents"/>
              <w:spacing w:before="0" w:after="0"/>
              <w:jc w:val="right"/>
              <w:rPr>
                <w:rFonts w:ascii="inherit" w:hAnsi="inherit"/>
                <w:sz w:val="17"/>
              </w:rPr>
            </w:pPr>
            <w:r>
              <w:rPr>
                <w:rFonts w:ascii="inherit" w:hAnsi="inherit"/>
                <w:sz w:val="17"/>
              </w:rPr>
              <w:t>289,601</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7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42" w:type="dxa"/>
            <w:tcBorders/>
            <w:shd w:fill="auto" w:val="clear"/>
            <w:vAlign w:val="center"/>
          </w:tcPr>
          <w:p>
            <w:pPr>
              <w:pStyle w:val="TableContents"/>
              <w:spacing w:before="0" w:after="0"/>
              <w:jc w:val="right"/>
              <w:rPr>
                <w:rFonts w:ascii="inherit" w:hAnsi="inherit"/>
                <w:sz w:val="17"/>
              </w:rPr>
            </w:pPr>
            <w:r>
              <w:rPr>
                <w:rFonts w:ascii="inherit" w:hAnsi="inherit"/>
                <w:sz w:val="17"/>
              </w:rPr>
              <w:t>391,801</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7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74" w:type="dxa"/>
            <w:tcBorders/>
            <w:shd w:fill="auto" w:val="clear"/>
            <w:vAlign w:val="center"/>
          </w:tcPr>
          <w:p>
            <w:pPr>
              <w:pStyle w:val="TableContents"/>
              <w:spacing w:before="0" w:after="0"/>
              <w:jc w:val="right"/>
              <w:rPr>
                <w:rFonts w:ascii="inherit" w:hAnsi="inherit"/>
                <w:sz w:val="17"/>
              </w:rPr>
            </w:pPr>
            <w:r>
              <w:rPr>
                <w:rFonts w:ascii="inherit" w:hAnsi="inherit"/>
                <w:sz w:val="17"/>
              </w:rPr>
              <w:t>1,088,561</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5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74" w:type="dxa"/>
            <w:tcBorders/>
            <w:shd w:fill="auto" w:val="clear"/>
            <w:vAlign w:val="center"/>
          </w:tcPr>
          <w:p>
            <w:pPr>
              <w:pStyle w:val="TableContents"/>
              <w:spacing w:before="0" w:after="0"/>
              <w:jc w:val="right"/>
              <w:rPr>
                <w:rFonts w:ascii="inherit" w:hAnsi="inherit"/>
                <w:sz w:val="17"/>
              </w:rPr>
            </w:pPr>
            <w:r>
              <w:rPr>
                <w:rFonts w:ascii="inherit" w:hAnsi="inherit"/>
                <w:sz w:val="17"/>
              </w:rPr>
              <w:t>1,195,870</w:t>
            </w:r>
          </w:p>
        </w:tc>
        <w:tc>
          <w:tcPr>
            <w:tcW w:w="40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49" w:type="dxa"/>
            <w:tcBorders/>
            <w:shd w:fill="CCEEFF" w:val="clear"/>
            <w:vAlign w:val="center"/>
          </w:tcPr>
          <w:p>
            <w:pPr>
              <w:pStyle w:val="TableContents"/>
              <w:spacing w:before="0" w:after="0"/>
              <w:jc w:val="left"/>
              <w:rPr>
                <w:rFonts w:ascii="inherit" w:hAnsi="inherit"/>
                <w:sz w:val="17"/>
              </w:rPr>
            </w:pPr>
            <w:r>
              <w:rPr>
                <w:rFonts w:ascii="inherit" w:hAnsi="inherit"/>
                <w:sz w:val="17"/>
              </w:rPr>
              <w:t xml:space="preserve">Net co-product, ethylene and feedstock </w:t>
            </w:r>
          </w:p>
          <w:p>
            <w:pPr>
              <w:pStyle w:val="TableContents"/>
              <w:spacing w:before="0" w:after="0"/>
              <w:ind w:left="0" w:right="0" w:firstLine="30"/>
              <w:jc w:val="left"/>
              <w:rPr/>
            </w:pPr>
            <w:r>
              <w:rPr/>
              <w:t>   </w:t>
            </w:r>
            <w:r>
              <w:rPr>
                <w:rFonts w:ascii="inherit" w:hAnsi="inherit"/>
                <w:sz w:val="17"/>
              </w:rPr>
              <w:t>sales—third parties</w:t>
            </w:r>
          </w:p>
        </w:tc>
        <w:tc>
          <w:tcPr>
            <w:tcW w:w="127" w:type="dxa"/>
            <w:tcBorders/>
            <w:shd w:fill="CCEEFF" w:val="clear"/>
            <w:vAlign w:val="center"/>
          </w:tcPr>
          <w:p>
            <w:pPr>
              <w:pStyle w:val="TableContents"/>
              <w:spacing w:before="0" w:after="0"/>
              <w:ind w:left="0" w:right="0" w:firstLine="30"/>
              <w:rPr/>
            </w:pPr>
            <w:r>
              <w:rPr/>
              <w:t> </w:t>
            </w:r>
          </w:p>
        </w:tc>
        <w:tc>
          <w:tcPr>
            <w:tcW w:w="141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102,407</w:t>
            </w:r>
          </w:p>
        </w:tc>
        <w:tc>
          <w:tcPr>
            <w:tcW w:w="14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1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148,332</w:t>
            </w:r>
          </w:p>
        </w:tc>
        <w:tc>
          <w:tcPr>
            <w:tcW w:w="14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4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387,596</w:t>
            </w:r>
          </w:p>
        </w:tc>
        <w:tc>
          <w:tcPr>
            <w:tcW w:w="14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3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369,939</w:t>
            </w:r>
          </w:p>
        </w:tc>
        <w:tc>
          <w:tcPr>
            <w:tcW w:w="40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net sales</w:t>
            </w:r>
          </w:p>
        </w:tc>
        <w:tc>
          <w:tcPr>
            <w:tcW w:w="127" w:type="dxa"/>
            <w:tcBorders/>
            <w:shd w:fill="auto" w:val="clear"/>
            <w:vAlign w:val="center"/>
          </w:tcPr>
          <w:p>
            <w:pPr>
              <w:pStyle w:val="TableContents"/>
              <w:spacing w:before="0" w:after="0"/>
              <w:ind w:left="0" w:right="0" w:firstLine="30"/>
              <w:rPr/>
            </w:pPr>
            <w:r>
              <w:rPr/>
              <w:t> </w:t>
            </w:r>
          </w:p>
        </w:tc>
        <w:tc>
          <w:tcPr>
            <w:tcW w:w="1414"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392,008</w:t>
            </w:r>
          </w:p>
        </w:tc>
        <w:tc>
          <w:tcPr>
            <w:tcW w:w="14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17"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540,133</w:t>
            </w:r>
          </w:p>
        </w:tc>
        <w:tc>
          <w:tcPr>
            <w:tcW w:w="14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44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1,476,157</w:t>
            </w:r>
          </w:p>
        </w:tc>
        <w:tc>
          <w:tcPr>
            <w:tcW w:w="14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43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1,565,809</w:t>
            </w:r>
          </w:p>
        </w:tc>
        <w:tc>
          <w:tcPr>
            <w:tcW w:w="40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Cost of sales</w:t>
            </w:r>
          </w:p>
        </w:tc>
        <w:tc>
          <w:tcPr>
            <w:tcW w:w="127" w:type="dxa"/>
            <w:tcBorders/>
            <w:shd w:fill="CCEEFF" w:val="clear"/>
            <w:vAlign w:val="center"/>
          </w:tcPr>
          <w:p>
            <w:pPr>
              <w:pStyle w:val="TableContents"/>
              <w:spacing w:before="0" w:after="0"/>
              <w:ind w:left="0" w:right="0" w:firstLine="30"/>
              <w:rPr/>
            </w:pPr>
            <w:r>
              <w:rPr/>
              <w:t> </w:t>
            </w:r>
          </w:p>
        </w:tc>
        <w:tc>
          <w:tcPr>
            <w:tcW w:w="141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227,015</w:t>
            </w:r>
          </w:p>
        </w:tc>
        <w:tc>
          <w:tcPr>
            <w:tcW w:w="14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1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327,152</w:t>
            </w:r>
          </w:p>
        </w:tc>
        <w:tc>
          <w:tcPr>
            <w:tcW w:w="14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4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832,304</w:t>
            </w:r>
          </w:p>
        </w:tc>
        <w:tc>
          <w:tcPr>
            <w:tcW w:w="14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3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924,663</w:t>
            </w:r>
          </w:p>
        </w:tc>
        <w:tc>
          <w:tcPr>
            <w:tcW w:w="40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profit</w:t>
            </w:r>
          </w:p>
        </w:tc>
        <w:tc>
          <w:tcPr>
            <w:tcW w:w="127" w:type="dxa"/>
            <w:tcBorders/>
            <w:shd w:fill="auto" w:val="clear"/>
            <w:vAlign w:val="center"/>
          </w:tcPr>
          <w:p>
            <w:pPr>
              <w:pStyle w:val="TableContents"/>
              <w:spacing w:before="0" w:after="0"/>
              <w:ind w:left="0" w:right="0" w:firstLine="30"/>
              <w:rPr/>
            </w:pPr>
            <w:r>
              <w:rPr/>
              <w:t> </w:t>
            </w:r>
          </w:p>
        </w:tc>
        <w:tc>
          <w:tcPr>
            <w:tcW w:w="141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164,993</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212,981</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4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643,853</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4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641,146</w:t>
            </w:r>
          </w:p>
        </w:tc>
        <w:tc>
          <w:tcPr>
            <w:tcW w:w="4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Selling, general and administrative expenses</w:t>
            </w:r>
          </w:p>
        </w:tc>
        <w:tc>
          <w:tcPr>
            <w:tcW w:w="127" w:type="dxa"/>
            <w:tcBorders/>
            <w:shd w:fill="CCEEFF" w:val="clear"/>
            <w:vAlign w:val="center"/>
          </w:tcPr>
          <w:p>
            <w:pPr>
              <w:pStyle w:val="TableContents"/>
              <w:spacing w:before="0" w:after="0"/>
              <w:ind w:left="0" w:right="0" w:firstLine="30"/>
              <w:rPr/>
            </w:pPr>
            <w:r>
              <w:rPr/>
              <w:t> </w:t>
            </w:r>
          </w:p>
        </w:tc>
        <w:tc>
          <w:tcPr>
            <w:tcW w:w="141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8,860</w:t>
            </w:r>
          </w:p>
        </w:tc>
        <w:tc>
          <w:tcPr>
            <w:tcW w:w="14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1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6,391</w:t>
            </w:r>
          </w:p>
        </w:tc>
        <w:tc>
          <w:tcPr>
            <w:tcW w:w="14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4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22,803</w:t>
            </w:r>
          </w:p>
        </w:tc>
        <w:tc>
          <w:tcPr>
            <w:tcW w:w="14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3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19,326</w:t>
            </w:r>
          </w:p>
        </w:tc>
        <w:tc>
          <w:tcPr>
            <w:tcW w:w="40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from operations</w:t>
            </w:r>
          </w:p>
        </w:tc>
        <w:tc>
          <w:tcPr>
            <w:tcW w:w="127" w:type="dxa"/>
            <w:tcBorders/>
            <w:shd w:fill="auto" w:val="clear"/>
            <w:vAlign w:val="center"/>
          </w:tcPr>
          <w:p>
            <w:pPr>
              <w:pStyle w:val="TableContents"/>
              <w:spacing w:before="0" w:after="0"/>
              <w:ind w:left="0" w:right="0" w:firstLine="30"/>
              <w:rPr/>
            </w:pPr>
            <w:r>
              <w:rPr/>
              <w:t> </w:t>
            </w:r>
          </w:p>
        </w:tc>
        <w:tc>
          <w:tcPr>
            <w:tcW w:w="141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156,133</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206,590</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4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621,050</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4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621,820</w:t>
            </w:r>
          </w:p>
        </w:tc>
        <w:tc>
          <w:tcPr>
            <w:tcW w:w="4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49"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Other income (expense)</w:t>
            </w:r>
          </w:p>
        </w:tc>
        <w:tc>
          <w:tcPr>
            <w:tcW w:w="127" w:type="dxa"/>
            <w:tcBorders/>
            <w:shd w:fill="CCEEFF" w:val="clear"/>
            <w:vAlign w:val="center"/>
          </w:tcPr>
          <w:p>
            <w:pPr>
              <w:pStyle w:val="TableContents"/>
              <w:spacing w:before="0" w:after="0"/>
              <w:ind w:left="0" w:right="0" w:firstLine="30"/>
              <w:rPr/>
            </w:pPr>
            <w:r>
              <w:rPr/>
              <w:t> </w:t>
            </w:r>
          </w:p>
        </w:tc>
        <w:tc>
          <w:tcPr>
            <w:tcW w:w="1559" w:type="dxa"/>
            <w:gridSpan w:val="3"/>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ind w:left="0" w:right="0" w:firstLine="30"/>
              <w:rPr/>
            </w:pPr>
            <w:r>
              <w:rPr/>
              <w:t> </w:t>
            </w:r>
          </w:p>
        </w:tc>
        <w:tc>
          <w:tcPr>
            <w:tcW w:w="1462" w:type="dxa"/>
            <w:gridSpan w:val="3"/>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ind w:left="0" w:right="0" w:firstLine="30"/>
              <w:rPr/>
            </w:pPr>
            <w:r>
              <w:rPr/>
              <w:t> </w:t>
            </w:r>
          </w:p>
        </w:tc>
        <w:tc>
          <w:tcPr>
            <w:tcW w:w="1590" w:type="dxa"/>
            <w:gridSpan w:val="3"/>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ind w:left="0" w:right="0" w:firstLine="30"/>
              <w:rPr/>
            </w:pPr>
            <w:r>
              <w:rPr/>
              <w:t> </w:t>
            </w:r>
          </w:p>
        </w:tc>
        <w:tc>
          <w:tcPr>
            <w:tcW w:w="1837" w:type="dxa"/>
            <w:gridSpan w:val="3"/>
            <w:tcBorders/>
            <w:shd w:fill="CCEEFF" w:val="clear"/>
            <w:vAlign w:val="center"/>
          </w:tcPr>
          <w:p>
            <w:pPr>
              <w:pStyle w:val="TableContents"/>
              <w:spacing w:before="0" w:after="0"/>
              <w:ind w:left="0" w:right="0" w:firstLine="300"/>
              <w:rPr/>
            </w:pPr>
            <w:r>
              <w:rPr/>
              <w:t> </w:t>
            </w:r>
          </w:p>
        </w:tc>
      </w:tr>
      <w:tr>
        <w:trPr/>
        <w:tc>
          <w:tcPr>
            <w:tcW w:w="3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expense—Westlake</w:t>
            </w:r>
          </w:p>
        </w:tc>
        <w:tc>
          <w:tcPr>
            <w:tcW w:w="127" w:type="dxa"/>
            <w:tcBorders/>
            <w:shd w:fill="auto" w:val="clear"/>
            <w:vAlign w:val="center"/>
          </w:tcPr>
          <w:p>
            <w:pPr>
              <w:pStyle w:val="TableContents"/>
              <w:spacing w:before="0" w:after="0"/>
              <w:ind w:left="0" w:right="0" w:firstLine="30"/>
              <w:rPr/>
            </w:pPr>
            <w:r>
              <w:rPr/>
              <w:t> </w:t>
            </w:r>
          </w:p>
        </w:tc>
        <w:tc>
          <w:tcPr>
            <w:tcW w:w="141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(2,137</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7" w:type="dxa"/>
            <w:tcBorders/>
            <w:shd w:fill="auto" w:val="clear"/>
            <w:vAlign w:val="center"/>
          </w:tcPr>
          <w:p>
            <w:pPr>
              <w:pStyle w:val="TableContents"/>
              <w:spacing w:before="0" w:after="0"/>
              <w:ind w:left="0" w:right="0" w:firstLine="30"/>
              <w:rPr/>
            </w:pPr>
            <w:r>
              <w:rPr/>
              <w:t> </w:t>
            </w:r>
          </w:p>
        </w:tc>
        <w:tc>
          <w:tcPr>
            <w:tcW w:w="13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(2,295</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7" w:type="dxa"/>
            <w:tcBorders/>
            <w:shd w:fill="auto" w:val="clear"/>
            <w:vAlign w:val="center"/>
          </w:tcPr>
          <w:p>
            <w:pPr>
              <w:pStyle w:val="TableContents"/>
              <w:spacing w:before="0" w:after="0"/>
              <w:ind w:left="0" w:right="0" w:firstLine="30"/>
              <w:rPr/>
            </w:pPr>
            <w:r>
              <w:rPr/>
              <w:t> </w:t>
            </w:r>
          </w:p>
        </w:tc>
        <w:tc>
          <w:tcPr>
            <w:tcW w:w="14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(9,833</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7" w:type="dxa"/>
            <w:tcBorders/>
            <w:shd w:fill="auto" w:val="clear"/>
            <w:vAlign w:val="center"/>
          </w:tcPr>
          <w:p>
            <w:pPr>
              <w:pStyle w:val="TableContents"/>
              <w:spacing w:before="0" w:after="0"/>
              <w:ind w:left="0" w:right="0" w:firstLine="30"/>
              <w:rPr/>
            </w:pPr>
            <w:r>
              <w:rPr/>
              <w:t> </w:t>
            </w:r>
          </w:p>
        </w:tc>
        <w:tc>
          <w:tcPr>
            <w:tcW w:w="14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(4,893</w:t>
            </w:r>
          </w:p>
        </w:tc>
        <w:tc>
          <w:tcPr>
            <w:tcW w:w="40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income, net</w:t>
            </w:r>
          </w:p>
        </w:tc>
        <w:tc>
          <w:tcPr>
            <w:tcW w:w="127" w:type="dxa"/>
            <w:tcBorders/>
            <w:shd w:fill="CCEEFF" w:val="clear"/>
            <w:vAlign w:val="center"/>
          </w:tcPr>
          <w:p>
            <w:pPr>
              <w:pStyle w:val="TableContents"/>
              <w:spacing w:before="0" w:after="0"/>
              <w:ind w:left="0" w:right="0" w:firstLine="30"/>
              <w:rPr/>
            </w:pPr>
            <w:r>
              <w:rPr/>
              <w:t> </w:t>
            </w:r>
          </w:p>
        </w:tc>
        <w:tc>
          <w:tcPr>
            <w:tcW w:w="141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486</w:t>
            </w:r>
          </w:p>
        </w:tc>
        <w:tc>
          <w:tcPr>
            <w:tcW w:w="14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1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1,162</w:t>
            </w:r>
          </w:p>
        </w:tc>
        <w:tc>
          <w:tcPr>
            <w:tcW w:w="14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4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3,135</w:t>
            </w:r>
          </w:p>
        </w:tc>
        <w:tc>
          <w:tcPr>
            <w:tcW w:w="14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3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6,422</w:t>
            </w:r>
          </w:p>
        </w:tc>
        <w:tc>
          <w:tcPr>
            <w:tcW w:w="40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before income taxes</w:t>
            </w:r>
          </w:p>
        </w:tc>
        <w:tc>
          <w:tcPr>
            <w:tcW w:w="127" w:type="dxa"/>
            <w:tcBorders/>
            <w:shd w:fill="auto" w:val="clear"/>
            <w:vAlign w:val="center"/>
          </w:tcPr>
          <w:p>
            <w:pPr>
              <w:pStyle w:val="TableContents"/>
              <w:spacing w:before="0" w:after="0"/>
              <w:ind w:left="0" w:right="0" w:firstLine="30"/>
              <w:rPr/>
            </w:pPr>
            <w:r>
              <w:rPr/>
              <w:t> </w:t>
            </w:r>
          </w:p>
        </w:tc>
        <w:tc>
          <w:tcPr>
            <w:tcW w:w="141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154,482</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205,457</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4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614,352</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4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623,349</w:t>
            </w:r>
          </w:p>
        </w:tc>
        <w:tc>
          <w:tcPr>
            <w:tcW w:w="40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Provision for income taxes</w:t>
            </w:r>
          </w:p>
        </w:tc>
        <w:tc>
          <w:tcPr>
            <w:tcW w:w="127" w:type="dxa"/>
            <w:tcBorders/>
            <w:shd w:fill="CCEEFF" w:val="clear"/>
            <w:vAlign w:val="center"/>
          </w:tcPr>
          <w:p>
            <w:pPr>
              <w:pStyle w:val="TableContents"/>
              <w:spacing w:before="0" w:after="0"/>
              <w:ind w:left="0" w:right="0" w:firstLine="30"/>
              <w:rPr/>
            </w:pPr>
            <w:r>
              <w:rPr/>
              <w:t> </w:t>
            </w:r>
          </w:p>
        </w:tc>
        <w:tc>
          <w:tcPr>
            <w:tcW w:w="141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36,309</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72,876</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198,461</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221,009</w:t>
            </w:r>
          </w:p>
        </w:tc>
        <w:tc>
          <w:tcPr>
            <w:tcW w:w="4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27" w:type="dxa"/>
            <w:tcBorders/>
            <w:shd w:fill="auto" w:val="clear"/>
            <w:vAlign w:val="center"/>
          </w:tcPr>
          <w:p>
            <w:pPr>
              <w:pStyle w:val="TableContents"/>
              <w:spacing w:before="0" w:after="0"/>
              <w:ind w:left="0" w:right="0" w:firstLine="30"/>
              <w:rPr/>
            </w:pPr>
            <w:r>
              <w:rPr/>
              <w:t> </w:t>
            </w:r>
          </w:p>
        </w:tc>
        <w:tc>
          <w:tcPr>
            <w:tcW w:w="214"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200"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118,173</w:t>
            </w:r>
          </w:p>
        </w:tc>
        <w:tc>
          <w:tcPr>
            <w:tcW w:w="14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7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4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132,581</w:t>
            </w:r>
          </w:p>
        </w:tc>
        <w:tc>
          <w:tcPr>
            <w:tcW w:w="14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71"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274"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415,891</w:t>
            </w:r>
          </w:p>
        </w:tc>
        <w:tc>
          <w:tcPr>
            <w:tcW w:w="14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5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7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402,340</w:t>
            </w:r>
          </w:p>
        </w:tc>
        <w:tc>
          <w:tcPr>
            <w:tcW w:w="40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49" w:type="dxa"/>
            <w:tcBorders/>
            <w:shd w:fill="CCEEFF" w:val="clear"/>
            <w:vAlign w:val="center"/>
          </w:tcPr>
          <w:p>
            <w:pPr>
              <w:pStyle w:val="TableContents"/>
              <w:spacing w:before="0" w:after="0"/>
              <w:jc w:val="left"/>
              <w:rPr>
                <w:rFonts w:ascii="inherit" w:hAnsi="inherit"/>
                <w:sz w:val="17"/>
              </w:rPr>
            </w:pPr>
            <w:r>
              <w:rPr>
                <w:rFonts w:ascii="inherit" w:hAnsi="inherit"/>
                <w:sz w:val="17"/>
              </w:rPr>
              <w:t xml:space="preserve">Less: Predecessor net income prior to initial public </w:t>
            </w:r>
          </w:p>
          <w:p>
            <w:pPr>
              <w:pStyle w:val="TableContents"/>
              <w:spacing w:before="0" w:after="0"/>
              <w:ind w:left="0" w:right="0" w:firstLine="30"/>
              <w:jc w:val="left"/>
              <w:rPr/>
            </w:pPr>
            <w:r>
              <w:rPr/>
              <w:t>   </w:t>
            </w:r>
            <w:r>
              <w:rPr>
                <w:rFonts w:ascii="inherit" w:hAnsi="inherit"/>
                <w:sz w:val="17"/>
              </w:rPr>
              <w:t>offering on August 4, 2014</w:t>
            </w:r>
          </w:p>
        </w:tc>
        <w:tc>
          <w:tcPr>
            <w:tcW w:w="127" w:type="dxa"/>
            <w:tcBorders/>
            <w:shd w:fill="CCEEFF" w:val="clear"/>
            <w:vAlign w:val="center"/>
          </w:tcPr>
          <w:p>
            <w:pPr>
              <w:pStyle w:val="TableContents"/>
              <w:spacing w:before="0" w:after="0"/>
              <w:ind w:left="0" w:right="0" w:firstLine="30"/>
              <w:rPr/>
            </w:pPr>
            <w:r>
              <w:rPr/>
              <w:t> </w:t>
            </w:r>
          </w:p>
        </w:tc>
        <w:tc>
          <w:tcPr>
            <w:tcW w:w="141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63,616</w:t>
            </w:r>
          </w:p>
        </w:tc>
        <w:tc>
          <w:tcPr>
            <w:tcW w:w="14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62" w:type="dxa"/>
            <w:gridSpan w:val="3"/>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ind w:left="0" w:right="0" w:firstLine="30"/>
              <w:rPr/>
            </w:pPr>
            <w:r>
              <w:rPr/>
              <w:t> </w:t>
            </w:r>
          </w:p>
        </w:tc>
        <w:tc>
          <w:tcPr>
            <w:tcW w:w="144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361,334</w:t>
            </w:r>
          </w:p>
        </w:tc>
        <w:tc>
          <w:tcPr>
            <w:tcW w:w="14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837" w:type="dxa"/>
            <w:gridSpan w:val="3"/>
            <w:tcBorders/>
            <w:shd w:fill="CCEEFF" w:val="clear"/>
            <w:vAlign w:val="center"/>
          </w:tcPr>
          <w:p>
            <w:pPr>
              <w:pStyle w:val="TableContents"/>
              <w:spacing w:before="0" w:after="0"/>
              <w:ind w:left="0" w:right="0" w:firstLine="30"/>
              <w:rPr/>
            </w:pPr>
            <w:r>
              <w:rPr/>
              <w:t> </w:t>
            </w:r>
          </w:p>
        </w:tc>
      </w:tr>
      <w:tr>
        <w:trPr/>
        <w:tc>
          <w:tcPr>
            <w:tcW w:w="3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subsequent to initial public offering</w:t>
            </w:r>
          </w:p>
        </w:tc>
        <w:tc>
          <w:tcPr>
            <w:tcW w:w="127" w:type="dxa"/>
            <w:tcBorders/>
            <w:shd w:fill="auto" w:val="clear"/>
            <w:vAlign w:val="center"/>
          </w:tcPr>
          <w:p>
            <w:pPr>
              <w:pStyle w:val="TableContents"/>
              <w:spacing w:before="0" w:after="0"/>
              <w:ind w:left="0" w:right="0" w:firstLine="30"/>
              <w:rPr/>
            </w:pPr>
            <w:r>
              <w:rPr/>
              <w:t> </w:t>
            </w:r>
          </w:p>
        </w:tc>
        <w:tc>
          <w:tcPr>
            <w:tcW w:w="141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54,557</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462"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4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54,557</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837" w:type="dxa"/>
            <w:gridSpan w:val="3"/>
            <w:tcBorders/>
            <w:shd w:fill="auto" w:val="clear"/>
            <w:vAlign w:val="center"/>
          </w:tcPr>
          <w:p>
            <w:pPr>
              <w:pStyle w:val="TableContents"/>
              <w:spacing w:before="0" w:after="0"/>
              <w:ind w:left="0" w:right="0" w:firstLine="300"/>
              <w:rPr/>
            </w:pPr>
            <w:r>
              <w:rPr/>
              <w:t> </w:t>
            </w:r>
          </w:p>
        </w:tc>
      </w:tr>
      <w:tr>
        <w:trPr/>
        <w:tc>
          <w:tcPr>
            <w:tcW w:w="3249" w:type="dxa"/>
            <w:tcBorders/>
            <w:shd w:fill="CCEEFF" w:val="clear"/>
            <w:vAlign w:val="center"/>
          </w:tcPr>
          <w:p>
            <w:pPr>
              <w:pStyle w:val="TableContents"/>
              <w:spacing w:before="0" w:after="0"/>
              <w:jc w:val="left"/>
              <w:rPr>
                <w:rFonts w:ascii="inherit" w:hAnsi="inherit"/>
                <w:sz w:val="17"/>
              </w:rPr>
            </w:pPr>
            <w:r>
              <w:rPr>
                <w:rFonts w:ascii="inherit" w:hAnsi="inherit"/>
                <w:sz w:val="17"/>
              </w:rPr>
              <w:t xml:space="preserve">Less: Net income attributable to noncontrolling </w:t>
            </w:r>
          </w:p>
          <w:p>
            <w:pPr>
              <w:pStyle w:val="TableContents"/>
              <w:spacing w:before="0" w:after="0"/>
              <w:ind w:left="0" w:right="0" w:firstLine="30"/>
              <w:jc w:val="left"/>
              <w:rPr/>
            </w:pPr>
            <w:r>
              <w:rPr/>
              <w:t>   </w:t>
            </w:r>
            <w:r>
              <w:rPr>
                <w:rFonts w:ascii="inherit" w:hAnsi="inherit"/>
                <w:sz w:val="17"/>
              </w:rPr>
              <w:t>interest in OpCo</w:t>
            </w:r>
          </w:p>
        </w:tc>
        <w:tc>
          <w:tcPr>
            <w:tcW w:w="127" w:type="dxa"/>
            <w:tcBorders/>
            <w:shd w:fill="CCEEFF" w:val="clear"/>
            <w:vAlign w:val="center"/>
          </w:tcPr>
          <w:p>
            <w:pPr>
              <w:pStyle w:val="TableContents"/>
              <w:spacing w:before="0" w:after="0"/>
              <w:ind w:left="0" w:right="0" w:firstLine="30"/>
              <w:rPr/>
            </w:pPr>
            <w:r>
              <w:rPr/>
              <w:t> </w:t>
            </w:r>
          </w:p>
        </w:tc>
        <w:tc>
          <w:tcPr>
            <w:tcW w:w="141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49,542</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62" w:type="dxa"/>
            <w:gridSpan w:val="3"/>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ind w:left="0" w:right="0" w:firstLine="30"/>
              <w:rPr/>
            </w:pPr>
            <w:r>
              <w:rPr/>
              <w:t> </w:t>
            </w:r>
          </w:p>
        </w:tc>
        <w:tc>
          <w:tcPr>
            <w:tcW w:w="14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49,542</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837" w:type="dxa"/>
            <w:gridSpan w:val="3"/>
            <w:tcBorders/>
            <w:shd w:fill="CCEEFF" w:val="clear"/>
            <w:vAlign w:val="center"/>
          </w:tcPr>
          <w:p>
            <w:pPr>
              <w:pStyle w:val="TableContents"/>
              <w:spacing w:before="0" w:after="0"/>
              <w:ind w:left="0" w:right="0" w:firstLine="30"/>
              <w:rPr/>
            </w:pPr>
            <w:r>
              <w:rPr/>
              <w:t> </w:t>
            </w:r>
          </w:p>
        </w:tc>
      </w:tr>
      <w:tr>
        <w:trPr/>
        <w:tc>
          <w:tcPr>
            <w:tcW w:w="3249" w:type="dxa"/>
            <w:tcBorders/>
            <w:shd w:fill="auto" w:val="clear"/>
            <w:vAlign w:val="center"/>
          </w:tcPr>
          <w:p>
            <w:pPr>
              <w:pStyle w:val="TableContents"/>
              <w:spacing w:before="0" w:after="0"/>
              <w:jc w:val="left"/>
              <w:rPr>
                <w:rFonts w:ascii="inherit" w:hAnsi="inherit"/>
                <w:b/>
                <w:sz w:val="17"/>
              </w:rPr>
            </w:pPr>
            <w:r>
              <w:rPr>
                <w:rFonts w:ascii="inherit" w:hAnsi="inherit"/>
                <w:b/>
                <w:sz w:val="17"/>
              </w:rPr>
              <w:t xml:space="preserve">Net income attributable to Westlake Chemical </w:t>
            </w:r>
          </w:p>
          <w:p>
            <w:pPr>
              <w:pStyle w:val="TableContents"/>
              <w:spacing w:before="0" w:after="0"/>
              <w:jc w:val="left"/>
              <w:rPr/>
            </w:pPr>
            <w:r>
              <w:rPr/>
              <w:t>   </w:t>
            </w:r>
            <w:r>
              <w:rPr>
                <w:rFonts w:ascii="inherit" w:hAnsi="inherit"/>
                <w:b/>
                <w:sz w:val="17"/>
              </w:rPr>
              <w:t>Partners LP subsequent to initial public offering</w:t>
            </w:r>
          </w:p>
          <w:p>
            <w:pPr>
              <w:pStyle w:val="TableContents"/>
              <w:spacing w:before="0" w:after="0"/>
              <w:ind w:left="0" w:right="0" w:firstLine="30"/>
              <w:jc w:val="left"/>
              <w:rPr/>
            </w:pPr>
            <w:r>
              <w:rPr/>
              <w:t>   </w:t>
            </w:r>
            <w:r>
              <w:rPr>
                <w:rFonts w:ascii="inherit" w:hAnsi="inherit"/>
                <w:b/>
                <w:sz w:val="17"/>
              </w:rPr>
              <w:t>and limited partners' interest in net income</w:t>
            </w:r>
          </w:p>
        </w:tc>
        <w:tc>
          <w:tcPr>
            <w:tcW w:w="127" w:type="dxa"/>
            <w:tcBorders/>
            <w:shd w:fill="auto" w:val="clear"/>
            <w:vAlign w:val="center"/>
          </w:tcPr>
          <w:p>
            <w:pPr>
              <w:pStyle w:val="TableContents"/>
              <w:spacing w:before="0" w:after="0"/>
              <w:ind w:left="0" w:right="0" w:firstLine="30"/>
              <w:rPr/>
            </w:pPr>
            <w:r>
              <w:rPr/>
              <w:t> </w:t>
            </w:r>
          </w:p>
        </w:tc>
        <w:tc>
          <w:tcPr>
            <w:tcW w:w="21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120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5,015</w:t>
            </w:r>
          </w:p>
        </w:tc>
        <w:tc>
          <w:tcPr>
            <w:tcW w:w="14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462"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7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127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5,015</w:t>
            </w:r>
          </w:p>
        </w:tc>
        <w:tc>
          <w:tcPr>
            <w:tcW w:w="14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837" w:type="dxa"/>
            <w:gridSpan w:val="3"/>
            <w:tcBorders/>
            <w:shd w:fill="auto" w:val="clear"/>
            <w:vAlign w:val="center"/>
          </w:tcPr>
          <w:p>
            <w:pPr>
              <w:pStyle w:val="TableContents"/>
              <w:spacing w:before="0" w:after="0"/>
              <w:ind w:left="0" w:right="0" w:firstLine="30"/>
              <w:rPr/>
            </w:pPr>
            <w:r>
              <w:rPr/>
              <w:t> </w:t>
            </w:r>
          </w:p>
        </w:tc>
      </w:tr>
      <w:tr>
        <w:trPr/>
        <w:tc>
          <w:tcPr>
            <w:tcW w:w="3249" w:type="dxa"/>
            <w:tcBorders/>
            <w:shd w:fill="CCEEFF" w:val="clear"/>
            <w:vAlign w:val="center"/>
          </w:tcPr>
          <w:p>
            <w:pPr>
              <w:pStyle w:val="TableContents"/>
              <w:spacing w:before="0" w:after="0"/>
              <w:rPr>
                <w:rFonts w:ascii="inherit" w:hAnsi="inherit"/>
                <w:sz w:val="17"/>
              </w:rPr>
            </w:pPr>
            <w:r>
              <w:rPr>
                <w:rFonts w:ascii="inherit" w:hAnsi="inherit"/>
                <w:sz w:val="17"/>
              </w:rPr>
              <w:t>Net income attributable to Westlake Chemical</w:t>
            </w:r>
          </w:p>
          <w:p>
            <w:pPr>
              <w:pStyle w:val="TableContents"/>
              <w:spacing w:before="0" w:after="0"/>
              <w:rPr/>
            </w:pPr>
            <w:r>
              <w:rPr/>
              <w:t>   </w:t>
            </w:r>
            <w:r>
              <w:rPr>
                <w:rFonts w:ascii="inherit" w:hAnsi="inherit"/>
                <w:sz w:val="17"/>
              </w:rPr>
              <w:t>Partners LP subsequent to initial public offering</w:t>
            </w:r>
          </w:p>
          <w:p>
            <w:pPr>
              <w:pStyle w:val="TableContents"/>
              <w:spacing w:before="0" w:after="0"/>
              <w:ind w:left="0" w:right="0" w:firstLine="30"/>
              <w:rPr/>
            </w:pPr>
            <w:r>
              <w:rPr/>
              <w:t>   </w:t>
            </w:r>
            <w:r>
              <w:rPr>
                <w:rFonts w:ascii="inherit" w:hAnsi="inherit"/>
                <w:sz w:val="17"/>
              </w:rPr>
              <w:t>per limited partner unit (basic and diluted)</w:t>
            </w:r>
          </w:p>
        </w:tc>
        <w:tc>
          <w:tcPr>
            <w:tcW w:w="127" w:type="dxa"/>
            <w:tcBorders/>
            <w:shd w:fill="CCEEFF" w:val="clear"/>
            <w:vAlign w:val="center"/>
          </w:tcPr>
          <w:p>
            <w:pPr>
              <w:pStyle w:val="TableContents"/>
              <w:spacing w:before="0" w:after="0"/>
              <w:ind w:left="0" w:right="0" w:firstLine="30"/>
              <w:rPr/>
            </w:pPr>
            <w:r>
              <w:rPr/>
              <w:t> </w:t>
            </w:r>
          </w:p>
        </w:tc>
        <w:tc>
          <w:tcPr>
            <w:tcW w:w="1559" w:type="dxa"/>
            <w:gridSpan w:val="3"/>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ind w:left="0" w:right="0" w:firstLine="30"/>
              <w:rPr/>
            </w:pPr>
            <w:r>
              <w:rPr/>
              <w:t> </w:t>
            </w:r>
          </w:p>
        </w:tc>
        <w:tc>
          <w:tcPr>
            <w:tcW w:w="1462" w:type="dxa"/>
            <w:gridSpan w:val="3"/>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ind w:left="0" w:right="0" w:firstLine="30"/>
              <w:rPr/>
            </w:pPr>
            <w:r>
              <w:rPr/>
              <w:t> </w:t>
            </w:r>
          </w:p>
        </w:tc>
        <w:tc>
          <w:tcPr>
            <w:tcW w:w="1590" w:type="dxa"/>
            <w:gridSpan w:val="3"/>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ind w:left="0" w:right="0" w:firstLine="30"/>
              <w:rPr/>
            </w:pPr>
            <w:r>
              <w:rPr/>
              <w:t> </w:t>
            </w:r>
          </w:p>
        </w:tc>
        <w:tc>
          <w:tcPr>
            <w:tcW w:w="1837" w:type="dxa"/>
            <w:gridSpan w:val="3"/>
            <w:tcBorders/>
            <w:shd w:fill="CCEEFF" w:val="clear"/>
            <w:vAlign w:val="center"/>
          </w:tcPr>
          <w:p>
            <w:pPr>
              <w:pStyle w:val="TableContents"/>
              <w:spacing w:before="0" w:after="0"/>
              <w:ind w:left="0" w:right="0" w:firstLine="300"/>
              <w:rPr/>
            </w:pPr>
            <w:r>
              <w:rPr/>
              <w:t> </w:t>
            </w:r>
          </w:p>
        </w:tc>
      </w:tr>
      <w:tr>
        <w:trPr/>
        <w:tc>
          <w:tcPr>
            <w:tcW w:w="3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Common units</w:t>
            </w:r>
          </w:p>
        </w:tc>
        <w:tc>
          <w:tcPr>
            <w:tcW w:w="127" w:type="dxa"/>
            <w:tcBorders/>
            <w:shd w:fill="auto" w:val="clear"/>
            <w:vAlign w:val="center"/>
          </w:tcPr>
          <w:p>
            <w:pPr>
              <w:pStyle w:val="TableContents"/>
              <w:spacing w:before="0" w:after="0"/>
              <w:ind w:left="0" w:right="0" w:firstLine="30"/>
              <w:rPr/>
            </w:pPr>
            <w:r>
              <w:rPr/>
              <w:t> </w:t>
            </w:r>
          </w:p>
        </w:tc>
        <w:tc>
          <w:tcPr>
            <w:tcW w:w="21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00" w:type="dxa"/>
            <w:tcBorders/>
            <w:shd w:fill="auto" w:val="clear"/>
            <w:vAlign w:val="center"/>
          </w:tcPr>
          <w:p>
            <w:pPr>
              <w:pStyle w:val="TableContents"/>
              <w:spacing w:before="0" w:after="0"/>
              <w:jc w:val="right"/>
              <w:rPr>
                <w:rFonts w:ascii="inherit" w:hAnsi="inherit"/>
                <w:sz w:val="17"/>
              </w:rPr>
            </w:pPr>
            <w:r>
              <w:rPr>
                <w:rFonts w:ascii="inherit" w:hAnsi="inherit"/>
                <w:sz w:val="17"/>
              </w:rPr>
              <w:t>0.19</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462"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7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74" w:type="dxa"/>
            <w:tcBorders/>
            <w:shd w:fill="auto" w:val="clear"/>
            <w:vAlign w:val="center"/>
          </w:tcPr>
          <w:p>
            <w:pPr>
              <w:pStyle w:val="TableContents"/>
              <w:spacing w:before="0" w:after="0"/>
              <w:jc w:val="right"/>
              <w:rPr>
                <w:rFonts w:ascii="inherit" w:hAnsi="inherit"/>
                <w:sz w:val="17"/>
              </w:rPr>
            </w:pPr>
            <w:r>
              <w:rPr>
                <w:rFonts w:ascii="inherit" w:hAnsi="inherit"/>
                <w:sz w:val="17"/>
              </w:rPr>
              <w:t>0.19</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837" w:type="dxa"/>
            <w:gridSpan w:val="3"/>
            <w:tcBorders/>
            <w:shd w:fill="auto" w:val="clear"/>
            <w:vAlign w:val="center"/>
          </w:tcPr>
          <w:p>
            <w:pPr>
              <w:pStyle w:val="TableContents"/>
              <w:spacing w:before="0" w:after="0"/>
              <w:ind w:left="0" w:right="0" w:firstLine="300"/>
              <w:rPr/>
            </w:pPr>
            <w:r>
              <w:rPr/>
              <w:t> </w:t>
            </w:r>
          </w:p>
        </w:tc>
      </w:tr>
      <w:tr>
        <w:trPr/>
        <w:tc>
          <w:tcPr>
            <w:tcW w:w="3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Subordinated units</w:t>
            </w:r>
          </w:p>
        </w:tc>
        <w:tc>
          <w:tcPr>
            <w:tcW w:w="127" w:type="dxa"/>
            <w:tcBorders/>
            <w:shd w:fill="CCEEFF" w:val="clear"/>
            <w:vAlign w:val="center"/>
          </w:tcPr>
          <w:p>
            <w:pPr>
              <w:pStyle w:val="TableContents"/>
              <w:spacing w:before="0" w:after="0"/>
              <w:ind w:left="0" w:right="0" w:firstLine="30"/>
              <w:rPr/>
            </w:pPr>
            <w:r>
              <w:rPr/>
              <w:t> </w:t>
            </w:r>
          </w:p>
        </w:tc>
        <w:tc>
          <w:tcPr>
            <w:tcW w:w="21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0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0.19</w:t>
            </w:r>
          </w:p>
        </w:tc>
        <w:tc>
          <w:tcPr>
            <w:tcW w:w="14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62" w:type="dxa"/>
            <w:gridSpan w:val="3"/>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ind w:left="0" w:right="0" w:firstLine="30"/>
              <w:rPr/>
            </w:pPr>
            <w:r>
              <w:rPr/>
              <w:t> </w:t>
            </w:r>
          </w:p>
        </w:tc>
        <w:tc>
          <w:tcPr>
            <w:tcW w:w="17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74"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0.19</w:t>
            </w:r>
          </w:p>
        </w:tc>
        <w:tc>
          <w:tcPr>
            <w:tcW w:w="14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837" w:type="dxa"/>
            <w:gridSpan w:val="3"/>
            <w:tcBorders/>
            <w:shd w:fill="CCEEFF" w:val="clear"/>
            <w:vAlign w:val="center"/>
          </w:tcPr>
          <w:p>
            <w:pPr>
              <w:pStyle w:val="TableContents"/>
              <w:spacing w:before="0" w:after="0"/>
              <w:ind w:left="0" w:right="0" w:firstLine="30"/>
              <w:rPr/>
            </w:pPr>
            <w:r>
              <w:rPr/>
              <w:t> </w:t>
            </w:r>
          </w:p>
        </w:tc>
      </w:tr>
      <w:tr>
        <w:trPr/>
        <w:tc>
          <w:tcPr>
            <w:tcW w:w="3249" w:type="dxa"/>
            <w:tcBorders/>
            <w:shd w:fill="auto" w:val="clear"/>
            <w:vAlign w:val="center"/>
          </w:tcPr>
          <w:p>
            <w:pPr>
              <w:pStyle w:val="TableContents"/>
              <w:spacing w:before="0" w:after="0"/>
              <w:rPr>
                <w:rFonts w:ascii="inherit" w:hAnsi="inherit"/>
                <w:sz w:val="17"/>
              </w:rPr>
            </w:pPr>
            <w:r>
              <w:rPr>
                <w:rFonts w:ascii="inherit" w:hAnsi="inherit"/>
                <w:sz w:val="17"/>
              </w:rPr>
              <w:t xml:space="preserve">Weighted average limited partner units outstanding </w:t>
            </w:r>
          </w:p>
          <w:p>
            <w:pPr>
              <w:pStyle w:val="TableContents"/>
              <w:spacing w:before="0" w:after="0"/>
              <w:ind w:left="0" w:right="0" w:firstLine="30"/>
              <w:rPr/>
            </w:pPr>
            <w:r>
              <w:rPr/>
              <w:t>   </w:t>
            </w:r>
            <w:r>
              <w:rPr>
                <w:rFonts w:ascii="inherit" w:hAnsi="inherit"/>
                <w:sz w:val="17"/>
              </w:rPr>
              <w:t>(basic and diluted)</w:t>
            </w:r>
          </w:p>
        </w:tc>
        <w:tc>
          <w:tcPr>
            <w:tcW w:w="127" w:type="dxa"/>
            <w:tcBorders/>
            <w:shd w:fill="auto" w:val="clear"/>
            <w:vAlign w:val="center"/>
          </w:tcPr>
          <w:p>
            <w:pPr>
              <w:pStyle w:val="TableContents"/>
              <w:spacing w:before="0" w:after="0"/>
              <w:ind w:left="0" w:right="0" w:firstLine="30"/>
              <w:rPr/>
            </w:pPr>
            <w:r>
              <w:rPr/>
              <w:t> </w:t>
            </w:r>
          </w:p>
        </w:tc>
        <w:tc>
          <w:tcPr>
            <w:tcW w:w="1559"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462"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590"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837" w:type="dxa"/>
            <w:gridSpan w:val="3"/>
            <w:tcBorders/>
            <w:shd w:fill="auto" w:val="clear"/>
            <w:vAlign w:val="center"/>
          </w:tcPr>
          <w:p>
            <w:pPr>
              <w:pStyle w:val="TableContents"/>
              <w:spacing w:before="0" w:after="0"/>
              <w:ind w:left="0" w:right="0" w:firstLine="300"/>
              <w:rPr/>
            </w:pPr>
            <w:r>
              <w:rPr/>
              <w:t> </w:t>
            </w:r>
          </w:p>
        </w:tc>
      </w:tr>
      <w:tr>
        <w:trPr/>
        <w:tc>
          <w:tcPr>
            <w:tcW w:w="3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Common units—public</w:t>
            </w:r>
          </w:p>
        </w:tc>
        <w:tc>
          <w:tcPr>
            <w:tcW w:w="127" w:type="dxa"/>
            <w:tcBorders/>
            <w:shd w:fill="CCEEFF" w:val="clear"/>
            <w:vAlign w:val="center"/>
          </w:tcPr>
          <w:p>
            <w:pPr>
              <w:pStyle w:val="TableContents"/>
              <w:spacing w:before="0" w:after="0"/>
              <w:ind w:left="0" w:right="0" w:firstLine="30"/>
              <w:rPr/>
            </w:pPr>
            <w:r>
              <w:rPr/>
              <w:t> </w:t>
            </w:r>
          </w:p>
        </w:tc>
        <w:tc>
          <w:tcPr>
            <w:tcW w:w="141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12,937,500</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62" w:type="dxa"/>
            <w:gridSpan w:val="3"/>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ind w:left="0" w:right="0" w:firstLine="30"/>
              <w:rPr/>
            </w:pPr>
            <w:r>
              <w:rPr/>
              <w:t> </w:t>
            </w:r>
          </w:p>
        </w:tc>
        <w:tc>
          <w:tcPr>
            <w:tcW w:w="14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12,937,500</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837" w:type="dxa"/>
            <w:gridSpan w:val="3"/>
            <w:tcBorders/>
            <w:shd w:fill="CCEEFF" w:val="clear"/>
            <w:vAlign w:val="center"/>
          </w:tcPr>
          <w:p>
            <w:pPr>
              <w:pStyle w:val="TableContents"/>
              <w:spacing w:before="0" w:after="0"/>
              <w:ind w:left="0" w:right="0" w:firstLine="300"/>
              <w:rPr/>
            </w:pPr>
            <w:r>
              <w:rPr/>
              <w:t> </w:t>
            </w:r>
          </w:p>
        </w:tc>
      </w:tr>
      <w:tr>
        <w:trPr/>
        <w:tc>
          <w:tcPr>
            <w:tcW w:w="3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Common units—Westlake</w:t>
            </w:r>
          </w:p>
        </w:tc>
        <w:tc>
          <w:tcPr>
            <w:tcW w:w="127" w:type="dxa"/>
            <w:tcBorders/>
            <w:shd w:fill="auto" w:val="clear"/>
            <w:vAlign w:val="center"/>
          </w:tcPr>
          <w:p>
            <w:pPr>
              <w:pStyle w:val="TableContents"/>
              <w:spacing w:before="0" w:after="0"/>
              <w:ind w:left="0" w:right="0" w:firstLine="30"/>
              <w:rPr/>
            </w:pPr>
            <w:r>
              <w:rPr/>
              <w:t> </w:t>
            </w:r>
          </w:p>
        </w:tc>
        <w:tc>
          <w:tcPr>
            <w:tcW w:w="141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1,436,115</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462"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4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1,436,115</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837" w:type="dxa"/>
            <w:gridSpan w:val="3"/>
            <w:tcBorders/>
            <w:shd w:fill="auto" w:val="clear"/>
            <w:vAlign w:val="center"/>
          </w:tcPr>
          <w:p>
            <w:pPr>
              <w:pStyle w:val="TableContents"/>
              <w:spacing w:before="0" w:after="0"/>
              <w:ind w:left="0" w:right="0" w:firstLine="300"/>
              <w:rPr/>
            </w:pPr>
            <w:r>
              <w:rPr/>
              <w:t> </w:t>
            </w:r>
          </w:p>
        </w:tc>
      </w:tr>
      <w:tr>
        <w:trPr/>
        <w:tc>
          <w:tcPr>
            <w:tcW w:w="3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Subordinated units—Westlake</w:t>
            </w:r>
          </w:p>
        </w:tc>
        <w:tc>
          <w:tcPr>
            <w:tcW w:w="127" w:type="dxa"/>
            <w:tcBorders/>
            <w:shd w:fill="CCEEFF" w:val="clear"/>
            <w:vAlign w:val="center"/>
          </w:tcPr>
          <w:p>
            <w:pPr>
              <w:pStyle w:val="TableContents"/>
              <w:spacing w:before="0" w:after="0"/>
              <w:ind w:left="0" w:right="0" w:firstLine="30"/>
              <w:rPr/>
            </w:pPr>
            <w:r>
              <w:rPr/>
              <w:t> </w:t>
            </w:r>
          </w:p>
        </w:tc>
        <w:tc>
          <w:tcPr>
            <w:tcW w:w="1414" w:type="dxa"/>
            <w:gridSpan w:val="2"/>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12,686,115</w:t>
            </w:r>
          </w:p>
        </w:tc>
        <w:tc>
          <w:tcPr>
            <w:tcW w:w="14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62" w:type="dxa"/>
            <w:gridSpan w:val="3"/>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ind w:left="0" w:right="0" w:firstLine="30"/>
              <w:rPr/>
            </w:pPr>
            <w:r>
              <w:rPr/>
              <w:t> </w:t>
            </w:r>
          </w:p>
        </w:tc>
        <w:tc>
          <w:tcPr>
            <w:tcW w:w="1445" w:type="dxa"/>
            <w:gridSpan w:val="2"/>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12,686,115</w:t>
            </w:r>
          </w:p>
        </w:tc>
        <w:tc>
          <w:tcPr>
            <w:tcW w:w="14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837" w:type="dxa"/>
            <w:gridSpan w:val="3"/>
            <w:tcBorders/>
            <w:shd w:fill="CCEEFF" w:val="clear"/>
            <w:vAlign w:val="center"/>
          </w:tcPr>
          <w:p>
            <w:pPr>
              <w:pStyle w:val="TableContents"/>
              <w:spacing w:before="0" w:after="0"/>
              <w:rPr/>
            </w:pPr>
            <w:r>
              <w:rPr/>
              <w:t> </w:t>
            </w:r>
          </w:p>
        </w:tc>
      </w:tr>
    </w:tbl>
    <w:p>
      <w:pPr>
        <w:pStyle w:val="TextBody"/>
        <w:spacing w:lineRule="auto" w:line="288" w:before="0" w:after="0"/>
        <w:jc w:val="center"/>
        <w:rPr>
          <w:rFonts w:ascii="inherit" w:hAnsi="inherit"/>
          <w:sz w:val="17"/>
        </w:rPr>
      </w:pPr>
      <w:r>
        <w:rPr>
          <w:rFonts w:ascii="inherit" w:hAnsi="inherit"/>
          <w:sz w:val="17"/>
        </w:rPr>
        <w:t>The accompanying notes are an integral part of the combined and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w:t>
      </w:r>
      <w:r>
        <w:br w:type="page"/>
      </w:r>
    </w:p>
    <w:p>
      <w:pPr>
        <w:pStyle w:val="TextBody"/>
        <w:spacing w:lineRule="auto" w:line="288" w:before="0" w:after="0"/>
        <w:rPr/>
      </w:pPr>
      <w:hyperlink w:anchor="s7D21BC485A80E1C3273666ECEC2365C6">
        <w:bookmarkStart w:id="12" w:name="sE3F77771294C9E9AAE6566ECE8B3CE30"/>
        <w:bookmarkEnd w:id="12"/>
        <w:r>
          <w:rPr>
            <w:rStyle w:val="InternetLink"/>
            <w:rFonts w:ascii="inherit" w:hAnsi="inherit"/>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 xml:space="preserve">WESTLAKE CHEMICAL PARTNERS LP </w:t>
      </w:r>
    </w:p>
    <w:p>
      <w:pPr>
        <w:pStyle w:val="TextBody"/>
        <w:spacing w:lineRule="auto" w:line="288" w:before="0" w:after="0"/>
        <w:jc w:val="center"/>
        <w:rPr>
          <w:rFonts w:ascii="inherit" w:hAnsi="inherit"/>
          <w:b/>
          <w:sz w:val="17"/>
        </w:rPr>
      </w:pPr>
      <w:r>
        <w:rPr>
          <w:rFonts w:ascii="inherit" w:hAnsi="inherit"/>
          <w:b/>
          <w:sz w:val="17"/>
        </w:rPr>
        <w:t>COMBINED AND CONSOLIDATED STATEMENTS OF CHANGES IN EQUITY</w:t>
      </w:r>
    </w:p>
    <w:p>
      <w:pPr>
        <w:pStyle w:val="TextBody"/>
        <w:spacing w:lineRule="auto" w:line="288" w:before="0" w:after="0"/>
        <w:jc w:val="center"/>
        <w:rPr>
          <w:rFonts w:ascii="inherit" w:hAnsi="inherit"/>
          <w:b/>
          <w:sz w:val="17"/>
        </w:rPr>
      </w:pPr>
      <w:r>
        <w:rPr>
          <w:rFonts w:ascii="inherit" w:hAnsi="inherit"/>
          <w:b/>
          <w:sz w:val="17"/>
        </w:rPr>
        <w:t>(Unaudited)</w:t>
      </w:r>
    </w:p>
    <w:tbl>
      <w:tblPr>
        <w:tblW w:w="10205" w:type="dxa"/>
        <w:jc w:val="left"/>
        <w:tblInd w:w="0" w:type="dxa"/>
        <w:tblCellMar>
          <w:top w:w="0" w:type="dxa"/>
          <w:left w:w="0" w:type="dxa"/>
          <w:bottom w:w="0" w:type="dxa"/>
          <w:right w:w="0" w:type="dxa"/>
        </w:tblCellMar>
      </w:tblPr>
      <w:tblGrid>
        <w:gridCol w:w="1842"/>
        <w:gridCol w:w="106"/>
        <w:gridCol w:w="141"/>
        <w:gridCol w:w="821"/>
        <w:gridCol w:w="129"/>
        <w:gridCol w:w="106"/>
        <w:gridCol w:w="140"/>
        <w:gridCol w:w="815"/>
        <w:gridCol w:w="51"/>
        <w:gridCol w:w="106"/>
        <w:gridCol w:w="165"/>
        <w:gridCol w:w="714"/>
        <w:gridCol w:w="58"/>
        <w:gridCol w:w="106"/>
        <w:gridCol w:w="177"/>
        <w:gridCol w:w="893"/>
        <w:gridCol w:w="62"/>
        <w:gridCol w:w="106"/>
        <w:gridCol w:w="139"/>
        <w:gridCol w:w="863"/>
        <w:gridCol w:w="125"/>
        <w:gridCol w:w="106"/>
        <w:gridCol w:w="159"/>
        <w:gridCol w:w="925"/>
        <w:gridCol w:w="144"/>
        <w:gridCol w:w="106"/>
        <w:gridCol w:w="139"/>
        <w:gridCol w:w="807"/>
        <w:gridCol w:w="154"/>
      </w:tblGrid>
      <w:tr>
        <w:trPr/>
        <w:tc>
          <w:tcPr>
            <w:tcW w:w="10205" w:type="dxa"/>
            <w:gridSpan w:val="29"/>
            <w:tcBorders/>
            <w:shd w:fill="auto" w:val="clear"/>
            <w:vAlign w:val="center"/>
          </w:tcPr>
          <w:p>
            <w:pPr>
              <w:pStyle w:val="TableContents"/>
              <w:spacing w:before="0" w:after="283"/>
              <w:rPr>
                <w:sz w:val="4"/>
                <w:szCs w:val="4"/>
              </w:rPr>
            </w:pPr>
            <w:r>
              <w:rPr>
                <w:sz w:val="4"/>
                <w:szCs w:val="4"/>
              </w:rPr>
            </w:r>
          </w:p>
        </w:tc>
      </w:tr>
      <w:tr>
        <w:trPr/>
        <w:tc>
          <w:tcPr>
            <w:tcW w:w="1842"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51"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58"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42" w:type="dxa"/>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109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i/>
                <w:sz w:val="13"/>
              </w:rPr>
            </w:pPr>
            <w:r>
              <w:rPr>
                <w:rFonts w:ascii="inherit" w:hAnsi="inherit"/>
                <w:b/>
                <w:i/>
                <w:sz w:val="13"/>
              </w:rPr>
              <w:t>Predecessor</w:t>
            </w:r>
          </w:p>
        </w:tc>
        <w:tc>
          <w:tcPr>
            <w:tcW w:w="106" w:type="dxa"/>
            <w:tcBorders/>
            <w:shd w:fill="auto" w:val="clear"/>
            <w:vAlign w:val="center"/>
          </w:tcPr>
          <w:p>
            <w:pPr>
              <w:pStyle w:val="TableContents"/>
              <w:spacing w:before="0" w:after="0"/>
              <w:ind w:left="0" w:right="0" w:firstLine="30"/>
              <w:rPr/>
            </w:pPr>
            <w:r>
              <w:rPr/>
              <w:t> </w:t>
            </w:r>
          </w:p>
        </w:tc>
        <w:tc>
          <w:tcPr>
            <w:tcW w:w="7060" w:type="dxa"/>
            <w:gridSpan w:val="2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i/>
                <w:sz w:val="13"/>
              </w:rPr>
            </w:pPr>
            <w:r>
              <w:rPr>
                <w:rFonts w:ascii="inherit" w:hAnsi="inherit"/>
                <w:b/>
                <w:i/>
                <w:sz w:val="13"/>
              </w:rPr>
              <w:t>Partnership</w:t>
            </w:r>
          </w:p>
        </w:tc>
      </w:tr>
      <w:tr>
        <w:trPr/>
        <w:tc>
          <w:tcPr>
            <w:tcW w:w="1842" w:type="dxa"/>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1091"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 xml:space="preserve">Net </w:t>
            </w:r>
          </w:p>
          <w:p>
            <w:pPr>
              <w:pStyle w:val="TableContents"/>
              <w:spacing w:before="0" w:after="0"/>
              <w:ind w:left="0" w:right="0" w:firstLine="30"/>
              <w:jc w:val="center"/>
              <w:rPr>
                <w:rFonts w:ascii="inherit" w:hAnsi="inherit"/>
                <w:b/>
                <w:sz w:val="13"/>
              </w:rPr>
            </w:pPr>
            <w:r>
              <w:rPr>
                <w:rFonts w:ascii="inherit" w:hAnsi="inherit"/>
                <w:b/>
                <w:sz w:val="13"/>
              </w:rPr>
              <w:t>Investment</w:t>
            </w:r>
          </w:p>
        </w:tc>
        <w:tc>
          <w:tcPr>
            <w:tcW w:w="106" w:type="dxa"/>
            <w:tcBorders/>
            <w:shd w:fill="auto" w:val="clear"/>
            <w:vAlign w:val="center"/>
          </w:tcPr>
          <w:p>
            <w:pPr>
              <w:pStyle w:val="TableContents"/>
              <w:spacing w:before="0" w:after="0"/>
              <w:ind w:left="0" w:right="0" w:firstLine="30"/>
              <w:rPr/>
            </w:pPr>
            <w:r>
              <w:rPr/>
              <w:t> </w:t>
            </w:r>
          </w:p>
        </w:tc>
        <w:tc>
          <w:tcPr>
            <w:tcW w:w="1006"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 xml:space="preserve">Common Unitholders - </w:t>
            </w:r>
          </w:p>
          <w:p>
            <w:pPr>
              <w:pStyle w:val="TableContents"/>
              <w:spacing w:before="0" w:after="0"/>
              <w:ind w:left="0" w:right="0" w:firstLine="30"/>
              <w:jc w:val="center"/>
              <w:rPr>
                <w:rFonts w:ascii="inherit" w:hAnsi="inherit"/>
                <w:b/>
                <w:sz w:val="13"/>
              </w:rPr>
            </w:pPr>
            <w:r>
              <w:rPr>
                <w:rFonts w:ascii="inherit" w:hAnsi="inherit"/>
                <w:b/>
                <w:sz w:val="13"/>
              </w:rPr>
              <w:t>Public</w:t>
            </w:r>
          </w:p>
        </w:tc>
        <w:tc>
          <w:tcPr>
            <w:tcW w:w="106" w:type="dxa"/>
            <w:tcBorders/>
            <w:shd w:fill="auto" w:val="clear"/>
            <w:vAlign w:val="center"/>
          </w:tcPr>
          <w:p>
            <w:pPr>
              <w:pStyle w:val="TableContents"/>
              <w:spacing w:before="0" w:after="0"/>
              <w:ind w:left="0" w:right="0" w:firstLine="30"/>
              <w:rPr/>
            </w:pPr>
            <w:r>
              <w:rPr/>
              <w:t> </w:t>
            </w:r>
          </w:p>
        </w:tc>
        <w:tc>
          <w:tcPr>
            <w:tcW w:w="937"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 xml:space="preserve">Common Unitholder - </w:t>
            </w:r>
          </w:p>
          <w:p>
            <w:pPr>
              <w:pStyle w:val="TableContents"/>
              <w:spacing w:before="0" w:after="0"/>
              <w:ind w:left="0" w:right="0" w:firstLine="30"/>
              <w:jc w:val="center"/>
              <w:rPr>
                <w:rFonts w:ascii="inherit" w:hAnsi="inherit"/>
                <w:b/>
                <w:sz w:val="13"/>
              </w:rPr>
            </w:pPr>
            <w:r>
              <w:rPr>
                <w:rFonts w:ascii="inherit" w:hAnsi="inherit"/>
                <w:b/>
                <w:sz w:val="13"/>
              </w:rPr>
              <w:t>Westlake</w:t>
            </w:r>
          </w:p>
        </w:tc>
        <w:tc>
          <w:tcPr>
            <w:tcW w:w="106" w:type="dxa"/>
            <w:tcBorders/>
            <w:shd w:fill="auto" w:val="clear"/>
            <w:vAlign w:val="center"/>
          </w:tcPr>
          <w:p>
            <w:pPr>
              <w:pStyle w:val="TableContents"/>
              <w:spacing w:before="0" w:after="0"/>
              <w:ind w:left="0" w:right="0" w:firstLine="30"/>
              <w:rPr/>
            </w:pPr>
            <w:r>
              <w:rPr/>
              <w:t> </w:t>
            </w:r>
          </w:p>
        </w:tc>
        <w:tc>
          <w:tcPr>
            <w:tcW w:w="1132"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 xml:space="preserve">Subordinated Unitholder - </w:t>
            </w:r>
          </w:p>
          <w:p>
            <w:pPr>
              <w:pStyle w:val="TableContents"/>
              <w:spacing w:before="0" w:after="0"/>
              <w:ind w:left="0" w:right="0" w:firstLine="30"/>
              <w:jc w:val="center"/>
              <w:rPr>
                <w:rFonts w:ascii="inherit" w:hAnsi="inherit"/>
                <w:b/>
                <w:sz w:val="13"/>
              </w:rPr>
            </w:pPr>
            <w:r>
              <w:rPr>
                <w:rFonts w:ascii="inherit" w:hAnsi="inherit"/>
                <w:b/>
                <w:sz w:val="13"/>
              </w:rPr>
              <w:t>Westlake</w:t>
            </w:r>
          </w:p>
        </w:tc>
        <w:tc>
          <w:tcPr>
            <w:tcW w:w="106" w:type="dxa"/>
            <w:tcBorders/>
            <w:shd w:fill="auto" w:val="clear"/>
            <w:vAlign w:val="center"/>
          </w:tcPr>
          <w:p>
            <w:pPr>
              <w:pStyle w:val="TableContents"/>
              <w:spacing w:before="0" w:after="0"/>
              <w:ind w:left="0" w:right="0" w:firstLine="30"/>
              <w:rPr/>
            </w:pPr>
            <w:r>
              <w:rPr/>
              <w:t> </w:t>
            </w:r>
          </w:p>
        </w:tc>
        <w:tc>
          <w:tcPr>
            <w:tcW w:w="1127"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 xml:space="preserve">General </w:t>
            </w:r>
          </w:p>
          <w:p>
            <w:pPr>
              <w:pStyle w:val="TableContents"/>
              <w:spacing w:before="0" w:after="0"/>
              <w:jc w:val="center"/>
              <w:rPr>
                <w:rFonts w:ascii="inherit" w:hAnsi="inherit"/>
                <w:b/>
                <w:sz w:val="13"/>
              </w:rPr>
            </w:pPr>
            <w:r>
              <w:rPr>
                <w:rFonts w:ascii="inherit" w:hAnsi="inherit"/>
                <w:b/>
                <w:sz w:val="13"/>
              </w:rPr>
              <w:t xml:space="preserve">Partner - </w:t>
            </w:r>
          </w:p>
          <w:p>
            <w:pPr>
              <w:pStyle w:val="TableContents"/>
              <w:spacing w:before="0" w:after="0"/>
              <w:ind w:left="0" w:right="0" w:firstLine="30"/>
              <w:jc w:val="center"/>
              <w:rPr>
                <w:rFonts w:ascii="inherit" w:hAnsi="inherit"/>
                <w:b/>
                <w:sz w:val="13"/>
              </w:rPr>
            </w:pPr>
            <w:r>
              <w:rPr>
                <w:rFonts w:ascii="inherit" w:hAnsi="inherit"/>
                <w:b/>
                <w:sz w:val="13"/>
              </w:rPr>
              <w:t>Westlake</w:t>
            </w:r>
          </w:p>
        </w:tc>
        <w:tc>
          <w:tcPr>
            <w:tcW w:w="106" w:type="dxa"/>
            <w:tcBorders/>
            <w:shd w:fill="auto" w:val="clear"/>
            <w:vAlign w:val="center"/>
          </w:tcPr>
          <w:p>
            <w:pPr>
              <w:pStyle w:val="TableContents"/>
              <w:spacing w:before="0" w:after="0"/>
              <w:ind w:left="0" w:right="0" w:firstLine="30"/>
              <w:rPr/>
            </w:pPr>
            <w:r>
              <w:rPr/>
              <w:t> </w:t>
            </w:r>
          </w:p>
        </w:tc>
        <w:tc>
          <w:tcPr>
            <w:tcW w:w="1228"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 xml:space="preserve">Noncontrolling Interest </w:t>
            </w:r>
          </w:p>
          <w:p>
            <w:pPr>
              <w:pStyle w:val="TableContents"/>
              <w:spacing w:before="0" w:after="0"/>
              <w:ind w:left="0" w:right="0" w:firstLine="30"/>
              <w:jc w:val="center"/>
              <w:rPr>
                <w:rFonts w:ascii="inherit" w:hAnsi="inherit"/>
                <w:b/>
                <w:sz w:val="13"/>
              </w:rPr>
            </w:pPr>
            <w:r>
              <w:rPr>
                <w:rFonts w:ascii="inherit" w:hAnsi="inherit"/>
                <w:b/>
                <w:sz w:val="13"/>
              </w:rPr>
              <w:t>in OpCo</w:t>
            </w:r>
          </w:p>
        </w:tc>
        <w:tc>
          <w:tcPr>
            <w:tcW w:w="106" w:type="dxa"/>
            <w:tcBorders/>
            <w:shd w:fill="auto" w:val="clear"/>
            <w:vAlign w:val="center"/>
          </w:tcPr>
          <w:p>
            <w:pPr>
              <w:pStyle w:val="TableContents"/>
              <w:spacing w:before="0" w:after="0"/>
              <w:ind w:left="0" w:right="0" w:firstLine="30"/>
              <w:rPr/>
            </w:pPr>
            <w:r>
              <w:rPr/>
              <w:t> </w:t>
            </w:r>
          </w:p>
        </w:tc>
        <w:tc>
          <w:tcPr>
            <w:tcW w:w="110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r>
      <w:tr>
        <w:trPr/>
        <w:tc>
          <w:tcPr>
            <w:tcW w:w="1842" w:type="dxa"/>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1091"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1006"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937"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1132"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1127"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1228"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1100" w:type="dxa"/>
            <w:gridSpan w:val="3"/>
            <w:tcBorders/>
            <w:shd w:fill="auto" w:val="clear"/>
            <w:vAlign w:val="center"/>
          </w:tcPr>
          <w:p>
            <w:pPr>
              <w:pStyle w:val="TableContents"/>
              <w:spacing w:before="0" w:after="0"/>
              <w:ind w:left="0" w:right="0" w:firstLine="30"/>
              <w:rPr/>
            </w:pPr>
            <w:r>
              <w:rPr/>
              <w:t> </w:t>
            </w:r>
          </w:p>
        </w:tc>
      </w:tr>
      <w:tr>
        <w:trPr/>
        <w:tc>
          <w:tcPr>
            <w:tcW w:w="1842" w:type="dxa"/>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8257" w:type="dxa"/>
            <w:gridSpan w:val="27"/>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(in thousands of dollars)</w:t>
            </w:r>
          </w:p>
        </w:tc>
      </w:tr>
      <w:tr>
        <w:trPr/>
        <w:tc>
          <w:tcPr>
            <w:tcW w:w="1842"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Balance as of December 31, 2012</w:t>
            </w:r>
          </w:p>
        </w:tc>
        <w:tc>
          <w:tcPr>
            <w:tcW w:w="106" w:type="dxa"/>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21" w:type="dxa"/>
            <w:tcBorders/>
            <w:shd w:fill="CCEEFF" w:val="clear"/>
            <w:vAlign w:val="center"/>
          </w:tcPr>
          <w:p>
            <w:pPr>
              <w:pStyle w:val="TableContents"/>
              <w:spacing w:before="0" w:after="0"/>
              <w:jc w:val="right"/>
              <w:rPr>
                <w:rFonts w:ascii="inherit" w:hAnsi="inherit"/>
                <w:sz w:val="17"/>
              </w:rPr>
            </w:pPr>
            <w:r>
              <w:rPr>
                <w:rFonts w:ascii="inherit" w:hAnsi="inherit"/>
                <w:sz w:val="17"/>
              </w:rPr>
              <w:t>273,812</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15" w:type="dxa"/>
            <w:tcBorders/>
            <w:shd w:fill="CCEEFF" w:val="clear"/>
            <w:vAlign w:val="center"/>
          </w:tcPr>
          <w:p>
            <w:pPr>
              <w:pStyle w:val="TableContents"/>
              <w:spacing w:before="0" w:after="0"/>
              <w:jc w:val="right"/>
              <w:rPr/>
            </w:pPr>
            <w:r>
              <w:rPr/>
              <w:t>—</w:t>
            </w:r>
          </w:p>
        </w:tc>
        <w:tc>
          <w:tcPr>
            <w:tcW w:w="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14" w:type="dxa"/>
            <w:tcBorders/>
            <w:shd w:fill="CCEEFF" w:val="clear"/>
            <w:vAlign w:val="center"/>
          </w:tcPr>
          <w:p>
            <w:pPr>
              <w:pStyle w:val="TableContents"/>
              <w:spacing w:before="0" w:after="0"/>
              <w:jc w:val="right"/>
              <w:rPr/>
            </w:pPr>
            <w:r>
              <w:rPr/>
              <w:t>—</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7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93" w:type="dxa"/>
            <w:tcBorders/>
            <w:shd w:fill="CCEEFF" w:val="clear"/>
            <w:vAlign w:val="center"/>
          </w:tcPr>
          <w:p>
            <w:pPr>
              <w:pStyle w:val="TableContents"/>
              <w:spacing w:before="0" w:after="0"/>
              <w:jc w:val="right"/>
              <w:rPr/>
            </w:pPr>
            <w:r>
              <w:rPr/>
              <w:t>—</w:t>
            </w:r>
          </w:p>
        </w:tc>
        <w:tc>
          <w:tcPr>
            <w:tcW w:w="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3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63" w:type="dxa"/>
            <w:tcBorders/>
            <w:shd w:fill="CCEEFF" w:val="clear"/>
            <w:vAlign w:val="center"/>
          </w:tcPr>
          <w:p>
            <w:pPr>
              <w:pStyle w:val="TableContents"/>
              <w:spacing w:before="0" w:after="0"/>
              <w:jc w:val="right"/>
              <w:rPr/>
            </w:pPr>
            <w:r>
              <w:rPr/>
              <w:t>—</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5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25" w:type="dxa"/>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3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07" w:type="dxa"/>
            <w:tcBorders/>
            <w:shd w:fill="CCEEFF" w:val="clear"/>
            <w:vAlign w:val="center"/>
          </w:tcPr>
          <w:p>
            <w:pPr>
              <w:pStyle w:val="TableContents"/>
              <w:spacing w:before="0" w:after="0"/>
              <w:jc w:val="right"/>
              <w:rPr>
                <w:rFonts w:ascii="inherit" w:hAnsi="inherit"/>
                <w:sz w:val="17"/>
              </w:rPr>
            </w:pPr>
            <w:r>
              <w:rPr>
                <w:rFonts w:ascii="inherit" w:hAnsi="inherit"/>
                <w:sz w:val="17"/>
              </w:rPr>
              <w:t>273,812</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842" w:type="dxa"/>
            <w:tcBorders/>
            <w:shd w:fill="auto" w:val="clear"/>
            <w:vAlign w:val="center"/>
          </w:tcPr>
          <w:p>
            <w:pPr>
              <w:pStyle w:val="TableContents"/>
              <w:spacing w:before="0" w:after="0"/>
              <w:rPr>
                <w:rFonts w:ascii="inherit" w:hAnsi="inherit"/>
                <w:sz w:val="17"/>
              </w:rPr>
            </w:pPr>
            <w:r>
              <w:rPr>
                <w:rFonts w:ascii="inherit" w:hAnsi="inherit"/>
                <w:sz w:val="17"/>
              </w:rPr>
              <w:t xml:space="preserve">Contribution of debt payable to Westlake into net </w:t>
            </w:r>
          </w:p>
          <w:p>
            <w:pPr>
              <w:pStyle w:val="TableContents"/>
              <w:spacing w:before="0" w:after="0"/>
              <w:ind w:left="0" w:right="0" w:firstLine="30"/>
              <w:rPr/>
            </w:pPr>
            <w:r>
              <w:rPr/>
              <w:t>   </w:t>
            </w:r>
            <w:r>
              <w:rPr>
                <w:rFonts w:ascii="inherit" w:hAnsi="inherit"/>
                <w:sz w:val="17"/>
              </w:rPr>
              <w:t>investment</w:t>
            </w:r>
          </w:p>
        </w:tc>
        <w:tc>
          <w:tcPr>
            <w:tcW w:w="106" w:type="dxa"/>
            <w:tcBorders/>
            <w:shd w:fill="auto" w:val="clear"/>
            <w:vAlign w:val="center"/>
          </w:tcPr>
          <w:p>
            <w:pPr>
              <w:pStyle w:val="TableContents"/>
              <w:spacing w:before="0" w:after="0"/>
              <w:ind w:left="0" w:right="0" w:firstLine="30"/>
              <w:rPr/>
            </w:pPr>
            <w:r>
              <w:rPr/>
              <w:t> </w:t>
            </w:r>
          </w:p>
        </w:tc>
        <w:tc>
          <w:tcPr>
            <w:tcW w:w="96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238,600</w:t>
            </w:r>
          </w:p>
        </w:tc>
        <w:tc>
          <w:tcPr>
            <w:tcW w:w="1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pPr>
            <w:r>
              <w:rPr/>
              <w:t>—</w:t>
            </w:r>
          </w:p>
        </w:tc>
        <w:tc>
          <w:tcPr>
            <w:tcW w:w="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879" w:type="dxa"/>
            <w:gridSpan w:val="2"/>
            <w:tcBorders/>
            <w:shd w:fill="auto" w:val="clear"/>
            <w:vAlign w:val="center"/>
          </w:tcPr>
          <w:p>
            <w:pPr>
              <w:pStyle w:val="TableContents"/>
              <w:spacing w:before="0" w:after="0"/>
              <w:jc w:val="right"/>
              <w:rPr/>
            </w:pPr>
            <w:r>
              <w:rPr/>
              <w:t>—</w:t>
            </w:r>
          </w:p>
        </w:tc>
        <w:tc>
          <w:tcPr>
            <w:tcW w:w="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1070" w:type="dxa"/>
            <w:gridSpan w:val="2"/>
            <w:tcBorders/>
            <w:shd w:fill="auto" w:val="clear"/>
            <w:vAlign w:val="center"/>
          </w:tcPr>
          <w:p>
            <w:pPr>
              <w:pStyle w:val="TableContents"/>
              <w:spacing w:before="0" w:after="0"/>
              <w:jc w:val="right"/>
              <w:rPr/>
            </w:pPr>
            <w:r>
              <w:rPr/>
              <w:t>—</w:t>
            </w:r>
          </w:p>
        </w:tc>
        <w:tc>
          <w:tcPr>
            <w:tcW w:w="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1002" w:type="dxa"/>
            <w:gridSpan w:val="2"/>
            <w:tcBorders/>
            <w:shd w:fill="auto" w:val="clear"/>
            <w:vAlign w:val="center"/>
          </w:tcPr>
          <w:p>
            <w:pPr>
              <w:pStyle w:val="TableContents"/>
              <w:spacing w:before="0" w:after="0"/>
              <w:jc w:val="right"/>
              <w:rPr/>
            </w:pPr>
            <w:r>
              <w:rPr/>
              <w:t>—</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1084" w:type="dxa"/>
            <w:gridSpan w:val="2"/>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9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238,600</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842" w:type="dxa"/>
            <w:tcBorders/>
            <w:shd w:fill="CCEEFF" w:val="clear"/>
            <w:vAlign w:val="center"/>
          </w:tcPr>
          <w:p>
            <w:pPr>
              <w:pStyle w:val="TableContents"/>
              <w:spacing w:before="0" w:after="0"/>
              <w:rPr>
                <w:rFonts w:ascii="inherit" w:hAnsi="inherit"/>
                <w:sz w:val="17"/>
              </w:rPr>
            </w:pPr>
            <w:r>
              <w:rPr>
                <w:rFonts w:ascii="inherit" w:hAnsi="inherit"/>
                <w:sz w:val="17"/>
              </w:rPr>
              <w:t xml:space="preserve">Net income from January 1, 2013 through </w:t>
            </w:r>
          </w:p>
          <w:p>
            <w:pPr>
              <w:pStyle w:val="TableContents"/>
              <w:spacing w:before="0" w:after="0"/>
              <w:ind w:left="0" w:right="0" w:firstLine="30"/>
              <w:rPr/>
            </w:pPr>
            <w:r>
              <w:rPr/>
              <w:t>   </w:t>
            </w:r>
            <w:r>
              <w:rPr>
                <w:rFonts w:ascii="inherit" w:hAnsi="inherit"/>
                <w:sz w:val="17"/>
              </w:rPr>
              <w:t>September 30, 2013</w:t>
            </w:r>
          </w:p>
        </w:tc>
        <w:tc>
          <w:tcPr>
            <w:tcW w:w="106" w:type="dxa"/>
            <w:tcBorders/>
            <w:shd w:fill="CCEEFF" w:val="clear"/>
            <w:vAlign w:val="center"/>
          </w:tcPr>
          <w:p>
            <w:pPr>
              <w:pStyle w:val="TableContents"/>
              <w:spacing w:before="0" w:after="0"/>
              <w:ind w:left="0" w:right="0" w:firstLine="30"/>
              <w:rPr/>
            </w:pPr>
            <w:r>
              <w:rPr/>
              <w:t> </w:t>
            </w:r>
          </w:p>
        </w:tc>
        <w:tc>
          <w:tcPr>
            <w:tcW w:w="96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402,340</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pPr>
            <w:r>
              <w:rPr/>
              <w:t>—</w:t>
            </w:r>
          </w:p>
        </w:tc>
        <w:tc>
          <w:tcPr>
            <w:tcW w:w="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879" w:type="dxa"/>
            <w:gridSpan w:val="2"/>
            <w:tcBorders/>
            <w:shd w:fill="CCEEFF" w:val="clear"/>
            <w:vAlign w:val="center"/>
          </w:tcPr>
          <w:p>
            <w:pPr>
              <w:pStyle w:val="TableContents"/>
              <w:spacing w:before="0" w:after="0"/>
              <w:jc w:val="right"/>
              <w:rPr/>
            </w:pPr>
            <w:r>
              <w:rPr/>
              <w:t>—</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070" w:type="dxa"/>
            <w:gridSpan w:val="2"/>
            <w:tcBorders/>
            <w:shd w:fill="CCEEFF" w:val="clear"/>
            <w:vAlign w:val="center"/>
          </w:tcPr>
          <w:p>
            <w:pPr>
              <w:pStyle w:val="TableContents"/>
              <w:spacing w:before="0" w:after="0"/>
              <w:jc w:val="right"/>
              <w:rPr/>
            </w:pPr>
            <w:r>
              <w:rPr/>
              <w:t>—</w:t>
            </w:r>
          </w:p>
        </w:tc>
        <w:tc>
          <w:tcPr>
            <w:tcW w:w="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002" w:type="dxa"/>
            <w:gridSpan w:val="2"/>
            <w:tcBorders/>
            <w:shd w:fill="CCEEFF" w:val="clear"/>
            <w:vAlign w:val="center"/>
          </w:tcPr>
          <w:p>
            <w:pPr>
              <w:pStyle w:val="TableContents"/>
              <w:spacing w:before="0" w:after="0"/>
              <w:jc w:val="right"/>
              <w:rPr/>
            </w:pPr>
            <w:r>
              <w:rPr/>
              <w:t>—</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084"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94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402,340</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8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distributions to Westlake</w:t>
            </w:r>
          </w:p>
        </w:tc>
        <w:tc>
          <w:tcPr>
            <w:tcW w:w="106" w:type="dxa"/>
            <w:tcBorders/>
            <w:shd w:fill="auto" w:val="clear"/>
            <w:vAlign w:val="center"/>
          </w:tcPr>
          <w:p>
            <w:pPr>
              <w:pStyle w:val="TableContents"/>
              <w:spacing w:before="0" w:after="0"/>
              <w:ind w:left="0" w:right="0" w:firstLine="30"/>
              <w:rPr/>
            </w:pPr>
            <w:r>
              <w:rPr/>
              <w:t> </w:t>
            </w:r>
          </w:p>
        </w:tc>
        <w:tc>
          <w:tcPr>
            <w:tcW w:w="96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(421,991</w:t>
            </w:r>
          </w:p>
        </w:tc>
        <w:tc>
          <w:tcPr>
            <w:tcW w:w="1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6"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pPr>
            <w:r>
              <w:rPr/>
              <w:t>—</w:t>
            </w:r>
          </w:p>
        </w:tc>
        <w:tc>
          <w:tcPr>
            <w:tcW w:w="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879" w:type="dxa"/>
            <w:gridSpan w:val="2"/>
            <w:tcBorders/>
            <w:shd w:fill="auto" w:val="clear"/>
            <w:vAlign w:val="center"/>
          </w:tcPr>
          <w:p>
            <w:pPr>
              <w:pStyle w:val="TableContents"/>
              <w:spacing w:before="0" w:after="0"/>
              <w:jc w:val="right"/>
              <w:rPr/>
            </w:pPr>
            <w:r>
              <w:rPr/>
              <w:t>—</w:t>
            </w:r>
          </w:p>
        </w:tc>
        <w:tc>
          <w:tcPr>
            <w:tcW w:w="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1070" w:type="dxa"/>
            <w:gridSpan w:val="2"/>
            <w:tcBorders/>
            <w:shd w:fill="auto" w:val="clear"/>
            <w:vAlign w:val="center"/>
          </w:tcPr>
          <w:p>
            <w:pPr>
              <w:pStyle w:val="TableContents"/>
              <w:spacing w:before="0" w:after="0"/>
              <w:jc w:val="right"/>
              <w:rPr/>
            </w:pPr>
            <w:r>
              <w:rPr/>
              <w:t>—</w:t>
            </w:r>
          </w:p>
        </w:tc>
        <w:tc>
          <w:tcPr>
            <w:tcW w:w="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1002" w:type="dxa"/>
            <w:gridSpan w:val="2"/>
            <w:tcBorders/>
            <w:shd w:fill="auto" w:val="clear"/>
            <w:vAlign w:val="center"/>
          </w:tcPr>
          <w:p>
            <w:pPr>
              <w:pStyle w:val="TableContents"/>
              <w:spacing w:before="0" w:after="0"/>
              <w:jc w:val="right"/>
              <w:rPr/>
            </w:pPr>
            <w:r>
              <w:rPr/>
              <w:t>—</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1084" w:type="dxa"/>
            <w:gridSpan w:val="2"/>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9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(421,991</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1842"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Balance as of September 30, 2013</w:t>
            </w:r>
          </w:p>
        </w:tc>
        <w:tc>
          <w:tcPr>
            <w:tcW w:w="106" w:type="dxa"/>
            <w:tcBorders/>
            <w:shd w:fill="CCEEFF" w:val="clear"/>
            <w:vAlign w:val="center"/>
          </w:tcPr>
          <w:p>
            <w:pPr>
              <w:pStyle w:val="TableContents"/>
              <w:spacing w:before="0" w:after="0"/>
              <w:ind w:left="0" w:right="0" w:firstLine="30"/>
              <w:rPr/>
            </w:pPr>
            <w:r>
              <w:rPr/>
              <w:t> </w:t>
            </w:r>
          </w:p>
        </w:tc>
        <w:tc>
          <w:tcPr>
            <w:tcW w:w="14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2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492,761</w:t>
            </w:r>
          </w:p>
        </w:tc>
        <w:tc>
          <w:tcPr>
            <w:tcW w:w="12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4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1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pPr>
            <w:r>
              <w:rPr/>
              <w:t>—</w:t>
            </w:r>
          </w:p>
        </w:tc>
        <w:tc>
          <w:tcPr>
            <w:tcW w:w="5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6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1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pPr>
            <w:r>
              <w:rPr/>
              <w:t>—</w:t>
            </w:r>
          </w:p>
        </w:tc>
        <w:tc>
          <w:tcPr>
            <w:tcW w:w="5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7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9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pPr>
            <w:r>
              <w:rPr/>
              <w:t>—</w:t>
            </w:r>
          </w:p>
        </w:tc>
        <w:tc>
          <w:tcPr>
            <w:tcW w:w="6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3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6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pPr>
            <w:r>
              <w:rPr/>
              <w:t>—</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5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pPr>
            <w:r>
              <w:rPr/>
              <w:t>—</w:t>
            </w:r>
          </w:p>
        </w:tc>
        <w:tc>
          <w:tcPr>
            <w:tcW w:w="14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3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0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492,761</w:t>
            </w:r>
          </w:p>
        </w:tc>
        <w:tc>
          <w:tcPr>
            <w:tcW w:w="15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842" w:type="dxa"/>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1091"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1006"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937"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1132"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1127"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1228"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1100" w:type="dxa"/>
            <w:gridSpan w:val="3"/>
            <w:tcBorders/>
            <w:shd w:fill="auto" w:val="clear"/>
            <w:vAlign w:val="center"/>
          </w:tcPr>
          <w:p>
            <w:pPr>
              <w:pStyle w:val="TableContents"/>
              <w:spacing w:before="0" w:after="0"/>
              <w:ind w:left="0" w:right="0" w:firstLine="30"/>
              <w:rPr/>
            </w:pPr>
            <w:r>
              <w:rPr/>
              <w:t> </w:t>
            </w:r>
          </w:p>
        </w:tc>
      </w:tr>
      <w:tr>
        <w:trPr/>
        <w:tc>
          <w:tcPr>
            <w:tcW w:w="1842"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Balance as of December 31, 2013</w:t>
            </w:r>
          </w:p>
        </w:tc>
        <w:tc>
          <w:tcPr>
            <w:tcW w:w="106" w:type="dxa"/>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21" w:type="dxa"/>
            <w:tcBorders/>
            <w:shd w:fill="CCEEFF" w:val="clear"/>
            <w:vAlign w:val="center"/>
          </w:tcPr>
          <w:p>
            <w:pPr>
              <w:pStyle w:val="TableContents"/>
              <w:spacing w:before="0" w:after="0"/>
              <w:jc w:val="right"/>
              <w:rPr>
                <w:rFonts w:ascii="inherit" w:hAnsi="inherit"/>
                <w:sz w:val="17"/>
              </w:rPr>
            </w:pPr>
            <w:r>
              <w:rPr>
                <w:rFonts w:ascii="inherit" w:hAnsi="inherit"/>
                <w:sz w:val="17"/>
              </w:rPr>
              <w:t>455,432</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15" w:type="dxa"/>
            <w:tcBorders/>
            <w:shd w:fill="CCEEFF" w:val="clear"/>
            <w:vAlign w:val="center"/>
          </w:tcPr>
          <w:p>
            <w:pPr>
              <w:pStyle w:val="TableContents"/>
              <w:spacing w:before="0" w:after="0"/>
              <w:jc w:val="right"/>
              <w:rPr/>
            </w:pPr>
            <w:r>
              <w:rPr/>
              <w:t>—</w:t>
            </w:r>
          </w:p>
        </w:tc>
        <w:tc>
          <w:tcPr>
            <w:tcW w:w="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14" w:type="dxa"/>
            <w:tcBorders/>
            <w:shd w:fill="CCEEFF" w:val="clear"/>
            <w:vAlign w:val="center"/>
          </w:tcPr>
          <w:p>
            <w:pPr>
              <w:pStyle w:val="TableContents"/>
              <w:spacing w:before="0" w:after="0"/>
              <w:jc w:val="right"/>
              <w:rPr/>
            </w:pPr>
            <w:r>
              <w:rPr/>
              <w:t>—</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7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93" w:type="dxa"/>
            <w:tcBorders/>
            <w:shd w:fill="CCEEFF" w:val="clear"/>
            <w:vAlign w:val="center"/>
          </w:tcPr>
          <w:p>
            <w:pPr>
              <w:pStyle w:val="TableContents"/>
              <w:spacing w:before="0" w:after="0"/>
              <w:jc w:val="right"/>
              <w:rPr/>
            </w:pPr>
            <w:r>
              <w:rPr/>
              <w:t>—</w:t>
            </w:r>
          </w:p>
        </w:tc>
        <w:tc>
          <w:tcPr>
            <w:tcW w:w="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3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63" w:type="dxa"/>
            <w:tcBorders/>
            <w:shd w:fill="CCEEFF" w:val="clear"/>
            <w:vAlign w:val="center"/>
          </w:tcPr>
          <w:p>
            <w:pPr>
              <w:pStyle w:val="TableContents"/>
              <w:spacing w:before="0" w:after="0"/>
              <w:jc w:val="right"/>
              <w:rPr/>
            </w:pPr>
            <w:r>
              <w:rPr/>
              <w:t>—</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5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25" w:type="dxa"/>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3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07" w:type="dxa"/>
            <w:tcBorders/>
            <w:shd w:fill="CCEEFF" w:val="clear"/>
            <w:vAlign w:val="center"/>
          </w:tcPr>
          <w:p>
            <w:pPr>
              <w:pStyle w:val="TableContents"/>
              <w:spacing w:before="0" w:after="0"/>
              <w:jc w:val="right"/>
              <w:rPr>
                <w:rFonts w:ascii="inherit" w:hAnsi="inherit"/>
                <w:sz w:val="17"/>
              </w:rPr>
            </w:pPr>
            <w:r>
              <w:rPr>
                <w:rFonts w:ascii="inherit" w:hAnsi="inherit"/>
                <w:sz w:val="17"/>
              </w:rPr>
              <w:t>455,432</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842" w:type="dxa"/>
            <w:tcBorders/>
            <w:shd w:fill="auto" w:val="clear"/>
            <w:vAlign w:val="center"/>
          </w:tcPr>
          <w:p>
            <w:pPr>
              <w:pStyle w:val="TableContents"/>
              <w:spacing w:before="0" w:after="0"/>
              <w:rPr>
                <w:rFonts w:ascii="inherit" w:hAnsi="inherit"/>
                <w:sz w:val="17"/>
              </w:rPr>
            </w:pPr>
            <w:r>
              <w:rPr>
                <w:rFonts w:ascii="inherit" w:hAnsi="inherit"/>
                <w:sz w:val="17"/>
              </w:rPr>
              <w:t xml:space="preserve">Net income from January 1, 2014 through </w:t>
            </w:r>
          </w:p>
          <w:p>
            <w:pPr>
              <w:pStyle w:val="TableContents"/>
              <w:spacing w:before="0" w:after="0"/>
              <w:ind w:left="0" w:right="0" w:firstLine="30"/>
              <w:rPr/>
            </w:pPr>
            <w:r>
              <w:rPr/>
              <w:t>   </w:t>
            </w:r>
            <w:r>
              <w:rPr>
                <w:rFonts w:ascii="inherit" w:hAnsi="inherit"/>
                <w:sz w:val="17"/>
              </w:rPr>
              <w:t>August 3, 2014</w:t>
            </w:r>
          </w:p>
        </w:tc>
        <w:tc>
          <w:tcPr>
            <w:tcW w:w="106" w:type="dxa"/>
            <w:tcBorders/>
            <w:shd w:fill="auto" w:val="clear"/>
            <w:vAlign w:val="center"/>
          </w:tcPr>
          <w:p>
            <w:pPr>
              <w:pStyle w:val="TableContents"/>
              <w:spacing w:before="0" w:after="0"/>
              <w:ind w:left="0" w:right="0" w:firstLine="30"/>
              <w:rPr/>
            </w:pPr>
            <w:r>
              <w:rPr/>
              <w:t> </w:t>
            </w:r>
          </w:p>
        </w:tc>
        <w:tc>
          <w:tcPr>
            <w:tcW w:w="96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361,334</w:t>
            </w:r>
          </w:p>
        </w:tc>
        <w:tc>
          <w:tcPr>
            <w:tcW w:w="1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pPr>
            <w:r>
              <w:rPr/>
              <w:t>—</w:t>
            </w:r>
          </w:p>
        </w:tc>
        <w:tc>
          <w:tcPr>
            <w:tcW w:w="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879" w:type="dxa"/>
            <w:gridSpan w:val="2"/>
            <w:tcBorders/>
            <w:shd w:fill="auto" w:val="clear"/>
            <w:vAlign w:val="center"/>
          </w:tcPr>
          <w:p>
            <w:pPr>
              <w:pStyle w:val="TableContents"/>
              <w:spacing w:before="0" w:after="0"/>
              <w:jc w:val="right"/>
              <w:rPr/>
            </w:pPr>
            <w:r>
              <w:rPr/>
              <w:t>—</w:t>
            </w:r>
          </w:p>
        </w:tc>
        <w:tc>
          <w:tcPr>
            <w:tcW w:w="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1070" w:type="dxa"/>
            <w:gridSpan w:val="2"/>
            <w:tcBorders/>
            <w:shd w:fill="auto" w:val="clear"/>
            <w:vAlign w:val="center"/>
          </w:tcPr>
          <w:p>
            <w:pPr>
              <w:pStyle w:val="TableContents"/>
              <w:spacing w:before="0" w:after="0"/>
              <w:jc w:val="right"/>
              <w:rPr/>
            </w:pPr>
            <w:r>
              <w:rPr/>
              <w:t>—</w:t>
            </w:r>
          </w:p>
        </w:tc>
        <w:tc>
          <w:tcPr>
            <w:tcW w:w="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1002" w:type="dxa"/>
            <w:gridSpan w:val="2"/>
            <w:tcBorders/>
            <w:shd w:fill="auto" w:val="clear"/>
            <w:vAlign w:val="center"/>
          </w:tcPr>
          <w:p>
            <w:pPr>
              <w:pStyle w:val="TableContents"/>
              <w:spacing w:before="0" w:after="0"/>
              <w:jc w:val="right"/>
              <w:rPr/>
            </w:pPr>
            <w:r>
              <w:rPr/>
              <w:t>—</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1084" w:type="dxa"/>
            <w:gridSpan w:val="2"/>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9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361,334</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842" w:type="dxa"/>
            <w:tcBorders/>
            <w:shd w:fill="CCEEFF" w:val="clear"/>
            <w:vAlign w:val="center"/>
          </w:tcPr>
          <w:p>
            <w:pPr>
              <w:pStyle w:val="TableContents"/>
              <w:spacing w:before="0" w:after="0"/>
              <w:rPr>
                <w:rFonts w:ascii="inherit" w:hAnsi="inherit"/>
                <w:sz w:val="17"/>
              </w:rPr>
            </w:pPr>
            <w:r>
              <w:rPr>
                <w:rFonts w:ascii="inherit" w:hAnsi="inherit"/>
                <w:sz w:val="17"/>
              </w:rPr>
              <w:t xml:space="preserve">Net distributions to Westlake prior to initial public </w:t>
            </w:r>
          </w:p>
          <w:p>
            <w:pPr>
              <w:pStyle w:val="TableContents"/>
              <w:spacing w:before="0" w:after="0"/>
              <w:ind w:left="0" w:right="0" w:firstLine="30"/>
              <w:rPr/>
            </w:pPr>
            <w:r>
              <w:rPr/>
              <w:t>   </w:t>
            </w:r>
            <w:r>
              <w:rPr>
                <w:rFonts w:ascii="inherit" w:hAnsi="inherit"/>
                <w:sz w:val="17"/>
              </w:rPr>
              <w:t>offering</w:t>
            </w:r>
          </w:p>
        </w:tc>
        <w:tc>
          <w:tcPr>
            <w:tcW w:w="106" w:type="dxa"/>
            <w:tcBorders/>
            <w:shd w:fill="CCEEFF" w:val="clear"/>
            <w:vAlign w:val="center"/>
          </w:tcPr>
          <w:p>
            <w:pPr>
              <w:pStyle w:val="TableContents"/>
              <w:spacing w:before="0" w:after="0"/>
              <w:ind w:left="0" w:right="0" w:firstLine="30"/>
              <w:rPr/>
            </w:pPr>
            <w:r>
              <w:rPr/>
              <w:t> </w:t>
            </w:r>
          </w:p>
        </w:tc>
        <w:tc>
          <w:tcPr>
            <w:tcW w:w="96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(448,101</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6"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pPr>
            <w:r>
              <w:rPr/>
              <w:t>—</w:t>
            </w:r>
          </w:p>
        </w:tc>
        <w:tc>
          <w:tcPr>
            <w:tcW w:w="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879" w:type="dxa"/>
            <w:gridSpan w:val="2"/>
            <w:tcBorders/>
            <w:shd w:fill="CCEEFF" w:val="clear"/>
            <w:vAlign w:val="center"/>
          </w:tcPr>
          <w:p>
            <w:pPr>
              <w:pStyle w:val="TableContents"/>
              <w:spacing w:before="0" w:after="0"/>
              <w:jc w:val="right"/>
              <w:rPr/>
            </w:pPr>
            <w:r>
              <w:rPr/>
              <w:t>—</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070" w:type="dxa"/>
            <w:gridSpan w:val="2"/>
            <w:tcBorders/>
            <w:shd w:fill="CCEEFF" w:val="clear"/>
            <w:vAlign w:val="center"/>
          </w:tcPr>
          <w:p>
            <w:pPr>
              <w:pStyle w:val="TableContents"/>
              <w:spacing w:before="0" w:after="0"/>
              <w:jc w:val="right"/>
              <w:rPr/>
            </w:pPr>
            <w:r>
              <w:rPr/>
              <w:t>—</w:t>
            </w:r>
          </w:p>
        </w:tc>
        <w:tc>
          <w:tcPr>
            <w:tcW w:w="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002" w:type="dxa"/>
            <w:gridSpan w:val="2"/>
            <w:tcBorders/>
            <w:shd w:fill="CCEEFF" w:val="clear"/>
            <w:vAlign w:val="center"/>
          </w:tcPr>
          <w:p>
            <w:pPr>
              <w:pStyle w:val="TableContents"/>
              <w:spacing w:before="0" w:after="0"/>
              <w:jc w:val="right"/>
              <w:rPr/>
            </w:pPr>
            <w:r>
              <w:rPr/>
              <w:t>—</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084"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94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(448,101</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18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Predecessor net liabilities not assumed by OpCo</w:t>
            </w:r>
          </w:p>
        </w:tc>
        <w:tc>
          <w:tcPr>
            <w:tcW w:w="106" w:type="dxa"/>
            <w:tcBorders/>
            <w:shd w:fill="auto" w:val="clear"/>
            <w:vAlign w:val="center"/>
          </w:tcPr>
          <w:p>
            <w:pPr>
              <w:pStyle w:val="TableContents"/>
              <w:spacing w:before="0" w:after="0"/>
              <w:ind w:left="0" w:right="0" w:firstLine="30"/>
              <w:rPr/>
            </w:pPr>
            <w:r>
              <w:rPr/>
              <w:t> </w:t>
            </w:r>
          </w:p>
        </w:tc>
        <w:tc>
          <w:tcPr>
            <w:tcW w:w="96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239,706</w:t>
            </w:r>
          </w:p>
        </w:tc>
        <w:tc>
          <w:tcPr>
            <w:tcW w:w="12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95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5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87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5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107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6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100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1084"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94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239,706</w:t>
            </w:r>
          </w:p>
        </w:tc>
        <w:tc>
          <w:tcPr>
            <w:tcW w:w="15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842" w:type="dxa"/>
            <w:tcBorders/>
            <w:shd w:fill="CCEEFF" w:val="clear"/>
            <w:vAlign w:val="center"/>
          </w:tcPr>
          <w:p>
            <w:pPr>
              <w:pStyle w:val="TableContents"/>
              <w:spacing w:before="0" w:after="0"/>
              <w:rPr>
                <w:rFonts w:ascii="inherit" w:hAnsi="inherit"/>
                <w:sz w:val="17"/>
              </w:rPr>
            </w:pPr>
            <w:r>
              <w:rPr>
                <w:rFonts w:ascii="inherit" w:hAnsi="inherit"/>
                <w:sz w:val="17"/>
              </w:rPr>
              <w:t xml:space="preserve">Balance as of August 4, 2014 (prior to initial </w:t>
            </w:r>
          </w:p>
          <w:p>
            <w:pPr>
              <w:pStyle w:val="TableContents"/>
              <w:spacing w:before="0" w:after="0"/>
              <w:ind w:left="0" w:right="0" w:firstLine="30"/>
              <w:rPr/>
            </w:pPr>
            <w:r>
              <w:rPr/>
              <w:t>   </w:t>
            </w:r>
            <w:r>
              <w:rPr>
                <w:rFonts w:ascii="inherit" w:hAnsi="inherit"/>
                <w:sz w:val="17"/>
              </w:rPr>
              <w:t>public offering)</w:t>
            </w:r>
          </w:p>
        </w:tc>
        <w:tc>
          <w:tcPr>
            <w:tcW w:w="106" w:type="dxa"/>
            <w:tcBorders/>
            <w:shd w:fill="CCEEFF" w:val="clear"/>
            <w:vAlign w:val="center"/>
          </w:tcPr>
          <w:p>
            <w:pPr>
              <w:pStyle w:val="TableContents"/>
              <w:spacing w:before="0" w:after="0"/>
              <w:ind w:left="0" w:right="0" w:firstLine="30"/>
              <w:rPr/>
            </w:pPr>
            <w:r>
              <w:rPr/>
              <w:t> </w:t>
            </w:r>
          </w:p>
        </w:tc>
        <w:tc>
          <w:tcPr>
            <w:tcW w:w="96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608,371</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pPr>
            <w:r>
              <w:rPr/>
              <w:t>—</w:t>
            </w:r>
          </w:p>
        </w:tc>
        <w:tc>
          <w:tcPr>
            <w:tcW w:w="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879" w:type="dxa"/>
            <w:gridSpan w:val="2"/>
            <w:tcBorders>
              <w:top w:val="single" w:sz="2" w:space="0" w:color="000000"/>
            </w:tcBorders>
            <w:shd w:fill="CCEEFF" w:val="clear"/>
            <w:tcMar>
              <w:top w:w="30" w:type="dxa"/>
            </w:tcMar>
            <w:vAlign w:val="center"/>
          </w:tcPr>
          <w:p>
            <w:pPr>
              <w:pStyle w:val="TableContents"/>
              <w:spacing w:before="0" w:after="0"/>
              <w:jc w:val="right"/>
              <w:rPr/>
            </w:pPr>
            <w:r>
              <w:rPr/>
              <w:t>—</w:t>
            </w:r>
          </w:p>
        </w:tc>
        <w:tc>
          <w:tcPr>
            <w:tcW w:w="58"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070" w:type="dxa"/>
            <w:gridSpan w:val="2"/>
            <w:tcBorders>
              <w:top w:val="single" w:sz="2" w:space="0" w:color="000000"/>
            </w:tcBorders>
            <w:shd w:fill="CCEEFF" w:val="clear"/>
            <w:tcMar>
              <w:top w:w="30" w:type="dxa"/>
            </w:tcMar>
            <w:vAlign w:val="center"/>
          </w:tcPr>
          <w:p>
            <w:pPr>
              <w:pStyle w:val="TableContents"/>
              <w:spacing w:before="0" w:after="0"/>
              <w:jc w:val="right"/>
              <w:rPr/>
            </w:pPr>
            <w:r>
              <w:rPr/>
              <w:t>—</w:t>
            </w:r>
          </w:p>
        </w:tc>
        <w:tc>
          <w:tcPr>
            <w:tcW w:w="62"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002" w:type="dxa"/>
            <w:gridSpan w:val="2"/>
            <w:tcBorders/>
            <w:shd w:fill="CCEEFF" w:val="clear"/>
            <w:vAlign w:val="center"/>
          </w:tcPr>
          <w:p>
            <w:pPr>
              <w:pStyle w:val="TableContents"/>
              <w:spacing w:before="0" w:after="0"/>
              <w:jc w:val="right"/>
              <w:rPr/>
            </w:pPr>
            <w:r>
              <w:rPr/>
              <w:t>—</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084"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94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608,371</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8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Allocation of net investment to unitholders</w:t>
            </w:r>
          </w:p>
        </w:tc>
        <w:tc>
          <w:tcPr>
            <w:tcW w:w="106" w:type="dxa"/>
            <w:tcBorders/>
            <w:shd w:fill="auto" w:val="clear"/>
            <w:vAlign w:val="center"/>
          </w:tcPr>
          <w:p>
            <w:pPr>
              <w:pStyle w:val="TableContents"/>
              <w:spacing w:before="0" w:after="0"/>
              <w:ind w:left="0" w:right="0" w:firstLine="30"/>
              <w:rPr/>
            </w:pPr>
            <w:r>
              <w:rPr/>
              <w:t> </w:t>
            </w:r>
          </w:p>
        </w:tc>
        <w:tc>
          <w:tcPr>
            <w:tcW w:w="96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(608,371</w:t>
            </w:r>
          </w:p>
        </w:tc>
        <w:tc>
          <w:tcPr>
            <w:tcW w:w="1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6"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pPr>
            <w:r>
              <w:rPr/>
              <w:t>—</w:t>
            </w:r>
          </w:p>
        </w:tc>
        <w:tc>
          <w:tcPr>
            <w:tcW w:w="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8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3,563</w:t>
            </w:r>
          </w:p>
        </w:tc>
        <w:tc>
          <w:tcPr>
            <w:tcW w:w="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10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31,479</w:t>
            </w:r>
          </w:p>
        </w:tc>
        <w:tc>
          <w:tcPr>
            <w:tcW w:w="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1002" w:type="dxa"/>
            <w:gridSpan w:val="2"/>
            <w:tcBorders/>
            <w:shd w:fill="auto" w:val="clear"/>
            <w:vAlign w:val="center"/>
          </w:tcPr>
          <w:p>
            <w:pPr>
              <w:pStyle w:val="TableContents"/>
              <w:spacing w:before="0" w:after="0"/>
              <w:jc w:val="right"/>
              <w:rPr/>
            </w:pPr>
            <w:r>
              <w:rPr/>
              <w:t>—</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10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573,329</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946" w:type="dxa"/>
            <w:gridSpan w:val="2"/>
            <w:tcBorders/>
            <w:shd w:fill="auto" w:val="clear"/>
            <w:vAlign w:val="center"/>
          </w:tcPr>
          <w:p>
            <w:pPr>
              <w:pStyle w:val="TableContents"/>
              <w:spacing w:before="0" w:after="0"/>
              <w:jc w:val="right"/>
              <w:rPr/>
            </w:pPr>
            <w:r>
              <w:rPr/>
              <w:t>—</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842" w:type="dxa"/>
            <w:tcBorders/>
            <w:shd w:fill="CCEEFF" w:val="clear"/>
            <w:vAlign w:val="center"/>
          </w:tcPr>
          <w:p>
            <w:pPr>
              <w:pStyle w:val="TableContents"/>
              <w:spacing w:before="0" w:after="0"/>
              <w:rPr>
                <w:rFonts w:ascii="inherit" w:hAnsi="inherit"/>
                <w:sz w:val="17"/>
              </w:rPr>
            </w:pPr>
            <w:r>
              <w:rPr>
                <w:rFonts w:ascii="inherit" w:hAnsi="inherit"/>
                <w:sz w:val="17"/>
              </w:rPr>
              <w:t xml:space="preserve">Proceeds from initial public offering, net of </w:t>
            </w:r>
          </w:p>
          <w:p>
            <w:pPr>
              <w:pStyle w:val="TableContents"/>
              <w:spacing w:before="0" w:after="0"/>
              <w:ind w:left="0" w:right="0" w:firstLine="30"/>
              <w:rPr/>
            </w:pPr>
            <w:r>
              <w:rPr/>
              <w:t>   </w:t>
            </w:r>
            <w:r>
              <w:rPr>
                <w:rFonts w:ascii="inherit" w:hAnsi="inherit"/>
                <w:sz w:val="17"/>
              </w:rPr>
              <w:t>finance and other offering costs</w:t>
            </w:r>
          </w:p>
        </w:tc>
        <w:tc>
          <w:tcPr>
            <w:tcW w:w="106" w:type="dxa"/>
            <w:tcBorders/>
            <w:shd w:fill="CCEEFF" w:val="clear"/>
            <w:vAlign w:val="center"/>
          </w:tcPr>
          <w:p>
            <w:pPr>
              <w:pStyle w:val="TableContents"/>
              <w:spacing w:before="0" w:after="0"/>
              <w:ind w:left="0" w:right="0" w:firstLine="30"/>
              <w:rPr/>
            </w:pPr>
            <w:r>
              <w:rPr/>
              <w:t> </w:t>
            </w:r>
          </w:p>
        </w:tc>
        <w:tc>
          <w:tcPr>
            <w:tcW w:w="962" w:type="dxa"/>
            <w:gridSpan w:val="2"/>
            <w:tcBorders/>
            <w:shd w:fill="CCEEFF" w:val="clear"/>
            <w:vAlign w:val="center"/>
          </w:tcPr>
          <w:p>
            <w:pPr>
              <w:pStyle w:val="TableContents"/>
              <w:spacing w:before="0" w:after="0"/>
              <w:jc w:val="right"/>
              <w:rPr/>
            </w:pPr>
            <w:r>
              <w:rPr/>
              <w:t>—</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286,088</w:t>
            </w:r>
          </w:p>
        </w:tc>
        <w:tc>
          <w:tcPr>
            <w:tcW w:w="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879" w:type="dxa"/>
            <w:gridSpan w:val="2"/>
            <w:tcBorders/>
            <w:shd w:fill="CCEEFF" w:val="clear"/>
            <w:vAlign w:val="center"/>
          </w:tcPr>
          <w:p>
            <w:pPr>
              <w:pStyle w:val="TableContents"/>
              <w:spacing w:before="0" w:after="0"/>
              <w:jc w:val="right"/>
              <w:rPr/>
            </w:pPr>
            <w:r>
              <w:rPr/>
              <w:t>—</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070" w:type="dxa"/>
            <w:gridSpan w:val="2"/>
            <w:tcBorders/>
            <w:shd w:fill="CCEEFF" w:val="clear"/>
            <w:vAlign w:val="center"/>
          </w:tcPr>
          <w:p>
            <w:pPr>
              <w:pStyle w:val="TableContents"/>
              <w:spacing w:before="0" w:after="0"/>
              <w:jc w:val="right"/>
              <w:rPr/>
            </w:pPr>
            <w:r>
              <w:rPr/>
              <w:t>—</w:t>
            </w:r>
          </w:p>
        </w:tc>
        <w:tc>
          <w:tcPr>
            <w:tcW w:w="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002" w:type="dxa"/>
            <w:gridSpan w:val="2"/>
            <w:tcBorders/>
            <w:shd w:fill="CCEEFF" w:val="clear"/>
            <w:vAlign w:val="center"/>
          </w:tcPr>
          <w:p>
            <w:pPr>
              <w:pStyle w:val="TableContents"/>
              <w:spacing w:before="0" w:after="0"/>
              <w:jc w:val="right"/>
              <w:rPr/>
            </w:pPr>
            <w:r>
              <w:rPr/>
              <w:t>—</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084"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94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286,088</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842" w:type="dxa"/>
            <w:tcBorders/>
            <w:shd w:fill="auto" w:val="clear"/>
            <w:vAlign w:val="center"/>
          </w:tcPr>
          <w:p>
            <w:pPr>
              <w:pStyle w:val="TableContents"/>
              <w:spacing w:before="0" w:after="0"/>
              <w:rPr>
                <w:rFonts w:ascii="inherit" w:hAnsi="inherit"/>
                <w:sz w:val="17"/>
              </w:rPr>
            </w:pPr>
            <w:r>
              <w:rPr>
                <w:rFonts w:ascii="inherit" w:hAnsi="inherit"/>
                <w:sz w:val="17"/>
              </w:rPr>
              <w:t xml:space="preserve">Distribution to the noncontrolling interest </w:t>
            </w:r>
          </w:p>
          <w:p>
            <w:pPr>
              <w:pStyle w:val="TableContents"/>
              <w:spacing w:before="0" w:after="0"/>
              <w:ind w:left="0" w:right="0" w:firstLine="30"/>
              <w:rPr/>
            </w:pPr>
            <w:r>
              <w:rPr/>
              <w:t>   </w:t>
            </w:r>
            <w:r>
              <w:rPr>
                <w:rFonts w:ascii="inherit" w:hAnsi="inherit"/>
                <w:sz w:val="17"/>
              </w:rPr>
              <w:t>in OpCo</w:t>
            </w:r>
          </w:p>
        </w:tc>
        <w:tc>
          <w:tcPr>
            <w:tcW w:w="106" w:type="dxa"/>
            <w:tcBorders/>
            <w:shd w:fill="auto" w:val="clear"/>
            <w:vAlign w:val="center"/>
          </w:tcPr>
          <w:p>
            <w:pPr>
              <w:pStyle w:val="TableContents"/>
              <w:spacing w:before="0" w:after="0"/>
              <w:ind w:left="0" w:right="0" w:firstLine="30"/>
              <w:rPr/>
            </w:pPr>
            <w:r>
              <w:rPr/>
              <w:t> </w:t>
            </w:r>
          </w:p>
        </w:tc>
        <w:tc>
          <w:tcPr>
            <w:tcW w:w="962" w:type="dxa"/>
            <w:gridSpan w:val="2"/>
            <w:tcBorders/>
            <w:shd w:fill="auto" w:val="clear"/>
            <w:vAlign w:val="center"/>
          </w:tcPr>
          <w:p>
            <w:pPr>
              <w:pStyle w:val="TableContents"/>
              <w:spacing w:before="0" w:after="0"/>
              <w:jc w:val="right"/>
              <w:rPr/>
            </w:pPr>
            <w:r>
              <w:rPr/>
              <w:t>—</w:t>
            </w:r>
          </w:p>
        </w:tc>
        <w:tc>
          <w:tcPr>
            <w:tcW w:w="1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pPr>
            <w:r>
              <w:rPr/>
              <w:t>—</w:t>
            </w:r>
          </w:p>
        </w:tc>
        <w:tc>
          <w:tcPr>
            <w:tcW w:w="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879" w:type="dxa"/>
            <w:gridSpan w:val="2"/>
            <w:tcBorders/>
            <w:shd w:fill="auto" w:val="clear"/>
            <w:vAlign w:val="center"/>
          </w:tcPr>
          <w:p>
            <w:pPr>
              <w:pStyle w:val="TableContents"/>
              <w:spacing w:before="0" w:after="0"/>
              <w:jc w:val="right"/>
              <w:rPr/>
            </w:pPr>
            <w:r>
              <w:rPr/>
              <w:t>—</w:t>
            </w:r>
          </w:p>
        </w:tc>
        <w:tc>
          <w:tcPr>
            <w:tcW w:w="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1070" w:type="dxa"/>
            <w:gridSpan w:val="2"/>
            <w:tcBorders/>
            <w:shd w:fill="auto" w:val="clear"/>
            <w:vAlign w:val="center"/>
          </w:tcPr>
          <w:p>
            <w:pPr>
              <w:pStyle w:val="TableContents"/>
              <w:spacing w:before="0" w:after="0"/>
              <w:jc w:val="right"/>
              <w:rPr/>
            </w:pPr>
            <w:r>
              <w:rPr/>
              <w:t>—</w:t>
            </w:r>
          </w:p>
        </w:tc>
        <w:tc>
          <w:tcPr>
            <w:tcW w:w="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1002" w:type="dxa"/>
            <w:gridSpan w:val="2"/>
            <w:tcBorders/>
            <w:shd w:fill="auto" w:val="clear"/>
            <w:vAlign w:val="center"/>
          </w:tcPr>
          <w:p>
            <w:pPr>
              <w:pStyle w:val="TableContents"/>
              <w:spacing w:before="0" w:after="0"/>
              <w:jc w:val="right"/>
              <w:rPr/>
            </w:pPr>
            <w:r>
              <w:rPr/>
              <w:t>—</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10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(151,729</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6" w:type="dxa"/>
            <w:tcBorders/>
            <w:shd w:fill="auto" w:val="clear"/>
            <w:vAlign w:val="center"/>
          </w:tcPr>
          <w:p>
            <w:pPr>
              <w:pStyle w:val="TableContents"/>
              <w:spacing w:before="0" w:after="0"/>
              <w:ind w:left="0" w:right="0" w:firstLine="30"/>
              <w:rPr/>
            </w:pPr>
            <w:r>
              <w:rPr/>
              <w:t> </w:t>
            </w:r>
          </w:p>
        </w:tc>
        <w:tc>
          <w:tcPr>
            <w:tcW w:w="9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(151,729</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18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Purchase of additional interest in OpCo</w:t>
            </w:r>
          </w:p>
        </w:tc>
        <w:tc>
          <w:tcPr>
            <w:tcW w:w="106" w:type="dxa"/>
            <w:tcBorders/>
            <w:shd w:fill="CCEEFF" w:val="clear"/>
            <w:vAlign w:val="center"/>
          </w:tcPr>
          <w:p>
            <w:pPr>
              <w:pStyle w:val="TableContents"/>
              <w:spacing w:before="0" w:after="0"/>
              <w:ind w:left="0" w:right="0" w:firstLine="30"/>
              <w:rPr/>
            </w:pPr>
            <w:r>
              <w:rPr/>
              <w:t> </w:t>
            </w:r>
          </w:p>
        </w:tc>
        <w:tc>
          <w:tcPr>
            <w:tcW w:w="962" w:type="dxa"/>
            <w:gridSpan w:val="2"/>
            <w:tcBorders/>
            <w:shd w:fill="CCEEFF" w:val="clear"/>
            <w:vAlign w:val="center"/>
          </w:tcPr>
          <w:p>
            <w:pPr>
              <w:pStyle w:val="TableContents"/>
              <w:spacing w:before="0" w:after="0"/>
              <w:jc w:val="right"/>
              <w:rPr/>
            </w:pPr>
            <w:r>
              <w:rPr/>
              <w:t>—</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pPr>
            <w:r>
              <w:rPr/>
              <w:t>—</w:t>
            </w:r>
          </w:p>
        </w:tc>
        <w:tc>
          <w:tcPr>
            <w:tcW w:w="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879" w:type="dxa"/>
            <w:gridSpan w:val="2"/>
            <w:tcBorders/>
            <w:shd w:fill="CCEEFF" w:val="clear"/>
            <w:vAlign w:val="center"/>
          </w:tcPr>
          <w:p>
            <w:pPr>
              <w:pStyle w:val="TableContents"/>
              <w:spacing w:before="0" w:after="0"/>
              <w:jc w:val="right"/>
              <w:rPr/>
            </w:pPr>
            <w:r>
              <w:rPr/>
              <w:t>—</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070" w:type="dxa"/>
            <w:gridSpan w:val="2"/>
            <w:tcBorders/>
            <w:shd w:fill="CCEEFF" w:val="clear"/>
            <w:vAlign w:val="center"/>
          </w:tcPr>
          <w:p>
            <w:pPr>
              <w:pStyle w:val="TableContents"/>
              <w:spacing w:before="0" w:after="0"/>
              <w:jc w:val="right"/>
              <w:rPr/>
            </w:pPr>
            <w:r>
              <w:rPr/>
              <w:t>—</w:t>
            </w:r>
          </w:p>
        </w:tc>
        <w:tc>
          <w:tcPr>
            <w:tcW w:w="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00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(242,572</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6" w:type="dxa"/>
            <w:tcBorders/>
            <w:shd w:fill="CCEEFF" w:val="clear"/>
            <w:vAlign w:val="center"/>
          </w:tcPr>
          <w:p>
            <w:pPr>
              <w:pStyle w:val="TableContents"/>
              <w:spacing w:before="0" w:after="0"/>
              <w:ind w:left="0" w:right="0" w:firstLine="30"/>
              <w:rPr/>
            </w:pPr>
            <w:r>
              <w:rPr/>
              <w:t> </w:t>
            </w:r>
          </w:p>
        </w:tc>
        <w:tc>
          <w:tcPr>
            <w:tcW w:w="10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242,572</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946" w:type="dxa"/>
            <w:gridSpan w:val="2"/>
            <w:tcBorders/>
            <w:shd w:fill="CCEEFF" w:val="clear"/>
            <w:vAlign w:val="center"/>
          </w:tcPr>
          <w:p>
            <w:pPr>
              <w:pStyle w:val="TableContents"/>
              <w:spacing w:before="0" w:after="0"/>
              <w:jc w:val="right"/>
              <w:rPr/>
            </w:pPr>
            <w:r>
              <w:rPr/>
              <w:t>—</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842" w:type="dxa"/>
            <w:tcBorders/>
            <w:shd w:fill="auto" w:val="clear"/>
            <w:vAlign w:val="center"/>
          </w:tcPr>
          <w:p>
            <w:pPr>
              <w:pStyle w:val="TableContents"/>
              <w:spacing w:before="0" w:after="0"/>
              <w:rPr>
                <w:rFonts w:ascii="inherit" w:hAnsi="inherit"/>
                <w:sz w:val="17"/>
              </w:rPr>
            </w:pPr>
            <w:r>
              <w:rPr>
                <w:rFonts w:ascii="inherit" w:hAnsi="inherit"/>
                <w:sz w:val="17"/>
              </w:rPr>
              <w:t xml:space="preserve">Net income from August 4, 2014 through </w:t>
            </w:r>
          </w:p>
          <w:p>
            <w:pPr>
              <w:pStyle w:val="TableContents"/>
              <w:spacing w:before="0" w:after="0"/>
              <w:ind w:left="0" w:right="0" w:firstLine="30"/>
              <w:rPr/>
            </w:pPr>
            <w:r>
              <w:rPr/>
              <w:t>   </w:t>
            </w:r>
            <w:r>
              <w:rPr>
                <w:rFonts w:ascii="inherit" w:hAnsi="inherit"/>
                <w:sz w:val="17"/>
              </w:rPr>
              <w:t>September 30, 2014</w:t>
            </w:r>
          </w:p>
        </w:tc>
        <w:tc>
          <w:tcPr>
            <w:tcW w:w="106" w:type="dxa"/>
            <w:tcBorders/>
            <w:shd w:fill="auto" w:val="clear"/>
            <w:vAlign w:val="center"/>
          </w:tcPr>
          <w:p>
            <w:pPr>
              <w:pStyle w:val="TableContents"/>
              <w:spacing w:before="0" w:after="0"/>
              <w:ind w:left="0" w:right="0" w:firstLine="30"/>
              <w:rPr/>
            </w:pPr>
            <w:r>
              <w:rPr/>
              <w:t> </w:t>
            </w:r>
          </w:p>
        </w:tc>
        <w:tc>
          <w:tcPr>
            <w:tcW w:w="962" w:type="dxa"/>
            <w:gridSpan w:val="2"/>
            <w:tcBorders/>
            <w:shd w:fill="auto" w:val="clear"/>
            <w:vAlign w:val="center"/>
          </w:tcPr>
          <w:p>
            <w:pPr>
              <w:pStyle w:val="TableContents"/>
              <w:spacing w:before="0" w:after="0"/>
              <w:jc w:val="right"/>
              <w:rPr/>
            </w:pPr>
            <w:r>
              <w:rPr/>
              <w:t>—</w:t>
            </w:r>
          </w:p>
        </w:tc>
        <w:tc>
          <w:tcPr>
            <w:tcW w:w="1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2,399</w:t>
            </w:r>
          </w:p>
        </w:tc>
        <w:tc>
          <w:tcPr>
            <w:tcW w:w="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8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265</w:t>
            </w:r>
          </w:p>
        </w:tc>
        <w:tc>
          <w:tcPr>
            <w:tcW w:w="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10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2,351</w:t>
            </w:r>
          </w:p>
        </w:tc>
        <w:tc>
          <w:tcPr>
            <w:tcW w:w="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1002" w:type="dxa"/>
            <w:gridSpan w:val="2"/>
            <w:tcBorders/>
            <w:shd w:fill="auto" w:val="clear"/>
            <w:vAlign w:val="center"/>
          </w:tcPr>
          <w:p>
            <w:pPr>
              <w:pStyle w:val="TableContents"/>
              <w:spacing w:before="0" w:after="0"/>
              <w:jc w:val="right"/>
              <w:rPr/>
            </w:pPr>
            <w:r>
              <w:rPr/>
              <w:t>—</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10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49,542</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9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54,557</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842"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Balance as of September 30, 2014</w:t>
            </w:r>
          </w:p>
        </w:tc>
        <w:tc>
          <w:tcPr>
            <w:tcW w:w="106" w:type="dxa"/>
            <w:tcBorders/>
            <w:shd w:fill="CCEEFF" w:val="clear"/>
            <w:vAlign w:val="center"/>
          </w:tcPr>
          <w:p>
            <w:pPr>
              <w:pStyle w:val="TableContents"/>
              <w:spacing w:before="0" w:after="0"/>
              <w:ind w:left="0" w:right="0" w:firstLine="30"/>
              <w:rPr/>
            </w:pPr>
            <w:r>
              <w:rPr/>
              <w:t> </w:t>
            </w:r>
          </w:p>
        </w:tc>
        <w:tc>
          <w:tcPr>
            <w:tcW w:w="14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2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pPr>
            <w:r>
              <w:rPr/>
              <w:t>—</w:t>
            </w:r>
          </w:p>
        </w:tc>
        <w:tc>
          <w:tcPr>
            <w:tcW w:w="12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4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1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288,487</w:t>
            </w:r>
          </w:p>
        </w:tc>
        <w:tc>
          <w:tcPr>
            <w:tcW w:w="5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6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1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3,828</w:t>
            </w:r>
          </w:p>
        </w:tc>
        <w:tc>
          <w:tcPr>
            <w:tcW w:w="5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7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9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33,830</w:t>
            </w:r>
          </w:p>
        </w:tc>
        <w:tc>
          <w:tcPr>
            <w:tcW w:w="6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3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6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(242,572</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6" w:type="dxa"/>
            <w:tcBorders/>
            <w:shd w:fill="CCEEFF" w:val="clear"/>
            <w:vAlign w:val="center"/>
          </w:tcPr>
          <w:p>
            <w:pPr>
              <w:pStyle w:val="TableContents"/>
              <w:spacing w:before="0" w:after="0"/>
              <w:ind w:left="0" w:right="0" w:firstLine="30"/>
              <w:rPr/>
            </w:pPr>
            <w:r>
              <w:rPr/>
              <w:t> </w:t>
            </w:r>
          </w:p>
        </w:tc>
        <w:tc>
          <w:tcPr>
            <w:tcW w:w="15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713,714</w:t>
            </w:r>
          </w:p>
        </w:tc>
        <w:tc>
          <w:tcPr>
            <w:tcW w:w="14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3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0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797,287</w:t>
            </w:r>
          </w:p>
        </w:tc>
        <w:tc>
          <w:tcPr>
            <w:tcW w:w="15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t xml:space="preserve">The accompanying notes are an integral part of the combined and consolidated financial statements.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w:t>
      </w:r>
      <w:r>
        <w:br w:type="page"/>
      </w:r>
    </w:p>
    <w:p>
      <w:pPr>
        <w:pStyle w:val="TextBody"/>
        <w:spacing w:lineRule="auto" w:line="288" w:before="0" w:after="0"/>
        <w:rPr/>
      </w:pPr>
      <w:hyperlink w:anchor="s7D21BC485A80E1C3273666ECEC2365C6">
        <w:bookmarkStart w:id="13" w:name="s23D922070D7C1DE0E64E66ECE845ADC9"/>
        <w:bookmarkEnd w:id="13"/>
        <w:r>
          <w:rPr>
            <w:rStyle w:val="InternetLink"/>
            <w:rFonts w:ascii="inherit" w:hAnsi="inherit"/>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 xml:space="preserve">WESTLAKE CHEMICAL PARTNERS LP </w:t>
      </w:r>
    </w:p>
    <w:p>
      <w:pPr>
        <w:pStyle w:val="TextBody"/>
        <w:spacing w:lineRule="auto" w:line="288" w:before="0" w:after="0"/>
        <w:jc w:val="center"/>
        <w:rPr>
          <w:rFonts w:ascii="inherit" w:hAnsi="inherit"/>
          <w:b/>
          <w:sz w:val="17"/>
        </w:rPr>
      </w:pPr>
      <w:r>
        <w:rPr>
          <w:rFonts w:ascii="inherit" w:hAnsi="inherit"/>
          <w:b/>
          <w:sz w:val="17"/>
        </w:rPr>
        <w:t>COMBINED AND CONSOLIDATED STATEMENTS OF CASH FLOWS</w:t>
      </w:r>
    </w:p>
    <w:p>
      <w:pPr>
        <w:pStyle w:val="TextBody"/>
        <w:spacing w:lineRule="auto" w:line="288" w:before="0" w:after="0"/>
        <w:jc w:val="center"/>
        <w:rPr>
          <w:rFonts w:ascii="inherit" w:hAnsi="inherit"/>
          <w:b/>
          <w:sz w:val="17"/>
        </w:rPr>
      </w:pPr>
      <w:r>
        <w:rPr>
          <w:rFonts w:ascii="inherit" w:hAnsi="inherit"/>
          <w:b/>
          <w:sz w:val="17"/>
        </w:rPr>
        <w:t>(Unaudited)</w:t>
      </w:r>
    </w:p>
    <w:tbl>
      <w:tblPr>
        <w:tblW w:w="10205" w:type="dxa"/>
        <w:jc w:val="left"/>
        <w:tblInd w:w="0" w:type="dxa"/>
        <w:tblCellMar>
          <w:top w:w="0" w:type="dxa"/>
          <w:left w:w="0" w:type="dxa"/>
          <w:bottom w:w="0" w:type="dxa"/>
          <w:right w:w="0" w:type="dxa"/>
        </w:tblCellMar>
      </w:tblPr>
      <w:tblGrid>
        <w:gridCol w:w="5768"/>
        <w:gridCol w:w="149"/>
        <w:gridCol w:w="181"/>
        <w:gridCol w:w="1365"/>
        <w:gridCol w:w="167"/>
        <w:gridCol w:w="149"/>
        <w:gridCol w:w="181"/>
        <w:gridCol w:w="1365"/>
        <w:gridCol w:w="880"/>
      </w:tblGrid>
      <w:tr>
        <w:trPr/>
        <w:tc>
          <w:tcPr>
            <w:tcW w:w="10205" w:type="dxa"/>
            <w:gridSpan w:val="9"/>
            <w:tcBorders/>
            <w:shd w:fill="auto" w:val="clear"/>
            <w:vAlign w:val="center"/>
          </w:tcPr>
          <w:p>
            <w:pPr>
              <w:pStyle w:val="TableContents"/>
              <w:spacing w:before="0" w:after="283"/>
              <w:rPr>
                <w:sz w:val="4"/>
                <w:szCs w:val="4"/>
              </w:rPr>
            </w:pPr>
            <w:r>
              <w:rPr>
                <w:sz w:val="4"/>
                <w:szCs w:val="4"/>
              </w:rPr>
            </w:r>
          </w:p>
        </w:tc>
      </w:tr>
      <w:tr>
        <w:trPr/>
        <w:tc>
          <w:tcPr>
            <w:tcW w:w="576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365"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365"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768" w:type="dxa"/>
            <w:tcBorders/>
            <w:shd w:fill="auto" w:val="clear"/>
            <w:vAlign w:val="center"/>
          </w:tcPr>
          <w:p>
            <w:pPr>
              <w:pStyle w:val="TableContents"/>
              <w:spacing w:before="0" w:after="0"/>
              <w:ind w:left="0" w:right="0" w:firstLine="30"/>
              <w:rPr/>
            </w:pPr>
            <w:r>
              <w:rPr/>
              <w:t> </w:t>
            </w:r>
          </w:p>
        </w:tc>
        <w:tc>
          <w:tcPr>
            <w:tcW w:w="149" w:type="dxa"/>
            <w:tcBorders/>
            <w:shd w:fill="auto" w:val="clear"/>
            <w:vAlign w:val="center"/>
          </w:tcPr>
          <w:p>
            <w:pPr>
              <w:pStyle w:val="TableContents"/>
              <w:spacing w:before="0" w:after="0"/>
              <w:ind w:left="0" w:right="0" w:firstLine="30"/>
              <w:rPr/>
            </w:pPr>
            <w:r>
              <w:rPr/>
              <w:t> </w:t>
            </w:r>
          </w:p>
        </w:tc>
        <w:tc>
          <w:tcPr>
            <w:tcW w:w="4288"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September 30,</w:t>
            </w:r>
          </w:p>
        </w:tc>
      </w:tr>
      <w:tr>
        <w:trPr/>
        <w:tc>
          <w:tcPr>
            <w:tcW w:w="5768" w:type="dxa"/>
            <w:tcBorders/>
            <w:shd w:fill="auto" w:val="clear"/>
            <w:vAlign w:val="center"/>
          </w:tcPr>
          <w:p>
            <w:pPr>
              <w:pStyle w:val="TableContents"/>
              <w:spacing w:before="0" w:after="0"/>
              <w:ind w:left="0" w:right="0" w:firstLine="30"/>
              <w:rPr/>
            </w:pPr>
            <w:r>
              <w:rPr/>
              <w:t> </w:t>
            </w:r>
          </w:p>
        </w:tc>
        <w:tc>
          <w:tcPr>
            <w:tcW w:w="149" w:type="dxa"/>
            <w:tcBorders/>
            <w:shd w:fill="auto" w:val="clear"/>
            <w:vAlign w:val="center"/>
          </w:tcPr>
          <w:p>
            <w:pPr>
              <w:pStyle w:val="TableContents"/>
              <w:spacing w:before="0" w:after="0"/>
              <w:ind w:left="0" w:right="0" w:firstLine="30"/>
              <w:rPr/>
            </w:pPr>
            <w:r>
              <w:rPr/>
              <w:t> </w:t>
            </w:r>
          </w:p>
        </w:tc>
        <w:tc>
          <w:tcPr>
            <w:tcW w:w="171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2014</w:t>
            </w:r>
          </w:p>
        </w:tc>
        <w:tc>
          <w:tcPr>
            <w:tcW w:w="149" w:type="dxa"/>
            <w:tcBorders/>
            <w:shd w:fill="auto" w:val="clear"/>
            <w:vAlign w:val="center"/>
          </w:tcPr>
          <w:p>
            <w:pPr>
              <w:pStyle w:val="TableContents"/>
              <w:spacing w:before="0" w:after="0"/>
              <w:ind w:left="0" w:right="0" w:firstLine="30"/>
              <w:rPr/>
            </w:pPr>
            <w:r>
              <w:rPr/>
              <w:t> </w:t>
            </w:r>
          </w:p>
        </w:tc>
        <w:tc>
          <w:tcPr>
            <w:tcW w:w="242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r>
      <w:tr>
        <w:trPr/>
        <w:tc>
          <w:tcPr>
            <w:tcW w:w="5768" w:type="dxa"/>
            <w:tcBorders/>
            <w:shd w:fill="auto" w:val="clear"/>
            <w:vAlign w:val="center"/>
          </w:tcPr>
          <w:p>
            <w:pPr>
              <w:pStyle w:val="TableContents"/>
              <w:spacing w:before="0" w:after="0"/>
              <w:ind w:left="0" w:right="0" w:firstLine="30"/>
              <w:rPr/>
            </w:pPr>
            <w:r>
              <w:rPr/>
              <w:t> </w:t>
            </w:r>
          </w:p>
        </w:tc>
        <w:tc>
          <w:tcPr>
            <w:tcW w:w="149" w:type="dxa"/>
            <w:tcBorders/>
            <w:shd w:fill="auto" w:val="clear"/>
            <w:vAlign w:val="center"/>
          </w:tcPr>
          <w:p>
            <w:pPr>
              <w:pStyle w:val="TableContents"/>
              <w:spacing w:before="0" w:after="0"/>
              <w:ind w:left="0" w:right="0" w:firstLine="30"/>
              <w:rPr/>
            </w:pPr>
            <w:r>
              <w:rPr/>
              <w:t> </w:t>
            </w:r>
          </w:p>
        </w:tc>
        <w:tc>
          <w:tcPr>
            <w:tcW w:w="1713" w:type="dxa"/>
            <w:gridSpan w:val="3"/>
            <w:tcBorders/>
            <w:shd w:fill="auto" w:val="clear"/>
            <w:vAlign w:val="center"/>
          </w:tcPr>
          <w:p>
            <w:pPr>
              <w:pStyle w:val="TableContents"/>
              <w:spacing w:before="0" w:after="0"/>
              <w:ind w:left="0" w:right="0" w:firstLine="30"/>
              <w:rPr/>
            </w:pPr>
            <w:r>
              <w:rPr/>
              <w:t> </w:t>
            </w:r>
          </w:p>
        </w:tc>
        <w:tc>
          <w:tcPr>
            <w:tcW w:w="149" w:type="dxa"/>
            <w:tcBorders/>
            <w:shd w:fill="auto" w:val="clear"/>
            <w:vAlign w:val="center"/>
          </w:tcPr>
          <w:p>
            <w:pPr>
              <w:pStyle w:val="TableContents"/>
              <w:spacing w:before="0" w:after="0"/>
              <w:ind w:left="0" w:right="0" w:firstLine="30"/>
              <w:rPr/>
            </w:pPr>
            <w:r>
              <w:rPr/>
              <w:t> </w:t>
            </w:r>
          </w:p>
        </w:tc>
        <w:tc>
          <w:tcPr>
            <w:tcW w:w="2426" w:type="dxa"/>
            <w:gridSpan w:val="3"/>
            <w:tcBorders/>
            <w:shd w:fill="auto" w:val="clear"/>
            <w:vAlign w:val="center"/>
          </w:tcPr>
          <w:p>
            <w:pPr>
              <w:pStyle w:val="TableContents"/>
              <w:spacing w:before="0" w:after="0"/>
              <w:ind w:left="0" w:right="0" w:firstLine="30"/>
              <w:jc w:val="center"/>
              <w:rPr>
                <w:rFonts w:ascii="inherit" w:hAnsi="inherit"/>
                <w:b/>
                <w:i/>
                <w:sz w:val="13"/>
              </w:rPr>
            </w:pPr>
            <w:r>
              <w:rPr>
                <w:rFonts w:ascii="inherit" w:hAnsi="inherit"/>
                <w:b/>
                <w:i/>
                <w:sz w:val="13"/>
              </w:rPr>
              <w:t>Predecessor</w:t>
            </w:r>
          </w:p>
        </w:tc>
      </w:tr>
      <w:tr>
        <w:trPr/>
        <w:tc>
          <w:tcPr>
            <w:tcW w:w="5768" w:type="dxa"/>
            <w:tcBorders/>
            <w:shd w:fill="auto" w:val="clear"/>
            <w:vAlign w:val="center"/>
          </w:tcPr>
          <w:p>
            <w:pPr>
              <w:pStyle w:val="TableContents"/>
              <w:spacing w:before="0" w:after="0"/>
              <w:ind w:left="0" w:right="0" w:firstLine="30"/>
              <w:rPr/>
            </w:pPr>
            <w:r>
              <w:rPr/>
              <w:t> </w:t>
            </w:r>
          </w:p>
        </w:tc>
        <w:tc>
          <w:tcPr>
            <w:tcW w:w="149" w:type="dxa"/>
            <w:tcBorders/>
            <w:shd w:fill="auto" w:val="clear"/>
            <w:vAlign w:val="center"/>
          </w:tcPr>
          <w:p>
            <w:pPr>
              <w:pStyle w:val="TableContents"/>
              <w:spacing w:before="0" w:after="0"/>
              <w:ind w:left="0" w:right="0" w:firstLine="30"/>
              <w:rPr/>
            </w:pPr>
            <w:r>
              <w:rPr/>
              <w:t> </w:t>
            </w:r>
          </w:p>
        </w:tc>
        <w:tc>
          <w:tcPr>
            <w:tcW w:w="1713" w:type="dxa"/>
            <w:gridSpan w:val="3"/>
            <w:tcBorders/>
            <w:shd w:fill="auto" w:val="clear"/>
            <w:vAlign w:val="center"/>
          </w:tcPr>
          <w:p>
            <w:pPr>
              <w:pStyle w:val="TableContents"/>
              <w:spacing w:before="0" w:after="0"/>
              <w:ind w:left="0" w:right="0" w:firstLine="30"/>
              <w:rPr/>
            </w:pPr>
            <w:r>
              <w:rPr/>
              <w:t> </w:t>
            </w:r>
          </w:p>
        </w:tc>
        <w:tc>
          <w:tcPr>
            <w:tcW w:w="149" w:type="dxa"/>
            <w:tcBorders/>
            <w:shd w:fill="auto" w:val="clear"/>
            <w:vAlign w:val="center"/>
          </w:tcPr>
          <w:p>
            <w:pPr>
              <w:pStyle w:val="TableContents"/>
              <w:spacing w:before="0" w:after="0"/>
              <w:ind w:left="0" w:right="0" w:firstLine="30"/>
              <w:rPr/>
            </w:pPr>
            <w:r>
              <w:rPr/>
              <w:t> </w:t>
            </w:r>
          </w:p>
        </w:tc>
        <w:tc>
          <w:tcPr>
            <w:tcW w:w="2426" w:type="dxa"/>
            <w:gridSpan w:val="3"/>
            <w:tcBorders/>
            <w:shd w:fill="auto" w:val="clear"/>
            <w:vAlign w:val="center"/>
          </w:tcPr>
          <w:p>
            <w:pPr>
              <w:pStyle w:val="TableContents"/>
              <w:spacing w:before="0" w:after="0"/>
              <w:ind w:left="0" w:right="0" w:firstLine="30"/>
              <w:rPr/>
            </w:pPr>
            <w:r>
              <w:rPr/>
              <w:t> </w:t>
            </w:r>
          </w:p>
        </w:tc>
      </w:tr>
      <w:tr>
        <w:trPr/>
        <w:tc>
          <w:tcPr>
            <w:tcW w:w="5768" w:type="dxa"/>
            <w:tcBorders/>
            <w:shd w:fill="auto" w:val="clear"/>
            <w:vAlign w:val="center"/>
          </w:tcPr>
          <w:p>
            <w:pPr>
              <w:pStyle w:val="TableContents"/>
              <w:spacing w:before="0" w:after="0"/>
              <w:ind w:left="0" w:right="0" w:firstLine="30"/>
              <w:rPr/>
            </w:pPr>
            <w:r>
              <w:rPr/>
              <w:t> </w:t>
            </w:r>
          </w:p>
        </w:tc>
        <w:tc>
          <w:tcPr>
            <w:tcW w:w="149" w:type="dxa"/>
            <w:tcBorders/>
            <w:shd w:fill="auto" w:val="clear"/>
            <w:vAlign w:val="center"/>
          </w:tcPr>
          <w:p>
            <w:pPr>
              <w:pStyle w:val="TableContents"/>
              <w:spacing w:before="0" w:after="0"/>
              <w:ind w:left="0" w:right="0" w:firstLine="30"/>
              <w:rPr/>
            </w:pPr>
            <w:r>
              <w:rPr/>
              <w:t> </w:t>
            </w:r>
          </w:p>
        </w:tc>
        <w:tc>
          <w:tcPr>
            <w:tcW w:w="4288" w:type="dxa"/>
            <w:gridSpan w:val="7"/>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(in thousands of dollars)</w:t>
            </w:r>
          </w:p>
        </w:tc>
      </w:tr>
      <w:tr>
        <w:trPr/>
        <w:tc>
          <w:tcPr>
            <w:tcW w:w="5768"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Cash flows from operating activities</w:t>
            </w:r>
          </w:p>
        </w:tc>
        <w:tc>
          <w:tcPr>
            <w:tcW w:w="149" w:type="dxa"/>
            <w:tcBorders/>
            <w:shd w:fill="CCEEFF" w:val="clear"/>
            <w:vAlign w:val="center"/>
          </w:tcPr>
          <w:p>
            <w:pPr>
              <w:pStyle w:val="TableContents"/>
              <w:spacing w:before="0" w:after="0"/>
              <w:ind w:left="0" w:right="0" w:firstLine="30"/>
              <w:rPr/>
            </w:pPr>
            <w:r>
              <w:rPr/>
              <w:t> </w:t>
            </w:r>
          </w:p>
        </w:tc>
        <w:tc>
          <w:tcPr>
            <w:tcW w:w="1713" w:type="dxa"/>
            <w:gridSpan w:val="3"/>
            <w:tcBorders/>
            <w:shd w:fill="CCEEFF" w:val="clear"/>
            <w:vAlign w:val="center"/>
          </w:tcPr>
          <w:p>
            <w:pPr>
              <w:pStyle w:val="TableContents"/>
              <w:spacing w:before="0" w:after="0"/>
              <w:ind w:left="0" w:right="0" w:firstLine="30"/>
              <w:rPr/>
            </w:pPr>
            <w:r>
              <w:rPr/>
              <w:t> </w:t>
            </w:r>
          </w:p>
        </w:tc>
        <w:tc>
          <w:tcPr>
            <w:tcW w:w="149" w:type="dxa"/>
            <w:tcBorders/>
            <w:shd w:fill="CCEEFF" w:val="clear"/>
            <w:vAlign w:val="center"/>
          </w:tcPr>
          <w:p>
            <w:pPr>
              <w:pStyle w:val="TableContents"/>
              <w:spacing w:before="0" w:after="0"/>
              <w:ind w:left="0" w:right="0" w:firstLine="30"/>
              <w:rPr/>
            </w:pPr>
            <w:r>
              <w:rPr/>
              <w:t> </w:t>
            </w:r>
          </w:p>
        </w:tc>
        <w:tc>
          <w:tcPr>
            <w:tcW w:w="2426" w:type="dxa"/>
            <w:gridSpan w:val="3"/>
            <w:tcBorders/>
            <w:shd w:fill="CCEEFF" w:val="clear"/>
            <w:vAlign w:val="center"/>
          </w:tcPr>
          <w:p>
            <w:pPr>
              <w:pStyle w:val="TableContents"/>
              <w:spacing w:before="0" w:after="0"/>
              <w:ind w:left="0" w:right="0" w:firstLine="30"/>
              <w:rPr/>
            </w:pPr>
            <w:r>
              <w:rPr/>
              <w:t> </w:t>
            </w:r>
          </w:p>
        </w:tc>
      </w:tr>
      <w:tr>
        <w:trPr/>
        <w:tc>
          <w:tcPr>
            <w:tcW w:w="57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49" w:type="dxa"/>
            <w:tcBorders/>
            <w:shd w:fill="auto" w:val="clear"/>
            <w:vAlign w:val="center"/>
          </w:tcPr>
          <w:p>
            <w:pPr>
              <w:pStyle w:val="TableContents"/>
              <w:spacing w:before="0" w:after="0"/>
              <w:ind w:left="0" w:right="0" w:firstLine="30"/>
              <w:rPr/>
            </w:pPr>
            <w:r>
              <w:rPr/>
              <w:t> </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65" w:type="dxa"/>
            <w:tcBorders/>
            <w:shd w:fill="auto" w:val="clear"/>
            <w:vAlign w:val="center"/>
          </w:tcPr>
          <w:p>
            <w:pPr>
              <w:pStyle w:val="TableContents"/>
              <w:spacing w:before="0" w:after="0"/>
              <w:jc w:val="right"/>
              <w:rPr>
                <w:rFonts w:ascii="inherit" w:hAnsi="inherit"/>
                <w:sz w:val="17"/>
              </w:rPr>
            </w:pPr>
            <w:r>
              <w:rPr>
                <w:rFonts w:ascii="inherit" w:hAnsi="inherit"/>
                <w:sz w:val="17"/>
              </w:rPr>
              <w:t>415,891</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65" w:type="dxa"/>
            <w:tcBorders/>
            <w:shd w:fill="auto" w:val="clear"/>
            <w:vAlign w:val="center"/>
          </w:tcPr>
          <w:p>
            <w:pPr>
              <w:pStyle w:val="TableContents"/>
              <w:spacing w:before="0" w:after="0"/>
              <w:jc w:val="right"/>
              <w:rPr>
                <w:rFonts w:ascii="inherit" w:hAnsi="inherit"/>
                <w:sz w:val="17"/>
              </w:rPr>
            </w:pPr>
            <w:r>
              <w:rPr>
                <w:rFonts w:ascii="inherit" w:hAnsi="inherit"/>
                <w:sz w:val="17"/>
              </w:rPr>
              <w:t>402,340</w:t>
            </w:r>
          </w:p>
        </w:tc>
        <w:tc>
          <w:tcPr>
            <w:tcW w:w="8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Adjustments to reconcile net income to net cash provided by operating activities</w:t>
            </w:r>
          </w:p>
        </w:tc>
        <w:tc>
          <w:tcPr>
            <w:tcW w:w="149" w:type="dxa"/>
            <w:tcBorders/>
            <w:shd w:fill="CCEEFF" w:val="clear"/>
            <w:vAlign w:val="center"/>
          </w:tcPr>
          <w:p>
            <w:pPr>
              <w:pStyle w:val="TableContents"/>
              <w:spacing w:before="0" w:after="0"/>
              <w:ind w:left="0" w:right="0" w:firstLine="30"/>
              <w:rPr/>
            </w:pPr>
            <w:r>
              <w:rPr/>
              <w:t> </w:t>
            </w:r>
          </w:p>
        </w:tc>
        <w:tc>
          <w:tcPr>
            <w:tcW w:w="1713" w:type="dxa"/>
            <w:gridSpan w:val="3"/>
            <w:tcBorders/>
            <w:shd w:fill="CCEEFF" w:val="clear"/>
            <w:vAlign w:val="center"/>
          </w:tcPr>
          <w:p>
            <w:pPr>
              <w:pStyle w:val="TableContents"/>
              <w:spacing w:before="0" w:after="0"/>
              <w:ind w:left="0" w:right="0" w:firstLine="30"/>
              <w:rPr/>
            </w:pPr>
            <w:r>
              <w:rPr/>
              <w:t> </w:t>
            </w:r>
          </w:p>
        </w:tc>
        <w:tc>
          <w:tcPr>
            <w:tcW w:w="149" w:type="dxa"/>
            <w:tcBorders/>
            <w:shd w:fill="CCEEFF" w:val="clear"/>
            <w:vAlign w:val="center"/>
          </w:tcPr>
          <w:p>
            <w:pPr>
              <w:pStyle w:val="TableContents"/>
              <w:spacing w:before="0" w:after="0"/>
              <w:ind w:left="0" w:right="0" w:firstLine="30"/>
              <w:rPr/>
            </w:pPr>
            <w:r>
              <w:rPr/>
              <w:t> </w:t>
            </w:r>
          </w:p>
        </w:tc>
        <w:tc>
          <w:tcPr>
            <w:tcW w:w="2426" w:type="dxa"/>
            <w:gridSpan w:val="3"/>
            <w:tcBorders/>
            <w:shd w:fill="CCEEFF" w:val="clear"/>
            <w:vAlign w:val="center"/>
          </w:tcPr>
          <w:p>
            <w:pPr>
              <w:pStyle w:val="TableContents"/>
              <w:spacing w:before="0" w:after="0"/>
              <w:ind w:left="0" w:right="0" w:firstLine="420"/>
              <w:rPr/>
            </w:pPr>
            <w:r>
              <w:rPr/>
              <w:t> </w:t>
            </w:r>
          </w:p>
        </w:tc>
      </w:tr>
      <w:tr>
        <w:trPr/>
        <w:tc>
          <w:tcPr>
            <w:tcW w:w="57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49" w:type="dxa"/>
            <w:tcBorders/>
            <w:shd w:fill="auto" w:val="clear"/>
            <w:vAlign w:val="center"/>
          </w:tcPr>
          <w:p>
            <w:pPr>
              <w:pStyle w:val="TableContents"/>
              <w:spacing w:before="0" w:after="0"/>
              <w:ind w:left="0" w:right="0" w:firstLine="30"/>
              <w:rPr/>
            </w:pPr>
            <w:r>
              <w:rPr/>
              <w:t> </w:t>
            </w:r>
          </w:p>
        </w:tc>
        <w:tc>
          <w:tcPr>
            <w:tcW w:w="15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58,501</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5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54,539</w:t>
            </w:r>
          </w:p>
        </w:tc>
        <w:tc>
          <w:tcPr>
            <w:tcW w:w="88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7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Provision for (recovery of) doubtful accounts</w:t>
            </w:r>
          </w:p>
        </w:tc>
        <w:tc>
          <w:tcPr>
            <w:tcW w:w="149" w:type="dxa"/>
            <w:tcBorders/>
            <w:shd w:fill="CCEEFF" w:val="clear"/>
            <w:vAlign w:val="center"/>
          </w:tcPr>
          <w:p>
            <w:pPr>
              <w:pStyle w:val="TableContents"/>
              <w:spacing w:before="0" w:after="0"/>
              <w:ind w:left="0" w:right="0" w:firstLine="30"/>
              <w:rPr/>
            </w:pPr>
            <w:r>
              <w:rPr/>
              <w:t> </w:t>
            </w:r>
          </w:p>
        </w:tc>
        <w:tc>
          <w:tcPr>
            <w:tcW w:w="154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65</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54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(66</w:t>
            </w:r>
          </w:p>
        </w:tc>
        <w:tc>
          <w:tcPr>
            <w:tcW w:w="88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57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from disposition of fixed assets</w:t>
            </w:r>
          </w:p>
        </w:tc>
        <w:tc>
          <w:tcPr>
            <w:tcW w:w="149" w:type="dxa"/>
            <w:tcBorders/>
            <w:shd w:fill="auto" w:val="clear"/>
            <w:vAlign w:val="center"/>
          </w:tcPr>
          <w:p>
            <w:pPr>
              <w:pStyle w:val="TableContents"/>
              <w:spacing w:before="0" w:after="0"/>
              <w:ind w:left="0" w:right="0" w:firstLine="30"/>
              <w:rPr/>
            </w:pPr>
            <w:r>
              <w:rPr/>
              <w:t> </w:t>
            </w:r>
          </w:p>
        </w:tc>
        <w:tc>
          <w:tcPr>
            <w:tcW w:w="15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1,244</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5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1,892</w:t>
            </w:r>
          </w:p>
        </w:tc>
        <w:tc>
          <w:tcPr>
            <w:tcW w:w="88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7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Deferred income taxes</w:t>
            </w:r>
          </w:p>
        </w:tc>
        <w:tc>
          <w:tcPr>
            <w:tcW w:w="149" w:type="dxa"/>
            <w:tcBorders/>
            <w:shd w:fill="CCEEFF" w:val="clear"/>
            <w:vAlign w:val="center"/>
          </w:tcPr>
          <w:p>
            <w:pPr>
              <w:pStyle w:val="TableContents"/>
              <w:spacing w:before="0" w:after="0"/>
              <w:ind w:left="0" w:right="0" w:firstLine="30"/>
              <w:rPr/>
            </w:pPr>
            <w:r>
              <w:rPr/>
              <w:t> </w:t>
            </w:r>
          </w:p>
        </w:tc>
        <w:tc>
          <w:tcPr>
            <w:tcW w:w="154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8,267</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54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27,253</w:t>
            </w:r>
          </w:p>
        </w:tc>
        <w:tc>
          <w:tcPr>
            <w:tcW w:w="88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7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 in income of joint venture, net of dividends</w:t>
            </w:r>
          </w:p>
        </w:tc>
        <w:tc>
          <w:tcPr>
            <w:tcW w:w="149" w:type="dxa"/>
            <w:tcBorders/>
            <w:shd w:fill="auto" w:val="clear"/>
            <w:vAlign w:val="center"/>
          </w:tcPr>
          <w:p>
            <w:pPr>
              <w:pStyle w:val="TableContents"/>
              <w:spacing w:before="0" w:after="0"/>
              <w:ind w:left="0" w:right="0" w:firstLine="30"/>
              <w:rPr/>
            </w:pPr>
            <w:r>
              <w:rPr/>
              <w:t> </w:t>
            </w:r>
          </w:p>
        </w:tc>
        <w:tc>
          <w:tcPr>
            <w:tcW w:w="15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1,073</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5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84</w:t>
            </w:r>
          </w:p>
        </w:tc>
        <w:tc>
          <w:tcPr>
            <w:tcW w:w="8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Changes in operating assets and liabilities</w:t>
            </w:r>
          </w:p>
        </w:tc>
        <w:tc>
          <w:tcPr>
            <w:tcW w:w="149" w:type="dxa"/>
            <w:tcBorders/>
            <w:shd w:fill="CCEEFF" w:val="clear"/>
            <w:vAlign w:val="center"/>
          </w:tcPr>
          <w:p>
            <w:pPr>
              <w:pStyle w:val="TableContents"/>
              <w:spacing w:before="0" w:after="0"/>
              <w:ind w:left="0" w:right="0" w:firstLine="30"/>
              <w:rPr/>
            </w:pPr>
            <w:r>
              <w:rPr/>
              <w:t> </w:t>
            </w:r>
          </w:p>
        </w:tc>
        <w:tc>
          <w:tcPr>
            <w:tcW w:w="1713" w:type="dxa"/>
            <w:gridSpan w:val="3"/>
            <w:tcBorders/>
            <w:shd w:fill="CCEEFF" w:val="clear"/>
            <w:vAlign w:val="center"/>
          </w:tcPr>
          <w:p>
            <w:pPr>
              <w:pStyle w:val="TableContents"/>
              <w:spacing w:before="0" w:after="0"/>
              <w:ind w:left="0" w:right="0" w:firstLine="30"/>
              <w:rPr/>
            </w:pPr>
            <w:r>
              <w:rPr/>
              <w:t> </w:t>
            </w:r>
          </w:p>
        </w:tc>
        <w:tc>
          <w:tcPr>
            <w:tcW w:w="149" w:type="dxa"/>
            <w:tcBorders/>
            <w:shd w:fill="CCEEFF" w:val="clear"/>
            <w:vAlign w:val="center"/>
          </w:tcPr>
          <w:p>
            <w:pPr>
              <w:pStyle w:val="TableContents"/>
              <w:spacing w:before="0" w:after="0"/>
              <w:ind w:left="0" w:right="0" w:firstLine="30"/>
              <w:rPr/>
            </w:pPr>
            <w:r>
              <w:rPr/>
              <w:t> </w:t>
            </w:r>
          </w:p>
        </w:tc>
        <w:tc>
          <w:tcPr>
            <w:tcW w:w="2426" w:type="dxa"/>
            <w:gridSpan w:val="3"/>
            <w:tcBorders/>
            <w:shd w:fill="CCEEFF" w:val="clear"/>
            <w:vAlign w:val="center"/>
          </w:tcPr>
          <w:p>
            <w:pPr>
              <w:pStyle w:val="TableContents"/>
              <w:spacing w:before="0" w:after="0"/>
              <w:ind w:left="0" w:right="0" w:firstLine="420"/>
              <w:rPr/>
            </w:pPr>
            <w:r>
              <w:rPr/>
              <w:t> </w:t>
            </w:r>
          </w:p>
        </w:tc>
      </w:tr>
      <w:tr>
        <w:trPr/>
        <w:tc>
          <w:tcPr>
            <w:tcW w:w="57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Accounts receivable</w:t>
            </w:r>
          </w:p>
        </w:tc>
        <w:tc>
          <w:tcPr>
            <w:tcW w:w="149" w:type="dxa"/>
            <w:tcBorders/>
            <w:shd w:fill="auto" w:val="clear"/>
            <w:vAlign w:val="center"/>
          </w:tcPr>
          <w:p>
            <w:pPr>
              <w:pStyle w:val="TableContents"/>
              <w:spacing w:before="0" w:after="0"/>
              <w:ind w:left="0" w:right="0" w:firstLine="30"/>
              <w:rPr/>
            </w:pPr>
            <w:r>
              <w:rPr/>
              <w:t> </w:t>
            </w:r>
          </w:p>
        </w:tc>
        <w:tc>
          <w:tcPr>
            <w:tcW w:w="15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(23,637</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5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22,745</w:t>
            </w:r>
          </w:p>
        </w:tc>
        <w:tc>
          <w:tcPr>
            <w:tcW w:w="88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7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accounts receivable—Westlake</w:t>
            </w:r>
          </w:p>
        </w:tc>
        <w:tc>
          <w:tcPr>
            <w:tcW w:w="149" w:type="dxa"/>
            <w:tcBorders/>
            <w:shd w:fill="CCEEFF" w:val="clear"/>
            <w:vAlign w:val="center"/>
          </w:tcPr>
          <w:p>
            <w:pPr>
              <w:pStyle w:val="TableContents"/>
              <w:spacing w:before="0" w:after="0"/>
              <w:ind w:left="0" w:right="0" w:firstLine="30"/>
              <w:rPr/>
            </w:pPr>
            <w:r>
              <w:rPr/>
              <w:t> </w:t>
            </w:r>
          </w:p>
        </w:tc>
        <w:tc>
          <w:tcPr>
            <w:tcW w:w="154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(10,373</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CCEEFF" w:val="clear"/>
            <w:vAlign w:val="center"/>
          </w:tcPr>
          <w:p>
            <w:pPr>
              <w:pStyle w:val="TableContents"/>
              <w:spacing w:before="0" w:after="0"/>
              <w:ind w:left="0" w:right="0" w:firstLine="30"/>
              <w:rPr/>
            </w:pPr>
            <w:r>
              <w:rPr/>
              <w:t> </w:t>
            </w:r>
          </w:p>
        </w:tc>
        <w:tc>
          <w:tcPr>
            <w:tcW w:w="1546" w:type="dxa"/>
            <w:gridSpan w:val="2"/>
            <w:tcBorders/>
            <w:shd w:fill="CCEEFF" w:val="clear"/>
            <w:vAlign w:val="center"/>
          </w:tcPr>
          <w:p>
            <w:pPr>
              <w:pStyle w:val="TableContents"/>
              <w:spacing w:before="0" w:after="0"/>
              <w:jc w:val="right"/>
              <w:rPr/>
            </w:pPr>
            <w:r>
              <w:rPr/>
              <w:t>—</w:t>
            </w:r>
          </w:p>
        </w:tc>
        <w:tc>
          <w:tcPr>
            <w:tcW w:w="88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7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Inventories</w:t>
            </w:r>
          </w:p>
        </w:tc>
        <w:tc>
          <w:tcPr>
            <w:tcW w:w="149" w:type="dxa"/>
            <w:tcBorders/>
            <w:shd w:fill="auto" w:val="clear"/>
            <w:vAlign w:val="center"/>
          </w:tcPr>
          <w:p>
            <w:pPr>
              <w:pStyle w:val="TableContents"/>
              <w:spacing w:before="0" w:after="0"/>
              <w:ind w:left="0" w:right="0" w:firstLine="30"/>
              <w:rPr/>
            </w:pPr>
            <w:r>
              <w:rPr/>
              <w:t> </w:t>
            </w:r>
          </w:p>
        </w:tc>
        <w:tc>
          <w:tcPr>
            <w:tcW w:w="15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25,769</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5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(22,216</w:t>
            </w:r>
          </w:p>
        </w:tc>
        <w:tc>
          <w:tcPr>
            <w:tcW w:w="88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57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Prepaid expenses and other current assets</w:t>
            </w:r>
          </w:p>
        </w:tc>
        <w:tc>
          <w:tcPr>
            <w:tcW w:w="149" w:type="dxa"/>
            <w:tcBorders/>
            <w:shd w:fill="CCEEFF" w:val="clear"/>
            <w:vAlign w:val="center"/>
          </w:tcPr>
          <w:p>
            <w:pPr>
              <w:pStyle w:val="TableContents"/>
              <w:spacing w:before="0" w:after="0"/>
              <w:ind w:left="0" w:right="0" w:firstLine="30"/>
              <w:rPr/>
            </w:pPr>
            <w:r>
              <w:rPr/>
              <w:t> </w:t>
            </w:r>
          </w:p>
        </w:tc>
        <w:tc>
          <w:tcPr>
            <w:tcW w:w="154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(715</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CCEEFF" w:val="clear"/>
            <w:vAlign w:val="center"/>
          </w:tcPr>
          <w:p>
            <w:pPr>
              <w:pStyle w:val="TableContents"/>
              <w:spacing w:before="0" w:after="0"/>
              <w:ind w:left="0" w:right="0" w:firstLine="30"/>
              <w:rPr/>
            </w:pPr>
            <w:r>
              <w:rPr/>
              <w:t> </w:t>
            </w:r>
          </w:p>
        </w:tc>
        <w:tc>
          <w:tcPr>
            <w:tcW w:w="154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(346</w:t>
            </w:r>
          </w:p>
        </w:tc>
        <w:tc>
          <w:tcPr>
            <w:tcW w:w="88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57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Accounts payable</w:t>
            </w:r>
          </w:p>
        </w:tc>
        <w:tc>
          <w:tcPr>
            <w:tcW w:w="149" w:type="dxa"/>
            <w:tcBorders/>
            <w:shd w:fill="auto" w:val="clear"/>
            <w:vAlign w:val="center"/>
          </w:tcPr>
          <w:p>
            <w:pPr>
              <w:pStyle w:val="TableContents"/>
              <w:spacing w:before="0" w:after="0"/>
              <w:ind w:left="0" w:right="0" w:firstLine="30"/>
              <w:rPr/>
            </w:pPr>
            <w:r>
              <w:rPr/>
              <w:t> </w:t>
            </w:r>
          </w:p>
        </w:tc>
        <w:tc>
          <w:tcPr>
            <w:tcW w:w="15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(8,226</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5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7,595</w:t>
            </w:r>
          </w:p>
        </w:tc>
        <w:tc>
          <w:tcPr>
            <w:tcW w:w="88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7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Accrued and other liabilities</w:t>
            </w:r>
          </w:p>
        </w:tc>
        <w:tc>
          <w:tcPr>
            <w:tcW w:w="149" w:type="dxa"/>
            <w:tcBorders/>
            <w:shd w:fill="CCEEFF" w:val="clear"/>
            <w:vAlign w:val="center"/>
          </w:tcPr>
          <w:p>
            <w:pPr>
              <w:pStyle w:val="TableContents"/>
              <w:spacing w:before="0" w:after="0"/>
              <w:ind w:left="0" w:right="0" w:firstLine="30"/>
              <w:rPr/>
            </w:pPr>
            <w:r>
              <w:rPr/>
              <w:t> </w:t>
            </w:r>
          </w:p>
        </w:tc>
        <w:tc>
          <w:tcPr>
            <w:tcW w:w="154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7,633</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54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(23,730</w:t>
            </w:r>
          </w:p>
        </w:tc>
        <w:tc>
          <w:tcPr>
            <w:tcW w:w="88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57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net</w:t>
            </w:r>
          </w:p>
        </w:tc>
        <w:tc>
          <w:tcPr>
            <w:tcW w:w="149" w:type="dxa"/>
            <w:tcBorders/>
            <w:shd w:fill="auto" w:val="clear"/>
            <w:vAlign w:val="center"/>
          </w:tcPr>
          <w:p>
            <w:pPr>
              <w:pStyle w:val="TableContents"/>
              <w:spacing w:before="0" w:after="0"/>
              <w:ind w:left="0" w:right="0" w:firstLine="30"/>
              <w:rPr/>
            </w:pPr>
            <w:r>
              <w:rPr/>
              <w:t> </w:t>
            </w:r>
          </w:p>
        </w:tc>
        <w:tc>
          <w:tcPr>
            <w:tcW w:w="154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10,498</w:t>
            </w:r>
          </w:p>
        </w:tc>
        <w:tc>
          <w:tcPr>
            <w:tcW w:w="16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54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(54,562</w:t>
            </w:r>
          </w:p>
        </w:tc>
        <w:tc>
          <w:tcPr>
            <w:tcW w:w="880" w:type="dxa"/>
            <w:tcBorders>
              <w:bottom w:val="single" w:sz="2" w:space="0" w:color="000000"/>
            </w:tcBorders>
            <w:shd w:fill="auto" w:val="clear"/>
            <w:tcMar>
              <w:bottom w:w="30" w:type="dxa"/>
            </w:tcM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57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cash provided by operating activities</w:t>
            </w:r>
          </w:p>
        </w:tc>
        <w:tc>
          <w:tcPr>
            <w:tcW w:w="149" w:type="dxa"/>
            <w:tcBorders/>
            <w:shd w:fill="CCEEFF" w:val="clear"/>
            <w:vAlign w:val="center"/>
          </w:tcPr>
          <w:p>
            <w:pPr>
              <w:pStyle w:val="TableContents"/>
              <w:spacing w:before="0" w:after="0"/>
              <w:ind w:left="0" w:right="0" w:firstLine="30"/>
              <w:rPr/>
            </w:pPr>
            <w:r>
              <w:rPr/>
              <w:t> </w:t>
            </w:r>
          </w:p>
        </w:tc>
        <w:tc>
          <w:tcPr>
            <w:tcW w:w="154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485,990</w:t>
            </w:r>
          </w:p>
        </w:tc>
        <w:tc>
          <w:tcPr>
            <w:tcW w:w="16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54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415,528</w:t>
            </w:r>
          </w:p>
        </w:tc>
        <w:tc>
          <w:tcPr>
            <w:tcW w:w="88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68"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Cash flows from investing activities</w:t>
            </w:r>
          </w:p>
        </w:tc>
        <w:tc>
          <w:tcPr>
            <w:tcW w:w="149" w:type="dxa"/>
            <w:tcBorders/>
            <w:shd w:fill="auto" w:val="clear"/>
            <w:vAlign w:val="center"/>
          </w:tcPr>
          <w:p>
            <w:pPr>
              <w:pStyle w:val="TableContents"/>
              <w:spacing w:before="0" w:after="0"/>
              <w:ind w:left="0" w:right="0" w:firstLine="30"/>
              <w:rPr/>
            </w:pPr>
            <w:r>
              <w:rPr/>
              <w:t> </w:t>
            </w:r>
          </w:p>
        </w:tc>
        <w:tc>
          <w:tcPr>
            <w:tcW w:w="1713" w:type="dxa"/>
            <w:gridSpan w:val="3"/>
            <w:tcBorders/>
            <w:shd w:fill="auto" w:val="clear"/>
            <w:vAlign w:val="center"/>
          </w:tcPr>
          <w:p>
            <w:pPr>
              <w:pStyle w:val="TableContents"/>
              <w:spacing w:before="0" w:after="0"/>
              <w:ind w:left="0" w:right="0" w:firstLine="30"/>
              <w:rPr/>
            </w:pPr>
            <w:r>
              <w:rPr/>
              <w:t> </w:t>
            </w:r>
          </w:p>
        </w:tc>
        <w:tc>
          <w:tcPr>
            <w:tcW w:w="149" w:type="dxa"/>
            <w:tcBorders/>
            <w:shd w:fill="auto" w:val="clear"/>
            <w:vAlign w:val="center"/>
          </w:tcPr>
          <w:p>
            <w:pPr>
              <w:pStyle w:val="TableContents"/>
              <w:spacing w:before="0" w:after="0"/>
              <w:ind w:left="0" w:right="0" w:firstLine="30"/>
              <w:rPr/>
            </w:pPr>
            <w:r>
              <w:rPr/>
              <w:t> </w:t>
            </w:r>
          </w:p>
        </w:tc>
        <w:tc>
          <w:tcPr>
            <w:tcW w:w="2426" w:type="dxa"/>
            <w:gridSpan w:val="3"/>
            <w:tcBorders/>
            <w:shd w:fill="auto" w:val="clear"/>
            <w:vAlign w:val="center"/>
          </w:tcPr>
          <w:p>
            <w:pPr>
              <w:pStyle w:val="TableContents"/>
              <w:spacing w:before="0" w:after="0"/>
              <w:ind w:left="0" w:right="0" w:firstLine="30"/>
              <w:rPr/>
            </w:pPr>
            <w:r>
              <w:rPr/>
              <w:t> </w:t>
            </w:r>
          </w:p>
        </w:tc>
      </w:tr>
      <w:tr>
        <w:trPr/>
        <w:tc>
          <w:tcPr>
            <w:tcW w:w="57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Additions to property, plant and equipment</w:t>
            </w:r>
          </w:p>
        </w:tc>
        <w:tc>
          <w:tcPr>
            <w:tcW w:w="149" w:type="dxa"/>
            <w:tcBorders/>
            <w:shd w:fill="CCEEFF" w:val="clear"/>
            <w:vAlign w:val="center"/>
          </w:tcPr>
          <w:p>
            <w:pPr>
              <w:pStyle w:val="TableContents"/>
              <w:spacing w:before="0" w:after="0"/>
              <w:ind w:left="0" w:right="0" w:firstLine="30"/>
              <w:rPr/>
            </w:pPr>
            <w:r>
              <w:rPr/>
              <w:t> </w:t>
            </w:r>
          </w:p>
        </w:tc>
        <w:tc>
          <w:tcPr>
            <w:tcW w:w="154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(144,348</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CCEEFF" w:val="clear"/>
            <w:vAlign w:val="center"/>
          </w:tcPr>
          <w:p>
            <w:pPr>
              <w:pStyle w:val="TableContents"/>
              <w:spacing w:before="0" w:after="0"/>
              <w:ind w:left="0" w:right="0" w:firstLine="30"/>
              <w:rPr/>
            </w:pPr>
            <w:r>
              <w:rPr/>
              <w:t> </w:t>
            </w:r>
          </w:p>
        </w:tc>
        <w:tc>
          <w:tcPr>
            <w:tcW w:w="154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(158,869</w:t>
            </w:r>
          </w:p>
        </w:tc>
        <w:tc>
          <w:tcPr>
            <w:tcW w:w="8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7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Settlements of derivative instruments</w:t>
            </w:r>
          </w:p>
        </w:tc>
        <w:tc>
          <w:tcPr>
            <w:tcW w:w="149" w:type="dxa"/>
            <w:tcBorders/>
            <w:shd w:fill="auto" w:val="clear"/>
            <w:vAlign w:val="center"/>
          </w:tcPr>
          <w:p>
            <w:pPr>
              <w:pStyle w:val="TableContents"/>
              <w:spacing w:before="0" w:after="0"/>
              <w:ind w:left="0" w:right="0" w:firstLine="30"/>
              <w:rPr/>
            </w:pPr>
            <w:r>
              <w:rPr/>
              <w:t> </w:t>
            </w:r>
          </w:p>
        </w:tc>
        <w:tc>
          <w:tcPr>
            <w:tcW w:w="154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(133</w:t>
            </w:r>
          </w:p>
        </w:tc>
        <w:tc>
          <w:tcPr>
            <w:tcW w:w="16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54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(2,297</w:t>
            </w:r>
          </w:p>
        </w:tc>
        <w:tc>
          <w:tcPr>
            <w:tcW w:w="880" w:type="dxa"/>
            <w:tcBorders>
              <w:bottom w:val="single" w:sz="2" w:space="0" w:color="000000"/>
            </w:tcBorders>
            <w:shd w:fill="auto" w:val="clear"/>
            <w:tcMar>
              <w:bottom w:w="30" w:type="dxa"/>
            </w:tcM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57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cash used for investing activities</w:t>
            </w:r>
          </w:p>
        </w:tc>
        <w:tc>
          <w:tcPr>
            <w:tcW w:w="149" w:type="dxa"/>
            <w:tcBorders/>
            <w:shd w:fill="CCEEFF" w:val="clear"/>
            <w:vAlign w:val="center"/>
          </w:tcPr>
          <w:p>
            <w:pPr>
              <w:pStyle w:val="TableContents"/>
              <w:spacing w:before="0" w:after="0"/>
              <w:ind w:left="0" w:right="0" w:firstLine="30"/>
              <w:rPr/>
            </w:pPr>
            <w:r>
              <w:rPr/>
              <w:t> </w:t>
            </w:r>
          </w:p>
        </w:tc>
        <w:tc>
          <w:tcPr>
            <w:tcW w:w="154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(144,481</w:t>
            </w:r>
          </w:p>
        </w:tc>
        <w:tc>
          <w:tcPr>
            <w:tcW w:w="167"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CCEEFF" w:val="clear"/>
            <w:vAlign w:val="center"/>
          </w:tcPr>
          <w:p>
            <w:pPr>
              <w:pStyle w:val="TableContents"/>
              <w:spacing w:before="0" w:after="0"/>
              <w:ind w:left="0" w:right="0" w:firstLine="30"/>
              <w:rPr/>
            </w:pPr>
            <w:r>
              <w:rPr/>
              <w:t> </w:t>
            </w:r>
          </w:p>
        </w:tc>
        <w:tc>
          <w:tcPr>
            <w:tcW w:w="154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(161,166</w:t>
            </w:r>
          </w:p>
        </w:tc>
        <w:tc>
          <w:tcPr>
            <w:tcW w:w="88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768"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Cash flows from financing activities</w:t>
            </w:r>
          </w:p>
        </w:tc>
        <w:tc>
          <w:tcPr>
            <w:tcW w:w="149" w:type="dxa"/>
            <w:tcBorders/>
            <w:shd w:fill="auto" w:val="clear"/>
            <w:vAlign w:val="center"/>
          </w:tcPr>
          <w:p>
            <w:pPr>
              <w:pStyle w:val="TableContents"/>
              <w:spacing w:before="0" w:after="0"/>
              <w:ind w:left="0" w:right="0" w:firstLine="30"/>
              <w:rPr/>
            </w:pPr>
            <w:r>
              <w:rPr/>
              <w:t> </w:t>
            </w:r>
          </w:p>
        </w:tc>
        <w:tc>
          <w:tcPr>
            <w:tcW w:w="1713" w:type="dxa"/>
            <w:gridSpan w:val="3"/>
            <w:tcBorders/>
            <w:shd w:fill="auto" w:val="clear"/>
            <w:vAlign w:val="center"/>
          </w:tcPr>
          <w:p>
            <w:pPr>
              <w:pStyle w:val="TableContents"/>
              <w:spacing w:before="0" w:after="0"/>
              <w:ind w:left="0" w:right="0" w:firstLine="30"/>
              <w:rPr/>
            </w:pPr>
            <w:r>
              <w:rPr/>
              <w:t> </w:t>
            </w:r>
          </w:p>
        </w:tc>
        <w:tc>
          <w:tcPr>
            <w:tcW w:w="149" w:type="dxa"/>
            <w:tcBorders/>
            <w:shd w:fill="auto" w:val="clear"/>
            <w:vAlign w:val="center"/>
          </w:tcPr>
          <w:p>
            <w:pPr>
              <w:pStyle w:val="TableContents"/>
              <w:spacing w:before="0" w:after="0"/>
              <w:ind w:left="0" w:right="0" w:firstLine="30"/>
              <w:rPr/>
            </w:pPr>
            <w:r>
              <w:rPr/>
              <w:t> </w:t>
            </w:r>
          </w:p>
        </w:tc>
        <w:tc>
          <w:tcPr>
            <w:tcW w:w="2426" w:type="dxa"/>
            <w:gridSpan w:val="3"/>
            <w:tcBorders/>
            <w:shd w:fill="auto" w:val="clear"/>
            <w:vAlign w:val="center"/>
          </w:tcPr>
          <w:p>
            <w:pPr>
              <w:pStyle w:val="TableContents"/>
              <w:spacing w:before="0" w:after="0"/>
              <w:ind w:left="0" w:right="0" w:firstLine="30"/>
              <w:rPr/>
            </w:pPr>
            <w:r>
              <w:rPr/>
              <w:t> </w:t>
            </w:r>
          </w:p>
        </w:tc>
      </w:tr>
      <w:tr>
        <w:trPr/>
        <w:tc>
          <w:tcPr>
            <w:tcW w:w="57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Proceeds from debt payable to Westlake</w:t>
            </w:r>
          </w:p>
        </w:tc>
        <w:tc>
          <w:tcPr>
            <w:tcW w:w="149" w:type="dxa"/>
            <w:tcBorders/>
            <w:shd w:fill="CCEEFF" w:val="clear"/>
            <w:vAlign w:val="center"/>
          </w:tcPr>
          <w:p>
            <w:pPr>
              <w:pStyle w:val="TableContents"/>
              <w:spacing w:before="0" w:after="0"/>
              <w:ind w:left="0" w:right="0" w:firstLine="30"/>
              <w:rPr/>
            </w:pPr>
            <w:r>
              <w:rPr/>
              <w:t> </w:t>
            </w:r>
          </w:p>
        </w:tc>
        <w:tc>
          <w:tcPr>
            <w:tcW w:w="154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141,161</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54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167,629</w:t>
            </w:r>
          </w:p>
        </w:tc>
        <w:tc>
          <w:tcPr>
            <w:tcW w:w="8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Repayment of debt payable to Westlake with proceeds from the initial public offering</w:t>
            </w:r>
          </w:p>
        </w:tc>
        <w:tc>
          <w:tcPr>
            <w:tcW w:w="149" w:type="dxa"/>
            <w:tcBorders/>
            <w:shd w:fill="auto" w:val="clear"/>
            <w:vAlign w:val="center"/>
          </w:tcPr>
          <w:p>
            <w:pPr>
              <w:pStyle w:val="TableContents"/>
              <w:spacing w:before="0" w:after="0"/>
              <w:ind w:left="0" w:right="0" w:firstLine="30"/>
              <w:rPr/>
            </w:pPr>
            <w:r>
              <w:rPr/>
              <w:t> </w:t>
            </w:r>
          </w:p>
        </w:tc>
        <w:tc>
          <w:tcPr>
            <w:tcW w:w="15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(78,940</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546" w:type="dxa"/>
            <w:gridSpan w:val="2"/>
            <w:tcBorders/>
            <w:shd w:fill="auto" w:val="clear"/>
            <w:vAlign w:val="center"/>
          </w:tcPr>
          <w:p>
            <w:pPr>
              <w:pStyle w:val="TableContents"/>
              <w:spacing w:before="0" w:after="0"/>
              <w:jc w:val="right"/>
              <w:rPr/>
            </w:pPr>
            <w:r>
              <w:rPr/>
              <w:t>—</w:t>
            </w:r>
          </w:p>
        </w:tc>
        <w:tc>
          <w:tcPr>
            <w:tcW w:w="8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proceeds from issuance of common units</w:t>
            </w:r>
          </w:p>
        </w:tc>
        <w:tc>
          <w:tcPr>
            <w:tcW w:w="149" w:type="dxa"/>
            <w:tcBorders/>
            <w:shd w:fill="CCEEFF" w:val="clear"/>
            <w:vAlign w:val="center"/>
          </w:tcPr>
          <w:p>
            <w:pPr>
              <w:pStyle w:val="TableContents"/>
              <w:spacing w:before="0" w:after="0"/>
              <w:ind w:left="0" w:right="0" w:firstLine="30"/>
              <w:rPr/>
            </w:pPr>
            <w:r>
              <w:rPr/>
              <w:t> </w:t>
            </w:r>
          </w:p>
        </w:tc>
        <w:tc>
          <w:tcPr>
            <w:tcW w:w="154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286,088</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546" w:type="dxa"/>
            <w:gridSpan w:val="2"/>
            <w:tcBorders/>
            <w:shd w:fill="CCEEFF" w:val="clear"/>
            <w:vAlign w:val="center"/>
          </w:tcPr>
          <w:p>
            <w:pPr>
              <w:pStyle w:val="TableContents"/>
              <w:spacing w:before="0" w:after="0"/>
              <w:jc w:val="right"/>
              <w:rPr/>
            </w:pPr>
            <w:r>
              <w:rPr/>
              <w:t>—</w:t>
            </w:r>
          </w:p>
        </w:tc>
        <w:tc>
          <w:tcPr>
            <w:tcW w:w="8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Proceeds from initial public offering distributed to Westlake</w:t>
            </w:r>
          </w:p>
        </w:tc>
        <w:tc>
          <w:tcPr>
            <w:tcW w:w="149" w:type="dxa"/>
            <w:tcBorders/>
            <w:shd w:fill="auto" w:val="clear"/>
            <w:vAlign w:val="center"/>
          </w:tcPr>
          <w:p>
            <w:pPr>
              <w:pStyle w:val="TableContents"/>
              <w:spacing w:before="0" w:after="0"/>
              <w:ind w:left="0" w:right="0" w:firstLine="30"/>
              <w:rPr/>
            </w:pPr>
            <w:r>
              <w:rPr/>
              <w:t> </w:t>
            </w:r>
          </w:p>
        </w:tc>
        <w:tc>
          <w:tcPr>
            <w:tcW w:w="15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(151,729</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546" w:type="dxa"/>
            <w:gridSpan w:val="2"/>
            <w:tcBorders/>
            <w:shd w:fill="auto" w:val="clear"/>
            <w:vAlign w:val="center"/>
          </w:tcPr>
          <w:p>
            <w:pPr>
              <w:pStyle w:val="TableContents"/>
              <w:spacing w:before="0" w:after="0"/>
              <w:jc w:val="right"/>
              <w:rPr/>
            </w:pPr>
            <w:r>
              <w:rPr/>
              <w:t>—</w:t>
            </w:r>
          </w:p>
        </w:tc>
        <w:tc>
          <w:tcPr>
            <w:tcW w:w="8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distributions to Westlake prior to initial public offering</w:t>
            </w:r>
          </w:p>
        </w:tc>
        <w:tc>
          <w:tcPr>
            <w:tcW w:w="149" w:type="dxa"/>
            <w:tcBorders/>
            <w:shd w:fill="CCEEFF" w:val="clear"/>
            <w:vAlign w:val="center"/>
          </w:tcPr>
          <w:p>
            <w:pPr>
              <w:pStyle w:val="TableContents"/>
              <w:spacing w:before="0" w:after="0"/>
              <w:ind w:left="0" w:right="0" w:firstLine="30"/>
              <w:rPr/>
            </w:pPr>
            <w:r>
              <w:rPr/>
              <w:t> </w:t>
            </w:r>
          </w:p>
        </w:tc>
        <w:tc>
          <w:tcPr>
            <w:tcW w:w="154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(448,101</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CCEEFF" w:val="clear"/>
            <w:vAlign w:val="center"/>
          </w:tcPr>
          <w:p>
            <w:pPr>
              <w:pStyle w:val="TableContents"/>
              <w:spacing w:before="0" w:after="0"/>
              <w:ind w:left="0" w:right="0" w:firstLine="30"/>
              <w:rPr/>
            </w:pPr>
            <w:r>
              <w:rPr/>
              <w:t> </w:t>
            </w:r>
          </w:p>
        </w:tc>
        <w:tc>
          <w:tcPr>
            <w:tcW w:w="154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(421,991</w:t>
            </w:r>
          </w:p>
        </w:tc>
        <w:tc>
          <w:tcPr>
            <w:tcW w:w="880"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57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cash used for financing activities</w:t>
            </w:r>
          </w:p>
        </w:tc>
        <w:tc>
          <w:tcPr>
            <w:tcW w:w="149" w:type="dxa"/>
            <w:tcBorders/>
            <w:shd w:fill="auto" w:val="clear"/>
            <w:vAlign w:val="center"/>
          </w:tcPr>
          <w:p>
            <w:pPr>
              <w:pStyle w:val="TableContents"/>
              <w:spacing w:before="0" w:after="0"/>
              <w:ind w:left="0" w:right="0" w:firstLine="30"/>
              <w:rPr/>
            </w:pPr>
            <w:r>
              <w:rPr/>
              <w:t> </w:t>
            </w:r>
          </w:p>
        </w:tc>
        <w:tc>
          <w:tcPr>
            <w:tcW w:w="1546"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(251,521</w:t>
            </w:r>
          </w:p>
        </w:tc>
        <w:tc>
          <w:tcPr>
            <w:tcW w:w="167"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546"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(254,362</w:t>
            </w:r>
          </w:p>
        </w:tc>
        <w:tc>
          <w:tcPr>
            <w:tcW w:w="88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7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increase in cash</w:t>
            </w:r>
          </w:p>
        </w:tc>
        <w:tc>
          <w:tcPr>
            <w:tcW w:w="149" w:type="dxa"/>
            <w:tcBorders/>
            <w:shd w:fill="CCEEFF" w:val="clear"/>
            <w:vAlign w:val="center"/>
          </w:tcPr>
          <w:p>
            <w:pPr>
              <w:pStyle w:val="TableContents"/>
              <w:spacing w:before="0" w:after="0"/>
              <w:ind w:left="0" w:right="0" w:firstLine="30"/>
              <w:rPr/>
            </w:pPr>
            <w:r>
              <w:rPr/>
              <w:t> </w:t>
            </w:r>
          </w:p>
        </w:tc>
        <w:tc>
          <w:tcPr>
            <w:tcW w:w="154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89,988</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546" w:type="dxa"/>
            <w:gridSpan w:val="2"/>
            <w:tcBorders/>
            <w:shd w:fill="CCEEFF" w:val="clear"/>
            <w:vAlign w:val="center"/>
          </w:tcPr>
          <w:p>
            <w:pPr>
              <w:pStyle w:val="TableContents"/>
              <w:spacing w:before="0" w:after="0"/>
              <w:jc w:val="right"/>
              <w:rPr/>
            </w:pPr>
            <w:r>
              <w:rPr/>
              <w:t>—</w:t>
            </w:r>
          </w:p>
        </w:tc>
        <w:tc>
          <w:tcPr>
            <w:tcW w:w="8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Cash at beginning of period</w:t>
            </w:r>
          </w:p>
        </w:tc>
        <w:tc>
          <w:tcPr>
            <w:tcW w:w="149" w:type="dxa"/>
            <w:tcBorders/>
            <w:shd w:fill="auto" w:val="clear"/>
            <w:vAlign w:val="center"/>
          </w:tcPr>
          <w:p>
            <w:pPr>
              <w:pStyle w:val="TableContents"/>
              <w:spacing w:before="0" w:after="0"/>
              <w:ind w:left="0" w:right="0" w:firstLine="30"/>
              <w:rPr/>
            </w:pPr>
            <w:r>
              <w:rPr/>
              <w:t> </w:t>
            </w:r>
          </w:p>
        </w:tc>
        <w:tc>
          <w:tcPr>
            <w:tcW w:w="154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6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54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88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at end of period</w:t>
            </w:r>
          </w:p>
        </w:tc>
        <w:tc>
          <w:tcPr>
            <w:tcW w:w="149" w:type="dxa"/>
            <w:tcBorders/>
            <w:shd w:fill="CCEEFF" w:val="clear"/>
            <w:vAlign w:val="center"/>
          </w:tcPr>
          <w:p>
            <w:pPr>
              <w:pStyle w:val="TableContents"/>
              <w:spacing w:before="0" w:after="0"/>
              <w:ind w:left="0" w:right="0" w:firstLine="30"/>
              <w:rPr/>
            </w:pPr>
            <w:r>
              <w:rPr/>
              <w:t> </w:t>
            </w:r>
          </w:p>
        </w:tc>
        <w:tc>
          <w:tcPr>
            <w:tcW w:w="18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6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89,988</w:t>
            </w:r>
          </w:p>
        </w:tc>
        <w:tc>
          <w:tcPr>
            <w:tcW w:w="16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8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65" w:type="dxa"/>
            <w:tcBorders>
              <w:bottom w:val="double" w:sz="6" w:space="0" w:color="000000"/>
            </w:tcBorders>
            <w:shd w:fill="CCEEFF" w:val="clear"/>
            <w:tcMar>
              <w:bottom w:w="30" w:type="dxa"/>
            </w:tcMar>
            <w:vAlign w:val="center"/>
          </w:tcPr>
          <w:p>
            <w:pPr>
              <w:pStyle w:val="TableContents"/>
              <w:spacing w:before="0" w:after="0"/>
              <w:jc w:val="right"/>
              <w:rPr/>
            </w:pPr>
            <w:r>
              <w:rPr/>
              <w:t>—</w:t>
            </w:r>
          </w:p>
        </w:tc>
        <w:tc>
          <w:tcPr>
            <w:tcW w:w="880"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t>The accompanying notes are an integral part of the combined and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w:t>
      </w:r>
      <w:r>
        <w:br w:type="page"/>
      </w:r>
    </w:p>
    <w:p>
      <w:pPr>
        <w:pStyle w:val="TextBody"/>
        <w:spacing w:lineRule="auto" w:line="288" w:before="0" w:after="0"/>
        <w:jc w:val="left"/>
        <w:rPr/>
      </w:pPr>
      <w:hyperlink w:anchor="s7D21BC485A80E1C3273666ECEC2365C6">
        <w:bookmarkStart w:id="14" w:name="sBC52D880F57FEEF3ED5366ECED3B158F"/>
        <w:bookmarkEnd w:id="14"/>
        <w:r>
          <w:rPr>
            <w:rStyle w:val="InternetLink"/>
            <w:rFonts w:ascii="inherit" w:hAnsi="inherit"/>
            <w:sz w:val="17"/>
          </w:rPr>
          <w:t>Table of Contents</w:t>
        </w:r>
      </w:hyperlink>
    </w:p>
    <w:p>
      <w:pPr>
        <w:pStyle w:val="TextBody"/>
        <w:spacing w:lineRule="auto" w:line="288" w:before="0" w:after="0"/>
        <w:jc w:val="center"/>
        <w:rPr>
          <w:rFonts w:ascii="inherit" w:hAnsi="inherit"/>
          <w:b/>
          <w:sz w:val="17"/>
        </w:rPr>
      </w:pPr>
      <w:r>
        <w:rPr>
          <w:rFonts w:ascii="inherit" w:hAnsi="inherit"/>
          <w:b/>
          <w:sz w:val="17"/>
        </w:rPr>
        <w:t>WESTLAKE CHEMICAL PARTNERS LP</w:t>
      </w:r>
    </w:p>
    <w:p>
      <w:pPr>
        <w:pStyle w:val="TextBody"/>
        <w:spacing w:lineRule="auto" w:line="288" w:before="0" w:after="0"/>
        <w:jc w:val="center"/>
        <w:rPr>
          <w:rFonts w:ascii="inherit" w:hAnsi="inherit"/>
          <w:b/>
          <w:sz w:val="17"/>
        </w:rPr>
      </w:pPr>
      <w:r>
        <w:rPr>
          <w:rFonts w:ascii="inherit" w:hAnsi="inherit"/>
          <w:b/>
          <w:sz w:val="17"/>
        </w:rPr>
        <w:t>NOTES TO COMBINED AND CONSOLIDATED FINANCIAL STATEMENTS</w:t>
      </w:r>
    </w:p>
    <w:p>
      <w:pPr>
        <w:pStyle w:val="TextBody"/>
        <w:spacing w:lineRule="auto" w:line="288" w:before="0" w:after="0"/>
        <w:jc w:val="center"/>
        <w:rPr>
          <w:rFonts w:ascii="inherit" w:hAnsi="inherit"/>
          <w:b/>
          <w:sz w:val="17"/>
        </w:rPr>
      </w:pPr>
      <w:r>
        <w:rPr>
          <w:rFonts w:ascii="inherit" w:hAnsi="inherit"/>
          <w:b/>
          <w:sz w:val="17"/>
        </w:rPr>
        <w:t>(Unaudited)</w:t>
      </w:r>
    </w:p>
    <w:p>
      <w:pPr>
        <w:pStyle w:val="TextBody"/>
        <w:spacing w:lineRule="auto" w:line="288" w:before="0" w:after="0"/>
        <w:jc w:val="center"/>
        <w:rPr>
          <w:rFonts w:ascii="inherit" w:hAnsi="inherit"/>
          <w:b/>
          <w:sz w:val="17"/>
        </w:rPr>
      </w:pPr>
      <w:r>
        <w:rPr>
          <w:rFonts w:ascii="inherit" w:hAnsi="inherit"/>
          <w:b/>
          <w:sz w:val="17"/>
        </w:rPr>
        <w:t>(in thousands of dollars, except unit amounts and per unit data)</w:t>
      </w:r>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sz w:val="17"/>
        </w:rPr>
      </w:pPr>
      <w:bookmarkStart w:id="15" w:name="s55DAA8E07C765E05FC5766ECE86337B5"/>
      <w:bookmarkEnd w:id="15"/>
      <w:r>
        <w:rPr>
          <w:rFonts w:ascii="inherit" w:hAnsi="inherit"/>
          <w:b/>
          <w:sz w:val="17"/>
        </w:rPr>
        <w:t>1. Business and Basis of Presentation</w:t>
      </w:r>
    </w:p>
    <w:p>
      <w:pPr>
        <w:pStyle w:val="TextBody"/>
        <w:spacing w:lineRule="auto" w:line="288" w:before="0" w:after="0"/>
        <w:rPr>
          <w:rFonts w:ascii="inherit" w:hAnsi="inherit"/>
          <w:b/>
          <w:i/>
          <w:sz w:val="17"/>
        </w:rPr>
      </w:pPr>
      <w:r>
        <w:rPr>
          <w:rFonts w:ascii="inherit" w:hAnsi="inherit"/>
          <w:b/>
          <w:i/>
          <w:sz w:val="17"/>
        </w:rPr>
        <w:t>Description of Business</w:t>
      </w:r>
    </w:p>
    <w:p>
      <w:pPr>
        <w:pStyle w:val="TextBody"/>
        <w:spacing w:lineRule="auto" w:line="288" w:before="0" w:after="0"/>
        <w:ind w:left="0" w:right="0" w:firstLine="450"/>
        <w:jc w:val="left"/>
        <w:rPr>
          <w:sz w:val="17"/>
        </w:rPr>
      </w:pPr>
      <w:r>
        <w:rPr>
          <w:rFonts w:ascii="inherit" w:hAnsi="inherit"/>
          <w:sz w:val="17"/>
        </w:rPr>
        <w:t>Westlake Chemical Partners LP (the "Partnership") is a Delaware limited partnership formed in March 2014 to operate, acquire and develop ethylene production facilities and related assets. On August 4, 2014, the Partnership completed its initial public offering ("IPO") of 12,937,500</w:t>
      </w:r>
      <w:r>
        <w:rPr>
          <w:sz w:val="17"/>
        </w:rPr>
        <w:t xml:space="preserve"> </w:t>
      </w:r>
      <w:r>
        <w:rPr>
          <w:rFonts w:ascii="inherit" w:hAnsi="inherit"/>
          <w:sz w:val="17"/>
        </w:rPr>
        <w:t>common units representing limited partner interests. In connection with the IPO, the Partnership acquired a 10.6%</w:t>
      </w:r>
      <w:r>
        <w:rPr>
          <w:sz w:val="17"/>
        </w:rPr>
        <w:t xml:space="preserve"> </w:t>
      </w:r>
      <w:r>
        <w:rPr>
          <w:rFonts w:ascii="inherit" w:hAnsi="inherit"/>
          <w:sz w:val="17"/>
        </w:rPr>
        <w:t>interest in Westlake Chemical OpCo LP ("OpCo") and a 100%</w:t>
      </w:r>
      <w:r>
        <w:rPr>
          <w:sz w:val="17"/>
        </w:rPr>
        <w:t xml:space="preserve"> </w:t>
      </w:r>
      <w:r>
        <w:rPr>
          <w:rFonts w:ascii="inherit" w:hAnsi="inherit"/>
          <w:sz w:val="17"/>
        </w:rPr>
        <w:t>interest in Westlake Chemical OpCo GP LLC ("OpCo GP"), which is the general partner of OpCo. OpCo owns three</w:t>
      </w:r>
      <w:r>
        <w:rPr>
          <w:sz w:val="17"/>
        </w:rPr>
        <w:t xml:space="preserve"> </w:t>
      </w:r>
      <w:r>
        <w:rPr>
          <w:rFonts w:ascii="inherit" w:hAnsi="inherit"/>
          <w:sz w:val="17"/>
        </w:rPr>
        <w:t>ethylene production facilities and a common carrier ethylene pipeline (collectively, the "Contributed Assets").</w:t>
      </w:r>
    </w:p>
    <w:p>
      <w:pPr>
        <w:pStyle w:val="TextBody"/>
        <w:spacing w:lineRule="auto" w:line="288" w:before="0" w:after="0"/>
        <w:ind w:left="0" w:right="0" w:firstLine="450"/>
        <w:jc w:val="left"/>
        <w:rPr>
          <w:rFonts w:ascii="inherit" w:hAnsi="inherit"/>
          <w:sz w:val="17"/>
        </w:rPr>
      </w:pPr>
      <w:r>
        <w:rPr>
          <w:rFonts w:ascii="inherit" w:hAnsi="inherit"/>
          <w:sz w:val="17"/>
        </w:rPr>
        <w:t xml:space="preserve">Unless the context otherwise requires, references in this report to the "Predecessor" refer to Westlake Chemical Partners LP Predecessor, the Partnership's predecessor for accounting purposes and refer to the time periods prior to the IPO. References in this report to the Partnership used in the present tense or prospectively refer to Westlake Chemical Partners LP and refer to the periods subsequent to the IPO. References to "Westlake" refer collectively to Westlake Chemical Corporation and its subsidiaries, other than the Partnership, OpCo and OpCo GP. </w:t>
      </w:r>
    </w:p>
    <w:p>
      <w:pPr>
        <w:pStyle w:val="TextBody"/>
        <w:spacing w:lineRule="auto" w:line="288" w:before="0" w:after="0"/>
        <w:ind w:left="0" w:right="0" w:firstLine="450"/>
        <w:jc w:val="left"/>
        <w:rPr>
          <w:rFonts w:ascii="inherit" w:hAnsi="inherit"/>
          <w:sz w:val="17"/>
        </w:rPr>
      </w:pPr>
      <w:r>
        <w:rPr>
          <w:rFonts w:ascii="inherit" w:hAnsi="inherit"/>
          <w:sz w:val="17"/>
        </w:rPr>
        <w:t>Prior to the IPO, the Predecessor generated revenue predominantly by selling ethylene and ethylene co-products to Westlake and external customers. The Predecessor typically shipped ethylene, propylene and hydrogen via pipeline systems that connected its ethylene plants to Westlake and numerous third-party customers. The Predecessor transported its butadiene and pyrolysis gasoline by rail or truck.</w:t>
      </w:r>
    </w:p>
    <w:p>
      <w:pPr>
        <w:pStyle w:val="TextBody"/>
        <w:spacing w:lineRule="auto" w:line="288" w:before="0" w:after="0"/>
        <w:ind w:left="0" w:right="0" w:firstLine="450"/>
        <w:jc w:val="left"/>
        <w:rPr>
          <w:sz w:val="17"/>
        </w:rPr>
      </w:pPr>
      <w:r>
        <w:rPr>
          <w:rFonts w:ascii="inherit" w:hAnsi="inherit"/>
          <w:sz w:val="17"/>
        </w:rPr>
        <w:t>At the closing of the IPO, OpCo and Westlake entered into an ethylene sales agreement (the "Ethylene Sales Agreement") pursuant to which the Partnership generates a substantial majority of its revenue. The Ethylene Sales Agreement has a 12-year initial term and a minimum commitment provision under which Westlake has agreed to purchase 95%</w:t>
      </w:r>
      <w:r>
        <w:rPr>
          <w:sz w:val="17"/>
        </w:rPr>
        <w:t xml:space="preserve"> </w:t>
      </w:r>
      <w:r>
        <w:rPr>
          <w:rFonts w:ascii="inherit" w:hAnsi="inherit"/>
          <w:sz w:val="17"/>
        </w:rPr>
        <w:t>of OpCo’s planned ethylene production each year, subject to a maximum of 3.8 billion</w:t>
      </w:r>
      <w:r>
        <w:rPr>
          <w:sz w:val="17"/>
        </w:rPr>
        <w:t xml:space="preserve"> </w:t>
      </w:r>
      <w:r>
        <w:rPr>
          <w:rFonts w:ascii="inherit" w:hAnsi="inherit"/>
          <w:sz w:val="17"/>
        </w:rPr>
        <w:t>pounds per year. This agreement represents a long-term minimum purchase commitment by Westlake with variable pricing equal to OpCo’s actual feedstock and natural gas costs and estimated other costs of producing ethylene, plus a fixed margin of $0.10</w:t>
      </w:r>
      <w:r>
        <w:rPr>
          <w:sz w:val="17"/>
        </w:rPr>
        <w:t xml:space="preserve"> </w:t>
      </w:r>
      <w:r>
        <w:rPr>
          <w:rFonts w:ascii="inherit" w:hAnsi="inherit"/>
          <w:sz w:val="17"/>
        </w:rPr>
        <w:t>per pound, less revenue from associated co-product sales. Currently, the Partnership expects to sell 95%</w:t>
      </w:r>
      <w:r>
        <w:rPr>
          <w:sz w:val="17"/>
        </w:rPr>
        <w:t xml:space="preserve"> </w:t>
      </w:r>
      <w:r>
        <w:rPr>
          <w:rFonts w:ascii="inherit" w:hAnsi="inherit"/>
          <w:sz w:val="17"/>
        </w:rPr>
        <w:t xml:space="preserve">of its ethylene production to Westlake. </w:t>
      </w:r>
    </w:p>
    <w:p>
      <w:pPr>
        <w:pStyle w:val="TextBody"/>
        <w:spacing w:lineRule="auto" w:line="288" w:before="0" w:after="0"/>
        <w:ind w:left="0" w:right="0" w:firstLine="450"/>
        <w:jc w:val="left"/>
        <w:rPr>
          <w:sz w:val="17"/>
        </w:rPr>
      </w:pPr>
      <w:r>
        <w:rPr>
          <w:rFonts w:ascii="inherit" w:hAnsi="inherit"/>
          <w:sz w:val="17"/>
        </w:rPr>
        <w:t>The Partnership sells ethylene production in excess of volumes sold to Westlake, as well as all of the co-products resulting from the ethylene production, including propylene, crude butadiene, pyrolysis gasoline and hydrogen, directly to third parties on either a spot or contract basis. Co-products sold to third parties continue to be transported by rail or truck. Net proceeds (after transportation and other costs) from the sales of associated co-products that result from the production of ethylene purchased by Westlake are netted against the ethylene price charged to Westlake under the Ethylene Sales Agreement thereby substantially reducing the Partnership's exposure to fluctuations in the market prices of these co-products. The Partnership’s operations consist of one</w:t>
      </w:r>
      <w:r>
        <w:rPr>
          <w:sz w:val="17"/>
        </w:rPr>
        <w:t xml:space="preserve"> </w:t>
      </w:r>
      <w:r>
        <w:rPr>
          <w:rFonts w:ascii="inherit" w:hAnsi="inherit"/>
          <w:sz w:val="17"/>
        </w:rPr>
        <w:t>reportable segment: ethylene production.</w:t>
      </w:r>
    </w:p>
    <w:p>
      <w:pPr>
        <w:pStyle w:val="TextBody"/>
        <w:spacing w:lineRule="auto" w:line="288" w:before="0" w:after="0"/>
        <w:ind w:left="0" w:right="0" w:firstLine="450"/>
        <w:jc w:val="left"/>
        <w:rPr>
          <w:rFonts w:ascii="inherit" w:hAnsi="inherit"/>
          <w:sz w:val="17"/>
        </w:rPr>
      </w:pPr>
      <w:r>
        <w:rPr>
          <w:rFonts w:ascii="inherit" w:hAnsi="inherit"/>
          <w:sz w:val="17"/>
        </w:rPr>
        <w:t>The Predecessor’s operations consisted of the entire ethylene business of Westlake, including the activities of the Contributed Assets, as well as activities which were retained by Westlake. Ethylene business activities retained by Westlake include, but are not limited to, procuring feedstock, managing inventory and commodity risk and transporting ethylene from manufacturing facilities. The Partnership’s operations consist of activities of only the Contributed Assets.</w:t>
      </w:r>
    </w:p>
    <w:p>
      <w:pPr>
        <w:pStyle w:val="TextBody"/>
        <w:spacing w:lineRule="auto" w:line="288" w:before="0" w:after="0"/>
        <w:jc w:val="left"/>
        <w:rPr>
          <w:rFonts w:ascii="inherit" w:hAnsi="inherit"/>
          <w:b/>
          <w:i/>
          <w:sz w:val="17"/>
        </w:rPr>
      </w:pPr>
      <w:r>
        <w:rPr>
          <w:rFonts w:ascii="inherit" w:hAnsi="inherit"/>
          <w:b/>
          <w:i/>
          <w:sz w:val="17"/>
        </w:rPr>
        <w:t>Basis of Presentation</w:t>
      </w:r>
    </w:p>
    <w:p>
      <w:pPr>
        <w:pStyle w:val="TextBody"/>
        <w:spacing w:lineRule="auto" w:line="288" w:before="0" w:after="0"/>
        <w:ind w:left="0" w:right="0" w:firstLine="450"/>
        <w:jc w:val="left"/>
        <w:rPr>
          <w:sz w:val="17"/>
        </w:rPr>
      </w:pPr>
      <w:r>
        <w:rPr>
          <w:rFonts w:ascii="inherit" w:hAnsi="inherit"/>
          <w:sz w:val="17"/>
        </w:rPr>
        <w:t>Financial information presented for the periods prior to the IPO on August 4, 2014 consists of the Predecessor's combined financial position as of December 31, 2013, its results of operations for the three and nine</w:t>
      </w:r>
      <w:r>
        <w:rPr>
          <w:sz w:val="17"/>
        </w:rPr>
        <w:t xml:space="preserve"> </w:t>
      </w:r>
      <w:r>
        <w:rPr>
          <w:rFonts w:ascii="inherit" w:hAnsi="inherit"/>
          <w:sz w:val="17"/>
        </w:rPr>
        <w:t>months periods ended September 30, 2013</w:t>
      </w:r>
      <w:r>
        <w:rPr>
          <w:sz w:val="17"/>
        </w:rPr>
        <w:t xml:space="preserve"> </w:t>
      </w:r>
      <w:r>
        <w:rPr>
          <w:rFonts w:ascii="inherit" w:hAnsi="inherit"/>
          <w:sz w:val="17"/>
        </w:rPr>
        <w:t xml:space="preserve">and cash flows for the nine months ended September 30, 2013. Financial information of the Predecessor is derived from the financial statements and accounting records of Westlake. Subsequent to the IPO, the Partnership’s financial position, results of operations and cash flows consist of the consolidated activities and balances of the Partnership. The Partnership's consolidated financial statements include the accounts of the Partnership and its consolidated subsidiary, OpCo. </w:t>
      </w:r>
    </w:p>
    <w:p>
      <w:pPr>
        <w:pStyle w:val="TextBody"/>
        <w:spacing w:lineRule="auto" w:line="288" w:before="0" w:after="0"/>
        <w:ind w:left="0" w:right="0" w:firstLine="450"/>
        <w:jc w:val="left"/>
        <w:rPr>
          <w:sz w:val="17"/>
        </w:rPr>
      </w:pPr>
      <w:r>
        <w:rPr>
          <w:rFonts w:ascii="inherit" w:hAnsi="inherit"/>
          <w:sz w:val="17"/>
        </w:rPr>
        <w:t>The Partnership holds a 10.6%</w:t>
      </w:r>
      <w:r>
        <w:rPr>
          <w:sz w:val="17"/>
        </w:rPr>
        <w:t xml:space="preserve"> </w:t>
      </w:r>
      <w:r>
        <w:rPr>
          <w:rFonts w:ascii="inherit" w:hAnsi="inherit"/>
          <w:sz w:val="17"/>
        </w:rPr>
        <w:t>limited partner interest and the entire non-economic general partner interest in OpCo. The remaining 89.4%</w:t>
      </w:r>
      <w:r>
        <w:rPr>
          <w:sz w:val="17"/>
        </w:rPr>
        <w:t xml:space="preserve"> </w:t>
      </w:r>
      <w:r>
        <w:rPr>
          <w:rFonts w:ascii="inherit" w:hAnsi="inherit"/>
          <w:sz w:val="17"/>
        </w:rPr>
        <w:t xml:space="preserve">limited partner interest in OpCo is owned directly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w:t>
      </w:r>
      <w:r>
        <w:br w:type="page"/>
      </w:r>
    </w:p>
    <w:p>
      <w:pPr>
        <w:pStyle w:val="TextBody"/>
        <w:spacing w:lineRule="auto" w:line="288" w:before="0" w:after="0"/>
        <w:jc w:val="left"/>
        <w:rPr/>
      </w:pPr>
      <w:hyperlink w:anchor="s7D21BC485A80E1C3273666ECEC2365C6">
        <w:r>
          <w:rPr>
            <w:rStyle w:val="InternetLink"/>
            <w:rFonts w:ascii="inherit" w:hAnsi="inherit"/>
            <w:sz w:val="17"/>
          </w:rPr>
          <w:t>Table of Contents</w:t>
        </w:r>
      </w:hyperlink>
    </w:p>
    <w:p>
      <w:pPr>
        <w:pStyle w:val="TextBody"/>
        <w:spacing w:lineRule="auto" w:line="288" w:before="0" w:after="0"/>
        <w:jc w:val="center"/>
        <w:rPr>
          <w:rFonts w:ascii="inherit" w:hAnsi="inherit"/>
          <w:b/>
          <w:sz w:val="17"/>
        </w:rPr>
      </w:pPr>
      <w:r>
        <w:rPr>
          <w:rFonts w:ascii="inherit" w:hAnsi="inherit"/>
          <w:b/>
          <w:sz w:val="17"/>
        </w:rPr>
        <w:t>WESTLAKE CHEMICAL PARTNERS LP</w:t>
      </w:r>
    </w:p>
    <w:p>
      <w:pPr>
        <w:pStyle w:val="TextBody"/>
        <w:spacing w:lineRule="auto" w:line="288" w:before="0" w:after="0"/>
        <w:jc w:val="center"/>
        <w:rPr>
          <w:rFonts w:ascii="inherit" w:hAnsi="inherit"/>
          <w:b/>
          <w:sz w:val="17"/>
        </w:rPr>
      </w:pPr>
      <w:r>
        <w:rPr>
          <w:rFonts w:ascii="inherit" w:hAnsi="inherit"/>
          <w:b/>
          <w:sz w:val="17"/>
        </w:rPr>
        <w:t>NOTES TO COMBINED AND CONSOLIDATED FINANCIAL STATEMENTS - Continued</w:t>
      </w:r>
    </w:p>
    <w:p>
      <w:pPr>
        <w:pStyle w:val="TextBody"/>
        <w:spacing w:lineRule="auto" w:line="288" w:before="0" w:after="0"/>
        <w:jc w:val="center"/>
        <w:rPr>
          <w:rFonts w:ascii="inherit" w:hAnsi="inherit"/>
          <w:b/>
          <w:sz w:val="17"/>
        </w:rPr>
      </w:pPr>
      <w:r>
        <w:rPr>
          <w:rFonts w:ascii="inherit" w:hAnsi="inherit"/>
          <w:b/>
          <w:sz w:val="17"/>
        </w:rPr>
        <w:t>(Unaudited)</w:t>
      </w:r>
    </w:p>
    <w:p>
      <w:pPr>
        <w:pStyle w:val="TextBody"/>
        <w:spacing w:lineRule="auto" w:line="288" w:before="0" w:after="0"/>
        <w:jc w:val="center"/>
        <w:rPr>
          <w:rFonts w:ascii="inherit" w:hAnsi="inherit"/>
          <w:b/>
          <w:sz w:val="17"/>
        </w:rPr>
      </w:pPr>
      <w:r>
        <w:rPr>
          <w:rFonts w:ascii="inherit" w:hAnsi="inherit"/>
          <w:b/>
          <w:sz w:val="17"/>
        </w:rPr>
        <w:t>(in thousands of dollars, except unit amounts and per unit data)</w:t>
      </w:r>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w:t>
      </w:r>
    </w:p>
    <w:p>
      <w:pPr>
        <w:pStyle w:val="TextBody"/>
        <w:spacing w:lineRule="auto" w:line="288" w:before="0" w:after="0"/>
        <w:ind w:left="0" w:right="0" w:firstLine="450"/>
        <w:jc w:val="left"/>
        <w:rPr>
          <w:sz w:val="17"/>
        </w:rPr>
      </w:pPr>
      <w:r>
        <w:rPr>
          <w:rFonts w:ascii="inherit" w:hAnsi="inherit"/>
          <w:sz w:val="17"/>
        </w:rPr>
        <w:t>For the three and nine</w:t>
      </w:r>
      <w:r>
        <w:rPr>
          <w:sz w:val="17"/>
        </w:rPr>
        <w:t xml:space="preserve"> </w:t>
      </w:r>
      <w:r>
        <w:rPr>
          <w:rFonts w:ascii="inherit" w:hAnsi="inherit"/>
          <w:sz w:val="17"/>
        </w:rPr>
        <w:t>months ended September 30, 2014, the results of operations and changes in cash position include the Partnership’s consolidated results subsequent to the IPO and the Predecessor’s combined results prior to the IPO. For these periods, the results of operations and changes in cash flows are referred to as the Partnership’s consolidated results and changes in cash flows.</w:t>
      </w:r>
    </w:p>
    <w:p>
      <w:pPr>
        <w:pStyle w:val="TextBody"/>
        <w:spacing w:lineRule="auto" w:line="288" w:before="0" w:after="0"/>
        <w:ind w:left="0" w:right="0" w:firstLine="450"/>
        <w:jc w:val="left"/>
        <w:rPr>
          <w:rFonts w:ascii="inherit" w:hAnsi="inherit"/>
          <w:sz w:val="17"/>
        </w:rPr>
      </w:pPr>
      <w:r>
        <w:rPr>
          <w:rFonts w:ascii="inherit" w:hAnsi="inherit"/>
          <w:sz w:val="17"/>
        </w:rPr>
        <w:t>The accompanying unaudited interim combined and consolidated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combined and consolidated financial statements should be read in conjunction with the combined carve-out financial statements and notes thereto of the Predecessor for the fiscal year ended December 31, 2013 included in the Partnership's prospectus dated July 29, 2014 (File No. 333-195551) (the "WLKP Prospectus"), as filed with the SEC on July 31, 2014. These combined and consolidated financial statements have been prepared in conformity with the accounting principles and practices as disclosed in the notes to the combined financial statements of the Predecessor for the fiscal year ended December 31, 2013.</w:t>
      </w:r>
    </w:p>
    <w:p>
      <w:pPr>
        <w:pStyle w:val="TextBody"/>
        <w:spacing w:lineRule="auto" w:line="288" w:before="0" w:after="0"/>
        <w:ind w:left="0" w:right="0" w:firstLine="450"/>
        <w:jc w:val="left"/>
        <w:rPr>
          <w:rFonts w:ascii="inherit" w:hAnsi="inherit"/>
          <w:sz w:val="17"/>
        </w:rPr>
      </w:pPr>
      <w:r>
        <w:rPr>
          <w:rFonts w:ascii="inherit" w:hAnsi="inherit"/>
          <w:sz w:val="17"/>
        </w:rPr>
        <w:t>All financial information presented for the periods after the IPO represents the consolidated results of operations, financial position and cash flows of the Partnership. Financial information for the periods prior to the IPO represents the combined results of operations, financial position and cash flows of the Predecessor. The combined and consolidated financial statements were prepared as follows:</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rPr>
                <w:rFonts w:ascii="inherit" w:hAnsi="inherit"/>
                <w:sz w:val="17"/>
              </w:rPr>
            </w:pPr>
            <w:r>
              <w:rPr>
                <w:rFonts w:ascii="inherit" w:hAnsi="inherit"/>
                <w:sz w:val="17"/>
              </w:rPr>
              <w:t xml:space="preserve">The consolidated statement of operations for the three months ended September 30, 2014 consists of the consolidated results of the Partnership for the period from August 4, 2014 through September 30, 2014 and the combined results of the Predecessor for the period from July 1, 2014 through August 3, 2014. The consolidated statement of operations for the nine months ended September 30, 2014 consists of the consolidated results of the Partnership for the period from August 4, 2014 through September 30, 2014 and the combined results of the Predecessor for the period from January 1, 2014 through August 3, 2014. The combined statements of operations for the three and nine months ended September 30, 2013 consist entirely of the combined results of the Predecessor. </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rPr>
                <w:rFonts w:ascii="inherit" w:hAnsi="inherit"/>
                <w:sz w:val="17"/>
              </w:rPr>
            </w:pPr>
            <w:r>
              <w:rPr>
                <w:rFonts w:ascii="inherit" w:hAnsi="inherit"/>
                <w:sz w:val="17"/>
              </w:rPr>
              <w:t xml:space="preserve">The consolidated balance sheet as of September 30, 2014 consists of the consolidated balances of the Partnership, while the combined balance sheet as of December 31, 2013 consists of the combined balances of the Predecessor. </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rPr>
                <w:rFonts w:ascii="inherit" w:hAnsi="inherit"/>
                <w:sz w:val="17"/>
              </w:rPr>
            </w:pPr>
            <w:r>
              <w:rPr>
                <w:rFonts w:ascii="inherit" w:hAnsi="inherit"/>
                <w:sz w:val="17"/>
              </w:rPr>
              <w:t>The consolidated statement of cash flows for the nine months ended September 30, 2014 consists of the consolidated results of the Partnership for the period from August 4, 2014 through September 30, 2014 and the combined results of the Predecessor for the period from January 1, 2014 through August 3, 2014. The combined statement of cash flows for the nine months ended September 30, 2013 consists entirely of the combined results of the Predecessor.</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rPr>
                <w:rFonts w:ascii="inherit" w:hAnsi="inherit"/>
                <w:sz w:val="17"/>
              </w:rPr>
            </w:pPr>
            <w:r>
              <w:rPr>
                <w:rFonts w:ascii="inherit" w:hAnsi="inherit"/>
                <w:sz w:val="17"/>
              </w:rPr>
              <w:t>The consolidated statement of changes in equity for the nine months ended September 30, 2014 consists of the combined activity for the Predecessor prior to August 4, 2014, and the consolidated activity for the Partnership completed at and subsequent to the IPO on August 4, 2014. The combined statement of changes in equity for the nine months ended September 30, 2013 consists entirely of the combined activity of the Predecessor.</w:t>
            </w:r>
          </w:p>
        </w:tc>
      </w:tr>
    </w:tbl>
    <w:p>
      <w:pPr>
        <w:pStyle w:val="TextBody"/>
        <w:spacing w:lineRule="auto" w:line="288" w:before="0" w:after="0"/>
        <w:ind w:left="0" w:right="0" w:firstLine="450"/>
        <w:jc w:val="left"/>
        <w:rPr>
          <w:sz w:val="17"/>
        </w:rPr>
      </w:pPr>
      <w:r>
        <w:rPr>
          <w:rFonts w:ascii="inherit" w:hAnsi="inherit"/>
          <w:sz w:val="17"/>
        </w:rPr>
        <w:t>In the opinion of management, the accompanying unaudited combined and consolidated financial statements reflect all adjustments (consisting only of normal recurring adjustments) that are necessary for a fair statement of the Predecessor's combined financial statements as of and for the periods ended September 30, 2013</w:t>
      </w:r>
      <w:r>
        <w:rPr>
          <w:sz w:val="17"/>
        </w:rPr>
        <w:t xml:space="preserve"> </w:t>
      </w:r>
      <w:r>
        <w:rPr>
          <w:rFonts w:ascii="inherit" w:hAnsi="inherit"/>
          <w:sz w:val="17"/>
        </w:rPr>
        <w:t>and the Partnership’s consolidated financial statements as of and for the periods ended September 30, 2014.</w:t>
      </w:r>
    </w:p>
    <w:p>
      <w:pPr>
        <w:pStyle w:val="TextBody"/>
        <w:spacing w:lineRule="auto" w:line="288" w:before="0" w:after="0"/>
        <w:ind w:left="0" w:right="0" w:firstLine="450"/>
        <w:jc w:val="left"/>
        <w:rPr>
          <w:sz w:val="17"/>
        </w:rPr>
      </w:pPr>
      <w:r>
        <w:rPr>
          <w:rFonts w:ascii="inherit" w:hAnsi="inherit"/>
          <w:sz w:val="17"/>
        </w:rPr>
        <w:t>Results of operations and changes in cash position for the interim periods presented are not necessarily indicative of the results that will be realized for the fiscal year ending December 31, 2014</w:t>
      </w:r>
      <w:r>
        <w:rPr>
          <w:sz w:val="17"/>
        </w:rPr>
        <w:t xml:space="preserve"> </w:t>
      </w:r>
      <w:r>
        <w:rPr>
          <w:rFonts w:ascii="inherit" w:hAnsi="inherit"/>
          <w:sz w:val="17"/>
        </w:rPr>
        <w:t>or any other period. The preparation of financial statements in conformity with U.S. GAAP requires management to make estimates and assumptions that affect the reported amounts of assets, liabilities, revenues and expenses and the disclosure of contingent assets and liabilities. Actual results could differ materially from those estimates.</w:t>
      </w:r>
    </w:p>
    <w:p>
      <w:pPr>
        <w:pStyle w:val="TextBody"/>
        <w:spacing w:lineRule="auto" w:line="288" w:before="0" w:after="0"/>
        <w:ind w:left="0" w:right="0" w:firstLine="450"/>
        <w:jc w:val="left"/>
        <w:rPr>
          <w:rFonts w:ascii="inherit" w:hAnsi="inherit"/>
          <w:sz w:val="17"/>
        </w:rPr>
      </w:pPr>
      <w:r>
        <w:rPr>
          <w:rFonts w:ascii="inherit" w:hAnsi="inherit"/>
          <w:sz w:val="17"/>
        </w:rPr>
        <w:t xml:space="preserve">The combined statements of operations for the periods before August 4, 2014 include expense allocations for certain functions historically performed by Westlake and allocated to the ethylene business, including allocations of general corporate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w:t>
      </w:r>
      <w:r>
        <w:br w:type="page"/>
      </w:r>
    </w:p>
    <w:p>
      <w:pPr>
        <w:pStyle w:val="TextBody"/>
        <w:spacing w:lineRule="auto" w:line="288" w:before="0" w:after="0"/>
        <w:jc w:val="left"/>
        <w:rPr/>
      </w:pPr>
      <w:hyperlink w:anchor="s7D21BC485A80E1C3273666ECEC2365C6">
        <w:r>
          <w:rPr>
            <w:rStyle w:val="InternetLink"/>
            <w:rFonts w:ascii="inherit" w:hAnsi="inherit"/>
            <w:sz w:val="17"/>
          </w:rPr>
          <w:t>Table of Contents</w:t>
        </w:r>
      </w:hyperlink>
    </w:p>
    <w:p>
      <w:pPr>
        <w:pStyle w:val="TextBody"/>
        <w:spacing w:lineRule="auto" w:line="288" w:before="0" w:after="0"/>
        <w:jc w:val="center"/>
        <w:rPr>
          <w:rFonts w:ascii="inherit" w:hAnsi="inherit"/>
          <w:b/>
          <w:sz w:val="17"/>
        </w:rPr>
      </w:pPr>
      <w:r>
        <w:rPr>
          <w:rFonts w:ascii="inherit" w:hAnsi="inherit"/>
          <w:b/>
          <w:sz w:val="17"/>
        </w:rPr>
        <w:t>WESTLAKE CHEMICAL PARTNERS LP</w:t>
      </w:r>
    </w:p>
    <w:p>
      <w:pPr>
        <w:pStyle w:val="TextBody"/>
        <w:spacing w:lineRule="auto" w:line="288" w:before="0" w:after="0"/>
        <w:jc w:val="center"/>
        <w:rPr>
          <w:rFonts w:ascii="inherit" w:hAnsi="inherit"/>
          <w:b/>
          <w:sz w:val="17"/>
        </w:rPr>
      </w:pPr>
      <w:r>
        <w:rPr>
          <w:rFonts w:ascii="inherit" w:hAnsi="inherit"/>
          <w:b/>
          <w:sz w:val="17"/>
        </w:rPr>
        <w:t>NOTES TO COMBINED AND CONSOLIDATED FINANCIAL STATEMENTS - Continued</w:t>
      </w:r>
    </w:p>
    <w:p>
      <w:pPr>
        <w:pStyle w:val="TextBody"/>
        <w:spacing w:lineRule="auto" w:line="288" w:before="0" w:after="0"/>
        <w:jc w:val="center"/>
        <w:rPr>
          <w:rFonts w:ascii="inherit" w:hAnsi="inherit"/>
          <w:b/>
          <w:sz w:val="17"/>
        </w:rPr>
      </w:pPr>
      <w:r>
        <w:rPr>
          <w:rFonts w:ascii="inherit" w:hAnsi="inherit"/>
          <w:b/>
          <w:sz w:val="17"/>
        </w:rPr>
        <w:t>(Unaudited)</w:t>
      </w:r>
    </w:p>
    <w:p>
      <w:pPr>
        <w:pStyle w:val="TextBody"/>
        <w:spacing w:lineRule="auto" w:line="288" w:before="0" w:after="0"/>
        <w:jc w:val="center"/>
        <w:rPr>
          <w:rFonts w:ascii="inherit" w:hAnsi="inherit"/>
          <w:b/>
          <w:sz w:val="17"/>
        </w:rPr>
      </w:pPr>
      <w:r>
        <w:rPr>
          <w:rFonts w:ascii="inherit" w:hAnsi="inherit"/>
          <w:b/>
          <w:sz w:val="17"/>
        </w:rPr>
        <w:t>(in thousands of dollars, except unit amounts and per unit data)</w:t>
      </w:r>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expenses related to finance, legal, information technology, human resources, communications, ethics and compliance, shared services, employee benefits and incentives and stock-based compensation. These allocations were based primarily on the basis of direct usage when identifiable, with the remainder allocated on the basis of fixed assets, headcount or other measure. Management believes the assumptions underlying the combined financial statements, including the assumptions regarding the allocation of expenses from Westlake, are reasonable and reflect all costs related to the operations of the Predecessor, including those incurred by Westlake on behalf of the Predecessor. Nevertheless, the combined financial statements may not include all of the expenses that would have been incurred had the Predecessor been a stand-alone company during the periods presented and may not reflect its results of operations, financial position and cash flows had the Predecessor been a stand-alone company during the periods presented.</w:t>
      </w:r>
    </w:p>
    <w:p>
      <w:pPr>
        <w:pStyle w:val="TextBody"/>
        <w:spacing w:lineRule="auto" w:line="288" w:before="0" w:after="0"/>
        <w:ind w:left="0" w:right="0" w:firstLine="450"/>
        <w:jc w:val="left"/>
        <w:rPr>
          <w:rFonts w:ascii="inherit" w:hAnsi="inherit"/>
          <w:sz w:val="17"/>
        </w:rPr>
      </w:pPr>
      <w:r>
        <w:rPr>
          <w:rFonts w:ascii="inherit" w:hAnsi="inherit"/>
          <w:sz w:val="17"/>
        </w:rPr>
        <w:t>With respect to the Predecessor, Westlake used a centralized approach to the cash management and financing of its operations. The cash generated by the Predecessor’s operations was transferred to Westlake daily, and Westlake funded the Predecessor’s operating and investing activities as needed. Accordingly, the cash and cash equivalents generated by the Predecessor’s operations that were held by Westlake were not presented in its combined financial statements for any of the periods presented. The Predecessor reflected transfers of cash to and from Westlake's cash management system as a component of "Net investment" on its combined balance sheet, and as part of "Net distributions to Westlake" on its combined statements of cash flows.</w:t>
      </w:r>
    </w:p>
    <w:p>
      <w:pPr>
        <w:pStyle w:val="TextBody"/>
        <w:spacing w:lineRule="auto" w:line="288" w:before="0" w:after="0"/>
        <w:jc w:val="left"/>
        <w:rPr>
          <w:rFonts w:ascii="inherit" w:hAnsi="inherit"/>
          <w:b/>
          <w:sz w:val="17"/>
        </w:rPr>
      </w:pPr>
      <w:bookmarkStart w:id="16" w:name="s525F0D9DE407BA7F3FBA66ECE84FD713"/>
      <w:bookmarkEnd w:id="16"/>
      <w:r>
        <w:rPr>
          <w:rFonts w:ascii="inherit" w:hAnsi="inherit"/>
          <w:b/>
          <w:sz w:val="17"/>
        </w:rPr>
        <w:t>2. Initial Public Offering</w:t>
      </w:r>
    </w:p>
    <w:p>
      <w:pPr>
        <w:pStyle w:val="TextBody"/>
        <w:spacing w:lineRule="auto" w:line="288" w:before="0" w:after="0"/>
        <w:jc w:val="left"/>
        <w:rPr>
          <w:rFonts w:ascii="inherit" w:hAnsi="inherit"/>
          <w:b/>
          <w:i/>
          <w:sz w:val="17"/>
        </w:rPr>
      </w:pPr>
      <w:r>
        <w:rPr>
          <w:rFonts w:ascii="inherit" w:hAnsi="inherit"/>
          <w:b/>
          <w:i/>
          <w:sz w:val="17"/>
        </w:rPr>
        <w:t>Contributed Assets</w:t>
      </w:r>
    </w:p>
    <w:p>
      <w:pPr>
        <w:pStyle w:val="TextBody"/>
        <w:spacing w:lineRule="auto" w:line="288" w:before="0" w:after="0"/>
        <w:ind w:left="0" w:right="0" w:firstLine="450"/>
        <w:jc w:val="left"/>
        <w:rPr>
          <w:sz w:val="17"/>
        </w:rPr>
      </w:pPr>
      <w:r>
        <w:rPr>
          <w:rFonts w:ascii="inherit" w:hAnsi="inherit"/>
          <w:sz w:val="17"/>
        </w:rPr>
        <w:t>In connection with the IPO, the Partnership acquired a 10.6%</w:t>
      </w:r>
      <w:r>
        <w:rPr>
          <w:sz w:val="17"/>
        </w:rPr>
        <w:t xml:space="preserve"> </w:t>
      </w:r>
      <w:r>
        <w:rPr>
          <w:rFonts w:ascii="inherit" w:hAnsi="inherit"/>
          <w:sz w:val="17"/>
        </w:rPr>
        <w:t>interest in OpCo and a 100%</w:t>
      </w:r>
      <w:r>
        <w:rPr>
          <w:sz w:val="17"/>
        </w:rPr>
        <w:t xml:space="preserve"> </w:t>
      </w:r>
      <w:r>
        <w:rPr>
          <w:rFonts w:ascii="inherit" w:hAnsi="inherit"/>
          <w:sz w:val="17"/>
        </w:rPr>
        <w:t>interest in OpCo GP. OpCo owns the Contributed Assets, as described in more detail in the WLKP Prospectus.</w:t>
      </w:r>
    </w:p>
    <w:p>
      <w:pPr>
        <w:pStyle w:val="TextBody"/>
        <w:spacing w:lineRule="auto" w:line="288" w:before="0" w:after="0"/>
        <w:ind w:left="0" w:right="0" w:firstLine="450"/>
        <w:rPr>
          <w:sz w:val="17"/>
        </w:rPr>
      </w:pPr>
      <w:r>
        <w:rPr>
          <w:rFonts w:ascii="inherit" w:hAnsi="inherit"/>
          <w:sz w:val="17"/>
        </w:rPr>
        <w:t>Other assets contributed to OpCo in conjunction with the IPO include the deferred turnaround costs associated with Lake Charles Olefins and Calvert City Olefins, co-product inventories, goodwill and other assets. Additionally, OpCo assumed $246,056</w:t>
      </w:r>
      <w:r>
        <w:rPr>
          <w:sz w:val="17"/>
        </w:rPr>
        <w:t xml:space="preserve"> </w:t>
      </w:r>
      <w:r>
        <w:rPr>
          <w:rFonts w:ascii="inherit" w:hAnsi="inherit"/>
          <w:sz w:val="17"/>
        </w:rPr>
        <w:t xml:space="preserve">of promissory notes payable to Westlake. </w:t>
      </w:r>
    </w:p>
    <w:p>
      <w:pPr>
        <w:pStyle w:val="TextBody"/>
        <w:spacing w:lineRule="auto" w:line="288" w:before="0" w:after="0"/>
        <w:ind w:left="0" w:right="0" w:firstLine="450"/>
        <w:rPr>
          <w:rFonts w:ascii="inherit" w:hAnsi="inherit"/>
          <w:sz w:val="17"/>
        </w:rPr>
      </w:pPr>
      <w:r>
        <w:rPr>
          <w:rFonts w:ascii="inherit" w:hAnsi="inherit"/>
          <w:sz w:val="17"/>
        </w:rPr>
        <w:t>The Predecessor's combined financial statements reflect certain assets, liabilities and business activities that were retained by Westlake, and therefore are not reflected in the Partnership's consolidated financial statements. Assets and liabilities which are reflected in the Predecessor's combined financial statements but which were retained by Westlake include working capital accounts, ethylene and other inventories, an equity interest in a pipeline joint venture, deferred federal income taxes, certain long-term debt payable to Westlake and other long-term liabilities. Ethylene business activities retained by Westlake include, but are not limited to, procuring feedstock, managing inventory and commodity risk and transporting ethylene from manufacturing facilities. See Note 14 for details of the Predecessor's net liabilities retained by Westlake.</w:t>
      </w:r>
    </w:p>
    <w:p>
      <w:pPr>
        <w:pStyle w:val="TextBody"/>
        <w:spacing w:lineRule="auto" w:line="288" w:before="0" w:after="0"/>
        <w:rPr>
          <w:rFonts w:ascii="inherit" w:hAnsi="inherit"/>
          <w:b/>
          <w:i/>
          <w:sz w:val="17"/>
        </w:rPr>
      </w:pPr>
      <w:r>
        <w:rPr>
          <w:rFonts w:ascii="inherit" w:hAnsi="inherit"/>
          <w:b/>
          <w:i/>
          <w:sz w:val="17"/>
        </w:rPr>
        <w:t>Initial Public Offering</w:t>
      </w:r>
    </w:p>
    <w:p>
      <w:pPr>
        <w:pStyle w:val="TextBody"/>
        <w:spacing w:lineRule="auto" w:line="288" w:before="0" w:after="0"/>
        <w:ind w:left="0" w:right="0" w:firstLine="480"/>
        <w:jc w:val="left"/>
        <w:rPr>
          <w:sz w:val="17"/>
        </w:rPr>
      </w:pPr>
      <w:r>
        <w:rPr>
          <w:rFonts w:ascii="inherit" w:hAnsi="inherit"/>
          <w:sz w:val="17"/>
        </w:rPr>
        <w:t xml:space="preserve">On July 30, 2014, the Partnership’s common units began trading on the New York Stock Exchange under the ticker symbol "WLKP." On August 4, 2014, the Partnership closed its IPO of </w:t>
      </w:r>
      <w:r>
        <w:rPr>
          <w:rFonts w:ascii="Times New Roman" w:hAnsi="Times New Roman"/>
          <w:b w:val="false"/>
          <w:i w:val="false"/>
          <w:caps w:val="false"/>
          <w:smallCaps w:val="false"/>
          <w:strike w:val="false"/>
          <w:dstrike w:val="false"/>
          <w:color w:val="000000"/>
          <w:sz w:val="17"/>
          <w:u w:val="none"/>
          <w:effect w:val="none"/>
        </w:rPr>
        <w:t>12,937,500</w:t>
      </w:r>
      <w:r>
        <w:rPr>
          <w:sz w:val="17"/>
        </w:rPr>
        <w:t xml:space="preserve"> </w:t>
      </w:r>
      <w:r>
        <w:rPr>
          <w:rFonts w:ascii="inherit" w:hAnsi="inherit"/>
          <w:sz w:val="17"/>
        </w:rPr>
        <w:t xml:space="preserve">common units at a price to the public of </w:t>
      </w:r>
      <w:r>
        <w:rPr>
          <w:rFonts w:ascii="Times New Roman" w:hAnsi="Times New Roman"/>
          <w:b w:val="false"/>
          <w:i w:val="false"/>
          <w:caps w:val="false"/>
          <w:smallCaps w:val="false"/>
          <w:strike w:val="false"/>
          <w:dstrike w:val="false"/>
          <w:color w:val="000000"/>
          <w:sz w:val="17"/>
          <w:u w:val="none"/>
          <w:effect w:val="none"/>
        </w:rPr>
        <w:t>$24.00</w:t>
      </w:r>
      <w:r>
        <w:rPr>
          <w:sz w:val="17"/>
        </w:rPr>
        <w:t xml:space="preserve"> </w:t>
      </w:r>
      <w:r>
        <w:rPr>
          <w:rFonts w:ascii="inherit" w:hAnsi="inherit"/>
          <w:sz w:val="17"/>
        </w:rPr>
        <w:t>per unit ($22.53</w:t>
      </w:r>
      <w:r>
        <w:rPr>
          <w:sz w:val="17"/>
        </w:rPr>
        <w:t xml:space="preserve"> </w:t>
      </w:r>
      <w:r>
        <w:rPr>
          <w:rFonts w:ascii="inherit" w:hAnsi="inherit"/>
          <w:sz w:val="17"/>
        </w:rPr>
        <w:t xml:space="preserve">per unit net of underwriting discount), including the </w:t>
      </w:r>
      <w:r>
        <w:rPr>
          <w:rFonts w:ascii="Times New Roman" w:hAnsi="Times New Roman"/>
          <w:b w:val="false"/>
          <w:i w:val="false"/>
          <w:caps w:val="false"/>
          <w:smallCaps w:val="false"/>
          <w:strike w:val="false"/>
          <w:dstrike w:val="false"/>
          <w:color w:val="000000"/>
          <w:sz w:val="17"/>
          <w:u w:val="none"/>
          <w:effect w:val="none"/>
        </w:rPr>
        <w:t>1,687,500</w:t>
      </w:r>
      <w:r>
        <w:rPr>
          <w:sz w:val="17"/>
        </w:rPr>
        <w:t xml:space="preserve"> </w:t>
      </w:r>
      <w:r>
        <w:rPr>
          <w:rFonts w:ascii="inherit" w:hAnsi="inherit"/>
          <w:sz w:val="17"/>
        </w:rPr>
        <w:t>common units that were issued pursuant to the exercise in full of the underwriters' over-allotment option as described in the WLKP Prospectus.</w:t>
      </w:r>
    </w:p>
    <w:p>
      <w:pPr>
        <w:pStyle w:val="TextBody"/>
        <w:spacing w:lineRule="auto" w:line="288" w:before="0" w:after="0"/>
        <w:ind w:left="0" w:right="0" w:firstLine="450"/>
        <w:jc w:val="left"/>
        <w:rPr>
          <w:sz w:val="17"/>
        </w:rPr>
      </w:pPr>
      <w:r>
        <w:rPr>
          <w:rFonts w:ascii="inherit" w:hAnsi="inherit"/>
          <w:sz w:val="17"/>
        </w:rPr>
        <w:t>In connection with the closing of the IPO, in exchange for Westlake’s contribution of a 5.8%</w:t>
      </w:r>
      <w:r>
        <w:rPr>
          <w:sz w:val="17"/>
        </w:rPr>
        <w:t xml:space="preserve"> </w:t>
      </w:r>
      <w:r>
        <w:rPr>
          <w:rFonts w:ascii="inherit" w:hAnsi="inherit"/>
          <w:sz w:val="17"/>
        </w:rPr>
        <w:t>limited partner interest in OpCo and OpCo's general partner interest to the Partnership, Westlake received:</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sz w:val="17"/>
              </w:rPr>
              <w:t>1,436,115</w:t>
            </w:r>
            <w:r>
              <w:rPr>
                <w:sz w:val="17"/>
              </w:rPr>
              <w:t xml:space="preserve"> </w:t>
            </w:r>
            <w:r>
              <w:rPr>
                <w:rFonts w:ascii="inherit" w:hAnsi="inherit"/>
                <w:sz w:val="17"/>
              </w:rPr>
              <w:t>common units and 12,686,115</w:t>
            </w:r>
            <w:r>
              <w:rPr>
                <w:sz w:val="17"/>
              </w:rPr>
              <w:t xml:space="preserve"> </w:t>
            </w:r>
            <w:r>
              <w:rPr>
                <w:rFonts w:ascii="inherit" w:hAnsi="inherit"/>
                <w:sz w:val="17"/>
              </w:rPr>
              <w:t>subordinated units, representing an aggregate 52.2%</w:t>
            </w:r>
            <w:r>
              <w:rPr>
                <w:sz w:val="17"/>
              </w:rPr>
              <w:t xml:space="preserve"> </w:t>
            </w:r>
            <w:r>
              <w:rPr>
                <w:rFonts w:ascii="inherit" w:hAnsi="inherit"/>
                <w:sz w:val="17"/>
              </w:rPr>
              <w:t>limited partner interest in the Partnership; and</w:t>
            </w:r>
          </w:p>
        </w:tc>
      </w:tr>
    </w:tbl>
    <w:tbl>
      <w:tblPr>
        <w:tblW w:w="6970" w:type="dxa"/>
        <w:jc w:val="left"/>
        <w:tblInd w:w="0" w:type="dxa"/>
        <w:tblCellMar>
          <w:top w:w="0" w:type="dxa"/>
          <w:left w:w="0" w:type="dxa"/>
          <w:bottom w:w="0" w:type="dxa"/>
          <w:right w:w="0" w:type="dxa"/>
        </w:tblCellMar>
      </w:tblPr>
      <w:tblGrid>
        <w:gridCol w:w="485"/>
        <w:gridCol w:w="6485"/>
      </w:tblGrid>
      <w:tr>
        <w:trPr/>
        <w:tc>
          <w:tcPr>
            <w:tcW w:w="485" w:type="dxa"/>
            <w:tcBorders/>
            <w:shd w:fill="auto" w:val="clear"/>
            <w:vAlign w:val="center"/>
          </w:tcPr>
          <w:p>
            <w:pPr>
              <w:pStyle w:val="TableContents"/>
              <w:spacing w:before="0" w:after="283"/>
              <w:rPr>
                <w:sz w:val="4"/>
                <w:szCs w:val="4"/>
              </w:rPr>
            </w:pPr>
            <w:r>
              <w:rPr>
                <w:sz w:val="4"/>
                <w:szCs w:val="4"/>
              </w:rPr>
            </w:r>
          </w:p>
        </w:tc>
        <w:tc>
          <w:tcPr>
            <w:tcW w:w="648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648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Partnership's general partner interest and its incentive distribution rights.</w:t>
            </w:r>
          </w:p>
        </w:tc>
      </w:tr>
    </w:tbl>
    <w:p>
      <w:pPr>
        <w:pStyle w:val="TextBody"/>
        <w:spacing w:lineRule="auto" w:line="288" w:before="0" w:after="0"/>
        <w:ind w:left="0" w:right="0" w:firstLine="450"/>
        <w:jc w:val="left"/>
        <w:rPr>
          <w:sz w:val="17"/>
        </w:rPr>
      </w:pPr>
      <w:r>
        <w:rPr>
          <w:rFonts w:ascii="inherit" w:hAnsi="inherit"/>
          <w:sz w:val="17"/>
        </w:rPr>
        <w:t>The Partnership received net proceeds of $286,088</w:t>
      </w:r>
      <w:r>
        <w:rPr>
          <w:sz w:val="17"/>
        </w:rPr>
        <w:t xml:space="preserve"> </w:t>
      </w:r>
      <w:r>
        <w:rPr>
          <w:rFonts w:ascii="inherit" w:hAnsi="inherit"/>
          <w:sz w:val="17"/>
        </w:rPr>
        <w:t>from the IPO, net of underwriting discounts, structuring fees and offering expenses of approximately $24,412. The Partnership used the net proceeds from the IPO to purchase an additional 4.8%</w:t>
      </w:r>
      <w:r>
        <w:rPr>
          <w:sz w:val="17"/>
        </w:rPr>
        <w:t xml:space="preserve"> </w:t>
      </w:r>
      <w:r>
        <w:rPr>
          <w:rFonts w:ascii="inherit" w:hAnsi="inherit"/>
          <w:sz w:val="17"/>
        </w:rPr>
        <w:t>limited partner interest in OpCo, resulting in the Partnership owning a 10.6%</w:t>
      </w:r>
      <w:r>
        <w:rPr>
          <w:sz w:val="17"/>
        </w:rPr>
        <w:t xml:space="preserve"> </w:t>
      </w:r>
      <w:r>
        <w:rPr>
          <w:rFonts w:ascii="inherit" w:hAnsi="inherit"/>
          <w:sz w:val="17"/>
        </w:rPr>
        <w:t>limited partner interest in OpCo. The Partnership recorded the incremental 4.8%</w:t>
      </w:r>
      <w:r>
        <w:rPr>
          <w:sz w:val="17"/>
        </w:rPr>
        <w:t xml:space="preserve"> </w:t>
      </w:r>
      <w:r>
        <w:rPr>
          <w:rFonts w:ascii="inherit" w:hAnsi="inherit"/>
          <w:sz w:val="17"/>
        </w:rPr>
        <w:t>limited partner interest in OpCo at its historical carrying value of $43,516</w:t>
      </w:r>
      <w:r>
        <w:rPr>
          <w:sz w:val="17"/>
        </w:rPr>
        <w:t xml:space="preserve"> </w:t>
      </w:r>
      <w:r>
        <w:rPr>
          <w:rFonts w:ascii="inherit" w:hAnsi="inherit"/>
          <w:sz w:val="17"/>
        </w:rPr>
        <w:t>and the excess cash paid over historical carrying value of $242,572</w:t>
      </w:r>
      <w:r>
        <w:rPr>
          <w:sz w:val="17"/>
        </w:rPr>
        <w:t xml:space="preserve"> </w:t>
      </w:r>
      <w:r>
        <w:rPr>
          <w:rFonts w:ascii="inherit" w:hAnsi="inherit"/>
          <w:sz w:val="17"/>
        </w:rPr>
        <w:t>as a decrease to the General partner-Westlake capital account. Accordingly, the Partnership's consolidated financial statements reflect the 89.4%</w:t>
      </w:r>
      <w:r>
        <w:rPr>
          <w:sz w:val="17"/>
        </w:rPr>
        <w:t xml:space="preserve"> </w:t>
      </w:r>
      <w:r>
        <w:rPr>
          <w:rFonts w:ascii="inherit" w:hAnsi="inherit"/>
          <w:sz w:val="17"/>
        </w:rPr>
        <w:t xml:space="preserve">limited partner interest in OpCo that was retained by Westlake as a noncontrolling interest.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w:t>
      </w:r>
      <w:r>
        <w:br w:type="page"/>
      </w:r>
    </w:p>
    <w:p>
      <w:pPr>
        <w:pStyle w:val="TextBody"/>
        <w:spacing w:lineRule="auto" w:line="288" w:before="0" w:after="0"/>
        <w:jc w:val="left"/>
        <w:rPr/>
      </w:pPr>
      <w:hyperlink w:anchor="s7D21BC485A80E1C3273666ECEC2365C6">
        <w:r>
          <w:rPr>
            <w:rStyle w:val="InternetLink"/>
            <w:rFonts w:ascii="inherit" w:hAnsi="inherit"/>
            <w:sz w:val="17"/>
          </w:rPr>
          <w:t>Table of Contents</w:t>
        </w:r>
      </w:hyperlink>
    </w:p>
    <w:p>
      <w:pPr>
        <w:pStyle w:val="TextBody"/>
        <w:spacing w:lineRule="auto" w:line="288" w:before="0" w:after="0"/>
        <w:jc w:val="center"/>
        <w:rPr>
          <w:rFonts w:ascii="inherit" w:hAnsi="inherit"/>
          <w:b/>
          <w:sz w:val="17"/>
        </w:rPr>
      </w:pPr>
      <w:r>
        <w:rPr>
          <w:rFonts w:ascii="inherit" w:hAnsi="inherit"/>
          <w:b/>
          <w:sz w:val="17"/>
        </w:rPr>
        <w:t>WESTLAKE CHEMICAL PARTNERS LP</w:t>
      </w:r>
    </w:p>
    <w:p>
      <w:pPr>
        <w:pStyle w:val="TextBody"/>
        <w:spacing w:lineRule="auto" w:line="288" w:before="0" w:after="0"/>
        <w:jc w:val="center"/>
        <w:rPr>
          <w:rFonts w:ascii="inherit" w:hAnsi="inherit"/>
          <w:b/>
          <w:sz w:val="17"/>
        </w:rPr>
      </w:pPr>
      <w:r>
        <w:rPr>
          <w:rFonts w:ascii="inherit" w:hAnsi="inherit"/>
          <w:b/>
          <w:sz w:val="17"/>
        </w:rPr>
        <w:t>NOTES TO COMBINED AND CONSOLIDATED FINANCIAL STATEMENTS - Continued</w:t>
      </w:r>
    </w:p>
    <w:p>
      <w:pPr>
        <w:pStyle w:val="TextBody"/>
        <w:spacing w:lineRule="auto" w:line="288" w:before="0" w:after="0"/>
        <w:jc w:val="center"/>
        <w:rPr>
          <w:rFonts w:ascii="inherit" w:hAnsi="inherit"/>
          <w:b/>
          <w:sz w:val="17"/>
        </w:rPr>
      </w:pPr>
      <w:r>
        <w:rPr>
          <w:rFonts w:ascii="inherit" w:hAnsi="inherit"/>
          <w:b/>
          <w:sz w:val="17"/>
        </w:rPr>
        <w:t>(Unaudited)</w:t>
      </w:r>
    </w:p>
    <w:p>
      <w:pPr>
        <w:pStyle w:val="TextBody"/>
        <w:spacing w:lineRule="auto" w:line="288" w:before="0" w:after="0"/>
        <w:jc w:val="center"/>
        <w:rPr>
          <w:rFonts w:ascii="inherit" w:hAnsi="inherit"/>
          <w:b/>
          <w:sz w:val="17"/>
        </w:rPr>
      </w:pPr>
      <w:r>
        <w:rPr>
          <w:rFonts w:ascii="inherit" w:hAnsi="inherit"/>
          <w:b/>
          <w:sz w:val="17"/>
        </w:rPr>
        <w:t>(in thousands of dollars, except unit amounts and per unit data)</w:t>
      </w:r>
    </w:p>
    <w:p>
      <w:pPr>
        <w:pStyle w:val="TextBody"/>
        <w:spacing w:before="0" w:after="0"/>
        <w:rPr/>
      </w:pPr>
      <w:r>
        <w:rPr/>
      </w:r>
    </w:p>
    <w:p>
      <w:pPr>
        <w:pStyle w:val="TextBody"/>
        <w:spacing w:lineRule="auto" w:line="288" w:before="0" w:after="0"/>
        <w:ind w:left="0" w:right="0" w:firstLine="450"/>
        <w:jc w:val="left"/>
        <w:rPr>
          <w:sz w:val="17"/>
        </w:rPr>
      </w:pPr>
      <w:r>
        <w:rPr>
          <w:rFonts w:ascii="inherit" w:hAnsi="inherit"/>
          <w:sz w:val="17"/>
        </w:rPr>
        <w:t>From the period beginning August 4, 2012 to July 31, 2013, Westlake incurred approximately $151,729</w:t>
      </w:r>
      <w:r>
        <w:rPr>
          <w:sz w:val="17"/>
        </w:rPr>
        <w:t xml:space="preserve"> </w:t>
      </w:r>
      <w:r>
        <w:rPr>
          <w:rFonts w:ascii="inherit" w:hAnsi="inherit"/>
          <w:sz w:val="17"/>
        </w:rPr>
        <w:t>in capital expenditures (the "Pre-August 2013 Capex") with respect to the assets contributed to OpCo. The portion of these capital expenditures incurred before January 1, 2013 was accounted for as an adjustment to Net investment, as it was funded through equity. The portion of the capital expenditures incurred from January 1, 2013 through July 31, 2013 was accounted for as a liability and is reflected as such on the Predecessor’s combined financial statements and the associated liability was retained by Westlake in connection with the closing of the IPO. During the period from August 1, 2013 through August 3, 2014, Westlake funded capital expenditures of $246,056</w:t>
      </w:r>
      <w:r>
        <w:rPr>
          <w:sz w:val="17"/>
        </w:rPr>
        <w:t xml:space="preserve"> </w:t>
      </w:r>
      <w:r>
        <w:rPr>
          <w:rFonts w:ascii="inherit" w:hAnsi="inherit"/>
          <w:sz w:val="17"/>
        </w:rPr>
        <w:t xml:space="preserve">related to the Contributed Assets under the terms of the intercompany notes that OpCo assumed in connection with the IPO (the "August 2013 Promissory Notes"). At the close of the IPO, the outstanding balance of the August 2013 Promissory Notes was $246,056. </w:t>
      </w:r>
    </w:p>
    <w:p>
      <w:pPr>
        <w:pStyle w:val="TextBody"/>
        <w:spacing w:lineRule="auto" w:line="288" w:before="0" w:after="0"/>
        <w:ind w:left="0" w:right="0" w:firstLine="450"/>
        <w:jc w:val="left"/>
        <w:rPr>
          <w:sz w:val="17"/>
        </w:rPr>
      </w:pPr>
      <w:r>
        <w:rPr>
          <w:rFonts w:ascii="inherit" w:hAnsi="inherit"/>
          <w:sz w:val="17"/>
        </w:rPr>
        <w:t>OpCo used the $286,088</w:t>
      </w:r>
      <w:r>
        <w:rPr>
          <w:sz w:val="17"/>
        </w:rPr>
        <w:t xml:space="preserve"> </w:t>
      </w:r>
      <w:r>
        <w:rPr>
          <w:rFonts w:ascii="inherit" w:hAnsi="inherit"/>
          <w:sz w:val="17"/>
        </w:rPr>
        <w:t>it received from the Partnership in exchange for a 4.8%</w:t>
      </w:r>
      <w:r>
        <w:rPr>
          <w:sz w:val="17"/>
        </w:rPr>
        <w:t xml:space="preserve"> </w:t>
      </w:r>
      <w:r>
        <w:rPr>
          <w:rFonts w:ascii="inherit" w:hAnsi="inherit"/>
          <w:sz w:val="17"/>
        </w:rPr>
        <w:t>limited partner interest in OpCo to (i) establish a $55,419</w:t>
      </w:r>
      <w:r>
        <w:rPr>
          <w:sz w:val="17"/>
        </w:rPr>
        <w:t xml:space="preserve"> </w:t>
      </w:r>
      <w:r>
        <w:rPr>
          <w:rFonts w:ascii="inherit" w:hAnsi="inherit"/>
          <w:sz w:val="17"/>
        </w:rPr>
        <w:t>turnaround reserve, (ii) reimburse $151,729</w:t>
      </w:r>
      <w:r>
        <w:rPr>
          <w:sz w:val="17"/>
        </w:rPr>
        <w:t xml:space="preserve"> </w:t>
      </w:r>
      <w:r>
        <w:rPr>
          <w:rFonts w:ascii="inherit" w:hAnsi="inherit"/>
          <w:sz w:val="17"/>
        </w:rPr>
        <w:t>to Westlake for the Pre-August 2013 Capex, and (iii) repay $78,940</w:t>
      </w:r>
      <w:r>
        <w:rPr>
          <w:sz w:val="17"/>
        </w:rPr>
        <w:t xml:space="preserve"> </w:t>
      </w:r>
      <w:r>
        <w:rPr>
          <w:rFonts w:ascii="inherit" w:hAnsi="inherit"/>
          <w:sz w:val="17"/>
        </w:rPr>
        <w:t>of the August 2013 Promissory Notes assumed by OpCo. Immediately after the repayment, the outstanding indebtedness payable to Westlake under the August 2013 Promissory Notes was $167,116.</w:t>
      </w:r>
    </w:p>
    <w:p>
      <w:pPr>
        <w:pStyle w:val="TextBody"/>
        <w:spacing w:lineRule="auto" w:line="288" w:before="0" w:after="0"/>
        <w:jc w:val="left"/>
        <w:rPr>
          <w:rFonts w:ascii="inherit" w:hAnsi="inherit"/>
          <w:b/>
          <w:i/>
          <w:sz w:val="17"/>
        </w:rPr>
      </w:pPr>
      <w:r>
        <w:rPr>
          <w:rFonts w:ascii="inherit" w:hAnsi="inherit"/>
          <w:b/>
          <w:i/>
          <w:sz w:val="17"/>
        </w:rPr>
        <w:t xml:space="preserve">Agreements with Westlake and Related Parties </w:t>
      </w:r>
    </w:p>
    <w:p>
      <w:pPr>
        <w:pStyle w:val="TextBody"/>
        <w:spacing w:lineRule="auto" w:line="288" w:before="0" w:after="0"/>
        <w:ind w:left="0" w:right="0" w:firstLine="435"/>
        <w:jc w:val="left"/>
        <w:rPr>
          <w:rFonts w:ascii="inherit" w:hAnsi="inherit"/>
          <w:sz w:val="17"/>
        </w:rPr>
      </w:pPr>
      <w:r>
        <w:rPr>
          <w:rFonts w:ascii="inherit" w:hAnsi="inherit"/>
          <w:sz w:val="17"/>
        </w:rPr>
        <w:t xml:space="preserve">The agreements described below became effective on August 4, 2014, concurrent with the closing of the IPO. </w:t>
      </w:r>
    </w:p>
    <w:p>
      <w:pPr>
        <w:pStyle w:val="TextBody"/>
        <w:spacing w:lineRule="auto" w:line="288" w:before="0" w:after="0"/>
        <w:jc w:val="left"/>
        <w:rPr>
          <w:rFonts w:ascii="inherit" w:hAnsi="inherit"/>
          <w:b/>
          <w:i/>
          <w:sz w:val="17"/>
        </w:rPr>
      </w:pPr>
      <w:r>
        <w:rPr>
          <w:rFonts w:ascii="inherit" w:hAnsi="inherit"/>
          <w:b/>
          <w:i/>
          <w:sz w:val="17"/>
        </w:rPr>
        <w:t>Ethylene Sales Agreement</w:t>
      </w:r>
    </w:p>
    <w:p>
      <w:pPr>
        <w:pStyle w:val="TextBody"/>
        <w:spacing w:lineRule="auto" w:line="288" w:before="0" w:after="0"/>
        <w:ind w:left="0" w:right="0" w:firstLine="450"/>
        <w:jc w:val="left"/>
        <w:rPr>
          <w:sz w:val="17"/>
        </w:rPr>
      </w:pPr>
      <w:r>
        <w:rPr>
          <w:rFonts w:ascii="inherit" w:hAnsi="inherit"/>
          <w:sz w:val="17"/>
        </w:rPr>
        <w:t>OpCo entered into a 12-year ethylene sales agreement with Westlake (the "Ethylene Sales Agreement"). The Ethylene Sales Agreement requires Westlake to purchase a minimum volume of ethylene each year equal to 95%</w:t>
      </w:r>
      <w:r>
        <w:rPr>
          <w:sz w:val="17"/>
        </w:rPr>
        <w:t xml:space="preserve"> </w:t>
      </w:r>
      <w:r>
        <w:rPr>
          <w:rFonts w:ascii="inherit" w:hAnsi="inherit"/>
          <w:sz w:val="17"/>
        </w:rPr>
        <w:t>of OpCo’s planned ethylene production per year (the "Minimum Commitment"), subject to certain exceptions and a maximum commitment of 3.8 billion</w:t>
      </w:r>
      <w:r>
        <w:rPr>
          <w:sz w:val="17"/>
        </w:rPr>
        <w:t xml:space="preserve"> </w:t>
      </w:r>
      <w:r>
        <w:rPr>
          <w:rFonts w:ascii="inherit" w:hAnsi="inherit"/>
          <w:sz w:val="17"/>
        </w:rPr>
        <w:t>pounds per year. So long as Westlake is not in default under the Ethylene Sales Agreement, if OpCo’s actual production exceeds planned production, Westlake has the option to purchase up to 95%</w:t>
      </w:r>
      <w:r>
        <w:rPr>
          <w:sz w:val="17"/>
        </w:rPr>
        <w:t xml:space="preserve"> </w:t>
      </w:r>
      <w:r>
        <w:rPr>
          <w:rFonts w:ascii="inherit" w:hAnsi="inherit"/>
          <w:sz w:val="17"/>
        </w:rPr>
        <w:t>of the excess production (the "Excess Production Option").</w:t>
      </w:r>
    </w:p>
    <w:p>
      <w:pPr>
        <w:pStyle w:val="TextBody"/>
        <w:spacing w:lineRule="auto" w:line="288" w:before="0" w:after="0"/>
        <w:ind w:left="0" w:right="0" w:firstLine="450"/>
        <w:jc w:val="left"/>
        <w:rPr>
          <w:rFonts w:ascii="inherit" w:hAnsi="inherit"/>
          <w:sz w:val="17"/>
        </w:rPr>
      </w:pPr>
      <w:r>
        <w:rPr>
          <w:rFonts w:ascii="inherit" w:hAnsi="inherit"/>
          <w:sz w:val="17"/>
        </w:rPr>
        <w:t>The fee for each pound of ethylene purchased by Westlake from OpCo up to the Minimum Commitment in any calendar year will equal:</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actual price OpCo pays Westlake to purchase ethane (or other feedstock, such as propane, if applicable) to produce each pound of ethylene, subject to a specified cap and a floor on the amount of feedstock that should be needed to produce each pound of ethylene; plus</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actual price OpCo pays Westlake to purchase natural gas to produce each pound of ethylene, subject to a specified cap and a floor on the amount of natural gas that should be needed to produce each pound of ethylene; plus</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OpCo’s estimated operating costs (including selling, general and administrative expenses), divided by OpCo’s planned ethylene production for the year (in pounds); plus</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 five-year average of OpCo’s expected future maintenance capital expenditures and other turnaround expenditures, divided by OpCo’s planned ethylene production capacity for the year (in pounds); less</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proceeds (on a per pound of ethylene basis) received by OpCo from the sale of co-products (including, but not limited to, propylene, crude butadiene, pyrolysis gasoline and hydrogen) associated with producing the ethylene purchased by Westlake; plus</w:t>
            </w:r>
          </w:p>
        </w:tc>
      </w:tr>
    </w:tbl>
    <w:tbl>
      <w:tblPr>
        <w:tblW w:w="2725" w:type="dxa"/>
        <w:jc w:val="left"/>
        <w:tblInd w:w="0" w:type="dxa"/>
        <w:tblCellMar>
          <w:top w:w="0" w:type="dxa"/>
          <w:left w:w="0" w:type="dxa"/>
          <w:bottom w:w="0" w:type="dxa"/>
          <w:right w:w="0" w:type="dxa"/>
        </w:tblCellMar>
      </w:tblPr>
      <w:tblGrid>
        <w:gridCol w:w="485"/>
        <w:gridCol w:w="2240"/>
      </w:tblGrid>
      <w:tr>
        <w:trPr/>
        <w:tc>
          <w:tcPr>
            <w:tcW w:w="485" w:type="dxa"/>
            <w:tcBorders/>
            <w:shd w:fill="auto" w:val="clear"/>
            <w:vAlign w:val="center"/>
          </w:tcPr>
          <w:p>
            <w:pPr>
              <w:pStyle w:val="TableContents"/>
              <w:spacing w:before="0" w:after="283"/>
              <w:rPr>
                <w:sz w:val="4"/>
                <w:szCs w:val="4"/>
              </w:rPr>
            </w:pPr>
            <w:r>
              <w:rPr>
                <w:sz w:val="4"/>
                <w:szCs w:val="4"/>
              </w:rPr>
            </w:r>
          </w:p>
        </w:tc>
        <w:tc>
          <w:tcPr>
            <w:tcW w:w="224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2240" w:type="dxa"/>
            <w:tcBorders/>
            <w:shd w:fill="auto" w:val="clear"/>
            <w:vAlign w:val="center"/>
          </w:tcPr>
          <w:p>
            <w:pPr>
              <w:pStyle w:val="TableContents"/>
              <w:spacing w:lineRule="auto" w:line="288" w:before="0" w:after="0"/>
              <w:jc w:val="left"/>
              <w:rPr>
                <w:sz w:val="17"/>
              </w:rPr>
            </w:pPr>
            <w:r>
              <w:rPr>
                <w:rFonts w:ascii="inherit" w:hAnsi="inherit"/>
                <w:sz w:val="17"/>
              </w:rPr>
              <w:t>a $0.10</w:t>
            </w:r>
            <w:r>
              <w:rPr>
                <w:sz w:val="17"/>
              </w:rPr>
              <w:t xml:space="preserve"> </w:t>
            </w:r>
            <w:r>
              <w:rPr>
                <w:rFonts w:ascii="inherit" w:hAnsi="inherit"/>
                <w:sz w:val="17"/>
              </w:rPr>
              <w:t>per pound margin.</w:t>
            </w:r>
          </w:p>
        </w:tc>
      </w:tr>
    </w:tbl>
    <w:p>
      <w:pPr>
        <w:pStyle w:val="TextBody"/>
        <w:spacing w:lineRule="auto" w:line="288" w:before="0" w:after="0"/>
        <w:ind w:left="0" w:right="0" w:firstLine="450"/>
        <w:jc w:val="left"/>
        <w:rPr>
          <w:sz w:val="17"/>
        </w:rPr>
      </w:pPr>
      <w:r>
        <w:rPr>
          <w:rFonts w:ascii="inherit" w:hAnsi="inherit"/>
          <w:sz w:val="17"/>
        </w:rPr>
        <w:t>The fee for the Excess Production Option, if exercised, equals OpCo’s estimated variable operating costs of producing the incremental ethylene, net of revenues from co-product sales plus a $0.10</w:t>
      </w:r>
      <w:r>
        <w:rPr>
          <w:sz w:val="17"/>
        </w:rPr>
        <w:t xml:space="preserve"> </w:t>
      </w:r>
      <w:r>
        <w:rPr>
          <w:rFonts w:ascii="inherit" w:hAnsi="inherit"/>
          <w:sz w:val="17"/>
        </w:rPr>
        <w:t>per pound margin.</w:t>
      </w:r>
    </w:p>
    <w:p>
      <w:pPr>
        <w:pStyle w:val="TextBody"/>
        <w:spacing w:lineRule="auto" w:line="288" w:before="0" w:after="0"/>
        <w:ind w:left="0" w:right="0" w:firstLine="450"/>
        <w:jc w:val="left"/>
        <w:rPr>
          <w:rFonts w:ascii="inherit" w:hAnsi="inherit"/>
          <w:sz w:val="17"/>
        </w:rPr>
      </w:pPr>
      <w:r>
        <w:rPr>
          <w:rFonts w:ascii="inherit" w:hAnsi="inherit"/>
          <w:sz w:val="17"/>
        </w:rPr>
        <w:t>The estimated operating costs and expected future maintenance capital expenditures and other turnaround expenditures will be adjusted at the end of each year, to be applicable for the fee for the next calendar year, to reflect certain changes in forecasted costs.</w:t>
      </w:r>
    </w:p>
    <w:p>
      <w:pPr>
        <w:pStyle w:val="TextBody"/>
        <w:spacing w:lineRule="auto" w:line="288" w:before="0" w:after="0"/>
        <w:ind w:left="0" w:right="0" w:firstLine="450"/>
        <w:jc w:val="left"/>
        <w:rPr>
          <w:rFonts w:ascii="inherit" w:hAnsi="inherit"/>
          <w:sz w:val="17"/>
        </w:rPr>
      </w:pPr>
      <w:r>
        <w:rPr>
          <w:rFonts w:ascii="inherit" w:hAnsi="inherit"/>
          <w:sz w:val="17"/>
        </w:rPr>
        <w:t>The result of the fee structure is that OpCo should recover the portion of its total operating costs and maintenance capital expenditures and other turnaround expenditures corresponding to the portion of OpCo’s aggregate production that is purchased by Westlake. The Ethylene Sales Agreement has an initial term extending until December 31, 2026 and automatically renews thereafter for successive 12-month terms unless terminated.</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w:t>
      </w:r>
      <w:r>
        <w:br w:type="page"/>
      </w:r>
    </w:p>
    <w:p>
      <w:pPr>
        <w:pStyle w:val="TextBody"/>
        <w:spacing w:lineRule="auto" w:line="288" w:before="0" w:after="0"/>
        <w:jc w:val="left"/>
        <w:rPr/>
      </w:pPr>
      <w:hyperlink w:anchor="s7D21BC485A80E1C3273666ECEC2365C6">
        <w:r>
          <w:rPr>
            <w:rStyle w:val="InternetLink"/>
            <w:rFonts w:ascii="inherit" w:hAnsi="inherit"/>
            <w:sz w:val="17"/>
          </w:rPr>
          <w:t>Table of Contents</w:t>
        </w:r>
      </w:hyperlink>
    </w:p>
    <w:p>
      <w:pPr>
        <w:pStyle w:val="TextBody"/>
        <w:spacing w:lineRule="auto" w:line="288" w:before="0" w:after="0"/>
        <w:jc w:val="center"/>
        <w:rPr>
          <w:rFonts w:ascii="inherit" w:hAnsi="inherit"/>
          <w:b/>
          <w:sz w:val="17"/>
        </w:rPr>
      </w:pPr>
      <w:r>
        <w:rPr>
          <w:rFonts w:ascii="inherit" w:hAnsi="inherit"/>
          <w:b/>
          <w:sz w:val="17"/>
        </w:rPr>
        <w:t>WESTLAKE CHEMICAL PARTNERS LP</w:t>
      </w:r>
    </w:p>
    <w:p>
      <w:pPr>
        <w:pStyle w:val="TextBody"/>
        <w:spacing w:lineRule="auto" w:line="288" w:before="0" w:after="0"/>
        <w:jc w:val="center"/>
        <w:rPr>
          <w:rFonts w:ascii="inherit" w:hAnsi="inherit"/>
          <w:b/>
          <w:sz w:val="17"/>
        </w:rPr>
      </w:pPr>
      <w:r>
        <w:rPr>
          <w:rFonts w:ascii="inherit" w:hAnsi="inherit"/>
          <w:b/>
          <w:sz w:val="17"/>
        </w:rPr>
        <w:t>NOTES TO COMBINED AND CONSOLIDATED FINANCIAL STATEMENTS - Continued</w:t>
      </w:r>
    </w:p>
    <w:p>
      <w:pPr>
        <w:pStyle w:val="TextBody"/>
        <w:spacing w:lineRule="auto" w:line="288" w:before="0" w:after="0"/>
        <w:jc w:val="center"/>
        <w:rPr>
          <w:rFonts w:ascii="inherit" w:hAnsi="inherit"/>
          <w:b/>
          <w:sz w:val="17"/>
        </w:rPr>
      </w:pPr>
      <w:r>
        <w:rPr>
          <w:rFonts w:ascii="inherit" w:hAnsi="inherit"/>
          <w:b/>
          <w:sz w:val="17"/>
        </w:rPr>
        <w:t>(Unaudited)</w:t>
      </w:r>
    </w:p>
    <w:p>
      <w:pPr>
        <w:pStyle w:val="TextBody"/>
        <w:spacing w:lineRule="auto" w:line="288" w:before="0" w:after="0"/>
        <w:jc w:val="center"/>
        <w:rPr>
          <w:rFonts w:ascii="inherit" w:hAnsi="inherit"/>
          <w:b/>
          <w:sz w:val="17"/>
        </w:rPr>
      </w:pPr>
      <w:r>
        <w:rPr>
          <w:rFonts w:ascii="inherit" w:hAnsi="inherit"/>
          <w:b/>
          <w:sz w:val="17"/>
        </w:rPr>
        <w:t>(in thousands of dollars, except unit amounts and per unit data)</w:t>
      </w:r>
    </w:p>
    <w:p>
      <w:pPr>
        <w:pStyle w:val="TextBody"/>
        <w:spacing w:before="0" w:after="0"/>
        <w:rPr/>
      </w:pPr>
      <w:r>
        <w:rPr/>
      </w:r>
    </w:p>
    <w:p>
      <w:pPr>
        <w:pStyle w:val="TextBody"/>
        <w:spacing w:lineRule="auto" w:line="288" w:before="0" w:after="0"/>
        <w:jc w:val="left"/>
        <w:rPr>
          <w:rFonts w:ascii="inherit" w:hAnsi="inherit"/>
          <w:b/>
          <w:i/>
          <w:sz w:val="17"/>
        </w:rPr>
      </w:pPr>
      <w:r>
        <w:rPr>
          <w:rFonts w:ascii="inherit" w:hAnsi="inherit"/>
          <w:b/>
          <w:i/>
          <w:sz w:val="17"/>
        </w:rPr>
        <w:t>Feedstock Supply Agreement</w:t>
      </w:r>
    </w:p>
    <w:p>
      <w:pPr>
        <w:pStyle w:val="TextBody"/>
        <w:spacing w:lineRule="auto" w:line="288" w:before="0" w:after="0"/>
        <w:ind w:left="0" w:right="0" w:firstLine="480"/>
        <w:jc w:val="left"/>
        <w:rPr>
          <w:rFonts w:ascii="inherit" w:hAnsi="inherit"/>
          <w:sz w:val="17"/>
        </w:rPr>
      </w:pPr>
      <w:r>
        <w:rPr>
          <w:rFonts w:ascii="inherit" w:hAnsi="inherit"/>
          <w:sz w:val="17"/>
        </w:rPr>
        <w:t>OpCo entered into a feedstock supply agreement with Westlake, pursuant to which Westlake agrees to sell to OpCo ethane and other feedstock in amounts sufficient for OpCo to produce the ethylene to be sold under the Ethylene Sales Agreement (the "Feedstock Supply Agreement"). The Feedstock Supply Agreement provides that OpCo obtains feedstock from Westlake, based on Westlake’s total cost of purchasing and delivering the feedstock, including applicable transportation, storage and other costs. Title and risk of loss for all feedstock purchased by OpCo through the Feedstock Supply Agreement passes to OpCo upon delivery to one of three delivery points described in the Feedstock Supply Agreement.</w:t>
      </w:r>
    </w:p>
    <w:p>
      <w:pPr>
        <w:pStyle w:val="TextBody"/>
        <w:spacing w:lineRule="auto" w:line="288" w:before="0" w:after="0"/>
        <w:ind w:left="0" w:right="0" w:firstLine="480"/>
        <w:jc w:val="left"/>
        <w:rPr>
          <w:rFonts w:ascii="inherit" w:hAnsi="inherit"/>
          <w:sz w:val="17"/>
        </w:rPr>
      </w:pPr>
      <w:r>
        <w:rPr>
          <w:rFonts w:ascii="inherit" w:hAnsi="inherit"/>
          <w:sz w:val="17"/>
        </w:rPr>
        <w:t>The Feedstock Supply Agreement has an initial term extending until December 31, 2026 and automatically renews thereafter for successive 12-month terms unless terminated by either party; provided, however, that such agreement can only be renewed in the event the Ethylene Sales Agreement is renewed simultaneously. The Feedstock Supply Agreement may, in certain circumstances, terminate concurrently with the termination of the Ethylene Sales Agreement.</w:t>
      </w:r>
    </w:p>
    <w:p>
      <w:pPr>
        <w:pStyle w:val="TextBody"/>
        <w:spacing w:lineRule="auto" w:line="288" w:before="0" w:after="0"/>
        <w:jc w:val="left"/>
        <w:rPr>
          <w:rFonts w:ascii="inherit" w:hAnsi="inherit"/>
          <w:b/>
          <w:i/>
          <w:sz w:val="17"/>
        </w:rPr>
      </w:pPr>
      <w:r>
        <w:rPr>
          <w:rFonts w:ascii="inherit" w:hAnsi="inherit"/>
          <w:b/>
          <w:i/>
          <w:sz w:val="17"/>
        </w:rPr>
        <w:t>Services and Secondment Agreement</w:t>
      </w:r>
    </w:p>
    <w:p>
      <w:pPr>
        <w:pStyle w:val="TextBody"/>
        <w:spacing w:lineRule="auto" w:line="288" w:before="0" w:after="0"/>
        <w:ind w:left="0" w:right="0" w:firstLine="480"/>
        <w:jc w:val="left"/>
        <w:rPr>
          <w:rFonts w:ascii="inherit" w:hAnsi="inherit"/>
          <w:sz w:val="17"/>
        </w:rPr>
      </w:pPr>
      <w:r>
        <w:rPr>
          <w:rFonts w:ascii="inherit" w:hAnsi="inherit"/>
          <w:sz w:val="17"/>
        </w:rPr>
        <w:t xml:space="preserve">OpCo entered into a services and secondment agreement with Westlake, pursuant to which OpCo provides Westlake with certain services required for the operation of Westlake’s facilities; and Westlake provides OpCo with comprehensive operating services for OpCo’s facilities, ranging from services relating to the maintenance and operations of the common facilities necessary for the operation of OpCo’s units, to making available certain shared utilities such as electricity and natural gas that are necessary for the operation of OpCo’s units. Westlake also seconded employees to OpCo to allow OpCo to operate OpCo’s facilities in an efficient and compliant manner. Such seconded employees will be under the control of OpCo while they work on OpCo’s facilities. </w:t>
      </w:r>
    </w:p>
    <w:p>
      <w:pPr>
        <w:pStyle w:val="TextBody"/>
        <w:spacing w:lineRule="auto" w:line="288" w:before="0" w:after="0"/>
        <w:ind w:left="0" w:right="0" w:firstLine="480"/>
        <w:jc w:val="left"/>
        <w:rPr>
          <w:rFonts w:ascii="inherit" w:hAnsi="inherit"/>
          <w:sz w:val="17"/>
        </w:rPr>
      </w:pPr>
      <w:r>
        <w:rPr>
          <w:rFonts w:ascii="inherit" w:hAnsi="inherit"/>
          <w:sz w:val="17"/>
        </w:rPr>
        <w:t>The services and secondment agreement has an initial 12-year term. The services and secondment agreement may be renewed thereafter upon agreement of the parties and shall automatically terminate if the Ethylene Sales Agreement terminates under certain circumstances. Westlake and OpCo each can terminate the services and secondment agreement under certain circumstances, including if the other party materially defaults on the performance of its obligations and such default continues for a 30-day period.</w:t>
      </w:r>
    </w:p>
    <w:p>
      <w:pPr>
        <w:pStyle w:val="TextBody"/>
        <w:spacing w:lineRule="auto" w:line="288" w:before="0" w:after="0"/>
        <w:jc w:val="left"/>
        <w:rPr>
          <w:rFonts w:ascii="inherit" w:hAnsi="inherit"/>
          <w:b/>
          <w:i/>
          <w:sz w:val="17"/>
        </w:rPr>
      </w:pPr>
      <w:r>
        <w:rPr>
          <w:rFonts w:ascii="inherit" w:hAnsi="inherit"/>
          <w:b/>
          <w:i/>
          <w:sz w:val="17"/>
        </w:rPr>
        <w:t>Site Lease Agreements</w:t>
      </w:r>
    </w:p>
    <w:p>
      <w:pPr>
        <w:pStyle w:val="TextBody"/>
        <w:spacing w:lineRule="auto" w:line="288" w:before="0" w:after="0"/>
        <w:ind w:left="0" w:right="0" w:firstLine="480"/>
        <w:jc w:val="left"/>
        <w:rPr>
          <w:sz w:val="17"/>
        </w:rPr>
      </w:pPr>
      <w:r>
        <w:rPr>
          <w:rFonts w:ascii="inherit" w:hAnsi="inherit"/>
          <w:sz w:val="17"/>
        </w:rPr>
        <w:t>OpCo entered into two site lease agreements with Westlake pursuant to which Westlake leases to OpCo the real property underlying Lake Charles Olefins and Calvert City Olefins, respectively, and grants OpCo rights to access and use certain other portions of Westlake’s ethylene production facilities that are necessary to operate OpCo’s units at such ethylene production facilities. OpCo owes Westlake one dollar per site per year. The site lease agreements each have a term of 50</w:t>
      </w:r>
      <w:r>
        <w:rPr>
          <w:sz w:val="17"/>
        </w:rPr>
        <w:t xml:space="preserve"> </w:t>
      </w:r>
      <w:r>
        <w:rPr>
          <w:rFonts w:ascii="inherit" w:hAnsi="inherit"/>
          <w:sz w:val="17"/>
        </w:rPr>
        <w:t>years. Each of the site lease agreements may be renewed if agreed by the parties.</w:t>
      </w:r>
    </w:p>
    <w:p>
      <w:pPr>
        <w:pStyle w:val="TextBody"/>
        <w:spacing w:lineRule="auto" w:line="288" w:before="0" w:after="0"/>
        <w:jc w:val="left"/>
        <w:rPr>
          <w:rFonts w:ascii="inherit" w:hAnsi="inherit"/>
          <w:b/>
          <w:i/>
          <w:sz w:val="17"/>
        </w:rPr>
      </w:pPr>
      <w:r>
        <w:rPr>
          <w:rFonts w:ascii="inherit" w:hAnsi="inherit"/>
          <w:b/>
          <w:i/>
          <w:sz w:val="17"/>
        </w:rPr>
        <w:t>Omnibus Agreement</w:t>
      </w:r>
    </w:p>
    <w:p>
      <w:pPr>
        <w:pStyle w:val="TextBody"/>
        <w:spacing w:lineRule="auto" w:line="288" w:before="0" w:after="0"/>
        <w:ind w:left="0" w:right="0" w:firstLine="480"/>
        <w:jc w:val="left"/>
        <w:rPr>
          <w:rFonts w:ascii="inherit" w:hAnsi="inherit"/>
          <w:sz w:val="17"/>
        </w:rPr>
      </w:pPr>
      <w:r>
        <w:rPr>
          <w:rFonts w:ascii="inherit" w:hAnsi="inherit"/>
          <w:sz w:val="17"/>
        </w:rPr>
        <w:t>The Partnership entered into an omnibus agreement with Westlake that addresses Westlake’s indemnification of the Partnership for certain matters, including environmental and tax matters, as well as the provision by Westlake of certain management and other general and administrative services to the Partnership and its general partner and the Partnership’s reimbursement to Westlake for such services. The omnibus agreement also addresses Westlake’s right of first refusal on any proposed transfer of the ethylene production facilities that serve Westlake’s other facilities and Westlake’s right of first refusal on any proposed transfer of the Partnership's equity interests in OpCo.</w:t>
      </w:r>
    </w:p>
    <w:p>
      <w:pPr>
        <w:pStyle w:val="TextBody"/>
        <w:spacing w:lineRule="auto" w:line="288" w:before="0" w:after="0"/>
        <w:rPr>
          <w:rFonts w:ascii="inherit" w:hAnsi="inherit"/>
          <w:b/>
          <w:sz w:val="17"/>
        </w:rPr>
      </w:pPr>
      <w:bookmarkStart w:id="17" w:name="sD22A29C3D6F9237C99AE66ECE86D3A60"/>
      <w:bookmarkEnd w:id="17"/>
      <w:r>
        <w:rPr>
          <w:rFonts w:ascii="inherit" w:hAnsi="inherit"/>
          <w:b/>
          <w:sz w:val="17"/>
        </w:rPr>
        <w:t>3. Recent Accounting Pronouncements</w:t>
      </w:r>
    </w:p>
    <w:p>
      <w:pPr>
        <w:pStyle w:val="TextBody"/>
        <w:spacing w:lineRule="auto" w:line="288" w:before="0" w:after="0"/>
        <w:jc w:val="left"/>
        <w:rPr>
          <w:rFonts w:ascii="inherit" w:hAnsi="inherit"/>
          <w:b/>
          <w:i/>
          <w:sz w:val="17"/>
        </w:rPr>
      </w:pPr>
      <w:r>
        <w:rPr>
          <w:rFonts w:ascii="inherit" w:hAnsi="inherit"/>
          <w:b/>
          <w:i/>
          <w:sz w:val="17"/>
        </w:rPr>
        <w:t>Revenue from Contracts with Customers</w:t>
      </w:r>
    </w:p>
    <w:p>
      <w:pPr>
        <w:pStyle w:val="TextBody"/>
        <w:spacing w:lineRule="auto" w:line="288" w:before="0" w:after="0"/>
        <w:ind w:left="0" w:right="0" w:firstLine="480"/>
        <w:rPr>
          <w:rFonts w:ascii="inherit" w:hAnsi="inherit"/>
          <w:sz w:val="17"/>
        </w:rPr>
      </w:pPr>
      <w:r>
        <w:rPr>
          <w:rFonts w:ascii="inherit" w:hAnsi="inherit"/>
          <w:sz w:val="17"/>
        </w:rPr>
        <w:t xml:space="preserve">In May 2014, the Financial Accounting Standards Board ("FASB") issued an accounting standards update on a comprehensive new revenue recognition standard that will supersede the existing revenue recognition guidance. The new accounting guidance creates a framework by which an entity will allocate the transaction price to separate performance obligations and recognize revenue when each performance obligation is satisfied. Under the new standard, entities will be required to use judgment and make estimates, including identifying performance obligations in a contract, estimating the amount of variable consideration to include in the transaction price, allocating the transaction price to each separate performance obligation and determining when an entity satisfies its performance obligations. The standard allows for either "full retrospective" adoption, meaning that the standard is applied to all of the periods presented with a cumulative catch-up as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9</w:t>
      </w:r>
      <w:r>
        <w:br w:type="page"/>
      </w:r>
    </w:p>
    <w:p>
      <w:pPr>
        <w:pStyle w:val="TextBody"/>
        <w:spacing w:lineRule="auto" w:line="288" w:before="0" w:after="0"/>
        <w:jc w:val="left"/>
        <w:rPr/>
      </w:pPr>
      <w:hyperlink w:anchor="s7D21BC485A80E1C3273666ECEC2365C6">
        <w:r>
          <w:rPr>
            <w:rStyle w:val="InternetLink"/>
            <w:rFonts w:ascii="inherit" w:hAnsi="inherit"/>
            <w:sz w:val="17"/>
          </w:rPr>
          <w:t>Table of Contents</w:t>
        </w:r>
      </w:hyperlink>
    </w:p>
    <w:p>
      <w:pPr>
        <w:pStyle w:val="TextBody"/>
        <w:spacing w:lineRule="auto" w:line="288" w:before="0" w:after="0"/>
        <w:jc w:val="center"/>
        <w:rPr>
          <w:rFonts w:ascii="inherit" w:hAnsi="inherit"/>
          <w:b/>
          <w:sz w:val="17"/>
        </w:rPr>
      </w:pPr>
      <w:r>
        <w:rPr>
          <w:rFonts w:ascii="inherit" w:hAnsi="inherit"/>
          <w:b/>
          <w:sz w:val="17"/>
        </w:rPr>
        <w:t>WESTLAKE CHEMICAL PARTNERS LP</w:t>
      </w:r>
    </w:p>
    <w:p>
      <w:pPr>
        <w:pStyle w:val="TextBody"/>
        <w:spacing w:lineRule="auto" w:line="288" w:before="0" w:after="0"/>
        <w:jc w:val="center"/>
        <w:rPr>
          <w:rFonts w:ascii="inherit" w:hAnsi="inherit"/>
          <w:b/>
          <w:sz w:val="17"/>
        </w:rPr>
      </w:pPr>
      <w:r>
        <w:rPr>
          <w:rFonts w:ascii="inherit" w:hAnsi="inherit"/>
          <w:b/>
          <w:sz w:val="17"/>
        </w:rPr>
        <w:t>NOTES TO COMBINED AND CONSOLIDATED FINANCIAL STATEMENTS - Continued</w:t>
      </w:r>
    </w:p>
    <w:p>
      <w:pPr>
        <w:pStyle w:val="TextBody"/>
        <w:spacing w:lineRule="auto" w:line="288" w:before="0" w:after="0"/>
        <w:jc w:val="center"/>
        <w:rPr>
          <w:rFonts w:ascii="inherit" w:hAnsi="inherit"/>
          <w:b/>
          <w:sz w:val="17"/>
        </w:rPr>
      </w:pPr>
      <w:r>
        <w:rPr>
          <w:rFonts w:ascii="inherit" w:hAnsi="inherit"/>
          <w:b/>
          <w:sz w:val="17"/>
        </w:rPr>
        <w:t>(Unaudited)</w:t>
      </w:r>
    </w:p>
    <w:p>
      <w:pPr>
        <w:pStyle w:val="TextBody"/>
        <w:spacing w:lineRule="auto" w:line="288" w:before="0" w:after="0"/>
        <w:jc w:val="center"/>
        <w:rPr>
          <w:rFonts w:ascii="inherit" w:hAnsi="inherit"/>
          <w:b/>
          <w:sz w:val="17"/>
        </w:rPr>
      </w:pPr>
      <w:r>
        <w:rPr>
          <w:rFonts w:ascii="inherit" w:hAnsi="inherit"/>
          <w:b/>
          <w:sz w:val="17"/>
        </w:rPr>
        <w:t>(in thousands of dollars, except unit amounts and per unit data)</w:t>
      </w:r>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 xml:space="preserve">of the earliest period presented, or "modified retrospective" adoption, meaning the standard is applied only to the most current period presented in the financial statements with a cumulative catch-up as of the current period. The accounting standard will be effective for reporting periods beginning after December 15, 2016. The Partnership is in the process of evaluating the impact that the new accounting guidance will have on its consolidated financial position, results of operations and cash flows. </w:t>
      </w:r>
    </w:p>
    <w:p>
      <w:pPr>
        <w:pStyle w:val="TextBody"/>
        <w:spacing w:lineRule="auto" w:line="288" w:before="0" w:after="0"/>
        <w:jc w:val="left"/>
        <w:rPr>
          <w:rFonts w:ascii="inherit" w:hAnsi="inherit"/>
          <w:b/>
          <w:i/>
          <w:sz w:val="17"/>
        </w:rPr>
      </w:pPr>
      <w:r>
        <w:rPr>
          <w:rFonts w:ascii="inherit" w:hAnsi="inherit"/>
          <w:b/>
          <w:i/>
          <w:sz w:val="17"/>
        </w:rPr>
        <w:t>Disclosure of Uncertainties about an Entity’s Ability to Continue as a Going Concern</w:t>
      </w:r>
    </w:p>
    <w:p>
      <w:pPr>
        <w:pStyle w:val="TextBody"/>
        <w:spacing w:lineRule="auto" w:line="288" w:before="0" w:after="0"/>
        <w:ind w:left="0" w:right="0" w:firstLine="450"/>
        <w:jc w:val="left"/>
        <w:rPr>
          <w:rFonts w:ascii="inherit" w:hAnsi="inherit"/>
          <w:sz w:val="17"/>
        </w:rPr>
      </w:pPr>
      <w:r>
        <w:rPr>
          <w:rFonts w:ascii="inherit" w:hAnsi="inherit"/>
          <w:sz w:val="17"/>
        </w:rPr>
        <w:t>In August 2014, the FASB issued an accounting standards update on management’s responsibility to evaluate whether there is substantial doubt about an entity’s ability to continue as a going concern. The new accounting guidance requires management to perform interim and annual assessments of an entity's ability to continue as a going concern within one year of the date the financial statements are issued. An entity must provide certain disclosures if "conditions or events raise substantial doubt about the entity's ability to continue as a going concern." The accounting standard will be effective for reporting periods ending after December 15, 2016 and is not expected to have an impact on the Partnership's consolidated financial position, results of operations and cash flows.</w:t>
      </w:r>
    </w:p>
    <w:p>
      <w:pPr>
        <w:pStyle w:val="TextBody"/>
        <w:spacing w:lineRule="auto" w:line="288" w:before="0" w:after="0"/>
        <w:rPr>
          <w:rFonts w:ascii="inherit" w:hAnsi="inherit"/>
          <w:b/>
          <w:sz w:val="17"/>
        </w:rPr>
      </w:pPr>
      <w:bookmarkStart w:id="18" w:name="s63EED8B4977C59865B5C66ECE86D009E"/>
      <w:bookmarkEnd w:id="18"/>
      <w:r>
        <w:rPr>
          <w:rFonts w:ascii="inherit" w:hAnsi="inherit"/>
          <w:b/>
          <w:sz w:val="17"/>
        </w:rPr>
        <w:t>4. Accounts Receivable</w:t>
      </w:r>
    </w:p>
    <w:p>
      <w:pPr>
        <w:pStyle w:val="TextBody"/>
        <w:spacing w:lineRule="auto" w:line="288" w:before="0" w:after="0"/>
        <w:ind w:left="0" w:right="0" w:firstLine="480"/>
        <w:rPr>
          <w:rFonts w:ascii="inherit" w:hAnsi="inherit"/>
          <w:sz w:val="17"/>
        </w:rPr>
      </w:pPr>
      <w:r>
        <w:rPr>
          <w:rFonts w:ascii="inherit" w:hAnsi="inherit"/>
          <w:sz w:val="17"/>
        </w:rPr>
        <w:t>Accounts receivable consist of the following:</w:t>
      </w:r>
    </w:p>
    <w:tbl>
      <w:tblPr>
        <w:tblW w:w="10205" w:type="dxa"/>
        <w:jc w:val="left"/>
        <w:tblInd w:w="0" w:type="dxa"/>
        <w:tblCellMar>
          <w:top w:w="0" w:type="dxa"/>
          <w:left w:w="0" w:type="dxa"/>
          <w:bottom w:w="0" w:type="dxa"/>
          <w:right w:w="0" w:type="dxa"/>
        </w:tblCellMar>
      </w:tblPr>
      <w:tblGrid>
        <w:gridCol w:w="6515"/>
        <w:gridCol w:w="134"/>
        <w:gridCol w:w="191"/>
        <w:gridCol w:w="1422"/>
        <w:gridCol w:w="108"/>
        <w:gridCol w:w="134"/>
        <w:gridCol w:w="175"/>
        <w:gridCol w:w="1345"/>
        <w:gridCol w:w="181"/>
      </w:tblGrid>
      <w:tr>
        <w:trPr/>
        <w:tc>
          <w:tcPr>
            <w:tcW w:w="10205" w:type="dxa"/>
            <w:gridSpan w:val="9"/>
            <w:tcBorders/>
            <w:shd w:fill="auto" w:val="clear"/>
            <w:vAlign w:val="center"/>
          </w:tcPr>
          <w:p>
            <w:pPr>
              <w:pStyle w:val="TableContents"/>
              <w:spacing w:before="0" w:after="283"/>
              <w:rPr>
                <w:sz w:val="4"/>
                <w:szCs w:val="4"/>
              </w:rPr>
            </w:pPr>
            <w:r>
              <w:rPr>
                <w:sz w:val="4"/>
                <w:szCs w:val="4"/>
              </w:rPr>
            </w:r>
          </w:p>
        </w:tc>
      </w:tr>
      <w:tr>
        <w:trPr/>
        <w:tc>
          <w:tcPr>
            <w:tcW w:w="651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422"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515" w:type="dxa"/>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72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September 30, </w:t>
              <w:br/>
              <w:t>2014</w:t>
            </w:r>
          </w:p>
        </w:tc>
        <w:tc>
          <w:tcPr>
            <w:tcW w:w="134" w:type="dxa"/>
            <w:tcBorders/>
            <w:shd w:fill="auto" w:val="clear"/>
            <w:vAlign w:val="center"/>
          </w:tcPr>
          <w:p>
            <w:pPr>
              <w:pStyle w:val="TableContents"/>
              <w:spacing w:before="0" w:after="0"/>
              <w:ind w:left="0" w:right="0" w:firstLine="30"/>
              <w:rPr/>
            </w:pPr>
            <w:r>
              <w:rPr/>
              <w:t> </w:t>
            </w:r>
          </w:p>
        </w:tc>
        <w:tc>
          <w:tcPr>
            <w:tcW w:w="170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December 31, </w:t>
              <w:br/>
              <w:t>2013</w:t>
            </w:r>
          </w:p>
        </w:tc>
      </w:tr>
      <w:tr>
        <w:trPr/>
        <w:tc>
          <w:tcPr>
            <w:tcW w:w="6515" w:type="dxa"/>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721" w:type="dxa"/>
            <w:gridSpan w:val="3"/>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701" w:type="dxa"/>
            <w:gridSpan w:val="3"/>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b/>
                <w:i/>
                <w:sz w:val="13"/>
              </w:rPr>
            </w:pPr>
            <w:r>
              <w:rPr>
                <w:rFonts w:ascii="inherit" w:hAnsi="inherit"/>
                <w:b/>
                <w:i/>
                <w:sz w:val="13"/>
              </w:rPr>
              <w:t>Predecessor</w:t>
            </w:r>
          </w:p>
        </w:tc>
      </w:tr>
      <w:tr>
        <w:trPr/>
        <w:tc>
          <w:tcPr>
            <w:tcW w:w="65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Trade customers</w:t>
            </w:r>
          </w:p>
        </w:tc>
        <w:tc>
          <w:tcPr>
            <w:tcW w:w="134" w:type="dxa"/>
            <w:tcBorders/>
            <w:shd w:fill="CCEEFF" w:val="clear"/>
            <w:vAlign w:val="center"/>
          </w:tcPr>
          <w:p>
            <w:pPr>
              <w:pStyle w:val="TableContents"/>
              <w:spacing w:before="0" w:after="0"/>
              <w:ind w:left="0" w:right="0" w:firstLine="30"/>
              <w:rPr/>
            </w:pPr>
            <w:r>
              <w:rPr/>
              <w:t> </w:t>
            </w:r>
          </w:p>
        </w:tc>
        <w:tc>
          <w:tcPr>
            <w:tcW w:w="19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422" w:type="dxa"/>
            <w:tcBorders/>
            <w:shd w:fill="CCEEFF" w:val="clear"/>
            <w:vAlign w:val="center"/>
          </w:tcPr>
          <w:p>
            <w:pPr>
              <w:pStyle w:val="TableContents"/>
              <w:spacing w:before="0" w:after="0"/>
              <w:jc w:val="right"/>
              <w:rPr>
                <w:rFonts w:ascii="inherit" w:hAnsi="inherit"/>
                <w:sz w:val="17"/>
              </w:rPr>
            </w:pPr>
            <w:r>
              <w:rPr>
                <w:rFonts w:ascii="inherit" w:hAnsi="inherit"/>
                <w:sz w:val="17"/>
              </w:rPr>
              <w:t>29,606</w:t>
            </w:r>
          </w:p>
        </w:tc>
        <w:tc>
          <w:tcPr>
            <w:tcW w:w="1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7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45" w:type="dxa"/>
            <w:tcBorders/>
            <w:shd w:fill="CCEEFF" w:val="clear"/>
            <w:vAlign w:val="center"/>
          </w:tcPr>
          <w:p>
            <w:pPr>
              <w:pStyle w:val="TableContents"/>
              <w:spacing w:before="0" w:after="0"/>
              <w:jc w:val="right"/>
              <w:rPr>
                <w:rFonts w:ascii="inherit" w:hAnsi="inherit"/>
                <w:sz w:val="17"/>
              </w:rPr>
            </w:pPr>
            <w:r>
              <w:rPr>
                <w:rFonts w:ascii="inherit" w:hAnsi="inherit"/>
                <w:sz w:val="17"/>
              </w:rPr>
              <w:t>73,594</w:t>
            </w:r>
          </w:p>
        </w:tc>
        <w:tc>
          <w:tcPr>
            <w:tcW w:w="1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Allowance for doubtful accounts</w:t>
            </w:r>
          </w:p>
        </w:tc>
        <w:tc>
          <w:tcPr>
            <w:tcW w:w="134" w:type="dxa"/>
            <w:tcBorders/>
            <w:shd w:fill="auto" w:val="clear"/>
            <w:vAlign w:val="center"/>
          </w:tcPr>
          <w:p>
            <w:pPr>
              <w:pStyle w:val="TableContents"/>
              <w:spacing w:before="0" w:after="0"/>
              <w:ind w:left="0" w:right="0" w:firstLine="30"/>
              <w:rPr/>
            </w:pPr>
            <w:r>
              <w:rPr/>
              <w:t> </w:t>
            </w:r>
          </w:p>
        </w:tc>
        <w:tc>
          <w:tcPr>
            <w:tcW w:w="1613"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0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5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(2,105</w:t>
            </w:r>
          </w:p>
        </w:tc>
        <w:tc>
          <w:tcPr>
            <w:tcW w:w="18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515" w:type="dxa"/>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61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29,606</w:t>
            </w:r>
          </w:p>
        </w:tc>
        <w:tc>
          <w:tcPr>
            <w:tcW w:w="1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5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71,489</w:t>
            </w:r>
          </w:p>
        </w:tc>
        <w:tc>
          <w:tcPr>
            <w:tcW w:w="1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134" w:type="dxa"/>
            <w:tcBorders/>
            <w:shd w:fill="auto" w:val="clear"/>
            <w:vAlign w:val="center"/>
          </w:tcPr>
          <w:p>
            <w:pPr>
              <w:pStyle w:val="TableContents"/>
              <w:spacing w:before="0" w:after="0"/>
              <w:ind w:left="0" w:right="0" w:firstLine="30"/>
              <w:rPr/>
            </w:pPr>
            <w:r>
              <w:rPr/>
              <w:t> </w:t>
            </w:r>
          </w:p>
        </w:tc>
        <w:tc>
          <w:tcPr>
            <w:tcW w:w="1613"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0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5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323</w:t>
            </w:r>
          </w:p>
        </w:tc>
        <w:tc>
          <w:tcPr>
            <w:tcW w:w="18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Accounts receivable, net—third parties</w:t>
            </w:r>
          </w:p>
        </w:tc>
        <w:tc>
          <w:tcPr>
            <w:tcW w:w="134" w:type="dxa"/>
            <w:tcBorders/>
            <w:shd w:fill="CCEEFF" w:val="clear"/>
            <w:vAlign w:val="center"/>
          </w:tcPr>
          <w:p>
            <w:pPr>
              <w:pStyle w:val="TableContents"/>
              <w:spacing w:before="0" w:after="0"/>
              <w:ind w:left="0" w:right="0" w:firstLine="30"/>
              <w:rPr/>
            </w:pPr>
            <w:r>
              <w:rPr/>
              <w:t> </w:t>
            </w:r>
          </w:p>
        </w:tc>
        <w:tc>
          <w:tcPr>
            <w:tcW w:w="19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42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29,606</w:t>
            </w:r>
          </w:p>
        </w:tc>
        <w:tc>
          <w:tcPr>
            <w:tcW w:w="10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7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4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71,812</w:t>
            </w:r>
          </w:p>
        </w:tc>
        <w:tc>
          <w:tcPr>
            <w:tcW w:w="181"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b/>
          <w:sz w:val="17"/>
        </w:rPr>
      </w:pPr>
      <w:bookmarkStart w:id="19" w:name="sA9AFF170FE3C03F765BD66ECE84FB5FA"/>
      <w:bookmarkEnd w:id="19"/>
      <w:r>
        <w:rPr>
          <w:rFonts w:ascii="inherit" w:hAnsi="inherit"/>
          <w:b/>
          <w:sz w:val="17"/>
        </w:rPr>
        <w:t>5. Inventories</w:t>
      </w:r>
    </w:p>
    <w:p>
      <w:pPr>
        <w:pStyle w:val="TextBody"/>
        <w:spacing w:lineRule="auto" w:line="288" w:before="0" w:after="0"/>
        <w:ind w:left="0" w:right="0" w:firstLine="480"/>
        <w:rPr>
          <w:rFonts w:ascii="inherit" w:hAnsi="inherit"/>
          <w:sz w:val="17"/>
        </w:rPr>
      </w:pPr>
      <w:r>
        <w:rPr>
          <w:rFonts w:ascii="inherit" w:hAnsi="inherit"/>
          <w:sz w:val="17"/>
        </w:rPr>
        <w:t>Inventories consist of the following:</w:t>
      </w:r>
    </w:p>
    <w:tbl>
      <w:tblPr>
        <w:tblW w:w="10205" w:type="dxa"/>
        <w:jc w:val="left"/>
        <w:tblInd w:w="0" w:type="dxa"/>
        <w:tblCellMar>
          <w:top w:w="0" w:type="dxa"/>
          <w:left w:w="0" w:type="dxa"/>
          <w:bottom w:w="0" w:type="dxa"/>
          <w:right w:w="0" w:type="dxa"/>
        </w:tblCellMar>
      </w:tblPr>
      <w:tblGrid>
        <w:gridCol w:w="6429"/>
        <w:gridCol w:w="138"/>
        <w:gridCol w:w="220"/>
        <w:gridCol w:w="1428"/>
        <w:gridCol w:w="115"/>
        <w:gridCol w:w="138"/>
        <w:gridCol w:w="179"/>
        <w:gridCol w:w="1438"/>
        <w:gridCol w:w="120"/>
      </w:tblGrid>
      <w:tr>
        <w:trPr/>
        <w:tc>
          <w:tcPr>
            <w:tcW w:w="10205" w:type="dxa"/>
            <w:gridSpan w:val="9"/>
            <w:tcBorders/>
            <w:shd w:fill="auto" w:val="clear"/>
            <w:vAlign w:val="center"/>
          </w:tcPr>
          <w:p>
            <w:pPr>
              <w:pStyle w:val="TableContents"/>
              <w:spacing w:before="0" w:after="283"/>
              <w:rPr>
                <w:sz w:val="4"/>
                <w:szCs w:val="4"/>
              </w:rPr>
            </w:pPr>
            <w:r>
              <w:rPr>
                <w:sz w:val="4"/>
                <w:szCs w:val="4"/>
              </w:rPr>
            </w:r>
          </w:p>
        </w:tc>
      </w:tr>
      <w:tr>
        <w:trPr/>
        <w:tc>
          <w:tcPr>
            <w:tcW w:w="6429"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428"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43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r>
      <w:tr>
        <w:trPr/>
        <w:tc>
          <w:tcPr>
            <w:tcW w:w="64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76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September 30, </w:t>
              <w:br/>
              <w:t>2014</w:t>
            </w:r>
          </w:p>
        </w:tc>
        <w:tc>
          <w:tcPr>
            <w:tcW w:w="138"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73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December 31, </w:t>
              <w:br/>
              <w:t>2013</w:t>
            </w:r>
          </w:p>
        </w:tc>
      </w:tr>
      <w:tr>
        <w:trPr/>
        <w:tc>
          <w:tcPr>
            <w:tcW w:w="6429" w:type="dxa"/>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ind w:left="0" w:right="0" w:firstLine="30"/>
              <w:rPr/>
            </w:pPr>
            <w:r>
              <w:rPr/>
              <w:t> </w:t>
            </w:r>
          </w:p>
        </w:tc>
        <w:tc>
          <w:tcPr>
            <w:tcW w:w="1763" w:type="dxa"/>
            <w:gridSpan w:val="3"/>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ind w:left="0" w:right="0" w:firstLine="30"/>
              <w:rPr/>
            </w:pPr>
            <w:r>
              <w:rPr/>
              <w:t> </w:t>
            </w:r>
          </w:p>
        </w:tc>
        <w:tc>
          <w:tcPr>
            <w:tcW w:w="1737" w:type="dxa"/>
            <w:gridSpan w:val="3"/>
            <w:tcBorders/>
            <w:shd w:fill="auto" w:val="clear"/>
            <w:vAlign w:val="center"/>
          </w:tcPr>
          <w:p>
            <w:pPr>
              <w:pStyle w:val="TableContents"/>
              <w:spacing w:before="0" w:after="0"/>
              <w:ind w:left="0" w:right="0" w:firstLine="30"/>
              <w:jc w:val="center"/>
              <w:rPr>
                <w:rFonts w:ascii="inherit" w:hAnsi="inherit"/>
                <w:b/>
                <w:i/>
                <w:sz w:val="13"/>
              </w:rPr>
            </w:pPr>
            <w:r>
              <w:rPr>
                <w:rFonts w:ascii="inherit" w:hAnsi="inherit"/>
                <w:b/>
                <w:i/>
                <w:sz w:val="13"/>
              </w:rPr>
              <w:t>Predecessor</w:t>
            </w:r>
          </w:p>
        </w:tc>
      </w:tr>
      <w:tr>
        <w:trPr/>
        <w:tc>
          <w:tcPr>
            <w:tcW w:w="64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Finished products</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428" w:type="dxa"/>
            <w:tcBorders/>
            <w:shd w:fill="CCEEFF" w:val="clear"/>
            <w:vAlign w:val="center"/>
          </w:tcPr>
          <w:p>
            <w:pPr>
              <w:pStyle w:val="TableContents"/>
              <w:spacing w:before="0" w:after="0"/>
              <w:jc w:val="right"/>
              <w:rPr>
                <w:rFonts w:ascii="inherit" w:hAnsi="inherit"/>
                <w:sz w:val="17"/>
              </w:rPr>
            </w:pPr>
            <w:r>
              <w:rPr>
                <w:rFonts w:ascii="inherit" w:hAnsi="inherit"/>
                <w:sz w:val="17"/>
              </w:rPr>
              <w:t>5,551</w:t>
            </w:r>
          </w:p>
        </w:tc>
        <w:tc>
          <w:tcPr>
            <w:tcW w:w="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7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438" w:type="dxa"/>
            <w:tcBorders/>
            <w:shd w:fill="CCEEFF" w:val="clear"/>
            <w:vAlign w:val="center"/>
          </w:tcPr>
          <w:p>
            <w:pPr>
              <w:pStyle w:val="TableContents"/>
              <w:spacing w:before="0" w:after="0"/>
              <w:jc w:val="right"/>
              <w:rPr>
                <w:rFonts w:ascii="inherit" w:hAnsi="inherit"/>
                <w:sz w:val="17"/>
              </w:rPr>
            </w:pPr>
            <w:r>
              <w:rPr>
                <w:rFonts w:ascii="inherit" w:hAnsi="inherit"/>
                <w:sz w:val="17"/>
              </w:rPr>
              <w:t>21,330</w:t>
            </w:r>
          </w:p>
        </w:tc>
        <w:tc>
          <w:tcPr>
            <w:tcW w:w="1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Feedstock, additives and chemicals</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48" w:type="dxa"/>
            <w:gridSpan w:val="2"/>
            <w:tcBorders/>
            <w:shd w:fill="auto" w:val="clear"/>
            <w:vAlign w:val="center"/>
          </w:tcPr>
          <w:p>
            <w:pPr>
              <w:pStyle w:val="TableContents"/>
              <w:spacing w:before="0" w:after="0"/>
              <w:jc w:val="right"/>
              <w:rPr/>
            </w:pPr>
            <w:r>
              <w:rPr/>
              <w:t>—</w:t>
            </w:r>
          </w:p>
        </w:tc>
        <w:tc>
          <w:tcPr>
            <w:tcW w:w="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6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80,407</w:t>
            </w:r>
          </w:p>
        </w:tc>
        <w:tc>
          <w:tcPr>
            <w:tcW w:w="1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Materials and supplies</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48"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1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61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14,640</w:t>
            </w:r>
          </w:p>
        </w:tc>
        <w:tc>
          <w:tcPr>
            <w:tcW w:w="12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Inventories</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42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5,551</w:t>
            </w:r>
          </w:p>
        </w:tc>
        <w:tc>
          <w:tcPr>
            <w:tcW w:w="11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7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43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116,377</w:t>
            </w:r>
          </w:p>
        </w:tc>
        <w:tc>
          <w:tcPr>
            <w:tcW w:w="120"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b/>
          <w:sz w:val="17"/>
        </w:rPr>
      </w:pPr>
      <w:bookmarkStart w:id="20" w:name="s5B25225B76F509EB926D66ECE8958BB6"/>
      <w:bookmarkEnd w:id="20"/>
      <w:r>
        <w:rPr>
          <w:rFonts w:ascii="inherit" w:hAnsi="inherit"/>
          <w:b/>
          <w:sz w:val="17"/>
        </w:rPr>
        <w:t>6. Property, Plant and Equipment</w:t>
      </w:r>
    </w:p>
    <w:p>
      <w:pPr>
        <w:pStyle w:val="TextBody"/>
        <w:spacing w:lineRule="auto" w:line="288" w:before="0" w:after="0"/>
        <w:ind w:left="0" w:right="0" w:firstLine="480"/>
        <w:rPr>
          <w:sz w:val="17"/>
        </w:rPr>
      </w:pPr>
      <w:r>
        <w:rPr>
          <w:rFonts w:ascii="inherit" w:hAnsi="inherit"/>
          <w:sz w:val="17"/>
        </w:rPr>
        <w:t xml:space="preserve">As of </w:t>
      </w:r>
      <w:r>
        <w:rPr>
          <w:rFonts w:ascii="inherit" w:hAnsi="inherit"/>
          <w:strike w:val="false"/>
          <w:dstrike w:val="false"/>
          <w:color w:val="000000"/>
          <w:sz w:val="17"/>
          <w:u w:val="none"/>
          <w:effect w:val="none"/>
        </w:rPr>
        <w:t>September 30, 2014</w:t>
      </w:r>
      <w:r>
        <w:rPr>
          <w:rFonts w:ascii="inherit" w:hAnsi="inherit"/>
          <w:sz w:val="17"/>
        </w:rPr>
        <w:t xml:space="preserve">, the Partnership had property, plant and equipment, net totaling </w:t>
      </w:r>
      <w:r>
        <w:rPr>
          <w:rFonts w:ascii="inherit" w:hAnsi="inherit"/>
          <w:strike w:val="false"/>
          <w:dstrike w:val="false"/>
          <w:color w:val="000000"/>
          <w:sz w:val="17"/>
          <w:u w:val="none"/>
          <w:effect w:val="none"/>
        </w:rPr>
        <w:t>$806,648</w:t>
      </w:r>
      <w:r>
        <w:rPr>
          <w:rFonts w:ascii="inherit" w:hAnsi="inherit"/>
          <w:sz w:val="17"/>
        </w:rPr>
        <w:t>. The Partnership assesses these assets for impairment whenever events or changes in circumstances indicate that the carrying amount of an asset may not be recoverable, including when negative conditions such as significant current or projected operating losses exist. Other factors considered by the Partnership when determining if an impairment assessment is necessary include, but are not limited to, significant changes or projected changes in supply and demand fundamentals (which would have a negative impact on operating rates or margins), new technological developments, new competitors with significant raw material or other cost advantages, adverse changes associated with the U.S. and world economies and uncertainties associated with governmental actions. Long-lived assets assessed for impairment are grouped at the lowest level for which identifiable cash flows are largely independent of the cash flows of other assets and liabilities.</w:t>
      </w:r>
    </w:p>
    <w:p>
      <w:pPr>
        <w:pStyle w:val="TextBody"/>
        <w:spacing w:lineRule="auto" w:line="288" w:before="0" w:after="0"/>
        <w:ind w:left="0" w:right="0" w:firstLine="480"/>
        <w:rPr>
          <w:sz w:val="17"/>
        </w:rPr>
      </w:pPr>
      <w:r>
        <w:rPr>
          <w:rFonts w:ascii="inherit" w:hAnsi="inherit"/>
          <w:sz w:val="17"/>
        </w:rPr>
        <w:t xml:space="preserve">Depreciation expense on property, plant and equipment of </w:t>
      </w:r>
      <w:r>
        <w:rPr>
          <w:rFonts w:ascii="inherit" w:hAnsi="inherit"/>
          <w:strike w:val="false"/>
          <w:dstrike w:val="false"/>
          <w:color w:val="000000"/>
          <w:sz w:val="17"/>
          <w:u w:val="none"/>
          <w:effect w:val="none"/>
        </w:rPr>
        <w:t>$14,900</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$14,579</w:t>
      </w:r>
      <w:r>
        <w:rPr>
          <w:sz w:val="17"/>
        </w:rPr>
        <w:t xml:space="preserve"> </w:t>
      </w:r>
      <w:r>
        <w:rPr>
          <w:rFonts w:ascii="inherit" w:hAnsi="inherit"/>
          <w:sz w:val="17"/>
        </w:rPr>
        <w:t xml:space="preserve">is included in cost of sales in the combined and consolidated statements of operations for the </w:t>
      </w:r>
      <w:r>
        <w:rPr>
          <w:rFonts w:ascii="inherit" w:hAnsi="inherit"/>
          <w:strike w:val="false"/>
          <w:dstrike w:val="false"/>
          <w:color w:val="000000"/>
          <w:sz w:val="17"/>
          <w:u w:val="none"/>
          <w:effect w:val="none"/>
        </w:rPr>
        <w:t>three months ended September 30, 2014 and 2013</w:t>
      </w:r>
      <w:r>
        <w:rPr>
          <w:rFonts w:ascii="inherit" w:hAnsi="inherit"/>
          <w:sz w:val="17"/>
        </w:rPr>
        <w:t>, respectively. Depreciation expense on property, plant and equipment of $45,104</w:t>
      </w:r>
      <w:r>
        <w:rPr>
          <w:sz w:val="17"/>
        </w:rPr>
        <w:t xml:space="preserve"> </w:t>
      </w:r>
      <w:r>
        <w:rPr>
          <w:rFonts w:ascii="inherit" w:hAnsi="inherit"/>
          <w:sz w:val="17"/>
        </w:rPr>
        <w:t>and $42,930</w:t>
      </w:r>
      <w:r>
        <w:rPr>
          <w:sz w:val="17"/>
        </w:rPr>
        <w:t xml:space="preserve"> </w:t>
      </w:r>
      <w:r>
        <w:rPr>
          <w:rFonts w:ascii="inherit" w:hAnsi="inherit"/>
          <w:sz w:val="17"/>
        </w:rPr>
        <w:t>is included in cost of sales in the combined and consolidated statements of operations for the nine months ended September 30, 2014 and 2013, respectively.</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10</w:t>
      </w:r>
      <w:r>
        <w:br w:type="page"/>
      </w:r>
    </w:p>
    <w:p>
      <w:pPr>
        <w:pStyle w:val="TextBody"/>
        <w:spacing w:lineRule="auto" w:line="288" w:before="0" w:after="0"/>
        <w:jc w:val="left"/>
        <w:rPr/>
      </w:pPr>
      <w:hyperlink w:anchor="s7D21BC485A80E1C3273666ECEC2365C6">
        <w:bookmarkStart w:id="21" w:name="s0EFEF18611529D4BA40E66ECE83BAC32"/>
        <w:bookmarkEnd w:id="21"/>
        <w:r>
          <w:rPr>
            <w:rStyle w:val="InternetLink"/>
            <w:rFonts w:ascii="inherit" w:hAnsi="inherit"/>
            <w:sz w:val="17"/>
          </w:rPr>
          <w:t>Table of Contents</w:t>
        </w:r>
      </w:hyperlink>
    </w:p>
    <w:p>
      <w:pPr>
        <w:pStyle w:val="TextBody"/>
        <w:spacing w:lineRule="auto" w:line="288" w:before="0" w:after="0"/>
        <w:jc w:val="center"/>
        <w:rPr>
          <w:rFonts w:ascii="inherit" w:hAnsi="inherit"/>
          <w:b/>
          <w:sz w:val="17"/>
        </w:rPr>
      </w:pPr>
      <w:r>
        <w:rPr>
          <w:rFonts w:ascii="inherit" w:hAnsi="inherit"/>
          <w:b/>
          <w:sz w:val="17"/>
        </w:rPr>
        <w:t>WESTLAKE CHEMICAL PARTNERS LP</w:t>
      </w:r>
    </w:p>
    <w:p>
      <w:pPr>
        <w:pStyle w:val="TextBody"/>
        <w:spacing w:lineRule="auto" w:line="288" w:before="0" w:after="0"/>
        <w:jc w:val="center"/>
        <w:rPr>
          <w:rFonts w:ascii="inherit" w:hAnsi="inherit"/>
          <w:b/>
          <w:sz w:val="17"/>
        </w:rPr>
      </w:pPr>
      <w:r>
        <w:rPr>
          <w:rFonts w:ascii="inherit" w:hAnsi="inherit"/>
          <w:b/>
          <w:sz w:val="17"/>
        </w:rPr>
        <w:t>NOTES TO COMBINED AND CONSOLIDATED FINANCIAL STATEMENTS - Continued</w:t>
      </w:r>
    </w:p>
    <w:p>
      <w:pPr>
        <w:pStyle w:val="TextBody"/>
        <w:spacing w:lineRule="auto" w:line="288" w:before="0" w:after="0"/>
        <w:jc w:val="center"/>
        <w:rPr>
          <w:rFonts w:ascii="inherit" w:hAnsi="inherit"/>
          <w:b/>
          <w:sz w:val="17"/>
        </w:rPr>
      </w:pPr>
      <w:r>
        <w:rPr>
          <w:rFonts w:ascii="inherit" w:hAnsi="inherit"/>
          <w:b/>
          <w:sz w:val="17"/>
        </w:rPr>
        <w:t>(Unaudited)</w:t>
      </w:r>
    </w:p>
    <w:p>
      <w:pPr>
        <w:pStyle w:val="TextBody"/>
        <w:spacing w:lineRule="auto" w:line="288" w:before="0" w:after="0"/>
        <w:jc w:val="center"/>
        <w:rPr>
          <w:rFonts w:ascii="inherit" w:hAnsi="inherit"/>
          <w:b/>
          <w:sz w:val="17"/>
        </w:rPr>
      </w:pPr>
      <w:r>
        <w:rPr>
          <w:rFonts w:ascii="inherit" w:hAnsi="inherit"/>
          <w:b/>
          <w:sz w:val="17"/>
        </w:rPr>
        <w:t>(in thousands of dollars, except unit amounts and per unit data)</w:t>
      </w:r>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7. Other Assets</w:t>
      </w:r>
    </w:p>
    <w:p>
      <w:pPr>
        <w:pStyle w:val="TextBody"/>
        <w:spacing w:lineRule="auto" w:line="288" w:before="0" w:after="0"/>
        <w:ind w:left="0" w:right="0" w:firstLine="450"/>
        <w:rPr>
          <w:sz w:val="17"/>
        </w:rPr>
      </w:pPr>
      <w:r>
        <w:rPr>
          <w:rFonts w:ascii="inherit" w:hAnsi="inherit"/>
          <w:sz w:val="17"/>
        </w:rPr>
        <w:t>Amortization expense on other assets of $4,319</w:t>
      </w:r>
      <w:r>
        <w:rPr>
          <w:sz w:val="17"/>
        </w:rPr>
        <w:t xml:space="preserve"> </w:t>
      </w:r>
      <w:r>
        <w:rPr>
          <w:rFonts w:ascii="inherit" w:hAnsi="inherit"/>
          <w:sz w:val="17"/>
        </w:rPr>
        <w:t>and $4,600</w:t>
      </w:r>
      <w:r>
        <w:rPr>
          <w:sz w:val="17"/>
        </w:rPr>
        <w:t xml:space="preserve"> </w:t>
      </w:r>
      <w:r>
        <w:rPr>
          <w:rFonts w:ascii="inherit" w:hAnsi="inherit"/>
          <w:sz w:val="17"/>
        </w:rPr>
        <w:t xml:space="preserve">is included in the combined and consolidated statements of operations for the three months ended September 30, 2014 and 2013, respectively. Amortization expense on other assets of </w:t>
      </w:r>
      <w:r>
        <w:rPr>
          <w:rFonts w:ascii="Times New Roman" w:hAnsi="Times New Roman"/>
          <w:color w:val="000000"/>
          <w:sz w:val="17"/>
        </w:rPr>
        <w:t>$13,397</w:t>
      </w:r>
      <w:r>
        <w:rPr>
          <w:sz w:val="17"/>
        </w:rPr>
        <w:t xml:space="preserve"> </w:t>
      </w:r>
      <w:r>
        <w:rPr>
          <w:rFonts w:ascii="inherit" w:hAnsi="inherit"/>
          <w:sz w:val="17"/>
        </w:rPr>
        <w:t>and $11,609</w:t>
      </w:r>
      <w:r>
        <w:rPr>
          <w:sz w:val="17"/>
        </w:rPr>
        <w:t xml:space="preserve"> </w:t>
      </w:r>
      <w:r>
        <w:rPr>
          <w:rFonts w:ascii="inherit" w:hAnsi="inherit"/>
          <w:sz w:val="17"/>
        </w:rPr>
        <w:t>is included in the combined and consolidated statements of operations for the nine months ended September 30, 2014 and 2013, respectively.</w:t>
      </w:r>
    </w:p>
    <w:p>
      <w:pPr>
        <w:pStyle w:val="TextBody"/>
        <w:spacing w:lineRule="auto" w:line="288" w:before="0" w:after="0"/>
        <w:rPr>
          <w:rFonts w:ascii="inherit" w:hAnsi="inherit"/>
          <w:b/>
          <w:sz w:val="17"/>
        </w:rPr>
      </w:pPr>
      <w:bookmarkStart w:id="22" w:name="s44afad87411f45529599ce97a4d3be9f"/>
      <w:bookmarkEnd w:id="22"/>
      <w:r>
        <w:rPr>
          <w:rFonts w:ascii="inherit" w:hAnsi="inherit"/>
          <w:b/>
          <w:sz w:val="17"/>
        </w:rPr>
        <w:t>8. Net Income Per Limited Partner Unit</w:t>
      </w:r>
    </w:p>
    <w:p>
      <w:pPr>
        <w:pStyle w:val="TextBody"/>
        <w:spacing w:lineRule="auto" w:line="288" w:before="0" w:after="0"/>
        <w:ind w:left="0" w:right="0" w:firstLine="450"/>
        <w:rPr>
          <w:rFonts w:ascii="inherit" w:hAnsi="inherit"/>
          <w:sz w:val="17"/>
        </w:rPr>
      </w:pPr>
      <w:r>
        <w:rPr>
          <w:rFonts w:ascii="inherit" w:hAnsi="inherit"/>
          <w:sz w:val="17"/>
        </w:rPr>
        <w:t xml:space="preserve">Net income per unit applicable to common limited partner units and to subordinated limited partner units is computed by dividing the respective limited partners’ interest in net income for the period subsequent to the IPO by the weighted-average number of common units and subordinated units outstanding for the period. Because the Partnership has more than one class of participating securities, it uses the two-class method when calculating the net income per unit applicable to limited partners. The classes of participating securities include common units, subordinated units and incentive distribution rights. Basic and diluted net income per unit are the same because the Partnership does not have any potentially dilutive units outstanding for the periods presented. </w:t>
      </w:r>
    </w:p>
    <w:p>
      <w:pPr>
        <w:pStyle w:val="TextBody"/>
        <w:spacing w:lineRule="auto" w:line="288" w:before="0" w:after="0"/>
        <w:ind w:left="0" w:right="0" w:firstLine="435"/>
        <w:jc w:val="left"/>
        <w:rPr>
          <w:sz w:val="17"/>
        </w:rPr>
      </w:pPr>
      <w:r>
        <w:rPr>
          <w:rFonts w:ascii="inherit" w:hAnsi="inherit"/>
          <w:sz w:val="17"/>
        </w:rPr>
        <w:t>On October 28, 2014, the board of directors of Westlake Chemical Partners GP LLC, the Partnership's general partner, declared an initial prorated quarterly cash distribution for the period August 4, 2014, through September 30, 2014, of $0.1704</w:t>
      </w:r>
      <w:r>
        <w:rPr>
          <w:sz w:val="17"/>
        </w:rPr>
        <w:t xml:space="preserve"> </w:t>
      </w:r>
      <w:r>
        <w:rPr>
          <w:rFonts w:ascii="inherit" w:hAnsi="inherit"/>
          <w:sz w:val="17"/>
        </w:rPr>
        <w:t>per unit, or $4,611</w:t>
      </w:r>
      <w:r>
        <w:rPr>
          <w:sz w:val="17"/>
        </w:rPr>
        <w:t xml:space="preserve"> </w:t>
      </w:r>
      <w:r>
        <w:rPr>
          <w:rFonts w:ascii="inherit" w:hAnsi="inherit"/>
          <w:sz w:val="17"/>
        </w:rPr>
        <w:t>in total. This distribution is payable on November 25, 2014, to unit holders of record as of November 10, 2014.</w:t>
      </w:r>
    </w:p>
    <w:tbl>
      <w:tblPr>
        <w:tblW w:w="10205" w:type="dxa"/>
        <w:jc w:val="left"/>
        <w:tblInd w:w="0" w:type="dxa"/>
        <w:tblCellMar>
          <w:top w:w="0" w:type="dxa"/>
          <w:left w:w="0" w:type="dxa"/>
          <w:bottom w:w="0" w:type="dxa"/>
          <w:right w:w="0" w:type="dxa"/>
        </w:tblCellMar>
      </w:tblPr>
      <w:tblGrid>
        <w:gridCol w:w="6250"/>
        <w:gridCol w:w="156"/>
        <w:gridCol w:w="227"/>
        <w:gridCol w:w="1390"/>
        <w:gridCol w:w="109"/>
        <w:gridCol w:w="156"/>
        <w:gridCol w:w="189"/>
        <w:gridCol w:w="1243"/>
        <w:gridCol w:w="485"/>
      </w:tblGrid>
      <w:tr>
        <w:trPr/>
        <w:tc>
          <w:tcPr>
            <w:tcW w:w="10205" w:type="dxa"/>
            <w:gridSpan w:val="9"/>
            <w:tcBorders/>
            <w:shd w:fill="auto" w:val="clear"/>
            <w:vAlign w:val="center"/>
          </w:tcPr>
          <w:p>
            <w:pPr>
              <w:pStyle w:val="TableContents"/>
              <w:spacing w:before="0" w:after="283"/>
              <w:rPr>
                <w:sz w:val="4"/>
                <w:szCs w:val="4"/>
              </w:rPr>
            </w:pPr>
            <w:r>
              <w:rPr>
                <w:sz w:val="4"/>
                <w:szCs w:val="4"/>
              </w:rPr>
            </w:r>
          </w:p>
        </w:tc>
      </w:tr>
      <w:tr>
        <w:trPr/>
        <w:tc>
          <w:tcPr>
            <w:tcW w:w="625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3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243"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25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r>
          </w:p>
        </w:tc>
        <w:tc>
          <w:tcPr>
            <w:tcW w:w="15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r>
          </w:p>
        </w:tc>
        <w:tc>
          <w:tcPr>
            <w:tcW w:w="1726"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September 30, 2014</w:t>
            </w:r>
          </w:p>
        </w:tc>
        <w:tc>
          <w:tcPr>
            <w:tcW w:w="156"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r>
          </w:p>
        </w:tc>
        <w:tc>
          <w:tcPr>
            <w:tcW w:w="1917"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September 30, 2014</w:t>
            </w:r>
          </w:p>
        </w:tc>
      </w:tr>
      <w:tr>
        <w:trPr/>
        <w:tc>
          <w:tcPr>
            <w:tcW w:w="6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the Partnership subsequent to the IPO</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7"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39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5,015</w:t>
            </w:r>
          </w:p>
        </w:tc>
        <w:tc>
          <w:tcPr>
            <w:tcW w:w="109"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6" w:type="dxa"/>
            <w:tcBorders/>
            <w:shd w:fill="CCEEFF" w:val="clear"/>
            <w:vAlign w:val="center"/>
          </w:tcPr>
          <w:p>
            <w:pPr>
              <w:pStyle w:val="TableContents"/>
              <w:spacing w:before="0" w:after="0"/>
              <w:ind w:left="0" w:right="0" w:firstLine="30"/>
              <w:rPr/>
            </w:pPr>
            <w:r>
              <w:rPr/>
              <w:t> </w:t>
            </w:r>
          </w:p>
        </w:tc>
        <w:tc>
          <w:tcPr>
            <w:tcW w:w="189"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243"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5,015</w:t>
            </w:r>
          </w:p>
        </w:tc>
        <w:tc>
          <w:tcPr>
            <w:tcW w:w="48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Less: </w:t>
            </w:r>
          </w:p>
        </w:tc>
        <w:tc>
          <w:tcPr>
            <w:tcW w:w="156" w:type="dxa"/>
            <w:tcBorders/>
            <w:shd w:fill="auto" w:val="clear"/>
            <w:vAlign w:val="center"/>
          </w:tcPr>
          <w:p>
            <w:pPr>
              <w:pStyle w:val="TableContents"/>
              <w:spacing w:before="0" w:after="0"/>
              <w:ind w:left="0" w:right="0" w:firstLine="30"/>
              <w:rPr/>
            </w:pPr>
            <w:r>
              <w:rPr/>
              <w:t> </w:t>
            </w:r>
          </w:p>
        </w:tc>
        <w:tc>
          <w:tcPr>
            <w:tcW w:w="1726" w:type="dxa"/>
            <w:gridSpan w:val="3"/>
            <w:tcBorders/>
            <w:shd w:fill="auto" w:val="clear"/>
            <w:vAlign w:val="center"/>
          </w:tcPr>
          <w:p>
            <w:pPr>
              <w:pStyle w:val="TableContents"/>
              <w:spacing w:before="0" w:after="0"/>
              <w:ind w:left="0" w:right="0" w:firstLine="30"/>
              <w:rPr/>
            </w:pPr>
            <w:r>
              <w:rPr/>
              <w:t> </w:t>
            </w:r>
          </w:p>
        </w:tc>
        <w:tc>
          <w:tcPr>
            <w:tcW w:w="156" w:type="dxa"/>
            <w:tcBorders/>
            <w:shd w:fill="auto" w:val="clear"/>
            <w:vAlign w:val="center"/>
          </w:tcPr>
          <w:p>
            <w:pPr>
              <w:pStyle w:val="TableContents"/>
              <w:spacing w:before="0" w:after="0"/>
              <w:ind w:left="0" w:right="0" w:firstLine="30"/>
              <w:rPr/>
            </w:pPr>
            <w:r>
              <w:rPr/>
              <w:t> </w:t>
            </w:r>
          </w:p>
        </w:tc>
        <w:tc>
          <w:tcPr>
            <w:tcW w:w="1917" w:type="dxa"/>
            <w:gridSpan w:val="3"/>
            <w:tcBorders/>
            <w:shd w:fill="auto" w:val="clear"/>
            <w:vAlign w:val="center"/>
          </w:tcPr>
          <w:p>
            <w:pPr>
              <w:pStyle w:val="TableContents"/>
              <w:spacing w:before="0" w:after="0"/>
              <w:ind w:left="0" w:right="0" w:firstLine="420"/>
              <w:rPr/>
            </w:pPr>
            <w:r>
              <w:rPr/>
              <w:t> </w:t>
            </w:r>
          </w:p>
        </w:tc>
      </w:tr>
      <w:tr>
        <w:trPr/>
        <w:tc>
          <w:tcPr>
            <w:tcW w:w="6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Limited partners' distribution declared on common units</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2,449</w:t>
            </w:r>
          </w:p>
        </w:tc>
        <w:tc>
          <w:tcPr>
            <w:tcW w:w="1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6" w:type="dxa"/>
            <w:tcBorders/>
            <w:shd w:fill="CCEEFF" w:val="clear"/>
            <w:vAlign w:val="center"/>
          </w:tcPr>
          <w:p>
            <w:pPr>
              <w:pStyle w:val="TableContents"/>
              <w:spacing w:before="0" w:after="0"/>
              <w:ind w:left="0" w:right="0" w:firstLine="30"/>
              <w:rPr/>
            </w:pPr>
            <w:r>
              <w:rPr/>
              <w:t> </w:t>
            </w:r>
          </w:p>
        </w:tc>
        <w:tc>
          <w:tcPr>
            <w:tcW w:w="14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2,449</w:t>
            </w:r>
          </w:p>
        </w:tc>
        <w:tc>
          <w:tcPr>
            <w:tcW w:w="48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Limited partners' distribution declared on subordinated units</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2,162</w:t>
            </w:r>
          </w:p>
        </w:tc>
        <w:tc>
          <w:tcPr>
            <w:tcW w:w="1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6" w:type="dxa"/>
            <w:tcBorders/>
            <w:shd w:fill="auto" w:val="clear"/>
            <w:vAlign w:val="center"/>
          </w:tcPr>
          <w:p>
            <w:pPr>
              <w:pStyle w:val="TableContents"/>
              <w:spacing w:before="0" w:after="0"/>
              <w:ind w:left="0" w:right="0" w:firstLine="30"/>
              <w:rPr/>
            </w:pPr>
            <w:r>
              <w:rPr/>
              <w:t> </w:t>
            </w:r>
          </w:p>
        </w:tc>
        <w:tc>
          <w:tcPr>
            <w:tcW w:w="14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2,162</w:t>
            </w:r>
          </w:p>
        </w:tc>
        <w:tc>
          <w:tcPr>
            <w:tcW w:w="4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subsequent to the IPO in excess of distribution</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9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404</w:t>
            </w:r>
          </w:p>
        </w:tc>
        <w:tc>
          <w:tcPr>
            <w:tcW w:w="10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6" w:type="dxa"/>
            <w:tcBorders/>
            <w:shd w:fill="CCEEFF" w:val="clear"/>
            <w:vAlign w:val="center"/>
          </w:tcPr>
          <w:p>
            <w:pPr>
              <w:pStyle w:val="TableContents"/>
              <w:spacing w:before="0" w:after="0"/>
              <w:ind w:left="0" w:right="0" w:firstLine="30"/>
              <w:rPr/>
            </w:pPr>
            <w:r>
              <w:rPr/>
              <w:t> </w:t>
            </w:r>
          </w:p>
        </w:tc>
        <w:tc>
          <w:tcPr>
            <w:tcW w:w="18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4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404</w:t>
            </w:r>
          </w:p>
        </w:tc>
        <w:tc>
          <w:tcPr>
            <w:tcW w:w="48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center"/>
        <w:tblInd w:w="0" w:type="dxa"/>
        <w:tblCellMar>
          <w:top w:w="0" w:type="dxa"/>
          <w:left w:w="0" w:type="dxa"/>
          <w:bottom w:w="0" w:type="dxa"/>
          <w:right w:w="0" w:type="dxa"/>
        </w:tblCellMar>
      </w:tblPr>
      <w:tblGrid>
        <w:gridCol w:w="3038"/>
        <w:gridCol w:w="128"/>
        <w:gridCol w:w="424"/>
        <w:gridCol w:w="999"/>
        <w:gridCol w:w="76"/>
        <w:gridCol w:w="128"/>
        <w:gridCol w:w="424"/>
        <w:gridCol w:w="999"/>
        <w:gridCol w:w="76"/>
        <w:gridCol w:w="128"/>
        <w:gridCol w:w="302"/>
        <w:gridCol w:w="1015"/>
        <w:gridCol w:w="107"/>
        <w:gridCol w:w="128"/>
        <w:gridCol w:w="227"/>
        <w:gridCol w:w="1196"/>
        <w:gridCol w:w="810"/>
      </w:tblGrid>
      <w:tr>
        <w:trPr/>
        <w:tc>
          <w:tcPr>
            <w:tcW w:w="10205" w:type="dxa"/>
            <w:gridSpan w:val="17"/>
            <w:tcBorders/>
            <w:shd w:fill="auto" w:val="clear"/>
            <w:vAlign w:val="center"/>
          </w:tcPr>
          <w:p>
            <w:pPr>
              <w:pStyle w:val="TableContents"/>
              <w:spacing w:before="0" w:after="283"/>
              <w:rPr>
                <w:sz w:val="4"/>
                <w:szCs w:val="4"/>
              </w:rPr>
            </w:pPr>
            <w:r>
              <w:rPr>
                <w:sz w:val="4"/>
                <w:szCs w:val="4"/>
              </w:rPr>
            </w:r>
          </w:p>
        </w:tc>
      </w:tr>
      <w:tr>
        <w:trPr/>
        <w:tc>
          <w:tcPr>
            <w:tcW w:w="303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196"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038" w:type="dxa"/>
            <w:tcBorders/>
            <w:shd w:fill="auto" w:val="clear"/>
            <w:vAlign w:val="center"/>
          </w:tcPr>
          <w:p>
            <w:pPr>
              <w:pStyle w:val="TableContents"/>
              <w:spacing w:before="0" w:after="0"/>
              <w:ind w:left="0" w:right="0" w:firstLine="30"/>
              <w:rPr/>
            </w:pPr>
            <w:r>
              <w:rPr/>
              <w:t> </w:t>
            </w:r>
          </w:p>
        </w:tc>
        <w:tc>
          <w:tcPr>
            <w:tcW w:w="128" w:type="dxa"/>
            <w:tcBorders/>
            <w:shd w:fill="auto" w:val="clear"/>
            <w:vAlign w:val="center"/>
          </w:tcPr>
          <w:p>
            <w:pPr>
              <w:pStyle w:val="TableContents"/>
              <w:spacing w:before="0" w:after="0"/>
              <w:ind w:left="0" w:right="0" w:firstLine="30"/>
              <w:rPr/>
            </w:pPr>
            <w:r>
              <w:rPr/>
              <w:t> </w:t>
            </w:r>
          </w:p>
        </w:tc>
        <w:tc>
          <w:tcPr>
            <w:tcW w:w="7039"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and Nine Months Ended September 30, 2014</w:t>
            </w:r>
          </w:p>
        </w:tc>
      </w:tr>
      <w:tr>
        <w:trPr/>
        <w:tc>
          <w:tcPr>
            <w:tcW w:w="3038"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r>
          </w:p>
        </w:tc>
        <w:tc>
          <w:tcPr>
            <w:tcW w:w="128"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r>
          </w:p>
        </w:tc>
        <w:tc>
          <w:tcPr>
            <w:tcW w:w="149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Limited Partners' Common Units</w:t>
            </w:r>
          </w:p>
        </w:tc>
        <w:tc>
          <w:tcPr>
            <w:tcW w:w="128" w:type="dxa"/>
            <w:tcBorders/>
            <w:shd w:fill="auto" w:val="clear"/>
            <w:vAlign w:val="center"/>
          </w:tcPr>
          <w:p>
            <w:pPr>
              <w:pStyle w:val="TableContents"/>
              <w:spacing w:before="0" w:after="0"/>
              <w:ind w:left="0" w:right="0" w:firstLine="30"/>
              <w:rPr/>
            </w:pPr>
            <w:r>
              <w:rPr/>
              <w:t> </w:t>
            </w:r>
          </w:p>
        </w:tc>
        <w:tc>
          <w:tcPr>
            <w:tcW w:w="149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Limited Partners' Subordinated Units</w:t>
            </w:r>
          </w:p>
        </w:tc>
        <w:tc>
          <w:tcPr>
            <w:tcW w:w="128" w:type="dxa"/>
            <w:tcBorders/>
            <w:shd w:fill="auto" w:val="clear"/>
            <w:vAlign w:val="center"/>
          </w:tcPr>
          <w:p>
            <w:pPr>
              <w:pStyle w:val="TableContents"/>
              <w:spacing w:before="0" w:after="0"/>
              <w:ind w:left="0" w:right="0" w:firstLine="30"/>
              <w:rPr/>
            </w:pPr>
            <w:r>
              <w:rPr/>
              <w:t> </w:t>
            </w:r>
          </w:p>
        </w:tc>
        <w:tc>
          <w:tcPr>
            <w:tcW w:w="142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Incentive Distribution Rights</w:t>
            </w:r>
          </w:p>
        </w:tc>
        <w:tc>
          <w:tcPr>
            <w:tcW w:w="128" w:type="dxa"/>
            <w:tcBorders/>
            <w:shd w:fill="auto" w:val="clear"/>
            <w:vAlign w:val="center"/>
          </w:tcPr>
          <w:p>
            <w:pPr>
              <w:pStyle w:val="TableContents"/>
              <w:spacing w:before="0" w:after="0"/>
              <w:ind w:left="0" w:right="0" w:firstLine="30"/>
              <w:rPr/>
            </w:pPr>
            <w:r>
              <w:rPr/>
              <w:t> </w:t>
            </w:r>
          </w:p>
        </w:tc>
        <w:tc>
          <w:tcPr>
            <w:tcW w:w="223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r>
      <w:tr>
        <w:trPr/>
        <w:tc>
          <w:tcPr>
            <w:tcW w:w="3038" w:type="dxa"/>
            <w:tcBorders/>
            <w:shd w:fill="auto" w:val="clear"/>
            <w:vAlign w:val="center"/>
          </w:tcPr>
          <w:p>
            <w:pPr>
              <w:pStyle w:val="TableContents"/>
              <w:spacing w:before="0" w:after="0"/>
              <w:rPr>
                <w:rFonts w:ascii="inherit" w:hAnsi="inherit"/>
                <w:sz w:val="17"/>
              </w:rPr>
            </w:pPr>
            <w:r>
              <w:rPr>
                <w:rFonts w:ascii="inherit" w:hAnsi="inherit"/>
                <w:sz w:val="17"/>
              </w:rPr>
              <w:t xml:space="preserve">Net income attributable to the Partnership subsequent to </w:t>
            </w:r>
          </w:p>
          <w:p>
            <w:pPr>
              <w:pStyle w:val="TableContents"/>
              <w:spacing w:before="0" w:after="0"/>
              <w:ind w:left="0" w:right="0" w:firstLine="30"/>
              <w:rPr/>
            </w:pPr>
            <w:r>
              <w:rPr/>
              <w:t>   </w:t>
            </w:r>
            <w:r>
              <w:rPr>
                <w:rFonts w:ascii="inherit" w:hAnsi="inherit"/>
                <w:sz w:val="17"/>
              </w:rPr>
              <w:t>the IPO:</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9" w:type="dxa"/>
            <w:gridSpan w:val="3"/>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499" w:type="dxa"/>
            <w:gridSpan w:val="3"/>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424" w:type="dxa"/>
            <w:gridSpan w:val="3"/>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2233" w:type="dxa"/>
            <w:gridSpan w:val="3"/>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0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Distribution declared</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42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99" w:type="dxa"/>
            <w:tcBorders/>
            <w:shd w:fill="CCEEFF" w:val="clear"/>
            <w:vAlign w:val="center"/>
          </w:tcPr>
          <w:p>
            <w:pPr>
              <w:pStyle w:val="TableContents"/>
              <w:spacing w:before="0" w:after="0"/>
              <w:jc w:val="right"/>
              <w:rPr>
                <w:rFonts w:ascii="inherit" w:hAnsi="inherit"/>
                <w:sz w:val="17"/>
              </w:rPr>
            </w:pPr>
            <w:r>
              <w:rPr>
                <w:rFonts w:ascii="inherit" w:hAnsi="inherit"/>
                <w:sz w:val="17"/>
              </w:rPr>
              <w:t>2,449</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42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99" w:type="dxa"/>
            <w:tcBorders/>
            <w:shd w:fill="CCEEFF" w:val="clear"/>
            <w:vAlign w:val="center"/>
          </w:tcPr>
          <w:p>
            <w:pPr>
              <w:pStyle w:val="TableContents"/>
              <w:spacing w:before="0" w:after="0"/>
              <w:jc w:val="right"/>
              <w:rPr>
                <w:rFonts w:ascii="inherit" w:hAnsi="inherit"/>
                <w:sz w:val="17"/>
              </w:rPr>
            </w:pPr>
            <w:r>
              <w:rPr>
                <w:rFonts w:ascii="inherit" w:hAnsi="inherit"/>
                <w:sz w:val="17"/>
              </w:rPr>
              <w:t>2,162</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30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15" w:type="dxa"/>
            <w:tcBorders/>
            <w:shd w:fill="CCEEFF" w:val="clear"/>
            <w:vAlign w:val="center"/>
          </w:tcPr>
          <w:p>
            <w:pPr>
              <w:pStyle w:val="TableContents"/>
              <w:spacing w:before="0" w:after="0"/>
              <w:jc w:val="right"/>
              <w:rPr/>
            </w:pPr>
            <w:r>
              <w:rPr/>
              <w:t>—</w:t>
            </w:r>
          </w:p>
        </w:tc>
        <w:tc>
          <w:tcPr>
            <w:tcW w:w="1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22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96" w:type="dxa"/>
            <w:tcBorders/>
            <w:shd w:fill="CCEEFF" w:val="clear"/>
            <w:vAlign w:val="center"/>
          </w:tcPr>
          <w:p>
            <w:pPr>
              <w:pStyle w:val="TableContents"/>
              <w:spacing w:before="0" w:after="0"/>
              <w:jc w:val="right"/>
              <w:rPr>
                <w:rFonts w:ascii="inherit" w:hAnsi="inherit"/>
                <w:sz w:val="17"/>
              </w:rPr>
            </w:pPr>
            <w:r>
              <w:rPr>
                <w:rFonts w:ascii="inherit" w:hAnsi="inherit"/>
                <w:sz w:val="17"/>
              </w:rPr>
              <w:t>4,611</w:t>
            </w:r>
          </w:p>
        </w:tc>
        <w:tc>
          <w:tcPr>
            <w:tcW w:w="81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038" w:type="dxa"/>
            <w:tcBorders/>
            <w:shd w:fill="auto" w:val="clear"/>
            <w:vAlign w:val="center"/>
          </w:tcPr>
          <w:p>
            <w:pPr>
              <w:pStyle w:val="TableContents"/>
              <w:spacing w:before="0" w:after="0"/>
              <w:jc w:val="left"/>
              <w:rPr>
                <w:rFonts w:ascii="inherit" w:hAnsi="inherit"/>
                <w:sz w:val="17"/>
              </w:rPr>
            </w:pPr>
            <w:r>
              <w:rPr>
                <w:rFonts w:ascii="inherit" w:hAnsi="inherit"/>
                <w:sz w:val="17"/>
              </w:rPr>
              <w:t xml:space="preserve">Net income subsequent to the IPO in excess of </w:t>
            </w:r>
          </w:p>
          <w:p>
            <w:pPr>
              <w:pStyle w:val="TableContents"/>
              <w:spacing w:before="0" w:after="0"/>
              <w:ind w:left="0" w:right="0" w:firstLine="30"/>
              <w:jc w:val="left"/>
              <w:rPr/>
            </w:pPr>
            <w:r>
              <w:rPr/>
              <w:t>   </w:t>
            </w:r>
            <w:r>
              <w:rPr>
                <w:rFonts w:ascii="inherit" w:hAnsi="inherit"/>
                <w:sz w:val="17"/>
              </w:rPr>
              <w:t>distribution</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215</w:t>
            </w:r>
          </w:p>
        </w:tc>
        <w:tc>
          <w:tcPr>
            <w:tcW w:w="7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42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189</w:t>
            </w:r>
          </w:p>
        </w:tc>
        <w:tc>
          <w:tcPr>
            <w:tcW w:w="7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317" w:type="dxa"/>
            <w:gridSpan w:val="2"/>
            <w:tcBorders/>
            <w:shd w:fill="auto" w:val="clear"/>
            <w:vAlign w:val="center"/>
          </w:tcPr>
          <w:p>
            <w:pPr>
              <w:pStyle w:val="TableContents"/>
              <w:spacing w:before="0" w:after="0"/>
              <w:jc w:val="right"/>
              <w:rPr/>
            </w:pPr>
            <w:r>
              <w:rPr/>
              <w:t>—</w:t>
            </w:r>
          </w:p>
        </w:tc>
        <w:tc>
          <w:tcPr>
            <w:tcW w:w="1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42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404</w:t>
            </w:r>
          </w:p>
        </w:tc>
        <w:tc>
          <w:tcPr>
            <w:tcW w:w="810"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0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subsequent to the IPO</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42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2,664</w:t>
            </w:r>
          </w:p>
        </w:tc>
        <w:tc>
          <w:tcPr>
            <w:tcW w:w="7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42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2,351</w:t>
            </w:r>
          </w:p>
        </w:tc>
        <w:tc>
          <w:tcPr>
            <w:tcW w:w="7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30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1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pPr>
            <w:r>
              <w:rPr/>
              <w:t>—</w:t>
            </w:r>
          </w:p>
        </w:tc>
        <w:tc>
          <w:tcPr>
            <w:tcW w:w="10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22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9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5,015</w:t>
            </w:r>
          </w:p>
        </w:tc>
        <w:tc>
          <w:tcPr>
            <w:tcW w:w="8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Weighted average units outstanding:</w:t>
            </w:r>
          </w:p>
        </w:tc>
        <w:tc>
          <w:tcPr>
            <w:tcW w:w="128" w:type="dxa"/>
            <w:tcBorders/>
            <w:shd w:fill="auto" w:val="clear"/>
            <w:vAlign w:val="center"/>
          </w:tcPr>
          <w:p>
            <w:pPr>
              <w:pStyle w:val="TableContents"/>
              <w:spacing w:before="0" w:after="0"/>
              <w:ind w:left="0" w:right="0" w:firstLine="30"/>
              <w:rPr/>
            </w:pPr>
            <w:r>
              <w:rPr/>
              <w:t> </w:t>
            </w:r>
          </w:p>
        </w:tc>
        <w:tc>
          <w:tcPr>
            <w:tcW w:w="1499" w:type="dxa"/>
            <w:gridSpan w:val="3"/>
            <w:tcBorders/>
            <w:shd w:fill="auto" w:val="clear"/>
            <w:vAlign w:val="center"/>
          </w:tcPr>
          <w:p>
            <w:pPr>
              <w:pStyle w:val="TableContents"/>
              <w:spacing w:before="0" w:after="0"/>
              <w:ind w:left="0" w:right="0" w:firstLine="30"/>
              <w:rPr/>
            </w:pPr>
            <w:r>
              <w:rPr/>
              <w:t> </w:t>
            </w:r>
          </w:p>
        </w:tc>
        <w:tc>
          <w:tcPr>
            <w:tcW w:w="128" w:type="dxa"/>
            <w:tcBorders/>
            <w:shd w:fill="auto" w:val="clear"/>
            <w:vAlign w:val="center"/>
          </w:tcPr>
          <w:p>
            <w:pPr>
              <w:pStyle w:val="TableContents"/>
              <w:spacing w:before="0" w:after="0"/>
              <w:ind w:left="0" w:right="0" w:firstLine="30"/>
              <w:rPr/>
            </w:pPr>
            <w:r>
              <w:rPr/>
              <w:t> </w:t>
            </w:r>
          </w:p>
        </w:tc>
        <w:tc>
          <w:tcPr>
            <w:tcW w:w="1499" w:type="dxa"/>
            <w:gridSpan w:val="3"/>
            <w:tcBorders/>
            <w:shd w:fill="auto" w:val="clear"/>
            <w:vAlign w:val="center"/>
          </w:tcPr>
          <w:p>
            <w:pPr>
              <w:pStyle w:val="TableContents"/>
              <w:spacing w:before="0" w:after="0"/>
              <w:ind w:left="0" w:right="0" w:firstLine="30"/>
              <w:rPr/>
            </w:pPr>
            <w:r>
              <w:rPr/>
              <w:t> </w:t>
            </w:r>
          </w:p>
        </w:tc>
        <w:tc>
          <w:tcPr>
            <w:tcW w:w="128" w:type="dxa"/>
            <w:tcBorders/>
            <w:shd w:fill="auto" w:val="clear"/>
            <w:vAlign w:val="center"/>
          </w:tcPr>
          <w:p>
            <w:pPr>
              <w:pStyle w:val="TableContents"/>
              <w:spacing w:before="0" w:after="0"/>
              <w:ind w:left="0" w:right="0" w:firstLine="30"/>
              <w:rPr/>
            </w:pPr>
            <w:r>
              <w:rPr/>
              <w:t> </w:t>
            </w:r>
          </w:p>
        </w:tc>
        <w:tc>
          <w:tcPr>
            <w:tcW w:w="1424" w:type="dxa"/>
            <w:gridSpan w:val="3"/>
            <w:tcBorders/>
            <w:shd w:fill="auto" w:val="clear"/>
            <w:vAlign w:val="center"/>
          </w:tcPr>
          <w:p>
            <w:pPr>
              <w:pStyle w:val="TableContents"/>
              <w:spacing w:before="0" w:after="0"/>
              <w:ind w:left="0" w:right="0" w:firstLine="30"/>
              <w:rPr/>
            </w:pPr>
            <w:r>
              <w:rPr/>
              <w:t> </w:t>
            </w:r>
          </w:p>
        </w:tc>
        <w:tc>
          <w:tcPr>
            <w:tcW w:w="128" w:type="dxa"/>
            <w:tcBorders/>
            <w:shd w:fill="auto" w:val="clear"/>
            <w:vAlign w:val="center"/>
          </w:tcPr>
          <w:p>
            <w:pPr>
              <w:pStyle w:val="TableContents"/>
              <w:spacing w:before="0" w:after="0"/>
              <w:ind w:left="0" w:right="0" w:firstLine="30"/>
              <w:rPr/>
            </w:pPr>
            <w:r>
              <w:rPr/>
              <w:t> </w:t>
            </w:r>
          </w:p>
        </w:tc>
        <w:tc>
          <w:tcPr>
            <w:tcW w:w="2233" w:type="dxa"/>
            <w:gridSpan w:val="3"/>
            <w:tcBorders/>
            <w:shd w:fill="auto" w:val="clear"/>
            <w:vAlign w:val="center"/>
          </w:tcPr>
          <w:p>
            <w:pPr>
              <w:pStyle w:val="TableContents"/>
              <w:spacing w:before="0" w:after="0"/>
              <w:ind w:left="0" w:right="0" w:firstLine="420"/>
              <w:rPr/>
            </w:pPr>
            <w:r>
              <w:rPr/>
              <w:t> </w:t>
            </w:r>
          </w:p>
        </w:tc>
      </w:tr>
      <w:tr>
        <w:trPr/>
        <w:tc>
          <w:tcPr>
            <w:tcW w:w="30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Basic and diluted</w:t>
            </w:r>
          </w:p>
        </w:tc>
        <w:tc>
          <w:tcPr>
            <w:tcW w:w="128" w:type="dxa"/>
            <w:tcBorders/>
            <w:shd w:fill="CCEEFF" w:val="clear"/>
            <w:vAlign w:val="center"/>
          </w:tcPr>
          <w:p>
            <w:pPr>
              <w:pStyle w:val="TableContents"/>
              <w:spacing w:before="0" w:after="0"/>
              <w:ind w:left="0" w:right="0" w:firstLine="30"/>
              <w:rPr/>
            </w:pPr>
            <w:r>
              <w:rPr/>
              <w:t> </w:t>
            </w:r>
          </w:p>
        </w:tc>
        <w:tc>
          <w:tcPr>
            <w:tcW w:w="142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14,373,615</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42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12,686,115</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424" w:type="dxa"/>
            <w:gridSpan w:val="3"/>
            <w:tcBorders/>
            <w:shd w:fill="CCEEFF" w:val="clear"/>
            <w:vAlign w:val="center"/>
          </w:tcPr>
          <w:p>
            <w:pPr>
              <w:pStyle w:val="TableContents"/>
              <w:spacing w:before="0" w:after="0"/>
              <w:ind w:left="0" w:right="0" w:firstLine="30"/>
              <w:rPr/>
            </w:pPr>
            <w:r>
              <w:rPr/>
              <w:t> </w:t>
            </w:r>
          </w:p>
        </w:tc>
        <w:tc>
          <w:tcPr>
            <w:tcW w:w="128" w:type="dxa"/>
            <w:tcBorders/>
            <w:shd w:fill="CCEEFF" w:val="clear"/>
            <w:vAlign w:val="center"/>
          </w:tcPr>
          <w:p>
            <w:pPr>
              <w:pStyle w:val="TableContents"/>
              <w:spacing w:before="0" w:after="0"/>
              <w:ind w:left="0" w:right="0" w:firstLine="30"/>
              <w:rPr/>
            </w:pPr>
            <w:r>
              <w:rPr/>
              <w:t> </w:t>
            </w:r>
          </w:p>
        </w:tc>
        <w:tc>
          <w:tcPr>
            <w:tcW w:w="142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27,059,730</w:t>
            </w:r>
          </w:p>
        </w:tc>
        <w:tc>
          <w:tcPr>
            <w:tcW w:w="8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per limited partner unit:</w:t>
            </w:r>
          </w:p>
        </w:tc>
        <w:tc>
          <w:tcPr>
            <w:tcW w:w="128" w:type="dxa"/>
            <w:tcBorders/>
            <w:shd w:fill="auto" w:val="clear"/>
            <w:vAlign w:val="center"/>
          </w:tcPr>
          <w:p>
            <w:pPr>
              <w:pStyle w:val="TableContents"/>
              <w:spacing w:before="0" w:after="0"/>
              <w:ind w:left="0" w:right="0" w:firstLine="30"/>
              <w:rPr/>
            </w:pPr>
            <w:r>
              <w:rPr/>
              <w:t> </w:t>
            </w:r>
          </w:p>
        </w:tc>
        <w:tc>
          <w:tcPr>
            <w:tcW w:w="1499" w:type="dxa"/>
            <w:gridSpan w:val="3"/>
            <w:tcBorders/>
            <w:shd w:fill="auto" w:val="clear"/>
            <w:vAlign w:val="center"/>
          </w:tcPr>
          <w:p>
            <w:pPr>
              <w:pStyle w:val="TableContents"/>
              <w:spacing w:before="0" w:after="0"/>
              <w:ind w:left="0" w:right="0" w:firstLine="30"/>
              <w:rPr/>
            </w:pPr>
            <w:r>
              <w:rPr/>
              <w:t> </w:t>
            </w:r>
          </w:p>
        </w:tc>
        <w:tc>
          <w:tcPr>
            <w:tcW w:w="128" w:type="dxa"/>
            <w:tcBorders/>
            <w:shd w:fill="auto" w:val="clear"/>
            <w:vAlign w:val="center"/>
          </w:tcPr>
          <w:p>
            <w:pPr>
              <w:pStyle w:val="TableContents"/>
              <w:spacing w:before="0" w:after="0"/>
              <w:ind w:left="0" w:right="0" w:firstLine="30"/>
              <w:rPr/>
            </w:pPr>
            <w:r>
              <w:rPr/>
              <w:t> </w:t>
            </w:r>
          </w:p>
        </w:tc>
        <w:tc>
          <w:tcPr>
            <w:tcW w:w="1499" w:type="dxa"/>
            <w:gridSpan w:val="3"/>
            <w:tcBorders/>
            <w:shd w:fill="auto" w:val="clear"/>
            <w:vAlign w:val="center"/>
          </w:tcPr>
          <w:p>
            <w:pPr>
              <w:pStyle w:val="TableContents"/>
              <w:spacing w:before="0" w:after="0"/>
              <w:ind w:left="0" w:right="0" w:firstLine="30"/>
              <w:rPr/>
            </w:pPr>
            <w:r>
              <w:rPr/>
              <w:t> </w:t>
            </w:r>
          </w:p>
        </w:tc>
        <w:tc>
          <w:tcPr>
            <w:tcW w:w="128" w:type="dxa"/>
            <w:tcBorders/>
            <w:shd w:fill="auto" w:val="clear"/>
            <w:vAlign w:val="center"/>
          </w:tcPr>
          <w:p>
            <w:pPr>
              <w:pStyle w:val="TableContents"/>
              <w:spacing w:before="0" w:after="0"/>
              <w:ind w:left="0" w:right="0" w:firstLine="30"/>
              <w:rPr/>
            </w:pPr>
            <w:r>
              <w:rPr/>
              <w:t> </w:t>
            </w:r>
          </w:p>
        </w:tc>
        <w:tc>
          <w:tcPr>
            <w:tcW w:w="1424" w:type="dxa"/>
            <w:gridSpan w:val="3"/>
            <w:tcBorders/>
            <w:shd w:fill="auto" w:val="clear"/>
            <w:vAlign w:val="center"/>
          </w:tcPr>
          <w:p>
            <w:pPr>
              <w:pStyle w:val="TableContents"/>
              <w:spacing w:before="0" w:after="0"/>
              <w:ind w:left="0" w:right="0" w:firstLine="30"/>
              <w:rPr/>
            </w:pPr>
            <w:r>
              <w:rPr/>
              <w:t> </w:t>
            </w:r>
          </w:p>
        </w:tc>
        <w:tc>
          <w:tcPr>
            <w:tcW w:w="128" w:type="dxa"/>
            <w:tcBorders/>
            <w:shd w:fill="auto" w:val="clear"/>
            <w:vAlign w:val="center"/>
          </w:tcPr>
          <w:p>
            <w:pPr>
              <w:pStyle w:val="TableContents"/>
              <w:spacing w:before="0" w:after="0"/>
              <w:ind w:left="0" w:right="0" w:firstLine="30"/>
              <w:rPr/>
            </w:pPr>
            <w:r>
              <w:rPr/>
              <w:t> </w:t>
            </w:r>
          </w:p>
        </w:tc>
        <w:tc>
          <w:tcPr>
            <w:tcW w:w="2233" w:type="dxa"/>
            <w:gridSpan w:val="3"/>
            <w:tcBorders/>
            <w:shd w:fill="auto" w:val="clear"/>
            <w:vAlign w:val="center"/>
          </w:tcPr>
          <w:p>
            <w:pPr>
              <w:pStyle w:val="TableContents"/>
              <w:spacing w:before="0" w:after="0"/>
              <w:ind w:left="0" w:right="0" w:firstLine="420"/>
              <w:rPr/>
            </w:pPr>
            <w:r>
              <w:rPr/>
              <w:t> </w:t>
            </w:r>
          </w:p>
        </w:tc>
      </w:tr>
      <w:tr>
        <w:trPr/>
        <w:tc>
          <w:tcPr>
            <w:tcW w:w="30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Basic and diluted</w:t>
            </w:r>
          </w:p>
        </w:tc>
        <w:tc>
          <w:tcPr>
            <w:tcW w:w="128" w:type="dxa"/>
            <w:tcBorders/>
            <w:shd w:fill="CCEEFF" w:val="clear"/>
            <w:vAlign w:val="center"/>
          </w:tcPr>
          <w:p>
            <w:pPr>
              <w:pStyle w:val="TableContents"/>
              <w:spacing w:before="0" w:after="0"/>
              <w:ind w:left="0" w:right="0" w:firstLine="30"/>
              <w:rPr/>
            </w:pPr>
            <w:r>
              <w:rPr/>
              <w:t> </w:t>
            </w:r>
          </w:p>
        </w:tc>
        <w:tc>
          <w:tcPr>
            <w:tcW w:w="42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0.19</w:t>
            </w:r>
          </w:p>
        </w:tc>
        <w:tc>
          <w:tcPr>
            <w:tcW w:w="7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42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0.19</w:t>
            </w:r>
          </w:p>
        </w:tc>
        <w:tc>
          <w:tcPr>
            <w:tcW w:w="7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424" w:type="dxa"/>
            <w:gridSpan w:val="3"/>
            <w:tcBorders/>
            <w:shd w:fill="CCEEFF" w:val="clear"/>
            <w:vAlign w:val="center"/>
          </w:tcPr>
          <w:p>
            <w:pPr>
              <w:pStyle w:val="TableContents"/>
              <w:spacing w:before="0" w:after="0"/>
              <w:ind w:left="0" w:right="0" w:firstLine="30"/>
              <w:rPr/>
            </w:pPr>
            <w:r>
              <w:rPr/>
              <w:t> </w:t>
            </w:r>
          </w:p>
        </w:tc>
        <w:tc>
          <w:tcPr>
            <w:tcW w:w="128" w:type="dxa"/>
            <w:tcBorders/>
            <w:shd w:fill="CCEEFF" w:val="clear"/>
            <w:vAlign w:val="center"/>
          </w:tcPr>
          <w:p>
            <w:pPr>
              <w:pStyle w:val="TableContents"/>
              <w:spacing w:before="0" w:after="0"/>
              <w:ind w:left="0" w:right="0" w:firstLine="30"/>
              <w:rPr/>
            </w:pPr>
            <w:r>
              <w:rPr/>
              <w:t> </w:t>
            </w:r>
          </w:p>
        </w:tc>
        <w:tc>
          <w:tcPr>
            <w:tcW w:w="22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9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0.19</w:t>
            </w:r>
          </w:p>
        </w:tc>
        <w:tc>
          <w:tcPr>
            <w:tcW w:w="810"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11</w:t>
      </w:r>
      <w:r>
        <w:br w:type="page"/>
      </w:r>
    </w:p>
    <w:p>
      <w:pPr>
        <w:pStyle w:val="TextBody"/>
        <w:spacing w:lineRule="auto" w:line="288" w:before="0" w:after="0"/>
        <w:jc w:val="left"/>
        <w:rPr/>
      </w:pPr>
      <w:hyperlink w:anchor="s7D21BC485A80E1C3273666ECEC2365C6">
        <w:bookmarkStart w:id="23" w:name="s45A458C0959B832C71FF66ECE84F910E"/>
        <w:bookmarkEnd w:id="23"/>
        <w:r>
          <w:rPr>
            <w:rStyle w:val="InternetLink"/>
            <w:rFonts w:ascii="inherit" w:hAnsi="inherit"/>
            <w:sz w:val="17"/>
          </w:rPr>
          <w:t>Table of Contents</w:t>
        </w:r>
      </w:hyperlink>
    </w:p>
    <w:p>
      <w:pPr>
        <w:pStyle w:val="TextBody"/>
        <w:spacing w:lineRule="auto" w:line="288" w:before="0" w:after="0"/>
        <w:jc w:val="center"/>
        <w:rPr>
          <w:rFonts w:ascii="inherit" w:hAnsi="inherit"/>
          <w:b/>
          <w:sz w:val="17"/>
        </w:rPr>
      </w:pPr>
      <w:r>
        <w:rPr>
          <w:rFonts w:ascii="inherit" w:hAnsi="inherit"/>
          <w:b/>
          <w:sz w:val="17"/>
        </w:rPr>
        <w:t>WESTLAKE CHEMICAL PARTNERS LP</w:t>
      </w:r>
    </w:p>
    <w:p>
      <w:pPr>
        <w:pStyle w:val="TextBody"/>
        <w:spacing w:lineRule="auto" w:line="288" w:before="0" w:after="0"/>
        <w:jc w:val="center"/>
        <w:rPr>
          <w:rFonts w:ascii="inherit" w:hAnsi="inherit"/>
          <w:b/>
          <w:sz w:val="17"/>
        </w:rPr>
      </w:pPr>
      <w:r>
        <w:rPr>
          <w:rFonts w:ascii="inherit" w:hAnsi="inherit"/>
          <w:b/>
          <w:sz w:val="17"/>
        </w:rPr>
        <w:t>NOTES TO COMBINED AND CONSOLIDATED FINANCIAL STATEMENTS - Continued</w:t>
      </w:r>
    </w:p>
    <w:p>
      <w:pPr>
        <w:pStyle w:val="TextBody"/>
        <w:spacing w:lineRule="auto" w:line="288" w:before="0" w:after="0"/>
        <w:jc w:val="center"/>
        <w:rPr>
          <w:rFonts w:ascii="inherit" w:hAnsi="inherit"/>
          <w:b/>
          <w:sz w:val="17"/>
        </w:rPr>
      </w:pPr>
      <w:r>
        <w:rPr>
          <w:rFonts w:ascii="inherit" w:hAnsi="inherit"/>
          <w:b/>
          <w:sz w:val="17"/>
        </w:rPr>
        <w:t>(Unaudited)</w:t>
      </w:r>
    </w:p>
    <w:p>
      <w:pPr>
        <w:pStyle w:val="TextBody"/>
        <w:spacing w:lineRule="auto" w:line="288" w:before="0" w:after="0"/>
        <w:jc w:val="center"/>
        <w:rPr>
          <w:rFonts w:ascii="inherit" w:hAnsi="inherit"/>
          <w:b/>
          <w:sz w:val="17"/>
        </w:rPr>
      </w:pPr>
      <w:r>
        <w:rPr>
          <w:rFonts w:ascii="inherit" w:hAnsi="inherit"/>
          <w:b/>
          <w:sz w:val="17"/>
        </w:rPr>
        <w:t>(in thousands of dollars, except unit amounts and per unit data)</w:t>
      </w:r>
    </w:p>
    <w:p>
      <w:pPr>
        <w:pStyle w:val="TextBody"/>
        <w:spacing w:before="0" w:after="0"/>
        <w:rPr/>
      </w:pPr>
      <w:r>
        <w:rPr/>
      </w:r>
    </w:p>
    <w:p>
      <w:pPr>
        <w:pStyle w:val="TextBody"/>
        <w:spacing w:lineRule="auto" w:line="288" w:before="0" w:after="0"/>
        <w:jc w:val="left"/>
        <w:rPr>
          <w:sz w:val="17"/>
        </w:rPr>
      </w:pPr>
      <w:r>
        <w:rPr>
          <w:rFonts w:ascii="inherit" w:hAnsi="inherit"/>
          <w:b/>
          <w:sz w:val="17"/>
        </w:rPr>
        <w:t>9.</w:t>
      </w:r>
      <w:r>
        <w:rPr>
          <w:sz w:val="17"/>
        </w:rPr>
        <w:t xml:space="preserve"> </w:t>
      </w:r>
      <w:r>
        <w:rPr>
          <w:rFonts w:ascii="inherit" w:hAnsi="inherit"/>
          <w:b/>
          <w:sz w:val="17"/>
        </w:rPr>
        <w:t>Related Party Transactions</w:t>
      </w:r>
    </w:p>
    <w:p>
      <w:pPr>
        <w:pStyle w:val="TextBody"/>
        <w:spacing w:lineRule="auto" w:line="288" w:before="0" w:after="0"/>
        <w:ind w:left="0" w:right="0" w:firstLine="450"/>
        <w:jc w:val="left"/>
        <w:rPr>
          <w:rFonts w:ascii="inherit" w:hAnsi="inherit"/>
          <w:sz w:val="17"/>
        </w:rPr>
      </w:pPr>
      <w:r>
        <w:rPr>
          <w:rFonts w:ascii="inherit" w:hAnsi="inherit"/>
          <w:sz w:val="17"/>
        </w:rPr>
        <w:t xml:space="preserve">The Partnership and OpCo regularly enter into related party transactions with Westlake. See below for a description of transactions with related parties. </w:t>
      </w:r>
    </w:p>
    <w:p>
      <w:pPr>
        <w:pStyle w:val="TextBody"/>
        <w:spacing w:lineRule="auto" w:line="288" w:before="0" w:after="0"/>
        <w:jc w:val="left"/>
        <w:rPr>
          <w:rFonts w:ascii="inherit" w:hAnsi="inherit"/>
          <w:b/>
          <w:i/>
          <w:sz w:val="17"/>
        </w:rPr>
      </w:pPr>
      <w:r>
        <w:rPr>
          <w:rFonts w:ascii="inherit" w:hAnsi="inherit"/>
          <w:b/>
          <w:i/>
          <w:sz w:val="17"/>
        </w:rPr>
        <w:t>Sales to Related Parties</w:t>
      </w:r>
    </w:p>
    <w:p>
      <w:pPr>
        <w:pStyle w:val="TextBody"/>
        <w:spacing w:lineRule="auto" w:line="288" w:before="0" w:after="0"/>
        <w:ind w:left="0" w:right="0" w:firstLine="450"/>
        <w:jc w:val="left"/>
        <w:rPr>
          <w:rFonts w:ascii="inherit" w:hAnsi="inherit"/>
          <w:sz w:val="17"/>
        </w:rPr>
      </w:pPr>
      <w:r>
        <w:rPr>
          <w:rFonts w:ascii="inherit" w:hAnsi="inherit"/>
          <w:sz w:val="17"/>
        </w:rPr>
        <w:t xml:space="preserve">OpCo sells ethylene to Westlake under the Ethylene Sales Agreement described in Note 2. Additionally, the Partnership and OpCo from time to time provide other services or products for which it charges Westlake a fee. Prior to the IPO, the Predecessor sold the majority of its ethylene to Westlake for use in Westlake's downstream operations. </w:t>
      </w:r>
    </w:p>
    <w:p>
      <w:pPr>
        <w:pStyle w:val="TextBody"/>
        <w:spacing w:lineRule="auto" w:line="288" w:before="0" w:after="0"/>
        <w:ind w:left="0" w:right="0" w:firstLine="450"/>
        <w:jc w:val="left"/>
        <w:rPr>
          <w:rFonts w:ascii="inherit" w:hAnsi="inherit"/>
          <w:sz w:val="17"/>
        </w:rPr>
      </w:pPr>
      <w:r>
        <w:rPr>
          <w:rFonts w:ascii="inherit" w:hAnsi="inherit"/>
          <w:sz w:val="17"/>
        </w:rPr>
        <w:t>Sales to related parties were as follows:</w:t>
      </w:r>
    </w:p>
    <w:tbl>
      <w:tblPr>
        <w:tblW w:w="10205" w:type="dxa"/>
        <w:jc w:val="left"/>
        <w:tblInd w:w="0" w:type="dxa"/>
        <w:tblCellMar>
          <w:top w:w="0" w:type="dxa"/>
          <w:left w:w="0" w:type="dxa"/>
          <w:bottom w:w="0" w:type="dxa"/>
          <w:right w:w="0" w:type="dxa"/>
        </w:tblCellMar>
      </w:tblPr>
      <w:tblGrid>
        <w:gridCol w:w="3631"/>
        <w:gridCol w:w="126"/>
        <w:gridCol w:w="148"/>
        <w:gridCol w:w="1212"/>
        <w:gridCol w:w="89"/>
        <w:gridCol w:w="126"/>
        <w:gridCol w:w="186"/>
        <w:gridCol w:w="1238"/>
        <w:gridCol w:w="89"/>
        <w:gridCol w:w="126"/>
        <w:gridCol w:w="148"/>
        <w:gridCol w:w="1306"/>
        <w:gridCol w:w="89"/>
        <w:gridCol w:w="126"/>
        <w:gridCol w:w="148"/>
        <w:gridCol w:w="1306"/>
        <w:gridCol w:w="111"/>
      </w:tblGrid>
      <w:tr>
        <w:trPr/>
        <w:tc>
          <w:tcPr>
            <w:tcW w:w="10205" w:type="dxa"/>
            <w:gridSpan w:val="17"/>
            <w:tcBorders/>
            <w:shd w:fill="auto" w:val="clear"/>
            <w:vAlign w:val="center"/>
          </w:tcPr>
          <w:p>
            <w:pPr>
              <w:pStyle w:val="TableContents"/>
              <w:spacing w:before="0" w:after="283"/>
              <w:rPr>
                <w:sz w:val="4"/>
                <w:szCs w:val="4"/>
              </w:rPr>
            </w:pPr>
            <w:r>
              <w:rPr>
                <w:sz w:val="4"/>
                <w:szCs w:val="4"/>
              </w:rPr>
            </w:r>
          </w:p>
        </w:tc>
      </w:tr>
      <w:tr>
        <w:trPr/>
        <w:tc>
          <w:tcPr>
            <w:tcW w:w="3631"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631" w:type="dxa"/>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3088"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September 30,</w:t>
            </w:r>
          </w:p>
        </w:tc>
        <w:tc>
          <w:tcPr>
            <w:tcW w:w="126" w:type="dxa"/>
            <w:tcBorders/>
            <w:shd w:fill="auto" w:val="clear"/>
            <w:vAlign w:val="center"/>
          </w:tcPr>
          <w:p>
            <w:pPr>
              <w:pStyle w:val="TableContents"/>
              <w:spacing w:before="0" w:after="0"/>
              <w:ind w:left="0" w:right="0" w:firstLine="30"/>
              <w:rPr/>
            </w:pPr>
            <w:r>
              <w:rPr/>
              <w:t> </w:t>
            </w:r>
          </w:p>
        </w:tc>
        <w:tc>
          <w:tcPr>
            <w:tcW w:w="3234"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September 30,</w:t>
            </w:r>
          </w:p>
        </w:tc>
      </w:tr>
      <w:tr>
        <w:trPr/>
        <w:tc>
          <w:tcPr>
            <w:tcW w:w="3631" w:type="dxa"/>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449"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2014</w:t>
            </w:r>
          </w:p>
        </w:tc>
        <w:tc>
          <w:tcPr>
            <w:tcW w:w="126" w:type="dxa"/>
            <w:tcBorders/>
            <w:shd w:fill="auto" w:val="clear"/>
            <w:vAlign w:val="center"/>
          </w:tcPr>
          <w:p>
            <w:pPr>
              <w:pStyle w:val="TableContents"/>
              <w:spacing w:before="0" w:after="0"/>
              <w:ind w:left="0" w:right="0" w:firstLine="30"/>
              <w:rPr/>
            </w:pPr>
            <w:r>
              <w:rPr/>
              <w:t> </w:t>
            </w:r>
          </w:p>
        </w:tc>
        <w:tc>
          <w:tcPr>
            <w:tcW w:w="1513"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26" w:type="dxa"/>
            <w:tcBorders/>
            <w:shd w:fill="auto" w:val="clear"/>
            <w:vAlign w:val="center"/>
          </w:tcPr>
          <w:p>
            <w:pPr>
              <w:pStyle w:val="TableContents"/>
              <w:spacing w:before="0" w:after="0"/>
              <w:ind w:left="0" w:right="0" w:firstLine="30"/>
              <w:rPr/>
            </w:pPr>
            <w:r>
              <w:rPr/>
              <w:t> </w:t>
            </w:r>
          </w:p>
        </w:tc>
        <w:tc>
          <w:tcPr>
            <w:tcW w:w="154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2014</w:t>
            </w:r>
          </w:p>
        </w:tc>
        <w:tc>
          <w:tcPr>
            <w:tcW w:w="126" w:type="dxa"/>
            <w:tcBorders/>
            <w:shd w:fill="auto" w:val="clear"/>
            <w:vAlign w:val="center"/>
          </w:tcPr>
          <w:p>
            <w:pPr>
              <w:pStyle w:val="TableContents"/>
              <w:spacing w:before="0" w:after="0"/>
              <w:ind w:left="0" w:right="0" w:firstLine="30"/>
              <w:rPr/>
            </w:pPr>
            <w:r>
              <w:rPr/>
              <w:t> </w:t>
            </w:r>
          </w:p>
        </w:tc>
        <w:tc>
          <w:tcPr>
            <w:tcW w:w="156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r>
      <w:tr>
        <w:trPr/>
        <w:tc>
          <w:tcPr>
            <w:tcW w:w="3631" w:type="dxa"/>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449" w:type="dxa"/>
            <w:gridSpan w:val="3"/>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513" w:type="dxa"/>
            <w:gridSpan w:val="3"/>
            <w:tcBorders/>
            <w:shd w:fill="auto" w:val="clear"/>
            <w:vAlign w:val="center"/>
          </w:tcPr>
          <w:p>
            <w:pPr>
              <w:pStyle w:val="TableContents"/>
              <w:spacing w:before="0" w:after="0"/>
              <w:ind w:left="0" w:right="0" w:firstLine="30"/>
              <w:jc w:val="center"/>
              <w:rPr>
                <w:rFonts w:ascii="inherit" w:hAnsi="inherit"/>
                <w:b/>
                <w:i/>
                <w:sz w:val="13"/>
              </w:rPr>
            </w:pPr>
            <w:r>
              <w:rPr>
                <w:rFonts w:ascii="inherit" w:hAnsi="inherit"/>
                <w:b/>
                <w:i/>
                <w:sz w:val="13"/>
              </w:rPr>
              <w:t>Predecessor</w:t>
            </w:r>
          </w:p>
        </w:tc>
        <w:tc>
          <w:tcPr>
            <w:tcW w:w="126" w:type="dxa"/>
            <w:tcBorders/>
            <w:shd w:fill="auto" w:val="clear"/>
            <w:vAlign w:val="center"/>
          </w:tcPr>
          <w:p>
            <w:pPr>
              <w:pStyle w:val="TableContents"/>
              <w:spacing w:before="0" w:after="0"/>
              <w:ind w:left="0" w:right="0" w:firstLine="30"/>
              <w:rPr/>
            </w:pPr>
            <w:r>
              <w:rPr/>
              <w:t> </w:t>
            </w:r>
          </w:p>
        </w:tc>
        <w:tc>
          <w:tcPr>
            <w:tcW w:w="1543" w:type="dxa"/>
            <w:gridSpan w:val="3"/>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565" w:type="dxa"/>
            <w:gridSpan w:val="3"/>
            <w:tcBorders/>
            <w:shd w:fill="auto" w:val="clear"/>
            <w:vAlign w:val="center"/>
          </w:tcPr>
          <w:p>
            <w:pPr>
              <w:pStyle w:val="TableContents"/>
              <w:spacing w:before="0" w:after="0"/>
              <w:ind w:left="0" w:right="0" w:firstLine="30"/>
              <w:jc w:val="center"/>
              <w:rPr>
                <w:rFonts w:ascii="inherit" w:hAnsi="inherit"/>
                <w:b/>
                <w:i/>
                <w:sz w:val="13"/>
              </w:rPr>
            </w:pPr>
            <w:r>
              <w:rPr>
                <w:rFonts w:ascii="inherit" w:hAnsi="inherit"/>
                <w:b/>
                <w:i/>
                <w:sz w:val="13"/>
              </w:rPr>
              <w:t>Predecessor</w:t>
            </w:r>
          </w:p>
        </w:tc>
      </w:tr>
      <w:tr>
        <w:trPr/>
        <w:tc>
          <w:tcPr>
            <w:tcW w:w="36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sales—Westlake</w:t>
            </w:r>
          </w:p>
        </w:tc>
        <w:tc>
          <w:tcPr>
            <w:tcW w:w="126" w:type="dxa"/>
            <w:tcBorders/>
            <w:shd w:fill="CCEEFF" w:val="clear"/>
            <w:vAlign w:val="center"/>
          </w:tcPr>
          <w:p>
            <w:pPr>
              <w:pStyle w:val="TableContents"/>
              <w:spacing w:before="0" w:after="0"/>
              <w:ind w:left="0" w:right="0" w:firstLine="30"/>
              <w:rPr/>
            </w:pPr>
            <w:r>
              <w:rPr/>
              <w:t> </w:t>
            </w:r>
          </w:p>
        </w:tc>
        <w:tc>
          <w:tcPr>
            <w:tcW w:w="14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289,601</w:t>
            </w:r>
          </w:p>
        </w:tc>
        <w:tc>
          <w:tcPr>
            <w:tcW w:w="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8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38" w:type="dxa"/>
            <w:tcBorders/>
            <w:shd w:fill="CCEEFF" w:val="clear"/>
            <w:vAlign w:val="center"/>
          </w:tcPr>
          <w:p>
            <w:pPr>
              <w:pStyle w:val="TableContents"/>
              <w:spacing w:before="0" w:after="0"/>
              <w:jc w:val="right"/>
              <w:rPr>
                <w:rFonts w:ascii="inherit" w:hAnsi="inherit"/>
                <w:sz w:val="17"/>
              </w:rPr>
            </w:pPr>
            <w:r>
              <w:rPr>
                <w:rFonts w:ascii="inherit" w:hAnsi="inherit"/>
                <w:sz w:val="17"/>
              </w:rPr>
              <w:t>391,801</w:t>
            </w:r>
          </w:p>
        </w:tc>
        <w:tc>
          <w:tcPr>
            <w:tcW w:w="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4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06" w:type="dxa"/>
            <w:tcBorders/>
            <w:shd w:fill="CCEEFF" w:val="clear"/>
            <w:vAlign w:val="center"/>
          </w:tcPr>
          <w:p>
            <w:pPr>
              <w:pStyle w:val="TableContents"/>
              <w:spacing w:before="0" w:after="0"/>
              <w:jc w:val="right"/>
              <w:rPr>
                <w:rFonts w:ascii="inherit" w:hAnsi="inherit"/>
                <w:sz w:val="17"/>
              </w:rPr>
            </w:pPr>
            <w:r>
              <w:rPr>
                <w:rFonts w:ascii="inherit" w:hAnsi="inherit"/>
                <w:sz w:val="17"/>
              </w:rPr>
              <w:t>1,088,561</w:t>
            </w:r>
          </w:p>
        </w:tc>
        <w:tc>
          <w:tcPr>
            <w:tcW w:w="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4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06" w:type="dxa"/>
            <w:tcBorders/>
            <w:shd w:fill="CCEEFF" w:val="clear"/>
            <w:vAlign w:val="center"/>
          </w:tcPr>
          <w:p>
            <w:pPr>
              <w:pStyle w:val="TableContents"/>
              <w:spacing w:before="0" w:after="0"/>
              <w:jc w:val="right"/>
              <w:rPr>
                <w:rFonts w:ascii="inherit" w:hAnsi="inherit"/>
                <w:sz w:val="17"/>
              </w:rPr>
            </w:pPr>
            <w:r>
              <w:rPr>
                <w:rFonts w:ascii="inherit" w:hAnsi="inherit"/>
                <w:sz w:val="17"/>
              </w:rPr>
              <w:t>1,195,870</w:t>
            </w:r>
          </w:p>
        </w:tc>
        <w:tc>
          <w:tcPr>
            <w:tcW w:w="111"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b/>
          <w:i/>
          <w:sz w:val="17"/>
        </w:rPr>
      </w:pPr>
      <w:r>
        <w:rPr>
          <w:rFonts w:ascii="inherit" w:hAnsi="inherit"/>
          <w:b/>
          <w:i/>
          <w:sz w:val="17"/>
        </w:rPr>
        <w:t>Cost of Sales from Related Parties</w:t>
      </w:r>
    </w:p>
    <w:p>
      <w:pPr>
        <w:pStyle w:val="TextBody"/>
        <w:spacing w:lineRule="auto" w:line="288" w:before="0" w:after="0"/>
        <w:ind w:left="0" w:right="0" w:firstLine="450"/>
        <w:jc w:val="left"/>
        <w:rPr>
          <w:rFonts w:ascii="inherit" w:hAnsi="inherit"/>
          <w:sz w:val="17"/>
        </w:rPr>
      </w:pPr>
      <w:r>
        <w:rPr>
          <w:rFonts w:ascii="inherit" w:hAnsi="inherit"/>
          <w:sz w:val="17"/>
        </w:rPr>
        <w:t xml:space="preserve">Charges for goods and services purchased by the Partnership and OpCo from Westlake and included in cost of sales relate primarily to feedstock purchased under the Feedstock Supply Agreement and services provided under the services and secondment agreement, described in Note 2. Prior to the IPO, services provided by Westlake and included in cost of sales related primarily to services provided by employees of Westlake Management Services, Inc., a subsidiary of Westlake. The cost of services provided by employees of Westlake Management Services, Inc. were allocated to the Predecessor's operations primarily on the basis of direct usage. </w:t>
      </w:r>
    </w:p>
    <w:p>
      <w:pPr>
        <w:pStyle w:val="TextBody"/>
        <w:spacing w:lineRule="auto" w:line="288" w:before="0" w:after="0"/>
        <w:ind w:left="0" w:right="0" w:firstLine="450"/>
        <w:jc w:val="left"/>
        <w:rPr>
          <w:rFonts w:ascii="inherit" w:hAnsi="inherit"/>
          <w:sz w:val="17"/>
        </w:rPr>
      </w:pPr>
      <w:r>
        <w:rPr>
          <w:rFonts w:ascii="inherit" w:hAnsi="inherit"/>
          <w:sz w:val="17"/>
        </w:rPr>
        <w:t>Charges from related parties in cost of sales were as follows:</w:t>
      </w:r>
    </w:p>
    <w:tbl>
      <w:tblPr>
        <w:tblW w:w="10205" w:type="dxa"/>
        <w:jc w:val="left"/>
        <w:tblInd w:w="0" w:type="dxa"/>
        <w:tblCellMar>
          <w:top w:w="0" w:type="dxa"/>
          <w:left w:w="0" w:type="dxa"/>
          <w:bottom w:w="0" w:type="dxa"/>
          <w:right w:w="0" w:type="dxa"/>
        </w:tblCellMar>
      </w:tblPr>
      <w:tblGrid>
        <w:gridCol w:w="3692"/>
        <w:gridCol w:w="130"/>
        <w:gridCol w:w="153"/>
        <w:gridCol w:w="1165"/>
        <w:gridCol w:w="89"/>
        <w:gridCol w:w="130"/>
        <w:gridCol w:w="210"/>
        <w:gridCol w:w="1245"/>
        <w:gridCol w:w="89"/>
        <w:gridCol w:w="130"/>
        <w:gridCol w:w="153"/>
        <w:gridCol w:w="1235"/>
        <w:gridCol w:w="89"/>
        <w:gridCol w:w="130"/>
        <w:gridCol w:w="198"/>
        <w:gridCol w:w="1258"/>
        <w:gridCol w:w="109"/>
      </w:tblGrid>
      <w:tr>
        <w:trPr/>
        <w:tc>
          <w:tcPr>
            <w:tcW w:w="10205" w:type="dxa"/>
            <w:gridSpan w:val="17"/>
            <w:tcBorders/>
            <w:shd w:fill="auto" w:val="clear"/>
            <w:vAlign w:val="center"/>
          </w:tcPr>
          <w:p>
            <w:pPr>
              <w:pStyle w:val="TableContents"/>
              <w:spacing w:before="0" w:after="283"/>
              <w:rPr>
                <w:sz w:val="4"/>
                <w:szCs w:val="4"/>
              </w:rPr>
            </w:pPr>
            <w:r>
              <w:rPr>
                <w:sz w:val="4"/>
                <w:szCs w:val="4"/>
              </w:rPr>
            </w:r>
          </w:p>
        </w:tc>
      </w:tr>
      <w:tr>
        <w:trPr/>
        <w:tc>
          <w:tcPr>
            <w:tcW w:w="3692"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692" w:type="dxa"/>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3081" w:type="dxa"/>
            <w:gridSpan w:val="7"/>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September 30,</w:t>
            </w:r>
          </w:p>
        </w:tc>
        <w:tc>
          <w:tcPr>
            <w:tcW w:w="130" w:type="dxa"/>
            <w:tcBorders/>
            <w:shd w:fill="auto" w:val="clear"/>
            <w:vAlign w:val="center"/>
          </w:tcPr>
          <w:p>
            <w:pPr>
              <w:pStyle w:val="TableContents"/>
              <w:spacing w:before="0" w:after="0"/>
              <w:ind w:left="0" w:right="0" w:firstLine="30"/>
              <w:rPr/>
            </w:pPr>
            <w:r>
              <w:rPr/>
              <w:t> </w:t>
            </w:r>
          </w:p>
        </w:tc>
        <w:tc>
          <w:tcPr>
            <w:tcW w:w="3172" w:type="dxa"/>
            <w:gridSpan w:val="7"/>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September 30,</w:t>
            </w:r>
          </w:p>
        </w:tc>
      </w:tr>
      <w:tr>
        <w:trPr/>
        <w:tc>
          <w:tcPr>
            <w:tcW w:w="3692" w:type="dxa"/>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407"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2014</w:t>
            </w:r>
          </w:p>
        </w:tc>
        <w:tc>
          <w:tcPr>
            <w:tcW w:w="130" w:type="dxa"/>
            <w:tcBorders/>
            <w:shd w:fill="auto" w:val="clear"/>
            <w:vAlign w:val="center"/>
          </w:tcPr>
          <w:p>
            <w:pPr>
              <w:pStyle w:val="TableContents"/>
              <w:spacing w:before="0" w:after="0"/>
              <w:ind w:left="0" w:right="0" w:firstLine="30"/>
              <w:rPr/>
            </w:pPr>
            <w:r>
              <w:rPr/>
              <w:t> </w:t>
            </w:r>
          </w:p>
        </w:tc>
        <w:tc>
          <w:tcPr>
            <w:tcW w:w="154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30" w:type="dxa"/>
            <w:tcBorders/>
            <w:shd w:fill="auto" w:val="clear"/>
            <w:vAlign w:val="center"/>
          </w:tcPr>
          <w:p>
            <w:pPr>
              <w:pStyle w:val="TableContents"/>
              <w:spacing w:before="0" w:after="0"/>
              <w:ind w:left="0" w:right="0" w:firstLine="30"/>
              <w:rPr/>
            </w:pPr>
            <w:r>
              <w:rPr/>
              <w:t> </w:t>
            </w:r>
          </w:p>
        </w:tc>
        <w:tc>
          <w:tcPr>
            <w:tcW w:w="1477"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2014</w:t>
            </w:r>
          </w:p>
        </w:tc>
        <w:tc>
          <w:tcPr>
            <w:tcW w:w="130" w:type="dxa"/>
            <w:tcBorders/>
            <w:shd w:fill="auto" w:val="clear"/>
            <w:vAlign w:val="center"/>
          </w:tcPr>
          <w:p>
            <w:pPr>
              <w:pStyle w:val="TableContents"/>
              <w:spacing w:before="0" w:after="0"/>
              <w:ind w:left="0" w:right="0" w:firstLine="30"/>
              <w:rPr/>
            </w:pPr>
            <w:r>
              <w:rPr/>
              <w:t> </w:t>
            </w:r>
          </w:p>
        </w:tc>
        <w:tc>
          <w:tcPr>
            <w:tcW w:w="156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r>
      <w:tr>
        <w:trPr/>
        <w:tc>
          <w:tcPr>
            <w:tcW w:w="3692" w:type="dxa"/>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407"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544" w:type="dxa"/>
            <w:gridSpan w:val="3"/>
            <w:tcBorders/>
            <w:shd w:fill="auto" w:val="clear"/>
            <w:vAlign w:val="center"/>
          </w:tcPr>
          <w:p>
            <w:pPr>
              <w:pStyle w:val="TableContents"/>
              <w:spacing w:before="0" w:after="0"/>
              <w:ind w:left="0" w:right="0" w:firstLine="30"/>
              <w:jc w:val="center"/>
              <w:rPr>
                <w:rFonts w:ascii="inherit" w:hAnsi="inherit"/>
                <w:b/>
                <w:i/>
                <w:sz w:val="13"/>
              </w:rPr>
            </w:pPr>
            <w:r>
              <w:rPr>
                <w:rFonts w:ascii="inherit" w:hAnsi="inherit"/>
                <w:b/>
                <w:i/>
                <w:sz w:val="13"/>
              </w:rPr>
              <w:t>Predecessor</w:t>
            </w:r>
          </w:p>
        </w:tc>
        <w:tc>
          <w:tcPr>
            <w:tcW w:w="130" w:type="dxa"/>
            <w:tcBorders/>
            <w:shd w:fill="auto" w:val="clear"/>
            <w:vAlign w:val="center"/>
          </w:tcPr>
          <w:p>
            <w:pPr>
              <w:pStyle w:val="TableContents"/>
              <w:spacing w:before="0" w:after="0"/>
              <w:ind w:left="0" w:right="0" w:firstLine="30"/>
              <w:rPr/>
            </w:pPr>
            <w:r>
              <w:rPr/>
              <w:t> </w:t>
            </w:r>
          </w:p>
        </w:tc>
        <w:tc>
          <w:tcPr>
            <w:tcW w:w="1477"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565" w:type="dxa"/>
            <w:gridSpan w:val="3"/>
            <w:tcBorders/>
            <w:shd w:fill="auto" w:val="clear"/>
            <w:vAlign w:val="center"/>
          </w:tcPr>
          <w:p>
            <w:pPr>
              <w:pStyle w:val="TableContents"/>
              <w:spacing w:before="0" w:after="0"/>
              <w:ind w:left="0" w:right="0" w:firstLine="30"/>
              <w:jc w:val="center"/>
              <w:rPr>
                <w:rFonts w:ascii="inherit" w:hAnsi="inherit"/>
                <w:b/>
                <w:i/>
                <w:sz w:val="13"/>
              </w:rPr>
            </w:pPr>
            <w:r>
              <w:rPr>
                <w:rFonts w:ascii="inherit" w:hAnsi="inherit"/>
                <w:b/>
                <w:i/>
                <w:sz w:val="13"/>
              </w:rPr>
              <w:t>Predecessor</w:t>
            </w:r>
          </w:p>
        </w:tc>
      </w:tr>
      <w:tr>
        <w:trPr/>
        <w:tc>
          <w:tcPr>
            <w:tcW w:w="3692" w:type="dxa"/>
            <w:tcBorders/>
            <w:shd w:fill="CCEEFF" w:val="clear"/>
            <w:vAlign w:val="center"/>
          </w:tcPr>
          <w:p>
            <w:pPr>
              <w:pStyle w:val="TableContents"/>
              <w:spacing w:before="0" w:after="0"/>
              <w:rPr>
                <w:rFonts w:ascii="inherit" w:hAnsi="inherit"/>
                <w:sz w:val="17"/>
              </w:rPr>
            </w:pPr>
            <w:r>
              <w:rPr>
                <w:rFonts w:ascii="inherit" w:hAnsi="inherit"/>
                <w:sz w:val="17"/>
              </w:rPr>
              <w:t xml:space="preserve">Feedstock purchased from Westlake and included in cost </w:t>
            </w:r>
          </w:p>
          <w:p>
            <w:pPr>
              <w:pStyle w:val="TableContents"/>
              <w:spacing w:before="0" w:after="0"/>
              <w:ind w:left="0" w:right="0" w:firstLine="30"/>
              <w:rPr/>
            </w:pPr>
            <w:r>
              <w:rPr/>
              <w:t>   </w:t>
            </w:r>
            <w:r>
              <w:rPr>
                <w:rFonts w:ascii="inherit" w:hAnsi="inherit"/>
                <w:sz w:val="17"/>
              </w:rPr>
              <w:t>of sales</w:t>
            </w:r>
          </w:p>
        </w:tc>
        <w:tc>
          <w:tcPr>
            <w:tcW w:w="130" w:type="dxa"/>
            <w:tcBorders/>
            <w:shd w:fill="CCEEFF" w:val="clear"/>
            <w:vAlign w:val="center"/>
          </w:tcPr>
          <w:p>
            <w:pPr>
              <w:pStyle w:val="TableContents"/>
              <w:spacing w:before="0" w:after="0"/>
              <w:ind w:left="0" w:right="0" w:firstLine="30"/>
              <w:rPr/>
            </w:pPr>
            <w:r>
              <w:rPr/>
              <w:t> </w:t>
            </w:r>
          </w:p>
        </w:tc>
        <w:tc>
          <w:tcPr>
            <w:tcW w:w="15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65" w:type="dxa"/>
            <w:tcBorders/>
            <w:shd w:fill="CCEEFF" w:val="clear"/>
            <w:vAlign w:val="center"/>
          </w:tcPr>
          <w:p>
            <w:pPr>
              <w:pStyle w:val="TableContents"/>
              <w:spacing w:before="0" w:after="0"/>
              <w:jc w:val="right"/>
              <w:rPr>
                <w:rFonts w:ascii="inherit" w:hAnsi="inherit"/>
                <w:sz w:val="17"/>
              </w:rPr>
            </w:pPr>
            <w:r>
              <w:rPr>
                <w:rFonts w:ascii="inherit" w:hAnsi="inherit"/>
                <w:sz w:val="17"/>
              </w:rPr>
              <w:t>63,108</w:t>
            </w:r>
          </w:p>
        </w:tc>
        <w:tc>
          <w:tcPr>
            <w:tcW w:w="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21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45" w:type="dxa"/>
            <w:tcBorders/>
            <w:shd w:fill="CCEEFF" w:val="clear"/>
            <w:vAlign w:val="center"/>
          </w:tcPr>
          <w:p>
            <w:pPr>
              <w:pStyle w:val="TableContents"/>
              <w:spacing w:before="0" w:after="0"/>
              <w:jc w:val="right"/>
              <w:rPr/>
            </w:pPr>
            <w:r>
              <w:rPr/>
              <w:t>—</w:t>
            </w:r>
          </w:p>
        </w:tc>
        <w:tc>
          <w:tcPr>
            <w:tcW w:w="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5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35" w:type="dxa"/>
            <w:tcBorders/>
            <w:shd w:fill="CCEEFF" w:val="clear"/>
            <w:vAlign w:val="center"/>
          </w:tcPr>
          <w:p>
            <w:pPr>
              <w:pStyle w:val="TableContents"/>
              <w:spacing w:before="0" w:after="0"/>
              <w:jc w:val="right"/>
              <w:rPr>
                <w:rFonts w:ascii="inherit" w:hAnsi="inherit"/>
                <w:sz w:val="17"/>
              </w:rPr>
            </w:pPr>
            <w:r>
              <w:rPr>
                <w:rFonts w:ascii="inherit" w:hAnsi="inherit"/>
                <w:sz w:val="17"/>
              </w:rPr>
              <w:t>63,108</w:t>
            </w:r>
          </w:p>
        </w:tc>
        <w:tc>
          <w:tcPr>
            <w:tcW w:w="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9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58" w:type="dxa"/>
            <w:tcBorders/>
            <w:shd w:fill="CCEEFF" w:val="clear"/>
            <w:vAlign w:val="center"/>
          </w:tcPr>
          <w:p>
            <w:pPr>
              <w:pStyle w:val="TableContents"/>
              <w:spacing w:before="0" w:after="0"/>
              <w:jc w:val="right"/>
              <w:rPr/>
            </w:pPr>
            <w:r>
              <w:rPr/>
              <w:t>—</w:t>
            </w:r>
          </w:p>
        </w:tc>
        <w:tc>
          <w:tcPr>
            <w:tcW w:w="1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92" w:type="dxa"/>
            <w:tcBorders/>
            <w:shd w:fill="auto" w:val="clear"/>
            <w:vAlign w:val="center"/>
          </w:tcPr>
          <w:p>
            <w:pPr>
              <w:pStyle w:val="TableContents"/>
              <w:spacing w:before="0" w:after="0"/>
              <w:rPr>
                <w:rFonts w:ascii="inherit" w:hAnsi="inherit"/>
                <w:sz w:val="17"/>
              </w:rPr>
            </w:pPr>
            <w:r>
              <w:rPr>
                <w:rFonts w:ascii="inherit" w:hAnsi="inherit"/>
                <w:sz w:val="17"/>
              </w:rPr>
              <w:t xml:space="preserve">Other charges from Westlake and included in cost of </w:t>
            </w:r>
          </w:p>
          <w:p>
            <w:pPr>
              <w:pStyle w:val="TableContents"/>
              <w:spacing w:before="0" w:after="0"/>
              <w:ind w:left="0" w:right="0" w:firstLine="30"/>
              <w:rPr/>
            </w:pPr>
            <w:r>
              <w:rPr/>
              <w:t>   </w:t>
            </w:r>
            <w:r>
              <w:rPr>
                <w:rFonts w:ascii="inherit" w:hAnsi="inherit"/>
                <w:sz w:val="17"/>
              </w:rPr>
              <w:t>sales</w:t>
            </w:r>
          </w:p>
        </w:tc>
        <w:tc>
          <w:tcPr>
            <w:tcW w:w="130" w:type="dxa"/>
            <w:tcBorders/>
            <w:shd w:fill="auto" w:val="clear"/>
            <w:vAlign w:val="center"/>
          </w:tcPr>
          <w:p>
            <w:pPr>
              <w:pStyle w:val="TableContents"/>
              <w:spacing w:before="0" w:after="0"/>
              <w:ind w:left="0" w:right="0" w:firstLine="30"/>
              <w:rPr/>
            </w:pPr>
            <w:r>
              <w:rPr/>
              <w:t> </w:t>
            </w:r>
          </w:p>
        </w:tc>
        <w:tc>
          <w:tcPr>
            <w:tcW w:w="13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13,879</w:t>
            </w:r>
          </w:p>
        </w:tc>
        <w:tc>
          <w:tcPr>
            <w:tcW w:w="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4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15,484</w:t>
            </w:r>
          </w:p>
        </w:tc>
        <w:tc>
          <w:tcPr>
            <w:tcW w:w="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8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47,000</w:t>
            </w:r>
          </w:p>
        </w:tc>
        <w:tc>
          <w:tcPr>
            <w:tcW w:w="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45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46,273</w:t>
            </w:r>
          </w:p>
        </w:tc>
        <w:tc>
          <w:tcPr>
            <w:tcW w:w="1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30" w:type="dxa"/>
            <w:tcBorders/>
            <w:shd w:fill="CCEEFF" w:val="clear"/>
            <w:vAlign w:val="center"/>
          </w:tcPr>
          <w:p>
            <w:pPr>
              <w:pStyle w:val="TableContents"/>
              <w:spacing w:before="0" w:after="0"/>
              <w:ind w:left="0" w:right="0" w:firstLine="30"/>
              <w:rPr/>
            </w:pPr>
            <w:r>
              <w:rPr/>
              <w:t> </w:t>
            </w:r>
          </w:p>
        </w:tc>
        <w:tc>
          <w:tcPr>
            <w:tcW w:w="15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6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76,987</w:t>
            </w:r>
          </w:p>
        </w:tc>
        <w:tc>
          <w:tcPr>
            <w:tcW w:w="8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21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4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15,484</w:t>
            </w:r>
          </w:p>
        </w:tc>
        <w:tc>
          <w:tcPr>
            <w:tcW w:w="8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5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3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110,108</w:t>
            </w:r>
          </w:p>
        </w:tc>
        <w:tc>
          <w:tcPr>
            <w:tcW w:w="8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9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5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46,273</w:t>
            </w:r>
          </w:p>
        </w:tc>
        <w:tc>
          <w:tcPr>
            <w:tcW w:w="10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b/>
          <w:i/>
          <w:sz w:val="17"/>
        </w:rPr>
      </w:pPr>
      <w:r>
        <w:rPr>
          <w:rFonts w:ascii="inherit" w:hAnsi="inherit"/>
          <w:b/>
          <w:i/>
          <w:sz w:val="17"/>
        </w:rPr>
        <w:t>Services from Related Parties Included in Selling, General and Administrative Expenses</w:t>
      </w:r>
    </w:p>
    <w:p>
      <w:pPr>
        <w:pStyle w:val="TextBody"/>
        <w:spacing w:lineRule="auto" w:line="288" w:before="0" w:after="0"/>
        <w:ind w:left="0" w:right="0" w:firstLine="450"/>
        <w:jc w:val="left"/>
        <w:rPr>
          <w:rFonts w:ascii="inherit" w:hAnsi="inherit"/>
          <w:sz w:val="17"/>
        </w:rPr>
      </w:pPr>
      <w:r>
        <w:rPr>
          <w:rFonts w:ascii="inherit" w:hAnsi="inherit"/>
          <w:sz w:val="17"/>
        </w:rPr>
        <w:t>Charges for services purchased by the Partnership from Westlake and included in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 Prior to the IPO, the Predecessor was allocated costs incurred by Westlake on its behalf for similar functions. These allocations were based primarily on the basis of direct usage when identifiable, with the remainder allocated on the basis of fixed assets, headcount or other measure. Management believes the allocation of expenses incurred by Westlake on the Predecessor's behalf are reasonable and reflect all costs related to the operations of the Predecessor. Nevertheless, the financial information of the Predecessor may not have included all of the expenses that would have been incurred had the Predecessor been a stand-alone company during the periods prior to the IPO.</w:t>
      </w:r>
    </w:p>
    <w:p>
      <w:pPr>
        <w:pStyle w:val="TextBody"/>
        <w:spacing w:lineRule="auto" w:line="288" w:before="0" w:after="0"/>
        <w:ind w:left="0" w:right="0" w:firstLine="450"/>
        <w:jc w:val="left"/>
        <w:rPr>
          <w:rFonts w:ascii="inherit" w:hAnsi="inherit"/>
          <w:sz w:val="17"/>
        </w:rPr>
      </w:pPr>
      <w:r>
        <w:rPr>
          <w:rFonts w:ascii="inherit" w:hAnsi="inherit"/>
          <w:sz w:val="17"/>
        </w:rPr>
        <w:t>Charges from related parties included within selling, general and administrative expenses were as follows:</w:t>
      </w:r>
    </w:p>
    <w:tbl>
      <w:tblPr>
        <w:tblW w:w="10205" w:type="dxa"/>
        <w:jc w:val="left"/>
        <w:tblInd w:w="0" w:type="dxa"/>
        <w:tblCellMar>
          <w:top w:w="0" w:type="dxa"/>
          <w:left w:w="0" w:type="dxa"/>
          <w:bottom w:w="0" w:type="dxa"/>
          <w:right w:w="0" w:type="dxa"/>
        </w:tblCellMar>
      </w:tblPr>
      <w:tblGrid>
        <w:gridCol w:w="3839"/>
        <w:gridCol w:w="131"/>
        <w:gridCol w:w="157"/>
        <w:gridCol w:w="1080"/>
        <w:gridCol w:w="87"/>
        <w:gridCol w:w="131"/>
        <w:gridCol w:w="242"/>
        <w:gridCol w:w="1220"/>
        <w:gridCol w:w="87"/>
        <w:gridCol w:w="131"/>
        <w:gridCol w:w="157"/>
        <w:gridCol w:w="1156"/>
        <w:gridCol w:w="87"/>
        <w:gridCol w:w="131"/>
        <w:gridCol w:w="213"/>
        <w:gridCol w:w="1248"/>
        <w:gridCol w:w="108"/>
      </w:tblGrid>
      <w:tr>
        <w:trPr/>
        <w:tc>
          <w:tcPr>
            <w:tcW w:w="10205" w:type="dxa"/>
            <w:gridSpan w:val="17"/>
            <w:tcBorders/>
            <w:shd w:fill="auto" w:val="clear"/>
            <w:vAlign w:val="center"/>
          </w:tcPr>
          <w:p>
            <w:pPr>
              <w:pStyle w:val="TableContents"/>
              <w:spacing w:before="0" w:after="283"/>
              <w:rPr>
                <w:sz w:val="4"/>
                <w:szCs w:val="4"/>
              </w:rPr>
            </w:pPr>
            <w:r>
              <w:rPr>
                <w:sz w:val="4"/>
                <w:szCs w:val="4"/>
              </w:rPr>
            </w:r>
          </w:p>
        </w:tc>
      </w:tr>
      <w:tr>
        <w:trPr/>
        <w:tc>
          <w:tcPr>
            <w:tcW w:w="383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80"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839" w:type="dxa"/>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3004"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September 30,</w:t>
            </w:r>
          </w:p>
        </w:tc>
        <w:tc>
          <w:tcPr>
            <w:tcW w:w="131" w:type="dxa"/>
            <w:tcBorders/>
            <w:shd w:fill="auto" w:val="clear"/>
            <w:vAlign w:val="center"/>
          </w:tcPr>
          <w:p>
            <w:pPr>
              <w:pStyle w:val="TableContents"/>
              <w:spacing w:before="0" w:after="0"/>
              <w:ind w:left="0" w:right="0" w:firstLine="30"/>
              <w:rPr/>
            </w:pPr>
            <w:r>
              <w:rPr/>
              <w:t> </w:t>
            </w:r>
          </w:p>
        </w:tc>
        <w:tc>
          <w:tcPr>
            <w:tcW w:w="310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September 30,</w:t>
            </w:r>
          </w:p>
        </w:tc>
      </w:tr>
      <w:tr>
        <w:trPr/>
        <w:tc>
          <w:tcPr>
            <w:tcW w:w="3839" w:type="dxa"/>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2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2014</w:t>
            </w:r>
          </w:p>
        </w:tc>
        <w:tc>
          <w:tcPr>
            <w:tcW w:w="131" w:type="dxa"/>
            <w:tcBorders/>
            <w:shd w:fill="auto" w:val="clear"/>
            <w:vAlign w:val="center"/>
          </w:tcPr>
          <w:p>
            <w:pPr>
              <w:pStyle w:val="TableContents"/>
              <w:spacing w:before="0" w:after="0"/>
              <w:ind w:left="0" w:right="0" w:firstLine="30"/>
              <w:rPr/>
            </w:pPr>
            <w:r>
              <w:rPr/>
              <w:t> </w:t>
            </w:r>
          </w:p>
        </w:tc>
        <w:tc>
          <w:tcPr>
            <w:tcW w:w="154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31" w:type="dxa"/>
            <w:tcBorders/>
            <w:shd w:fill="auto" w:val="clear"/>
            <w:vAlign w:val="center"/>
          </w:tcPr>
          <w:p>
            <w:pPr>
              <w:pStyle w:val="TableContents"/>
              <w:spacing w:before="0" w:after="0"/>
              <w:ind w:left="0" w:right="0" w:firstLine="30"/>
              <w:rPr/>
            </w:pPr>
            <w:r>
              <w:rPr/>
              <w:t> </w:t>
            </w:r>
          </w:p>
        </w:tc>
        <w:tc>
          <w:tcPr>
            <w:tcW w:w="140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2014</w:t>
            </w:r>
          </w:p>
        </w:tc>
        <w:tc>
          <w:tcPr>
            <w:tcW w:w="131" w:type="dxa"/>
            <w:tcBorders/>
            <w:shd w:fill="auto" w:val="clear"/>
            <w:vAlign w:val="center"/>
          </w:tcPr>
          <w:p>
            <w:pPr>
              <w:pStyle w:val="TableContents"/>
              <w:spacing w:before="0" w:after="0"/>
              <w:ind w:left="0" w:right="0" w:firstLine="30"/>
              <w:rPr/>
            </w:pPr>
            <w:r>
              <w:rPr/>
              <w:t> </w:t>
            </w:r>
          </w:p>
        </w:tc>
        <w:tc>
          <w:tcPr>
            <w:tcW w:w="156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r>
      <w:tr>
        <w:trPr/>
        <w:tc>
          <w:tcPr>
            <w:tcW w:w="3839" w:type="dxa"/>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24"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549" w:type="dxa"/>
            <w:gridSpan w:val="3"/>
            <w:tcBorders/>
            <w:shd w:fill="auto" w:val="clear"/>
            <w:vAlign w:val="center"/>
          </w:tcPr>
          <w:p>
            <w:pPr>
              <w:pStyle w:val="TableContents"/>
              <w:spacing w:before="0" w:after="0"/>
              <w:ind w:left="0" w:right="0" w:firstLine="30"/>
              <w:jc w:val="center"/>
              <w:rPr>
                <w:rFonts w:ascii="inherit" w:hAnsi="inherit"/>
                <w:b/>
                <w:i/>
                <w:sz w:val="13"/>
              </w:rPr>
            </w:pPr>
            <w:r>
              <w:rPr>
                <w:rFonts w:ascii="inherit" w:hAnsi="inherit"/>
                <w:b/>
                <w:i/>
                <w:sz w:val="13"/>
              </w:rPr>
              <w:t>Predecessor</w:t>
            </w:r>
          </w:p>
        </w:tc>
        <w:tc>
          <w:tcPr>
            <w:tcW w:w="131" w:type="dxa"/>
            <w:tcBorders/>
            <w:shd w:fill="auto" w:val="clear"/>
            <w:vAlign w:val="center"/>
          </w:tcPr>
          <w:p>
            <w:pPr>
              <w:pStyle w:val="TableContents"/>
              <w:spacing w:before="0" w:after="0"/>
              <w:ind w:left="0" w:right="0" w:firstLine="30"/>
              <w:rPr/>
            </w:pPr>
            <w:r>
              <w:rPr/>
              <w:t> </w:t>
            </w:r>
          </w:p>
        </w:tc>
        <w:tc>
          <w:tcPr>
            <w:tcW w:w="1400"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569" w:type="dxa"/>
            <w:gridSpan w:val="3"/>
            <w:tcBorders/>
            <w:shd w:fill="auto" w:val="clear"/>
            <w:vAlign w:val="center"/>
          </w:tcPr>
          <w:p>
            <w:pPr>
              <w:pStyle w:val="TableContents"/>
              <w:spacing w:before="0" w:after="0"/>
              <w:ind w:left="0" w:right="0" w:firstLine="30"/>
              <w:jc w:val="center"/>
              <w:rPr>
                <w:rFonts w:ascii="inherit" w:hAnsi="inherit"/>
                <w:b/>
                <w:i/>
                <w:sz w:val="13"/>
              </w:rPr>
            </w:pPr>
            <w:r>
              <w:rPr>
                <w:rFonts w:ascii="inherit" w:hAnsi="inherit"/>
                <w:b/>
                <w:i/>
                <w:sz w:val="13"/>
              </w:rPr>
              <w:t>Predecessor</w:t>
            </w:r>
          </w:p>
        </w:tc>
      </w:tr>
      <w:tr>
        <w:trPr/>
        <w:tc>
          <w:tcPr>
            <w:tcW w:w="3839" w:type="dxa"/>
            <w:tcBorders/>
            <w:shd w:fill="CCEEFF" w:val="clear"/>
            <w:vAlign w:val="center"/>
          </w:tcPr>
          <w:p>
            <w:pPr>
              <w:pStyle w:val="TableContents"/>
              <w:spacing w:before="0" w:after="0"/>
              <w:rPr>
                <w:rFonts w:ascii="inherit" w:hAnsi="inherit"/>
                <w:sz w:val="17"/>
              </w:rPr>
            </w:pPr>
            <w:r>
              <w:rPr>
                <w:rFonts w:ascii="inherit" w:hAnsi="inherit"/>
                <w:sz w:val="17"/>
              </w:rPr>
              <w:t xml:space="preserve">Services received from Westlake and included in selling, </w:t>
            </w:r>
          </w:p>
          <w:p>
            <w:pPr>
              <w:pStyle w:val="TableContents"/>
              <w:spacing w:before="0" w:after="0"/>
              <w:ind w:left="0" w:right="0" w:firstLine="30"/>
              <w:rPr/>
            </w:pPr>
            <w:r>
              <w:rPr/>
              <w:t>   </w:t>
            </w:r>
            <w:r>
              <w:rPr>
                <w:rFonts w:ascii="inherit" w:hAnsi="inherit"/>
                <w:sz w:val="17"/>
              </w:rPr>
              <w:t>general and administrative expenses</w:t>
            </w:r>
          </w:p>
        </w:tc>
        <w:tc>
          <w:tcPr>
            <w:tcW w:w="131" w:type="dxa"/>
            <w:tcBorders/>
            <w:shd w:fill="CCEEFF" w:val="clear"/>
            <w:vAlign w:val="center"/>
          </w:tcPr>
          <w:p>
            <w:pPr>
              <w:pStyle w:val="TableContents"/>
              <w:spacing w:before="0" w:after="0"/>
              <w:ind w:left="0" w:right="0" w:firstLine="30"/>
              <w:rPr/>
            </w:pPr>
            <w:r>
              <w:rPr/>
              <w:t> </w:t>
            </w:r>
          </w:p>
        </w:tc>
        <w:tc>
          <w:tcPr>
            <w:tcW w:w="15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80" w:type="dxa"/>
            <w:tcBorders/>
            <w:shd w:fill="CCEEFF" w:val="clear"/>
            <w:vAlign w:val="center"/>
          </w:tcPr>
          <w:p>
            <w:pPr>
              <w:pStyle w:val="TableContents"/>
              <w:spacing w:before="0" w:after="0"/>
              <w:jc w:val="right"/>
              <w:rPr>
                <w:rFonts w:ascii="inherit" w:hAnsi="inherit"/>
                <w:sz w:val="17"/>
              </w:rPr>
            </w:pPr>
            <w:r>
              <w:rPr>
                <w:rFonts w:ascii="inherit" w:hAnsi="inherit"/>
                <w:sz w:val="17"/>
              </w:rPr>
              <w:t>4,283</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24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20" w:type="dxa"/>
            <w:tcBorders/>
            <w:shd w:fill="CCEEFF" w:val="clear"/>
            <w:vAlign w:val="center"/>
          </w:tcPr>
          <w:p>
            <w:pPr>
              <w:pStyle w:val="TableContents"/>
              <w:spacing w:before="0" w:after="0"/>
              <w:jc w:val="right"/>
              <w:rPr>
                <w:rFonts w:ascii="inherit" w:hAnsi="inherit"/>
                <w:sz w:val="17"/>
              </w:rPr>
            </w:pPr>
            <w:r>
              <w:rPr>
                <w:rFonts w:ascii="inherit" w:hAnsi="inherit"/>
                <w:sz w:val="17"/>
              </w:rPr>
              <w:t>4,845</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5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6" w:type="dxa"/>
            <w:tcBorders/>
            <w:shd w:fill="CCEEFF" w:val="clear"/>
            <w:vAlign w:val="center"/>
          </w:tcPr>
          <w:p>
            <w:pPr>
              <w:pStyle w:val="TableContents"/>
              <w:spacing w:before="0" w:after="0"/>
              <w:jc w:val="right"/>
              <w:rPr>
                <w:rFonts w:ascii="inherit" w:hAnsi="inherit"/>
                <w:sz w:val="17"/>
              </w:rPr>
            </w:pPr>
            <w:r>
              <w:rPr>
                <w:rFonts w:ascii="inherit" w:hAnsi="inherit"/>
                <w:sz w:val="17"/>
              </w:rPr>
              <w:t>30,538</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21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48" w:type="dxa"/>
            <w:tcBorders/>
            <w:shd w:fill="CCEEFF" w:val="clear"/>
            <w:vAlign w:val="center"/>
          </w:tcPr>
          <w:p>
            <w:pPr>
              <w:pStyle w:val="TableContents"/>
              <w:spacing w:before="0" w:after="0"/>
              <w:jc w:val="right"/>
              <w:rPr>
                <w:rFonts w:ascii="inherit" w:hAnsi="inherit"/>
                <w:sz w:val="17"/>
              </w:rPr>
            </w:pPr>
            <w:r>
              <w:rPr>
                <w:rFonts w:ascii="inherit" w:hAnsi="inherit"/>
                <w:sz w:val="17"/>
              </w:rPr>
              <w:t>29,906</w:t>
            </w:r>
          </w:p>
        </w:tc>
        <w:tc>
          <w:tcPr>
            <w:tcW w:w="108"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12</w:t>
      </w:r>
      <w:r>
        <w:br w:type="page"/>
      </w:r>
    </w:p>
    <w:p>
      <w:pPr>
        <w:pStyle w:val="TextBody"/>
        <w:spacing w:lineRule="auto" w:line="288" w:before="0" w:after="0"/>
        <w:jc w:val="left"/>
        <w:rPr/>
      </w:pPr>
      <w:hyperlink w:anchor="s7D21BC485A80E1C3273666ECEC2365C6">
        <w:bookmarkStart w:id="24" w:name="s45A458C0959B832C71FF66ECE84F910E1"/>
        <w:bookmarkEnd w:id="24"/>
        <w:r>
          <w:rPr>
            <w:rStyle w:val="InternetLink"/>
            <w:rFonts w:ascii="inherit" w:hAnsi="inherit"/>
            <w:sz w:val="17"/>
          </w:rPr>
          <w:t>Table of Contents</w:t>
        </w:r>
      </w:hyperlink>
    </w:p>
    <w:p>
      <w:pPr>
        <w:pStyle w:val="TextBody"/>
        <w:spacing w:lineRule="auto" w:line="288" w:before="0" w:after="0"/>
        <w:jc w:val="center"/>
        <w:rPr>
          <w:rFonts w:ascii="inherit" w:hAnsi="inherit"/>
          <w:b/>
          <w:sz w:val="17"/>
        </w:rPr>
      </w:pPr>
      <w:r>
        <w:rPr>
          <w:rFonts w:ascii="inherit" w:hAnsi="inherit"/>
          <w:b/>
          <w:sz w:val="17"/>
        </w:rPr>
        <w:t>WESTLAKE CHEMICAL PARTNERS LP</w:t>
      </w:r>
    </w:p>
    <w:p>
      <w:pPr>
        <w:pStyle w:val="TextBody"/>
        <w:spacing w:lineRule="auto" w:line="288" w:before="0" w:after="0"/>
        <w:jc w:val="center"/>
        <w:rPr>
          <w:rFonts w:ascii="inherit" w:hAnsi="inherit"/>
          <w:b/>
          <w:sz w:val="17"/>
        </w:rPr>
      </w:pPr>
      <w:r>
        <w:rPr>
          <w:rFonts w:ascii="inherit" w:hAnsi="inherit"/>
          <w:b/>
          <w:sz w:val="17"/>
        </w:rPr>
        <w:t>NOTES TO COMBINED AND CONSOLIDATED FINANCIAL STATEMENTS - Continued</w:t>
      </w:r>
    </w:p>
    <w:p>
      <w:pPr>
        <w:pStyle w:val="TextBody"/>
        <w:spacing w:lineRule="auto" w:line="288" w:before="0" w:after="0"/>
        <w:jc w:val="center"/>
        <w:rPr>
          <w:rFonts w:ascii="inherit" w:hAnsi="inherit"/>
          <w:b/>
          <w:sz w:val="17"/>
        </w:rPr>
      </w:pPr>
      <w:r>
        <w:rPr>
          <w:rFonts w:ascii="inherit" w:hAnsi="inherit"/>
          <w:b/>
          <w:sz w:val="17"/>
        </w:rPr>
        <w:t>(Unaudited)</w:t>
      </w:r>
    </w:p>
    <w:p>
      <w:pPr>
        <w:pStyle w:val="TextBody"/>
        <w:spacing w:lineRule="auto" w:line="288" w:before="0" w:after="0"/>
        <w:jc w:val="center"/>
        <w:rPr>
          <w:rFonts w:ascii="inherit" w:hAnsi="inherit"/>
          <w:b/>
          <w:sz w:val="17"/>
        </w:rPr>
      </w:pPr>
      <w:r>
        <w:rPr>
          <w:rFonts w:ascii="inherit" w:hAnsi="inherit"/>
          <w:b/>
          <w:sz w:val="17"/>
        </w:rPr>
        <w:t>(in thousands of dollars, except unit amounts and per unit data)</w:t>
      </w:r>
    </w:p>
    <w:p>
      <w:pPr>
        <w:pStyle w:val="TextBody"/>
        <w:spacing w:before="0" w:after="0"/>
        <w:rPr/>
      </w:pPr>
      <w:r>
        <w:rPr/>
      </w:r>
    </w:p>
    <w:p>
      <w:pPr>
        <w:pStyle w:val="TextBody"/>
        <w:spacing w:lineRule="auto" w:line="288" w:before="0" w:after="0"/>
        <w:jc w:val="left"/>
        <w:rPr>
          <w:rFonts w:ascii="inherit" w:hAnsi="inherit"/>
          <w:b/>
          <w:i/>
          <w:sz w:val="17"/>
        </w:rPr>
      </w:pPr>
      <w:r>
        <w:rPr>
          <w:rFonts w:ascii="inherit" w:hAnsi="inherit"/>
          <w:b/>
          <w:i/>
          <w:sz w:val="17"/>
        </w:rPr>
        <w:t>Goods and Services from Related Parties that have been Capitalized</w:t>
      </w:r>
    </w:p>
    <w:p>
      <w:pPr>
        <w:pStyle w:val="TextBody"/>
        <w:spacing w:lineRule="auto" w:line="288" w:before="0" w:after="0"/>
        <w:ind w:left="0" w:right="0" w:firstLine="450"/>
        <w:rPr>
          <w:rFonts w:ascii="inherit" w:hAnsi="inherit"/>
          <w:sz w:val="17"/>
        </w:rPr>
      </w:pPr>
      <w:r>
        <w:rPr>
          <w:rFonts w:ascii="inherit" w:hAnsi="inherit"/>
          <w:sz w:val="17"/>
        </w:rPr>
        <w:t xml:space="preserve">Charges for goods and services purchased by the Partnership and OpCo from Westlake which were capitalized as assets relate primarily to the services of Westlake employees under the services and secondment agreement. Prior to the IPO, salaries and benefits of Westlake Management Services, Inc. were allocated to the Predecessor primarily on the basis of direct usage. </w:t>
      </w:r>
    </w:p>
    <w:p>
      <w:pPr>
        <w:pStyle w:val="TextBody"/>
        <w:spacing w:lineRule="auto" w:line="288" w:before="0" w:after="0"/>
        <w:ind w:left="0" w:right="0" w:firstLine="450"/>
        <w:rPr>
          <w:rFonts w:ascii="inherit" w:hAnsi="inherit"/>
          <w:sz w:val="17"/>
        </w:rPr>
      </w:pPr>
      <w:r>
        <w:rPr>
          <w:rFonts w:ascii="inherit" w:hAnsi="inherit"/>
          <w:sz w:val="17"/>
        </w:rPr>
        <w:t>Charges from related parties for goods and services capitalized as assets were as follows:</w:t>
      </w:r>
    </w:p>
    <w:tbl>
      <w:tblPr>
        <w:tblW w:w="10205" w:type="dxa"/>
        <w:jc w:val="left"/>
        <w:tblInd w:w="0" w:type="dxa"/>
        <w:tblCellMar>
          <w:top w:w="0" w:type="dxa"/>
          <w:left w:w="0" w:type="dxa"/>
          <w:bottom w:w="0" w:type="dxa"/>
          <w:right w:w="0" w:type="dxa"/>
        </w:tblCellMar>
      </w:tblPr>
      <w:tblGrid>
        <w:gridCol w:w="3814"/>
        <w:gridCol w:w="137"/>
        <w:gridCol w:w="164"/>
        <w:gridCol w:w="992"/>
        <w:gridCol w:w="89"/>
        <w:gridCol w:w="137"/>
        <w:gridCol w:w="310"/>
        <w:gridCol w:w="1208"/>
        <w:gridCol w:w="89"/>
        <w:gridCol w:w="137"/>
        <w:gridCol w:w="164"/>
        <w:gridCol w:w="1110"/>
        <w:gridCol w:w="89"/>
        <w:gridCol w:w="137"/>
        <w:gridCol w:w="238"/>
        <w:gridCol w:w="1281"/>
        <w:gridCol w:w="109"/>
      </w:tblGrid>
      <w:tr>
        <w:trPr/>
        <w:tc>
          <w:tcPr>
            <w:tcW w:w="10205" w:type="dxa"/>
            <w:gridSpan w:val="17"/>
            <w:tcBorders/>
            <w:shd w:fill="auto" w:val="clear"/>
            <w:vAlign w:val="center"/>
          </w:tcPr>
          <w:p>
            <w:pPr>
              <w:pStyle w:val="TableContents"/>
              <w:spacing w:before="0" w:after="283"/>
              <w:rPr>
                <w:sz w:val="4"/>
                <w:szCs w:val="4"/>
              </w:rPr>
            </w:pPr>
            <w:r>
              <w:rPr>
                <w:sz w:val="4"/>
                <w:szCs w:val="4"/>
              </w:rPr>
            </w:r>
          </w:p>
        </w:tc>
      </w:tr>
      <w:tr>
        <w:trPr/>
        <w:tc>
          <w:tcPr>
            <w:tcW w:w="3814"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208"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814" w:type="dxa"/>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2989"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September 30,</w:t>
            </w:r>
          </w:p>
        </w:tc>
        <w:tc>
          <w:tcPr>
            <w:tcW w:w="137" w:type="dxa"/>
            <w:tcBorders/>
            <w:shd w:fill="auto" w:val="clear"/>
            <w:vAlign w:val="center"/>
          </w:tcPr>
          <w:p>
            <w:pPr>
              <w:pStyle w:val="TableContents"/>
              <w:spacing w:before="0" w:after="0"/>
              <w:ind w:left="0" w:right="0" w:firstLine="30"/>
              <w:rPr/>
            </w:pPr>
            <w:r>
              <w:rPr/>
              <w:t> </w:t>
            </w:r>
          </w:p>
        </w:tc>
        <w:tc>
          <w:tcPr>
            <w:tcW w:w="3128"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September 30,</w:t>
            </w:r>
          </w:p>
        </w:tc>
      </w:tr>
      <w:tr>
        <w:trPr/>
        <w:tc>
          <w:tcPr>
            <w:tcW w:w="3814" w:type="dxa"/>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24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2014</w:t>
            </w:r>
          </w:p>
        </w:tc>
        <w:tc>
          <w:tcPr>
            <w:tcW w:w="137" w:type="dxa"/>
            <w:tcBorders/>
            <w:shd w:fill="auto" w:val="clear"/>
            <w:vAlign w:val="center"/>
          </w:tcPr>
          <w:p>
            <w:pPr>
              <w:pStyle w:val="TableContents"/>
              <w:spacing w:before="0" w:after="0"/>
              <w:ind w:left="0" w:right="0" w:firstLine="30"/>
              <w:rPr/>
            </w:pPr>
            <w:r>
              <w:rPr/>
              <w:t> </w:t>
            </w:r>
          </w:p>
        </w:tc>
        <w:tc>
          <w:tcPr>
            <w:tcW w:w="1607"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37" w:type="dxa"/>
            <w:tcBorders/>
            <w:shd w:fill="auto" w:val="clear"/>
            <w:vAlign w:val="center"/>
          </w:tcPr>
          <w:p>
            <w:pPr>
              <w:pStyle w:val="TableContents"/>
              <w:spacing w:before="0" w:after="0"/>
              <w:ind w:left="0" w:right="0" w:firstLine="30"/>
              <w:rPr/>
            </w:pPr>
            <w:r>
              <w:rPr/>
              <w:t> </w:t>
            </w:r>
          </w:p>
        </w:tc>
        <w:tc>
          <w:tcPr>
            <w:tcW w:w="136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2014</w:t>
            </w:r>
          </w:p>
        </w:tc>
        <w:tc>
          <w:tcPr>
            <w:tcW w:w="137" w:type="dxa"/>
            <w:tcBorders/>
            <w:shd w:fill="auto" w:val="clear"/>
            <w:vAlign w:val="center"/>
          </w:tcPr>
          <w:p>
            <w:pPr>
              <w:pStyle w:val="TableContents"/>
              <w:spacing w:before="0" w:after="0"/>
              <w:ind w:left="0" w:right="0" w:firstLine="30"/>
              <w:rPr/>
            </w:pPr>
            <w:r>
              <w:rPr/>
              <w:t> </w:t>
            </w:r>
          </w:p>
        </w:tc>
        <w:tc>
          <w:tcPr>
            <w:tcW w:w="162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r>
      <w:tr>
        <w:trPr/>
        <w:tc>
          <w:tcPr>
            <w:tcW w:w="3814" w:type="dxa"/>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245" w:type="dxa"/>
            <w:gridSpan w:val="3"/>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607" w:type="dxa"/>
            <w:gridSpan w:val="3"/>
            <w:tcBorders/>
            <w:shd w:fill="auto" w:val="clear"/>
            <w:vAlign w:val="center"/>
          </w:tcPr>
          <w:p>
            <w:pPr>
              <w:pStyle w:val="TableContents"/>
              <w:spacing w:before="0" w:after="0"/>
              <w:ind w:left="0" w:right="0" w:firstLine="30"/>
              <w:jc w:val="center"/>
              <w:rPr>
                <w:rFonts w:ascii="inherit" w:hAnsi="inherit"/>
                <w:b/>
                <w:i/>
                <w:sz w:val="13"/>
              </w:rPr>
            </w:pPr>
            <w:r>
              <w:rPr>
                <w:rFonts w:ascii="inherit" w:hAnsi="inherit"/>
                <w:b/>
                <w:i/>
                <w:sz w:val="13"/>
              </w:rPr>
              <w:t>Predecessor</w:t>
            </w:r>
          </w:p>
        </w:tc>
        <w:tc>
          <w:tcPr>
            <w:tcW w:w="137" w:type="dxa"/>
            <w:tcBorders/>
            <w:shd w:fill="auto" w:val="clear"/>
            <w:vAlign w:val="center"/>
          </w:tcPr>
          <w:p>
            <w:pPr>
              <w:pStyle w:val="TableContents"/>
              <w:spacing w:before="0" w:after="0"/>
              <w:ind w:left="0" w:right="0" w:firstLine="30"/>
              <w:rPr/>
            </w:pPr>
            <w:r>
              <w:rPr/>
              <w:t> </w:t>
            </w:r>
          </w:p>
        </w:tc>
        <w:tc>
          <w:tcPr>
            <w:tcW w:w="1363" w:type="dxa"/>
            <w:gridSpan w:val="3"/>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628" w:type="dxa"/>
            <w:gridSpan w:val="3"/>
            <w:tcBorders/>
            <w:shd w:fill="auto" w:val="clear"/>
            <w:vAlign w:val="center"/>
          </w:tcPr>
          <w:p>
            <w:pPr>
              <w:pStyle w:val="TableContents"/>
              <w:spacing w:before="0" w:after="0"/>
              <w:ind w:left="0" w:right="0" w:firstLine="30"/>
              <w:jc w:val="center"/>
              <w:rPr>
                <w:rFonts w:ascii="inherit" w:hAnsi="inherit"/>
                <w:b/>
                <w:i/>
                <w:sz w:val="13"/>
              </w:rPr>
            </w:pPr>
            <w:r>
              <w:rPr>
                <w:rFonts w:ascii="inherit" w:hAnsi="inherit"/>
                <w:b/>
                <w:i/>
                <w:sz w:val="13"/>
              </w:rPr>
              <w:t>Predecessor</w:t>
            </w:r>
          </w:p>
        </w:tc>
      </w:tr>
      <w:tr>
        <w:trPr/>
        <w:tc>
          <w:tcPr>
            <w:tcW w:w="3814" w:type="dxa"/>
            <w:tcBorders/>
            <w:shd w:fill="CCEEFF" w:val="clear"/>
            <w:vAlign w:val="center"/>
          </w:tcPr>
          <w:p>
            <w:pPr>
              <w:pStyle w:val="TableContents"/>
              <w:spacing w:before="0" w:after="0"/>
              <w:rPr>
                <w:rFonts w:ascii="inherit" w:hAnsi="inherit"/>
                <w:sz w:val="17"/>
              </w:rPr>
            </w:pPr>
            <w:r>
              <w:rPr>
                <w:rFonts w:ascii="inherit" w:hAnsi="inherit"/>
                <w:sz w:val="17"/>
              </w:rPr>
              <w:t xml:space="preserve">Goods and services purchased from Westlake and </w:t>
            </w:r>
          </w:p>
          <w:p>
            <w:pPr>
              <w:pStyle w:val="TableContents"/>
              <w:spacing w:before="0" w:after="0"/>
              <w:ind w:left="0" w:right="0" w:firstLine="30"/>
              <w:rPr/>
            </w:pPr>
            <w:r>
              <w:rPr/>
              <w:t>   </w:t>
            </w:r>
            <w:r>
              <w:rPr>
                <w:rFonts w:ascii="inherit" w:hAnsi="inherit"/>
                <w:sz w:val="17"/>
              </w:rPr>
              <w:t>capitalized as assets</w:t>
            </w:r>
          </w:p>
        </w:tc>
        <w:tc>
          <w:tcPr>
            <w:tcW w:w="137" w:type="dxa"/>
            <w:tcBorders/>
            <w:shd w:fill="CCEEFF" w:val="clear"/>
            <w:vAlign w:val="center"/>
          </w:tcPr>
          <w:p>
            <w:pPr>
              <w:pStyle w:val="TableContents"/>
              <w:spacing w:before="0" w:after="0"/>
              <w:ind w:left="0" w:right="0" w:firstLine="30"/>
              <w:rPr/>
            </w:pPr>
            <w:r>
              <w:rPr/>
              <w:t> </w:t>
            </w:r>
          </w:p>
        </w:tc>
        <w:tc>
          <w:tcPr>
            <w:tcW w:w="1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92" w:type="dxa"/>
            <w:tcBorders/>
            <w:shd w:fill="CCEEFF" w:val="clear"/>
            <w:vAlign w:val="center"/>
          </w:tcPr>
          <w:p>
            <w:pPr>
              <w:pStyle w:val="TableContents"/>
              <w:spacing w:before="0" w:after="0"/>
              <w:jc w:val="right"/>
              <w:rPr>
                <w:rFonts w:ascii="inherit" w:hAnsi="inherit"/>
                <w:sz w:val="17"/>
              </w:rPr>
            </w:pPr>
            <w:r>
              <w:rPr>
                <w:rFonts w:ascii="inherit" w:hAnsi="inherit"/>
                <w:sz w:val="17"/>
              </w:rPr>
              <w:t>830</w:t>
            </w:r>
          </w:p>
        </w:tc>
        <w:tc>
          <w:tcPr>
            <w:tcW w:w="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31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08" w:type="dxa"/>
            <w:tcBorders/>
            <w:shd w:fill="CCEEFF" w:val="clear"/>
            <w:vAlign w:val="center"/>
          </w:tcPr>
          <w:p>
            <w:pPr>
              <w:pStyle w:val="TableContents"/>
              <w:spacing w:before="0" w:after="0"/>
              <w:jc w:val="right"/>
              <w:rPr>
                <w:rFonts w:ascii="inherit" w:hAnsi="inherit"/>
                <w:sz w:val="17"/>
              </w:rPr>
            </w:pPr>
            <w:r>
              <w:rPr>
                <w:rFonts w:ascii="inherit" w:hAnsi="inherit"/>
                <w:sz w:val="17"/>
              </w:rPr>
              <w:t>624</w:t>
            </w:r>
          </w:p>
        </w:tc>
        <w:tc>
          <w:tcPr>
            <w:tcW w:w="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0" w:type="dxa"/>
            <w:tcBorders/>
            <w:shd w:fill="CCEEFF" w:val="clear"/>
            <w:vAlign w:val="center"/>
          </w:tcPr>
          <w:p>
            <w:pPr>
              <w:pStyle w:val="TableContents"/>
              <w:spacing w:before="0" w:after="0"/>
              <w:jc w:val="right"/>
              <w:rPr>
                <w:rFonts w:ascii="inherit" w:hAnsi="inherit"/>
                <w:sz w:val="17"/>
              </w:rPr>
            </w:pPr>
            <w:r>
              <w:rPr>
                <w:rFonts w:ascii="inherit" w:hAnsi="inherit"/>
                <w:sz w:val="17"/>
              </w:rPr>
              <w:t>2,074</w:t>
            </w:r>
          </w:p>
        </w:tc>
        <w:tc>
          <w:tcPr>
            <w:tcW w:w="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23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81" w:type="dxa"/>
            <w:tcBorders/>
            <w:shd w:fill="CCEEFF" w:val="clear"/>
            <w:vAlign w:val="center"/>
          </w:tcPr>
          <w:p>
            <w:pPr>
              <w:pStyle w:val="TableContents"/>
              <w:spacing w:before="0" w:after="0"/>
              <w:jc w:val="right"/>
              <w:rPr>
                <w:rFonts w:ascii="inherit" w:hAnsi="inherit"/>
                <w:sz w:val="17"/>
              </w:rPr>
            </w:pPr>
            <w:r>
              <w:rPr>
                <w:rFonts w:ascii="inherit" w:hAnsi="inherit"/>
                <w:sz w:val="17"/>
              </w:rPr>
              <w:t>15,256</w:t>
            </w:r>
          </w:p>
        </w:tc>
        <w:tc>
          <w:tcPr>
            <w:tcW w:w="109"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b/>
          <w:i/>
          <w:sz w:val="17"/>
        </w:rPr>
      </w:pPr>
      <w:r>
        <w:rPr>
          <w:rFonts w:ascii="inherit" w:hAnsi="inherit"/>
          <w:b/>
          <w:i/>
          <w:sz w:val="17"/>
        </w:rPr>
        <w:t>Accounts Receivable from and Accounts Payable to Related Parties</w:t>
      </w:r>
    </w:p>
    <w:p>
      <w:pPr>
        <w:pStyle w:val="TextBody"/>
        <w:spacing w:lineRule="auto" w:line="288" w:before="0" w:after="0"/>
        <w:ind w:left="0" w:right="0" w:firstLine="450"/>
        <w:rPr>
          <w:rFonts w:ascii="inherit" w:hAnsi="inherit"/>
          <w:sz w:val="17"/>
        </w:rPr>
      </w:pPr>
      <w:r>
        <w:rPr>
          <w:rFonts w:ascii="inherit" w:hAnsi="inherit"/>
          <w:sz w:val="17"/>
        </w:rPr>
        <w:t xml:space="preserve">The Partnership’s accounts receivable from Westlake result primarily from ethylene sales to Westlake under the Ethylene Sales Agreement. The Partnership’s accounts payable to Westlake result primarily from feedstock purchases under the Feedstock Supply Agreement and services provided under the services and secondment agreement and the omnibus agreement. Prior to the IPO, ethylene sales and other transactions between the Predecessor and Westlake were settled immediately through net investment, and therefore, the Predecessor did not have related party accounts receivable or related party accounts payable balances. </w:t>
      </w:r>
    </w:p>
    <w:p>
      <w:pPr>
        <w:pStyle w:val="TextBody"/>
        <w:spacing w:lineRule="auto" w:line="288" w:before="0" w:after="0"/>
        <w:ind w:left="0" w:right="0" w:firstLine="435"/>
        <w:jc w:val="left"/>
        <w:rPr>
          <w:rFonts w:ascii="inherit" w:hAnsi="inherit"/>
          <w:sz w:val="17"/>
        </w:rPr>
      </w:pPr>
      <w:r>
        <w:rPr>
          <w:rFonts w:ascii="inherit" w:hAnsi="inherit"/>
          <w:sz w:val="17"/>
        </w:rPr>
        <w:t>The related party accounts receivable and accounts payable balances were as follows:</w:t>
      </w:r>
    </w:p>
    <w:tbl>
      <w:tblPr>
        <w:tblW w:w="10205" w:type="dxa"/>
        <w:jc w:val="left"/>
        <w:tblInd w:w="0" w:type="dxa"/>
        <w:tblCellMar>
          <w:top w:w="0" w:type="dxa"/>
          <w:left w:w="0" w:type="dxa"/>
          <w:bottom w:w="0" w:type="dxa"/>
          <w:right w:w="0" w:type="dxa"/>
        </w:tblCellMar>
      </w:tblPr>
      <w:tblGrid>
        <w:gridCol w:w="6201"/>
        <w:gridCol w:w="99"/>
        <w:gridCol w:w="214"/>
        <w:gridCol w:w="1482"/>
        <w:gridCol w:w="199"/>
        <w:gridCol w:w="149"/>
        <w:gridCol w:w="332"/>
        <w:gridCol w:w="1357"/>
        <w:gridCol w:w="172"/>
      </w:tblGrid>
      <w:tr>
        <w:trPr/>
        <w:tc>
          <w:tcPr>
            <w:tcW w:w="10205" w:type="dxa"/>
            <w:gridSpan w:val="9"/>
            <w:tcBorders/>
            <w:shd w:fill="auto" w:val="clear"/>
            <w:vAlign w:val="center"/>
          </w:tcPr>
          <w:p>
            <w:pPr>
              <w:pStyle w:val="TableContents"/>
              <w:spacing w:before="0" w:after="283"/>
              <w:rPr>
                <w:sz w:val="4"/>
                <w:szCs w:val="4"/>
              </w:rPr>
            </w:pPr>
            <w:r>
              <w:rPr>
                <w:sz w:val="4"/>
                <w:szCs w:val="4"/>
              </w:rPr>
            </w:r>
          </w:p>
        </w:tc>
      </w:tr>
      <w:tr>
        <w:trPr/>
        <w:tc>
          <w:tcPr>
            <w:tcW w:w="6201"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48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20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r>
          </w:p>
        </w:tc>
        <w:tc>
          <w:tcPr>
            <w:tcW w:w="9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r>
          </w:p>
        </w:tc>
        <w:tc>
          <w:tcPr>
            <w:tcW w:w="189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 2014</w:t>
            </w:r>
          </w:p>
        </w:tc>
        <w:tc>
          <w:tcPr>
            <w:tcW w:w="149"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r>
          </w:p>
        </w:tc>
        <w:tc>
          <w:tcPr>
            <w:tcW w:w="186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December 31, 2013</w:t>
            </w:r>
          </w:p>
        </w:tc>
      </w:tr>
      <w:tr>
        <w:trPr/>
        <w:tc>
          <w:tcPr>
            <w:tcW w:w="62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95" w:type="dxa"/>
            <w:gridSpan w:val="3"/>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61" w:type="dxa"/>
            <w:gridSpan w:val="3"/>
            <w:tcBorders/>
            <w:shd w:fill="auto" w:val="clear"/>
            <w:vAlign w:val="center"/>
          </w:tcPr>
          <w:p>
            <w:pPr>
              <w:pStyle w:val="TableContents"/>
              <w:spacing w:before="0" w:after="0"/>
              <w:ind w:left="0" w:right="0" w:firstLine="30"/>
              <w:jc w:val="center"/>
              <w:rPr>
                <w:rFonts w:ascii="inherit" w:hAnsi="inherit"/>
                <w:b/>
                <w:i/>
                <w:sz w:val="13"/>
              </w:rPr>
            </w:pPr>
            <w:r>
              <w:rPr>
                <w:rFonts w:ascii="inherit" w:hAnsi="inherit"/>
                <w:b/>
                <w:i/>
                <w:sz w:val="13"/>
              </w:rPr>
              <w:t>Predecessor</w:t>
            </w:r>
          </w:p>
        </w:tc>
      </w:tr>
      <w:tr>
        <w:trPr/>
        <w:tc>
          <w:tcPr>
            <w:tcW w:w="62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Accounts receivable, net—Westlake</w:t>
            </w:r>
          </w:p>
        </w:tc>
        <w:tc>
          <w:tcPr>
            <w:tcW w:w="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482" w:type="dxa"/>
            <w:tcBorders/>
            <w:shd w:fill="CCEEFF" w:val="clear"/>
            <w:vAlign w:val="center"/>
          </w:tcPr>
          <w:p>
            <w:pPr>
              <w:pStyle w:val="TableContents"/>
              <w:spacing w:before="0" w:after="0"/>
              <w:jc w:val="right"/>
              <w:rPr>
                <w:rFonts w:ascii="inherit" w:hAnsi="inherit"/>
                <w:sz w:val="17"/>
              </w:rPr>
            </w:pPr>
            <w:r>
              <w:rPr>
                <w:rFonts w:ascii="inherit" w:hAnsi="inherit"/>
                <w:sz w:val="17"/>
              </w:rPr>
              <w:t>28,500</w:t>
            </w:r>
          </w:p>
        </w:tc>
        <w:tc>
          <w:tcPr>
            <w:tcW w:w="1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33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57" w:type="dxa"/>
            <w:tcBorders/>
            <w:shd w:fill="CCEEFF" w:val="clear"/>
            <w:vAlign w:val="center"/>
          </w:tcPr>
          <w:p>
            <w:pPr>
              <w:pStyle w:val="TableContents"/>
              <w:spacing w:before="0" w:after="0"/>
              <w:jc w:val="right"/>
              <w:rPr/>
            </w:pPr>
            <w:r>
              <w:rPr/>
              <w:t>—</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2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Accounts payable—Westlake</w:t>
            </w:r>
          </w:p>
        </w:tc>
        <w:tc>
          <w:tcPr>
            <w:tcW w:w="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9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(18,127</w:t>
            </w:r>
          </w:p>
        </w:tc>
        <w:tc>
          <w:tcPr>
            <w:tcW w:w="1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689" w:type="dxa"/>
            <w:gridSpan w:val="2"/>
            <w:tcBorders/>
            <w:shd w:fill="auto" w:val="clear"/>
            <w:vAlign w:val="center"/>
          </w:tcPr>
          <w:p>
            <w:pPr>
              <w:pStyle w:val="TableContents"/>
              <w:spacing w:before="0" w:after="0"/>
              <w:jc w:val="right"/>
              <w:rPr/>
            </w:pPr>
            <w:r>
              <w:rPr/>
              <w:t>—</w:t>
            </w:r>
          </w:p>
        </w:tc>
        <w:tc>
          <w:tcPr>
            <w:tcW w:w="172"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b/>
          <w:i/>
          <w:sz w:val="17"/>
        </w:rPr>
      </w:pPr>
      <w:r>
        <w:rPr>
          <w:rFonts w:ascii="inherit" w:hAnsi="inherit"/>
          <w:b/>
          <w:i/>
          <w:sz w:val="17"/>
        </w:rPr>
        <w:t>Debt Payable to Related Parties</w:t>
      </w:r>
    </w:p>
    <w:p>
      <w:pPr>
        <w:pStyle w:val="TextBody"/>
        <w:spacing w:lineRule="auto" w:line="288" w:before="0" w:after="0"/>
        <w:ind w:left="0" w:right="0" w:firstLine="450"/>
        <w:jc w:val="left"/>
        <w:rPr>
          <w:rFonts w:ascii="inherit" w:hAnsi="inherit"/>
          <w:sz w:val="17"/>
        </w:rPr>
      </w:pPr>
      <w:r>
        <w:rPr>
          <w:rFonts w:ascii="inherit" w:hAnsi="inherit"/>
          <w:sz w:val="17"/>
        </w:rPr>
        <w:t>OpCo assumed promissory notes payable to Westlake and entered into a revolving credit facility with Westlake in connection with the closing of the IPO. Prior to the IPO, the Predecessor funded capital expenditures through promissory notes payable to Westlake, a portion of which were assumed by the Partnership in connection with the IPO. See Note 10 for a description of related party debt payable balances.</w:t>
      </w:r>
    </w:p>
    <w:p>
      <w:pPr>
        <w:pStyle w:val="TextBody"/>
        <w:spacing w:lineRule="auto" w:line="288" w:before="0" w:after="0"/>
        <w:ind w:left="0" w:right="0" w:firstLine="450"/>
        <w:jc w:val="left"/>
        <w:rPr>
          <w:rFonts w:ascii="inherit" w:hAnsi="inherit"/>
          <w:sz w:val="17"/>
        </w:rPr>
      </w:pPr>
      <w:r>
        <w:rPr>
          <w:rFonts w:ascii="inherit" w:hAnsi="inherit"/>
          <w:sz w:val="17"/>
        </w:rPr>
        <w:t>Debt payable to related parties was as follows:</w:t>
      </w:r>
    </w:p>
    <w:tbl>
      <w:tblPr>
        <w:tblW w:w="10205" w:type="dxa"/>
        <w:jc w:val="left"/>
        <w:tblInd w:w="0" w:type="dxa"/>
        <w:tblCellMar>
          <w:top w:w="0" w:type="dxa"/>
          <w:left w:w="0" w:type="dxa"/>
          <w:bottom w:w="0" w:type="dxa"/>
          <w:right w:w="0" w:type="dxa"/>
        </w:tblCellMar>
      </w:tblPr>
      <w:tblGrid>
        <w:gridCol w:w="6429"/>
        <w:gridCol w:w="138"/>
        <w:gridCol w:w="184"/>
        <w:gridCol w:w="1472"/>
        <w:gridCol w:w="106"/>
        <w:gridCol w:w="138"/>
        <w:gridCol w:w="178"/>
        <w:gridCol w:w="1439"/>
        <w:gridCol w:w="121"/>
      </w:tblGrid>
      <w:tr>
        <w:trPr/>
        <w:tc>
          <w:tcPr>
            <w:tcW w:w="10205" w:type="dxa"/>
            <w:gridSpan w:val="9"/>
            <w:tcBorders/>
            <w:shd w:fill="auto" w:val="clear"/>
            <w:vAlign w:val="center"/>
          </w:tcPr>
          <w:p>
            <w:pPr>
              <w:pStyle w:val="TableContents"/>
              <w:spacing w:before="0" w:after="283"/>
              <w:rPr>
                <w:sz w:val="4"/>
                <w:szCs w:val="4"/>
              </w:rPr>
            </w:pPr>
            <w:r>
              <w:rPr>
                <w:sz w:val="4"/>
                <w:szCs w:val="4"/>
              </w:rPr>
            </w:r>
          </w:p>
        </w:tc>
      </w:tr>
      <w:tr>
        <w:trPr/>
        <w:tc>
          <w:tcPr>
            <w:tcW w:w="6429"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472"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43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429" w:type="dxa"/>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ind w:left="0" w:right="0" w:firstLine="30"/>
              <w:rPr/>
            </w:pPr>
            <w:r>
              <w:rPr/>
              <w:t> </w:t>
            </w:r>
          </w:p>
        </w:tc>
        <w:tc>
          <w:tcPr>
            <w:tcW w:w="1762"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September 30, 2014</w:t>
            </w:r>
          </w:p>
        </w:tc>
        <w:tc>
          <w:tcPr>
            <w:tcW w:w="138" w:type="dxa"/>
            <w:tcBorders/>
            <w:shd w:fill="auto" w:val="clear"/>
            <w:vAlign w:val="center"/>
          </w:tcPr>
          <w:p>
            <w:pPr>
              <w:pStyle w:val="TableContents"/>
              <w:spacing w:before="0" w:after="0"/>
              <w:ind w:left="0" w:right="0" w:firstLine="30"/>
              <w:rPr/>
            </w:pPr>
            <w:r>
              <w:rPr/>
              <w:t> </w:t>
            </w:r>
          </w:p>
        </w:tc>
        <w:tc>
          <w:tcPr>
            <w:tcW w:w="1738"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December 31, 2013</w:t>
            </w:r>
          </w:p>
        </w:tc>
      </w:tr>
      <w:tr>
        <w:trPr/>
        <w:tc>
          <w:tcPr>
            <w:tcW w:w="64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Long-term debt payable to Westlake</w:t>
            </w:r>
          </w:p>
        </w:tc>
        <w:tc>
          <w:tcPr>
            <w:tcW w:w="138" w:type="dxa"/>
            <w:tcBorders/>
            <w:shd w:fill="CCEEFF" w:val="clear"/>
            <w:vAlign w:val="center"/>
          </w:tcPr>
          <w:p>
            <w:pPr>
              <w:pStyle w:val="TableContents"/>
              <w:spacing w:before="0" w:after="0"/>
              <w:ind w:left="0" w:right="0" w:firstLine="30"/>
              <w:rPr/>
            </w:pPr>
            <w:r>
              <w:rPr/>
              <w:t> </w:t>
            </w:r>
          </w:p>
        </w:tc>
        <w:tc>
          <w:tcPr>
            <w:tcW w:w="184"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472"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188,523</w:t>
            </w:r>
          </w:p>
        </w:tc>
        <w:tc>
          <w:tcPr>
            <w:tcW w:w="10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78"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439"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252,973</w:t>
            </w:r>
          </w:p>
        </w:tc>
        <w:tc>
          <w:tcPr>
            <w:tcW w:w="121" w:type="dxa"/>
            <w:tcBorders>
              <w:top w:val="single" w:sz="2" w:space="0" w:color="000000"/>
            </w:tcBorders>
            <w:shd w:fill="CCEEFF" w:val="clear"/>
            <w:tcMar>
              <w:top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b/>
          <w:i/>
          <w:sz w:val="17"/>
        </w:rPr>
      </w:pPr>
      <w:r>
        <w:rPr>
          <w:rFonts w:ascii="inherit" w:hAnsi="inherit"/>
          <w:b/>
          <w:i/>
          <w:sz w:val="17"/>
        </w:rPr>
        <w:t>General</w:t>
      </w:r>
    </w:p>
    <w:p>
      <w:pPr>
        <w:pStyle w:val="TextBody"/>
        <w:spacing w:lineRule="auto" w:line="288" w:before="0" w:after="0"/>
        <w:ind w:left="0" w:right="0" w:firstLine="435"/>
        <w:jc w:val="left"/>
        <w:rPr>
          <w:sz w:val="17"/>
        </w:rPr>
      </w:pPr>
      <w:r>
        <w:rPr>
          <w:rFonts w:ascii="inherit" w:hAnsi="inherit"/>
          <w:sz w:val="17"/>
        </w:rPr>
        <w:t>OpCo, together with other subsidiaries of Westlake not included in these combined and consolidated financial statements, are guarantors under Westlake's revolving credit facility and the indentures governing its senior notes. As of September 30, 2014, Westlake had outstanding letters of credit totaling $32,399</w:t>
      </w:r>
      <w:r>
        <w:rPr>
          <w:sz w:val="17"/>
        </w:rPr>
        <w:t xml:space="preserve"> </w:t>
      </w:r>
      <w:r>
        <w:rPr>
          <w:rFonts w:ascii="inherit" w:hAnsi="inherit"/>
          <w:sz w:val="17"/>
        </w:rPr>
        <w:t>under its revolving credit facility and $754,000</w:t>
      </w:r>
      <w:r>
        <w:rPr>
          <w:sz w:val="17"/>
        </w:rPr>
        <w:t xml:space="preserve"> </w:t>
      </w:r>
      <w:r>
        <w:rPr>
          <w:rFonts w:ascii="inherit" w:hAnsi="inherit"/>
          <w:sz w:val="17"/>
        </w:rPr>
        <w:t>outstanding under its senior notes (less the unamortized discount of $921).</w:t>
      </w:r>
    </w:p>
    <w:p>
      <w:pPr>
        <w:pStyle w:val="TextBody"/>
        <w:spacing w:lineRule="auto" w:line="288" w:before="0" w:after="0"/>
        <w:ind w:left="0" w:right="0" w:firstLine="450"/>
        <w:jc w:val="left"/>
        <w:rPr>
          <w:rFonts w:ascii="inherit" w:hAnsi="inherit"/>
          <w:sz w:val="17"/>
        </w:rPr>
      </w:pPr>
      <w:r>
        <w:rPr>
          <w:rFonts w:ascii="inherit" w:hAnsi="inherit"/>
          <w:sz w:val="17"/>
        </w:rPr>
        <w:t>The indentures governing Westlake’s senior notes prevent OpCo from making distributions to the Partnership if any default or event of default (as defined in the indentures) exists. However, Westlake’s credit facility does not prevent OpCo from making distributions to the Partnership.</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13</w:t>
      </w:r>
      <w:r>
        <w:br w:type="page"/>
      </w:r>
    </w:p>
    <w:p>
      <w:pPr>
        <w:pStyle w:val="TextBody"/>
        <w:spacing w:lineRule="auto" w:line="288" w:before="0" w:after="0"/>
        <w:jc w:val="left"/>
        <w:rPr/>
      </w:pPr>
      <w:hyperlink w:anchor="s7D21BC485A80E1C3273666ECEC2365C6">
        <w:bookmarkStart w:id="25" w:name="s1C39298BDB0662E97A2F66ECE84F2E57"/>
        <w:bookmarkEnd w:id="25"/>
        <w:r>
          <w:rPr>
            <w:rStyle w:val="InternetLink"/>
            <w:rFonts w:ascii="inherit" w:hAnsi="inherit"/>
            <w:sz w:val="17"/>
          </w:rPr>
          <w:t>Table of Contents</w:t>
        </w:r>
      </w:hyperlink>
    </w:p>
    <w:p>
      <w:pPr>
        <w:pStyle w:val="TextBody"/>
        <w:spacing w:lineRule="auto" w:line="288" w:before="0" w:after="0"/>
        <w:jc w:val="center"/>
        <w:rPr>
          <w:rFonts w:ascii="inherit" w:hAnsi="inherit"/>
          <w:b/>
          <w:sz w:val="17"/>
        </w:rPr>
      </w:pPr>
      <w:r>
        <w:rPr>
          <w:rFonts w:ascii="inherit" w:hAnsi="inherit"/>
          <w:b/>
          <w:sz w:val="17"/>
        </w:rPr>
        <w:t>WESTLAKE CHEMICAL PARTNERS LP</w:t>
      </w:r>
    </w:p>
    <w:p>
      <w:pPr>
        <w:pStyle w:val="TextBody"/>
        <w:spacing w:lineRule="auto" w:line="288" w:before="0" w:after="0"/>
        <w:jc w:val="center"/>
        <w:rPr>
          <w:rFonts w:ascii="inherit" w:hAnsi="inherit"/>
          <w:b/>
          <w:sz w:val="17"/>
        </w:rPr>
      </w:pPr>
      <w:r>
        <w:rPr>
          <w:rFonts w:ascii="inherit" w:hAnsi="inherit"/>
          <w:b/>
          <w:sz w:val="17"/>
        </w:rPr>
        <w:t>NOTES TO COMBINED AND CONSOLIDATED FINANCIAL STATEMENTS - Continued</w:t>
      </w:r>
    </w:p>
    <w:p>
      <w:pPr>
        <w:pStyle w:val="TextBody"/>
        <w:spacing w:lineRule="auto" w:line="288" w:before="0" w:after="0"/>
        <w:jc w:val="center"/>
        <w:rPr>
          <w:rFonts w:ascii="inherit" w:hAnsi="inherit"/>
          <w:b/>
          <w:sz w:val="17"/>
        </w:rPr>
      </w:pPr>
      <w:r>
        <w:rPr>
          <w:rFonts w:ascii="inherit" w:hAnsi="inherit"/>
          <w:b/>
          <w:sz w:val="17"/>
        </w:rPr>
        <w:t>(Unaudited)</w:t>
      </w:r>
    </w:p>
    <w:p>
      <w:pPr>
        <w:pStyle w:val="TextBody"/>
        <w:spacing w:lineRule="auto" w:line="288" w:before="0" w:after="0"/>
        <w:jc w:val="center"/>
        <w:rPr>
          <w:rFonts w:ascii="inherit" w:hAnsi="inherit"/>
          <w:b/>
          <w:sz w:val="17"/>
        </w:rPr>
      </w:pPr>
      <w:r>
        <w:rPr>
          <w:rFonts w:ascii="inherit" w:hAnsi="inherit"/>
          <w:b/>
          <w:sz w:val="17"/>
        </w:rPr>
        <w:t>(in thousands of dollars, except unit amounts and per unit data)</w:t>
      </w:r>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10. Long-term Debt Payable to Westlake</w:t>
      </w:r>
    </w:p>
    <w:p>
      <w:pPr>
        <w:pStyle w:val="TextBody"/>
        <w:spacing w:lineRule="auto" w:line="288" w:before="0" w:after="0"/>
        <w:ind w:left="0" w:right="0" w:firstLine="450"/>
        <w:jc w:val="left"/>
        <w:rPr>
          <w:rFonts w:ascii="inherit" w:hAnsi="inherit"/>
          <w:sz w:val="17"/>
        </w:rPr>
      </w:pPr>
      <w:r>
        <w:rPr>
          <w:rFonts w:ascii="inherit" w:hAnsi="inherit"/>
          <w:sz w:val="17"/>
        </w:rPr>
        <w:t>Long-term debt payable to Westlake consists of the following:</w:t>
      </w:r>
    </w:p>
    <w:tbl>
      <w:tblPr>
        <w:tblW w:w="10205" w:type="dxa"/>
        <w:jc w:val="left"/>
        <w:tblInd w:w="0" w:type="dxa"/>
        <w:tblCellMar>
          <w:top w:w="0" w:type="dxa"/>
          <w:left w:w="0" w:type="dxa"/>
          <w:bottom w:w="0" w:type="dxa"/>
          <w:right w:w="0" w:type="dxa"/>
        </w:tblCellMar>
      </w:tblPr>
      <w:tblGrid>
        <w:gridCol w:w="6651"/>
        <w:gridCol w:w="129"/>
        <w:gridCol w:w="167"/>
        <w:gridCol w:w="1386"/>
        <w:gridCol w:w="104"/>
        <w:gridCol w:w="129"/>
        <w:gridCol w:w="162"/>
        <w:gridCol w:w="1360"/>
        <w:gridCol w:w="117"/>
      </w:tblGrid>
      <w:tr>
        <w:trPr/>
        <w:tc>
          <w:tcPr>
            <w:tcW w:w="10205" w:type="dxa"/>
            <w:gridSpan w:val="9"/>
            <w:tcBorders/>
            <w:shd w:fill="auto" w:val="clear"/>
            <w:vAlign w:val="center"/>
          </w:tcPr>
          <w:p>
            <w:pPr>
              <w:pStyle w:val="TableContents"/>
              <w:spacing w:before="0" w:after="283"/>
              <w:rPr>
                <w:sz w:val="4"/>
                <w:szCs w:val="4"/>
              </w:rPr>
            </w:pPr>
            <w:r>
              <w:rPr>
                <w:sz w:val="4"/>
                <w:szCs w:val="4"/>
              </w:rPr>
            </w:r>
          </w:p>
        </w:tc>
      </w:tr>
      <w:tr>
        <w:trPr/>
        <w:tc>
          <w:tcPr>
            <w:tcW w:w="6651"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360"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651" w:type="dxa"/>
            <w:tcBorders/>
            <w:shd w:fill="auto" w:val="clear"/>
            <w:vAlign w:val="center"/>
          </w:tcPr>
          <w:p>
            <w:pPr>
              <w:pStyle w:val="TableContents"/>
              <w:spacing w:before="0" w:after="0"/>
              <w:ind w:left="0" w:right="0" w:firstLine="30"/>
              <w:rPr/>
            </w:pPr>
            <w:r>
              <w:rPr/>
              <w:t> </w:t>
            </w:r>
          </w:p>
        </w:tc>
        <w:tc>
          <w:tcPr>
            <w:tcW w:w="129" w:type="dxa"/>
            <w:tcBorders/>
            <w:shd w:fill="auto" w:val="clear"/>
            <w:vAlign w:val="center"/>
          </w:tcPr>
          <w:p>
            <w:pPr>
              <w:pStyle w:val="TableContents"/>
              <w:spacing w:before="0" w:after="0"/>
              <w:ind w:left="0" w:right="0" w:firstLine="30"/>
              <w:rPr/>
            </w:pPr>
            <w:r>
              <w:rPr/>
              <w:t> </w:t>
            </w:r>
          </w:p>
        </w:tc>
        <w:tc>
          <w:tcPr>
            <w:tcW w:w="165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September 30, </w:t>
              <w:br/>
              <w:t>2014</w:t>
            </w:r>
          </w:p>
        </w:tc>
        <w:tc>
          <w:tcPr>
            <w:tcW w:w="129" w:type="dxa"/>
            <w:tcBorders/>
            <w:shd w:fill="auto" w:val="clear"/>
            <w:vAlign w:val="center"/>
          </w:tcPr>
          <w:p>
            <w:pPr>
              <w:pStyle w:val="TableContents"/>
              <w:spacing w:before="0" w:after="0"/>
              <w:ind w:left="0" w:right="0" w:firstLine="30"/>
              <w:rPr/>
            </w:pPr>
            <w:r>
              <w:rPr/>
              <w:t> </w:t>
            </w:r>
          </w:p>
        </w:tc>
        <w:tc>
          <w:tcPr>
            <w:tcW w:w="163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December 31, </w:t>
              <w:br/>
              <w:t>2013</w:t>
            </w:r>
          </w:p>
        </w:tc>
      </w:tr>
      <w:tr>
        <w:trPr/>
        <w:tc>
          <w:tcPr>
            <w:tcW w:w="6651" w:type="dxa"/>
            <w:tcBorders/>
            <w:shd w:fill="auto" w:val="clear"/>
            <w:vAlign w:val="center"/>
          </w:tcPr>
          <w:p>
            <w:pPr>
              <w:pStyle w:val="TableContents"/>
              <w:spacing w:before="0" w:after="0"/>
              <w:ind w:left="0" w:right="0" w:firstLine="30"/>
              <w:rPr/>
            </w:pPr>
            <w:r>
              <w:rPr/>
              <w:t> </w:t>
            </w:r>
          </w:p>
        </w:tc>
        <w:tc>
          <w:tcPr>
            <w:tcW w:w="129" w:type="dxa"/>
            <w:tcBorders/>
            <w:shd w:fill="auto" w:val="clear"/>
            <w:vAlign w:val="center"/>
          </w:tcPr>
          <w:p>
            <w:pPr>
              <w:pStyle w:val="TableContents"/>
              <w:spacing w:before="0" w:after="0"/>
              <w:ind w:left="0" w:right="0" w:firstLine="30"/>
              <w:rPr/>
            </w:pPr>
            <w:r>
              <w:rPr/>
              <w:t> </w:t>
            </w:r>
          </w:p>
        </w:tc>
        <w:tc>
          <w:tcPr>
            <w:tcW w:w="1657" w:type="dxa"/>
            <w:gridSpan w:val="3"/>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29" w:type="dxa"/>
            <w:tcBorders/>
            <w:shd w:fill="auto" w:val="clear"/>
            <w:vAlign w:val="center"/>
          </w:tcPr>
          <w:p>
            <w:pPr>
              <w:pStyle w:val="TableContents"/>
              <w:spacing w:before="0" w:after="0"/>
              <w:ind w:left="0" w:right="0" w:firstLine="30"/>
              <w:rPr/>
            </w:pPr>
            <w:r>
              <w:rPr/>
              <w:t> </w:t>
            </w:r>
          </w:p>
        </w:tc>
        <w:tc>
          <w:tcPr>
            <w:tcW w:w="1639" w:type="dxa"/>
            <w:gridSpan w:val="3"/>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b/>
                <w:i/>
                <w:sz w:val="13"/>
              </w:rPr>
            </w:pPr>
            <w:r>
              <w:rPr>
                <w:rFonts w:ascii="inherit" w:hAnsi="inherit"/>
                <w:b/>
                <w:i/>
                <w:sz w:val="13"/>
              </w:rPr>
              <w:t>Predecessor</w:t>
            </w:r>
          </w:p>
        </w:tc>
      </w:tr>
      <w:tr>
        <w:trPr/>
        <w:tc>
          <w:tcPr>
            <w:tcW w:w="6651" w:type="dxa"/>
            <w:tcBorders/>
            <w:shd w:fill="CCEEFF" w:val="clear"/>
            <w:vAlign w:val="center"/>
          </w:tcPr>
          <w:p>
            <w:pPr>
              <w:pStyle w:val="TableContents"/>
              <w:spacing w:before="0" w:after="0"/>
              <w:rPr>
                <w:rFonts w:ascii="inherit" w:hAnsi="inherit"/>
                <w:sz w:val="17"/>
              </w:rPr>
            </w:pPr>
            <w:r>
              <w:rPr>
                <w:rFonts w:ascii="inherit" w:hAnsi="inherit"/>
                <w:sz w:val="17"/>
              </w:rPr>
              <w:t xml:space="preserve">2006 Pipeline Note (variable interest rate of prime plus 0.25%, </w:t>
            </w:r>
          </w:p>
          <w:p>
            <w:pPr>
              <w:pStyle w:val="TableContents"/>
              <w:spacing w:before="0" w:after="0"/>
              <w:ind w:left="0" w:right="0" w:firstLine="30"/>
              <w:rPr/>
            </w:pPr>
            <w:r>
              <w:rPr/>
              <w:t>   </w:t>
            </w:r>
            <w:r>
              <w:rPr>
                <w:rFonts w:ascii="inherit" w:hAnsi="inherit"/>
                <w:sz w:val="17"/>
              </w:rPr>
              <w:t>original scheduled maturity of November 30, 2016)</w:t>
            </w:r>
          </w:p>
        </w:tc>
        <w:tc>
          <w:tcPr>
            <w:tcW w:w="129" w:type="dxa"/>
            <w:tcBorders/>
            <w:shd w:fill="CCEEFF" w:val="clear"/>
            <w:vAlign w:val="center"/>
          </w:tcPr>
          <w:p>
            <w:pPr>
              <w:pStyle w:val="TableContents"/>
              <w:spacing w:before="0" w:after="0"/>
              <w:ind w:left="0" w:right="0" w:firstLine="30"/>
              <w:rPr/>
            </w:pPr>
            <w:r>
              <w:rPr/>
              <w:t> </w:t>
            </w:r>
          </w:p>
        </w:tc>
        <w:tc>
          <w:tcPr>
            <w:tcW w:w="16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86" w:type="dxa"/>
            <w:tcBorders/>
            <w:shd w:fill="CCEEFF" w:val="clear"/>
            <w:vAlign w:val="center"/>
          </w:tcPr>
          <w:p>
            <w:pPr>
              <w:pStyle w:val="TableContents"/>
              <w:spacing w:before="0" w:after="0"/>
              <w:jc w:val="right"/>
              <w:rPr/>
            </w:pPr>
            <w:r>
              <w:rPr/>
              <w:t>—</w:t>
            </w:r>
          </w:p>
        </w:tc>
        <w:tc>
          <w:tcPr>
            <w:tcW w:w="1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6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60" w:type="dxa"/>
            <w:tcBorders/>
            <w:shd w:fill="CCEEFF" w:val="clear"/>
            <w:vAlign w:val="center"/>
          </w:tcPr>
          <w:p>
            <w:pPr>
              <w:pStyle w:val="TableContents"/>
              <w:spacing w:before="0" w:after="0"/>
              <w:jc w:val="right"/>
              <w:rPr>
                <w:rFonts w:ascii="inherit" w:hAnsi="inherit"/>
                <w:sz w:val="17"/>
              </w:rPr>
            </w:pPr>
            <w:r>
              <w:rPr>
                <w:rFonts w:ascii="inherit" w:hAnsi="inherit"/>
                <w:sz w:val="17"/>
              </w:rPr>
              <w:t>14,400</w:t>
            </w:r>
          </w:p>
        </w:tc>
        <w:tc>
          <w:tcPr>
            <w:tcW w:w="1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651" w:type="dxa"/>
            <w:tcBorders/>
            <w:shd w:fill="auto" w:val="clear"/>
            <w:vAlign w:val="center"/>
          </w:tcPr>
          <w:p>
            <w:pPr>
              <w:pStyle w:val="TableContents"/>
              <w:spacing w:before="0" w:after="0"/>
              <w:rPr>
                <w:rFonts w:ascii="inherit" w:hAnsi="inherit"/>
                <w:sz w:val="17"/>
              </w:rPr>
            </w:pPr>
            <w:r>
              <w:rPr>
                <w:rFonts w:ascii="inherit" w:hAnsi="inherit"/>
                <w:sz w:val="17"/>
              </w:rPr>
              <w:t xml:space="preserve">2013 Promissory Notes (variable interest rate of prime plus 1.5%, </w:t>
            </w:r>
          </w:p>
          <w:p>
            <w:pPr>
              <w:pStyle w:val="TableContents"/>
              <w:spacing w:before="0" w:after="0"/>
              <w:ind w:left="0" w:right="0" w:firstLine="30"/>
              <w:rPr/>
            </w:pPr>
            <w:r>
              <w:rPr/>
              <w:t>   </w:t>
            </w:r>
            <w:r>
              <w:rPr>
                <w:rFonts w:ascii="inherit" w:hAnsi="inherit"/>
                <w:sz w:val="17"/>
              </w:rPr>
              <w:t>original scheduled maturity of August 1, 2023)</w:t>
            </w:r>
          </w:p>
        </w:tc>
        <w:tc>
          <w:tcPr>
            <w:tcW w:w="129" w:type="dxa"/>
            <w:tcBorders/>
            <w:shd w:fill="auto" w:val="clear"/>
            <w:vAlign w:val="center"/>
          </w:tcPr>
          <w:p>
            <w:pPr>
              <w:pStyle w:val="TableContents"/>
              <w:spacing w:before="0" w:after="0"/>
              <w:ind w:left="0" w:right="0" w:firstLine="30"/>
              <w:rPr/>
            </w:pPr>
            <w:r>
              <w:rPr/>
              <w:t> </w:t>
            </w:r>
          </w:p>
        </w:tc>
        <w:tc>
          <w:tcPr>
            <w:tcW w:w="15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168,376</w:t>
            </w:r>
          </w:p>
        </w:tc>
        <w:tc>
          <w:tcPr>
            <w:tcW w:w="1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5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238,573</w:t>
            </w:r>
          </w:p>
        </w:tc>
        <w:tc>
          <w:tcPr>
            <w:tcW w:w="1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651" w:type="dxa"/>
            <w:tcBorders/>
            <w:shd w:fill="CCEEFF" w:val="clear"/>
            <w:vAlign w:val="center"/>
          </w:tcPr>
          <w:p>
            <w:pPr>
              <w:pStyle w:val="TableContents"/>
              <w:spacing w:before="0" w:after="0"/>
              <w:rPr>
                <w:rFonts w:ascii="inherit" w:hAnsi="inherit"/>
                <w:sz w:val="17"/>
              </w:rPr>
            </w:pPr>
            <w:r>
              <w:rPr>
                <w:rFonts w:ascii="inherit" w:hAnsi="inherit"/>
                <w:sz w:val="17"/>
              </w:rPr>
              <w:t xml:space="preserve">Senior unsecured revolving credit facility (variable interest rate of LIBOR </w:t>
            </w:r>
          </w:p>
          <w:p>
            <w:pPr>
              <w:pStyle w:val="TableContents"/>
              <w:spacing w:before="0" w:after="0"/>
              <w:ind w:left="0" w:right="0" w:firstLine="30"/>
              <w:rPr/>
            </w:pPr>
            <w:r>
              <w:rPr/>
              <w:t>   </w:t>
            </w:r>
            <w:r>
              <w:rPr>
                <w:rFonts w:ascii="inherit" w:hAnsi="inherit"/>
                <w:sz w:val="17"/>
              </w:rPr>
              <w:t>plus 3.0%, original scheduled maturity of August 4, 2019)</w:t>
            </w:r>
          </w:p>
        </w:tc>
        <w:tc>
          <w:tcPr>
            <w:tcW w:w="129"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55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20,147</w:t>
            </w:r>
          </w:p>
        </w:tc>
        <w:tc>
          <w:tcPr>
            <w:tcW w:w="10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52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1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651" w:type="dxa"/>
            <w:tcBorders/>
            <w:shd w:fill="auto" w:val="clear"/>
            <w:vAlign w:val="center"/>
          </w:tcPr>
          <w:p>
            <w:pPr>
              <w:pStyle w:val="TableContents"/>
              <w:spacing w:before="0" w:after="0"/>
              <w:ind w:left="0" w:right="0" w:firstLine="30"/>
              <w:rPr/>
            </w:pPr>
            <w:r>
              <w:rPr/>
              <w:t> </w:t>
            </w:r>
          </w:p>
        </w:tc>
        <w:tc>
          <w:tcPr>
            <w:tcW w:w="129" w:type="dxa"/>
            <w:tcBorders/>
            <w:shd w:fill="auto" w:val="clear"/>
            <w:vAlign w:val="center"/>
          </w:tcPr>
          <w:p>
            <w:pPr>
              <w:pStyle w:val="TableContents"/>
              <w:spacing w:before="0" w:after="0"/>
              <w:ind w:left="0" w:right="0" w:firstLine="30"/>
              <w:rPr/>
            </w:pPr>
            <w:r>
              <w:rPr/>
              <w:t> </w:t>
            </w:r>
          </w:p>
        </w:tc>
        <w:tc>
          <w:tcPr>
            <w:tcW w:w="16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8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188,523</w:t>
            </w:r>
          </w:p>
        </w:tc>
        <w:tc>
          <w:tcPr>
            <w:tcW w:w="10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6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6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252,973</w:t>
            </w:r>
          </w:p>
        </w:tc>
        <w:tc>
          <w:tcPr>
            <w:tcW w:w="117"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450"/>
        <w:jc w:val="left"/>
        <w:rPr>
          <w:sz w:val="17"/>
        </w:rPr>
      </w:pPr>
      <w:r>
        <w:rPr>
          <w:rFonts w:ascii="inherit" w:hAnsi="inherit"/>
          <w:sz w:val="17"/>
        </w:rPr>
        <w:t>In 2013, three</w:t>
      </w:r>
      <w:r>
        <w:rPr>
          <w:sz w:val="17"/>
        </w:rPr>
        <w:t xml:space="preserve"> </w:t>
      </w:r>
      <w:r>
        <w:rPr>
          <w:rFonts w:ascii="inherit" w:hAnsi="inherit"/>
          <w:sz w:val="17"/>
        </w:rPr>
        <w:t>intercompany promissory notes were issued for capital expenditures incurred by Westlake on behalf of the Predecessor’s operations (together, the "2013 Promissory Notes"). For additional information on the 2013 Promissory Notes, please read Note 9 (Promissory Notes Payable to Westlake) to the audited combined carve-out financial statements for the fiscal year ended December 31, 2013</w:t>
      </w:r>
      <w:r>
        <w:rPr>
          <w:sz w:val="17"/>
        </w:rPr>
        <w:t xml:space="preserve"> </w:t>
      </w:r>
      <w:r>
        <w:rPr>
          <w:rFonts w:ascii="inherit" w:hAnsi="inherit"/>
          <w:sz w:val="17"/>
        </w:rPr>
        <w:t>included in the WLKP Prospectus. Proceeds drawn under the 2013 Promissory Notes during the nine months ended September 30, 2014</w:t>
      </w:r>
      <w:r>
        <w:rPr>
          <w:sz w:val="17"/>
        </w:rPr>
        <w:t xml:space="preserve"> </w:t>
      </w:r>
      <w:r>
        <w:rPr>
          <w:rFonts w:ascii="inherit" w:hAnsi="inherit"/>
          <w:sz w:val="17"/>
        </w:rPr>
        <w:t>were used to fund capital expenditures at the Predecessor’s ethylene plants. In connection with the IPO, OpCo assumed a portion of the 2013 Promissory Notes and used proceeds from the IPO to repay a portion of the balance it assumed. See Note 2 for a description of the promissory notes assumed and proceeds used to repay balances of promissory notes assumed in connection with the IPO.</w:t>
      </w:r>
    </w:p>
    <w:p>
      <w:pPr>
        <w:pStyle w:val="TextBody"/>
        <w:spacing w:lineRule="auto" w:line="288" w:before="0" w:after="0"/>
        <w:ind w:left="0" w:right="0" w:firstLine="450"/>
        <w:jc w:val="left"/>
        <w:rPr>
          <w:rFonts w:ascii="inherit" w:hAnsi="inherit"/>
          <w:sz w:val="17"/>
        </w:rPr>
      </w:pPr>
      <w:r>
        <w:rPr>
          <w:rFonts w:ascii="inherit" w:hAnsi="inherit"/>
          <w:sz w:val="17"/>
        </w:rPr>
        <w:t xml:space="preserve">In connection with the IPO on August 4, 2014, OpCo entered into a senior unsecured revolving credit facility agreement with Westlake. The credit facility accrues interest quarterly at a rate of LIBOR plus 3.0%, which may be paid-in-kind as an addition to the principal at OpCo's option. </w:t>
      </w:r>
    </w:p>
    <w:p>
      <w:pPr>
        <w:pStyle w:val="TextBody"/>
        <w:spacing w:lineRule="auto" w:line="288" w:before="0" w:after="0"/>
        <w:rPr>
          <w:rFonts w:ascii="inherit" w:hAnsi="inherit"/>
          <w:b/>
          <w:sz w:val="17"/>
        </w:rPr>
      </w:pPr>
      <w:bookmarkStart w:id="26" w:name="sF71669CD2CF9A0BDDC1A66ECE863F185"/>
      <w:bookmarkEnd w:id="26"/>
      <w:r>
        <w:rPr>
          <w:rFonts w:ascii="inherit" w:hAnsi="inherit"/>
          <w:b/>
          <w:sz w:val="17"/>
        </w:rPr>
        <w:t>11. Derivative Instruments</w:t>
      </w:r>
    </w:p>
    <w:p>
      <w:pPr>
        <w:pStyle w:val="TextBody"/>
        <w:spacing w:lineRule="auto" w:line="288" w:before="0" w:after="0"/>
        <w:rPr>
          <w:rFonts w:ascii="inherit" w:hAnsi="inherit"/>
          <w:b/>
          <w:i/>
          <w:sz w:val="17"/>
        </w:rPr>
      </w:pPr>
      <w:r>
        <w:rPr>
          <w:rFonts w:ascii="inherit" w:hAnsi="inherit"/>
          <w:b/>
          <w:i/>
          <w:sz w:val="17"/>
        </w:rPr>
        <w:t>Commodity Risk Management</w:t>
      </w:r>
    </w:p>
    <w:p>
      <w:pPr>
        <w:pStyle w:val="TextBody"/>
        <w:spacing w:lineRule="auto" w:line="288" w:before="0" w:after="0"/>
        <w:ind w:left="0" w:right="0" w:firstLine="480"/>
        <w:rPr>
          <w:rFonts w:ascii="inherit" w:hAnsi="inherit"/>
          <w:sz w:val="17"/>
        </w:rPr>
      </w:pPr>
      <w:r>
        <w:rPr>
          <w:rFonts w:ascii="inherit" w:hAnsi="inherit"/>
          <w:sz w:val="17"/>
        </w:rPr>
        <w:t>The Predecessor used derivative instruments to reduce price volatility risk on raw materials and products as a substantial portion of its raw materials and products were commodities whose prices fluctuate as market supply and demand fundamentals change. The Predecessor employed strategies to protect against such instability, including ethylene product feedstock flexibility. The Predecessor did not use derivative instruments to engage in speculative activities. The Contributed Assets do not include the entity engaged in commodity risk management activities or any of its open derivative positions. The Partnership has not engaged in any hedging activity and did not use derivative instruments in the period subsequent to the IPO. Therefore, there are no derivative assets or liabilities reflected in the consolidated balance sheet of the Partnership as of September 30, 2014.</w:t>
      </w:r>
    </w:p>
    <w:p>
      <w:pPr>
        <w:pStyle w:val="TextBody"/>
        <w:spacing w:lineRule="auto" w:line="288" w:before="0" w:after="0"/>
        <w:ind w:left="0" w:right="0" w:firstLine="480"/>
        <w:rPr>
          <w:sz w:val="17"/>
        </w:rPr>
      </w:pPr>
      <w:r>
        <w:rPr>
          <w:rFonts w:ascii="inherit" w:hAnsi="inherit"/>
          <w:sz w:val="17"/>
        </w:rPr>
        <w:t>For derivative instruments that were designated and qualify as fair value hedges, the gains or losses on the derivative instruments, as well as the offsetting losses or gains on the hedged items attributable to the hedged risk, were included in cost of sales in the combined statements of operations for the three and nine months ended September 30, 2013. The Partnership had no</w:t>
      </w:r>
      <w:r>
        <w:rPr>
          <w:sz w:val="17"/>
        </w:rPr>
        <w:t xml:space="preserve"> </w:t>
      </w:r>
      <w:r>
        <w:rPr>
          <w:rFonts w:ascii="inherit" w:hAnsi="inherit"/>
          <w:sz w:val="17"/>
        </w:rPr>
        <w:t>derivative instruments that were designated as fair value hedges for the three and nine months ended September 30, 2014.</w:t>
      </w:r>
    </w:p>
    <w:p>
      <w:pPr>
        <w:pStyle w:val="TextBody"/>
        <w:spacing w:lineRule="auto" w:line="288" w:before="0" w:after="0"/>
        <w:ind w:left="0" w:right="0" w:firstLine="480"/>
        <w:rPr>
          <w:sz w:val="17"/>
        </w:rPr>
      </w:pPr>
      <w:r>
        <w:rPr>
          <w:rFonts w:ascii="inherit" w:hAnsi="inherit"/>
          <w:sz w:val="17"/>
        </w:rPr>
        <w:t xml:space="preserve">Gains and losses from changes in the fair value of derivative instruments that are not designated as hedging instruments were included in gross profit in the combined and consolidated statements of operations for the three and </w:t>
      </w:r>
      <w:r>
        <w:rPr>
          <w:rFonts w:ascii="inherit" w:hAnsi="inherit"/>
          <w:strike w:val="false"/>
          <w:dstrike w:val="false"/>
          <w:color w:val="000000"/>
          <w:sz w:val="17"/>
          <w:u w:val="none"/>
          <w:effect w:val="none"/>
        </w:rPr>
        <w:t>nine months ended September 30, 2014 and 2013</w:t>
      </w:r>
      <w:r>
        <w:rPr>
          <w:rFonts w:ascii="inherit" w:hAnsi="inherit"/>
          <w:sz w:val="17"/>
        </w:rPr>
        <w:t>.</w:t>
      </w:r>
    </w:p>
    <w:p>
      <w:pPr>
        <w:pStyle w:val="TextBody"/>
        <w:spacing w:lineRule="auto" w:line="288" w:before="0" w:after="0"/>
        <w:ind w:left="0" w:right="0" w:firstLine="480"/>
        <w:jc w:val="left"/>
        <w:rPr>
          <w:rFonts w:ascii="inherit" w:hAnsi="inherit"/>
          <w:sz w:val="17"/>
        </w:rPr>
      </w:pPr>
      <w:r>
        <w:rPr>
          <w:rFonts w:ascii="inherit" w:hAnsi="inherit"/>
          <w:sz w:val="17"/>
        </w:rPr>
        <w:t>The exposure on commodity derivatives used for price risk management includes the risk that the counterparty will not pay if the market declines below the established fixed price. In such case, the Partnership would lose the benefit of the derivative differential on the volume of the commodities covered. In any event, the Partnership would continue to receive the market price on the actual volume hedged. The Partnership also bears the risk that it could lose the benefit of market improvements over the fixed derivative price for the term and volume of the derivative instruments (as such improvements would accrue to the benefit of the counterparty).</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14</w:t>
      </w:r>
      <w:r>
        <w:br w:type="page"/>
      </w:r>
    </w:p>
    <w:p>
      <w:pPr>
        <w:pStyle w:val="TextBody"/>
        <w:spacing w:lineRule="auto" w:line="288" w:before="0" w:after="0"/>
        <w:jc w:val="left"/>
        <w:rPr/>
      </w:pPr>
      <w:hyperlink w:anchor="s7D21BC485A80E1C3273666ECEC2365C6">
        <w:r>
          <w:rPr>
            <w:rStyle w:val="InternetLink"/>
            <w:rFonts w:ascii="inherit" w:hAnsi="inherit"/>
            <w:sz w:val="17"/>
          </w:rPr>
          <w:t>Table of Contents</w:t>
        </w:r>
      </w:hyperlink>
    </w:p>
    <w:p>
      <w:pPr>
        <w:pStyle w:val="TextBody"/>
        <w:spacing w:lineRule="auto" w:line="288" w:before="0" w:after="0"/>
        <w:jc w:val="center"/>
        <w:rPr>
          <w:rFonts w:ascii="inherit" w:hAnsi="inherit"/>
          <w:b/>
          <w:sz w:val="17"/>
        </w:rPr>
      </w:pPr>
      <w:r>
        <w:rPr>
          <w:rFonts w:ascii="inherit" w:hAnsi="inherit"/>
          <w:b/>
          <w:sz w:val="17"/>
        </w:rPr>
        <w:t>WESTLAKE CHEMICAL PARTNERS LP</w:t>
      </w:r>
    </w:p>
    <w:p>
      <w:pPr>
        <w:pStyle w:val="TextBody"/>
        <w:spacing w:lineRule="auto" w:line="288" w:before="0" w:after="0"/>
        <w:jc w:val="center"/>
        <w:rPr>
          <w:rFonts w:ascii="inherit" w:hAnsi="inherit"/>
          <w:b/>
          <w:sz w:val="17"/>
        </w:rPr>
      </w:pPr>
      <w:r>
        <w:rPr>
          <w:rFonts w:ascii="inherit" w:hAnsi="inherit"/>
          <w:b/>
          <w:sz w:val="17"/>
        </w:rPr>
        <w:t>NOTES TO COMBINED AND CONSOLIDATED FINANCIAL STATEMENTS - Continued</w:t>
      </w:r>
    </w:p>
    <w:p>
      <w:pPr>
        <w:pStyle w:val="TextBody"/>
        <w:spacing w:lineRule="auto" w:line="288" w:before="0" w:after="0"/>
        <w:jc w:val="center"/>
        <w:rPr>
          <w:rFonts w:ascii="inherit" w:hAnsi="inherit"/>
          <w:b/>
          <w:sz w:val="17"/>
        </w:rPr>
      </w:pPr>
      <w:r>
        <w:rPr>
          <w:rFonts w:ascii="inherit" w:hAnsi="inherit"/>
          <w:b/>
          <w:sz w:val="17"/>
        </w:rPr>
        <w:t>(Unaudited)</w:t>
      </w:r>
    </w:p>
    <w:p>
      <w:pPr>
        <w:pStyle w:val="TextBody"/>
        <w:spacing w:lineRule="auto" w:line="288" w:before="0" w:after="0"/>
        <w:jc w:val="center"/>
        <w:rPr>
          <w:rFonts w:ascii="inherit" w:hAnsi="inherit"/>
          <w:b/>
          <w:sz w:val="17"/>
        </w:rPr>
      </w:pPr>
      <w:r>
        <w:rPr>
          <w:rFonts w:ascii="inherit" w:hAnsi="inherit"/>
          <w:b/>
          <w:sz w:val="17"/>
        </w:rPr>
        <w:t>(in thousands of dollars, except unit amounts and per unit data)</w:t>
      </w:r>
    </w:p>
    <w:p>
      <w:pPr>
        <w:pStyle w:val="TextBody"/>
        <w:spacing w:before="0" w:after="0"/>
        <w:rPr/>
      </w:pPr>
      <w:r>
        <w:rPr/>
      </w:r>
    </w:p>
    <w:p>
      <w:pPr>
        <w:pStyle w:val="TextBody"/>
        <w:spacing w:lineRule="auto" w:line="288" w:before="0" w:after="0"/>
        <w:ind w:left="0" w:right="0" w:firstLine="480"/>
        <w:rPr>
          <w:sz w:val="17"/>
        </w:rPr>
      </w:pPr>
      <w:r>
        <w:rPr>
          <w:rFonts w:ascii="inherit" w:hAnsi="inherit"/>
          <w:sz w:val="17"/>
        </w:rPr>
        <w:t xml:space="preserve">Disclosures related to the Predecessor's derivative assets and derivative liabilities subject to enforceable master netting arrangements have not been presented as they are not material to the Predecessor's combined balance sheet at </w:t>
      </w:r>
      <w:r>
        <w:rPr>
          <w:rFonts w:ascii="inherit" w:hAnsi="inherit"/>
          <w:strike w:val="false"/>
          <w:dstrike w:val="false"/>
          <w:color w:val="000000"/>
          <w:sz w:val="17"/>
          <w:u w:val="none"/>
          <w:effect w:val="none"/>
        </w:rPr>
        <w:t>December 31, 2013</w:t>
      </w:r>
      <w:r>
        <w:rPr>
          <w:rFonts w:ascii="inherit" w:hAnsi="inherit"/>
          <w:sz w:val="17"/>
        </w:rPr>
        <w:t>. There were no</w:t>
      </w:r>
      <w:r>
        <w:rPr>
          <w:sz w:val="17"/>
        </w:rPr>
        <w:t xml:space="preserve"> </w:t>
      </w:r>
      <w:r>
        <w:rPr>
          <w:rFonts w:ascii="inherit" w:hAnsi="inherit"/>
          <w:sz w:val="17"/>
        </w:rPr>
        <w:t>open derivative positions at September 30, 2014.</w:t>
      </w:r>
    </w:p>
    <w:p>
      <w:pPr>
        <w:pStyle w:val="TextBody"/>
        <w:spacing w:lineRule="auto" w:line="288" w:before="0" w:after="0"/>
        <w:ind w:left="0" w:right="0" w:firstLine="480"/>
        <w:rPr>
          <w:rFonts w:ascii="inherit" w:hAnsi="inherit"/>
          <w:sz w:val="17"/>
        </w:rPr>
      </w:pPr>
      <w:r>
        <w:rPr>
          <w:rFonts w:ascii="inherit" w:hAnsi="inherit"/>
          <w:sz w:val="17"/>
        </w:rPr>
        <w:t>The fair values of derivative instruments in the combined and consolidated balance sheets were as follows:</w:t>
      </w:r>
    </w:p>
    <w:tbl>
      <w:tblPr>
        <w:tblW w:w="10205" w:type="dxa"/>
        <w:jc w:val="left"/>
        <w:tblInd w:w="0" w:type="dxa"/>
        <w:tblCellMar>
          <w:top w:w="0" w:type="dxa"/>
          <w:left w:w="0" w:type="dxa"/>
          <w:bottom w:w="0" w:type="dxa"/>
          <w:right w:w="0" w:type="dxa"/>
        </w:tblCellMar>
      </w:tblPr>
      <w:tblGrid>
        <w:gridCol w:w="3406"/>
        <w:gridCol w:w="129"/>
        <w:gridCol w:w="3171"/>
        <w:gridCol w:w="129"/>
        <w:gridCol w:w="337"/>
        <w:gridCol w:w="1178"/>
        <w:gridCol w:w="122"/>
        <w:gridCol w:w="129"/>
        <w:gridCol w:w="277"/>
        <w:gridCol w:w="1187"/>
        <w:gridCol w:w="140"/>
      </w:tblGrid>
      <w:tr>
        <w:trPr/>
        <w:tc>
          <w:tcPr>
            <w:tcW w:w="10205" w:type="dxa"/>
            <w:gridSpan w:val="11"/>
            <w:tcBorders/>
            <w:shd w:fill="auto" w:val="clear"/>
            <w:vAlign w:val="center"/>
          </w:tcPr>
          <w:p>
            <w:pPr>
              <w:pStyle w:val="TableContents"/>
              <w:spacing w:before="0" w:after="283"/>
              <w:rPr>
                <w:sz w:val="4"/>
                <w:szCs w:val="4"/>
              </w:rPr>
            </w:pPr>
            <w:r>
              <w:rPr>
                <w:sz w:val="4"/>
                <w:szCs w:val="4"/>
              </w:rPr>
            </w:r>
          </w:p>
        </w:tc>
      </w:tr>
      <w:tr>
        <w:trPr/>
        <w:tc>
          <w:tcPr>
            <w:tcW w:w="3406"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171"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406" w:type="dxa"/>
            <w:tcBorders/>
            <w:shd w:fill="auto" w:val="clear"/>
            <w:vAlign w:val="center"/>
          </w:tcPr>
          <w:p>
            <w:pPr>
              <w:pStyle w:val="TableContents"/>
              <w:spacing w:before="0" w:after="0"/>
              <w:ind w:left="0" w:right="0" w:firstLine="30"/>
              <w:rPr/>
            </w:pPr>
            <w:r>
              <w:rPr/>
              <w:t> </w:t>
            </w:r>
          </w:p>
        </w:tc>
        <w:tc>
          <w:tcPr>
            <w:tcW w:w="129" w:type="dxa"/>
            <w:tcBorders/>
            <w:shd w:fill="auto" w:val="clear"/>
            <w:vAlign w:val="center"/>
          </w:tcPr>
          <w:p>
            <w:pPr>
              <w:pStyle w:val="TableContents"/>
              <w:spacing w:before="0" w:after="0"/>
              <w:ind w:left="0" w:right="0" w:firstLine="30"/>
              <w:rPr/>
            </w:pPr>
            <w:r>
              <w:rPr/>
              <w:t> </w:t>
            </w:r>
          </w:p>
        </w:tc>
        <w:tc>
          <w:tcPr>
            <w:tcW w:w="6670" w:type="dxa"/>
            <w:gridSpan w:val="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Derivative Assets</w:t>
            </w:r>
          </w:p>
        </w:tc>
      </w:tr>
      <w:tr>
        <w:trPr/>
        <w:tc>
          <w:tcPr>
            <w:tcW w:w="3406" w:type="dxa"/>
            <w:tcBorders/>
            <w:shd w:fill="auto" w:val="clear"/>
            <w:vAlign w:val="center"/>
          </w:tcPr>
          <w:p>
            <w:pPr>
              <w:pStyle w:val="TableContents"/>
              <w:spacing w:before="0" w:after="0"/>
              <w:ind w:left="0" w:right="0" w:firstLine="30"/>
              <w:rPr/>
            </w:pPr>
            <w:r>
              <w:rPr/>
              <w:t> </w:t>
            </w:r>
          </w:p>
        </w:tc>
        <w:tc>
          <w:tcPr>
            <w:tcW w:w="129" w:type="dxa"/>
            <w:tcBorders/>
            <w:shd w:fill="auto" w:val="clear"/>
            <w:vAlign w:val="center"/>
          </w:tcPr>
          <w:p>
            <w:pPr>
              <w:pStyle w:val="TableContents"/>
              <w:spacing w:before="0" w:after="0"/>
              <w:ind w:left="0" w:right="0" w:firstLine="30"/>
              <w:rPr/>
            </w:pPr>
            <w:r>
              <w:rPr/>
              <w:t> </w:t>
            </w:r>
          </w:p>
        </w:tc>
        <w:tc>
          <w:tcPr>
            <w:tcW w:w="3171" w:type="dxa"/>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Balance Sheet Location</w:t>
            </w:r>
          </w:p>
        </w:tc>
        <w:tc>
          <w:tcPr>
            <w:tcW w:w="129" w:type="dxa"/>
            <w:vMerge w:val="restart"/>
            <w:tcBorders/>
            <w:shd w:fill="auto" w:val="clear"/>
            <w:vAlign w:val="center"/>
          </w:tcPr>
          <w:p>
            <w:pPr>
              <w:pStyle w:val="TableContents"/>
              <w:spacing w:before="0" w:after="0"/>
              <w:ind w:left="0" w:right="0" w:firstLine="30"/>
              <w:rPr/>
            </w:pPr>
            <w:r>
              <w:rPr/>
              <w:t> </w:t>
            </w:r>
          </w:p>
        </w:tc>
        <w:tc>
          <w:tcPr>
            <w:tcW w:w="337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Fair Value as of</w:t>
            </w:r>
          </w:p>
        </w:tc>
      </w:tr>
      <w:tr>
        <w:trPr/>
        <w:tc>
          <w:tcPr>
            <w:tcW w:w="3406" w:type="dxa"/>
            <w:tcBorders/>
            <w:shd w:fill="auto" w:val="clear"/>
            <w:vAlign w:val="center"/>
          </w:tcPr>
          <w:p>
            <w:pPr>
              <w:pStyle w:val="TableContents"/>
              <w:spacing w:before="0" w:after="0"/>
              <w:ind w:left="0" w:right="0" w:firstLine="30"/>
              <w:rPr/>
            </w:pPr>
            <w:r>
              <w:rPr/>
              <w:t> </w:t>
            </w:r>
          </w:p>
        </w:tc>
        <w:tc>
          <w:tcPr>
            <w:tcW w:w="129" w:type="dxa"/>
            <w:tcBorders/>
            <w:shd w:fill="auto" w:val="clear"/>
            <w:vAlign w:val="center"/>
          </w:tcPr>
          <w:p>
            <w:pPr>
              <w:pStyle w:val="TableContents"/>
              <w:spacing w:before="0" w:after="0"/>
              <w:ind w:left="0" w:right="0" w:firstLine="30"/>
              <w:rPr/>
            </w:pPr>
            <w:r>
              <w:rPr/>
              <w:t> </w:t>
            </w:r>
          </w:p>
        </w:tc>
        <w:tc>
          <w:tcPr>
            <w:tcW w:w="3171" w:type="dxa"/>
            <w:vMerge w:val="continue"/>
            <w:tcBorders>
              <w:bottom w:val="single" w:sz="2" w:space="0" w:color="000000"/>
            </w:tcBorders>
            <w:shd w:fill="auto" w:val="clear"/>
            <w:tcMar>
              <w:bottom w:w="30" w:type="dxa"/>
            </w:tcMar>
            <w:vAlign w:val="center"/>
          </w:tcPr>
          <w:p>
            <w:pPr>
              <w:pStyle w:val="Normal"/>
              <w:rPr/>
            </w:pPr>
            <w:r>
              <w:rPr/>
            </w:r>
          </w:p>
        </w:tc>
        <w:tc>
          <w:tcPr>
            <w:tcW w:w="129" w:type="dxa"/>
            <w:vMerge w:val="continue"/>
            <w:tcBorders/>
            <w:shd w:fill="auto" w:val="clear"/>
            <w:vAlign w:val="center"/>
          </w:tcPr>
          <w:p>
            <w:pPr>
              <w:pStyle w:val="Normal"/>
              <w:rPr/>
            </w:pPr>
            <w:r>
              <w:rPr/>
            </w:r>
          </w:p>
        </w:tc>
        <w:tc>
          <w:tcPr>
            <w:tcW w:w="1637"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September 30, </w:t>
              <w:br/>
              <w:t>2014</w:t>
            </w:r>
          </w:p>
        </w:tc>
        <w:tc>
          <w:tcPr>
            <w:tcW w:w="129" w:type="dxa"/>
            <w:tcBorders/>
            <w:shd w:fill="auto" w:val="clear"/>
            <w:vAlign w:val="center"/>
          </w:tcPr>
          <w:p>
            <w:pPr>
              <w:pStyle w:val="TableContents"/>
              <w:spacing w:before="0" w:after="0"/>
              <w:ind w:left="0" w:right="0" w:firstLine="30"/>
              <w:rPr/>
            </w:pPr>
            <w:r>
              <w:rPr/>
              <w:t> </w:t>
            </w:r>
          </w:p>
        </w:tc>
        <w:tc>
          <w:tcPr>
            <w:tcW w:w="160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December 31, </w:t>
              <w:br/>
              <w:t>2013</w:t>
            </w:r>
          </w:p>
        </w:tc>
      </w:tr>
      <w:tr>
        <w:trPr/>
        <w:tc>
          <w:tcPr>
            <w:tcW w:w="3406" w:type="dxa"/>
            <w:tcBorders/>
            <w:shd w:fill="auto" w:val="clear"/>
            <w:vAlign w:val="center"/>
          </w:tcPr>
          <w:p>
            <w:pPr>
              <w:pStyle w:val="TableContents"/>
              <w:spacing w:before="0" w:after="0"/>
              <w:ind w:left="0" w:right="0" w:firstLine="30"/>
              <w:rPr/>
            </w:pPr>
            <w:r>
              <w:rPr/>
              <w:t> </w:t>
            </w:r>
          </w:p>
        </w:tc>
        <w:tc>
          <w:tcPr>
            <w:tcW w:w="129" w:type="dxa"/>
            <w:tcBorders/>
            <w:shd w:fill="auto" w:val="clear"/>
            <w:vAlign w:val="center"/>
          </w:tcPr>
          <w:p>
            <w:pPr>
              <w:pStyle w:val="TableContents"/>
              <w:spacing w:before="0" w:after="0"/>
              <w:ind w:left="0" w:right="0" w:firstLine="30"/>
              <w:rPr/>
            </w:pPr>
            <w:r>
              <w:rPr/>
              <w:t> </w:t>
            </w:r>
          </w:p>
        </w:tc>
        <w:tc>
          <w:tcPr>
            <w:tcW w:w="3171" w:type="dxa"/>
            <w:tcBorders/>
            <w:shd w:fill="auto" w:val="clear"/>
            <w:vAlign w:val="center"/>
          </w:tcPr>
          <w:p>
            <w:pPr>
              <w:pStyle w:val="TableContents"/>
              <w:spacing w:before="0" w:after="0"/>
              <w:ind w:left="0" w:right="0" w:firstLine="30"/>
              <w:rPr/>
            </w:pPr>
            <w:r>
              <w:rPr/>
              <w:t> </w:t>
            </w:r>
          </w:p>
        </w:tc>
        <w:tc>
          <w:tcPr>
            <w:tcW w:w="129" w:type="dxa"/>
            <w:tcBorders/>
            <w:shd w:fill="auto" w:val="clear"/>
            <w:vAlign w:val="center"/>
          </w:tcPr>
          <w:p>
            <w:pPr>
              <w:pStyle w:val="TableContents"/>
              <w:spacing w:before="0" w:after="0"/>
              <w:ind w:left="0" w:right="0" w:firstLine="30"/>
              <w:rPr/>
            </w:pPr>
            <w:r>
              <w:rPr/>
              <w:t> </w:t>
            </w:r>
          </w:p>
        </w:tc>
        <w:tc>
          <w:tcPr>
            <w:tcW w:w="1637" w:type="dxa"/>
            <w:gridSpan w:val="3"/>
            <w:tcBorders/>
            <w:shd w:fill="auto" w:val="clear"/>
            <w:vAlign w:val="center"/>
          </w:tcPr>
          <w:p>
            <w:pPr>
              <w:pStyle w:val="TableContents"/>
              <w:spacing w:before="0" w:after="0"/>
              <w:ind w:left="0" w:right="0" w:firstLine="30"/>
              <w:rPr/>
            </w:pPr>
            <w:r>
              <w:rPr/>
              <w:t> </w:t>
            </w:r>
          </w:p>
        </w:tc>
        <w:tc>
          <w:tcPr>
            <w:tcW w:w="129" w:type="dxa"/>
            <w:tcBorders/>
            <w:shd w:fill="auto" w:val="clear"/>
            <w:vAlign w:val="center"/>
          </w:tcPr>
          <w:p>
            <w:pPr>
              <w:pStyle w:val="TableContents"/>
              <w:spacing w:before="0" w:after="0"/>
              <w:ind w:left="0" w:right="0" w:firstLine="30"/>
              <w:rPr/>
            </w:pPr>
            <w:r>
              <w:rPr/>
              <w:t> </w:t>
            </w:r>
          </w:p>
        </w:tc>
        <w:tc>
          <w:tcPr>
            <w:tcW w:w="1604" w:type="dxa"/>
            <w:gridSpan w:val="3"/>
            <w:tcBorders/>
            <w:shd w:fill="auto" w:val="clear"/>
            <w:vAlign w:val="center"/>
          </w:tcPr>
          <w:p>
            <w:pPr>
              <w:pStyle w:val="TableContents"/>
              <w:spacing w:before="0" w:after="0"/>
              <w:ind w:left="0" w:right="0" w:firstLine="30"/>
              <w:jc w:val="center"/>
              <w:rPr>
                <w:rFonts w:ascii="inherit" w:hAnsi="inherit"/>
                <w:b/>
                <w:i/>
                <w:sz w:val="13"/>
              </w:rPr>
            </w:pPr>
            <w:r>
              <w:rPr>
                <w:rFonts w:ascii="inherit" w:hAnsi="inherit"/>
                <w:b/>
                <w:i/>
                <w:sz w:val="13"/>
              </w:rPr>
              <w:t>Predecessor</w:t>
            </w:r>
          </w:p>
        </w:tc>
      </w:tr>
      <w:tr>
        <w:trPr/>
        <w:tc>
          <w:tcPr>
            <w:tcW w:w="3406"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Not designated as hedging instruments</w:t>
            </w:r>
          </w:p>
        </w:tc>
        <w:tc>
          <w:tcPr>
            <w:tcW w:w="129" w:type="dxa"/>
            <w:tcBorders/>
            <w:shd w:fill="CCEEFF" w:val="clear"/>
            <w:vAlign w:val="center"/>
          </w:tcPr>
          <w:p>
            <w:pPr>
              <w:pStyle w:val="TableContents"/>
              <w:spacing w:before="0" w:after="0"/>
              <w:ind w:left="0" w:right="0" w:firstLine="30"/>
              <w:rPr/>
            </w:pPr>
            <w:r>
              <w:rPr/>
              <w:t> </w:t>
            </w:r>
          </w:p>
        </w:tc>
        <w:tc>
          <w:tcPr>
            <w:tcW w:w="3171" w:type="dxa"/>
            <w:tcBorders/>
            <w:shd w:fill="CCEEFF" w:val="clear"/>
            <w:vAlign w:val="center"/>
          </w:tcPr>
          <w:p>
            <w:pPr>
              <w:pStyle w:val="TableContents"/>
              <w:spacing w:before="0" w:after="0"/>
              <w:ind w:left="0" w:right="0" w:firstLine="30"/>
              <w:rPr/>
            </w:pPr>
            <w:r>
              <w:rPr/>
              <w:t> </w:t>
            </w:r>
          </w:p>
        </w:tc>
        <w:tc>
          <w:tcPr>
            <w:tcW w:w="129" w:type="dxa"/>
            <w:tcBorders/>
            <w:shd w:fill="CCEEFF" w:val="clear"/>
            <w:vAlign w:val="center"/>
          </w:tcPr>
          <w:p>
            <w:pPr>
              <w:pStyle w:val="TableContents"/>
              <w:spacing w:before="0" w:after="0"/>
              <w:ind w:left="0" w:right="0" w:firstLine="30"/>
              <w:rPr/>
            </w:pPr>
            <w:r>
              <w:rPr/>
              <w:t> </w:t>
            </w:r>
          </w:p>
        </w:tc>
        <w:tc>
          <w:tcPr>
            <w:tcW w:w="1637" w:type="dxa"/>
            <w:gridSpan w:val="3"/>
            <w:tcBorders/>
            <w:shd w:fill="CCEEFF" w:val="clear"/>
            <w:vAlign w:val="center"/>
          </w:tcPr>
          <w:p>
            <w:pPr>
              <w:pStyle w:val="TableContents"/>
              <w:spacing w:before="0" w:after="0"/>
              <w:ind w:left="0" w:right="0" w:firstLine="30"/>
              <w:rPr/>
            </w:pPr>
            <w:r>
              <w:rPr/>
              <w:t> </w:t>
            </w:r>
          </w:p>
        </w:tc>
        <w:tc>
          <w:tcPr>
            <w:tcW w:w="129" w:type="dxa"/>
            <w:tcBorders/>
            <w:shd w:fill="CCEEFF" w:val="clear"/>
            <w:vAlign w:val="center"/>
          </w:tcPr>
          <w:p>
            <w:pPr>
              <w:pStyle w:val="TableContents"/>
              <w:spacing w:before="0" w:after="0"/>
              <w:ind w:left="0" w:right="0" w:firstLine="30"/>
              <w:rPr/>
            </w:pPr>
            <w:r>
              <w:rPr/>
              <w:t> </w:t>
            </w:r>
          </w:p>
        </w:tc>
        <w:tc>
          <w:tcPr>
            <w:tcW w:w="1604" w:type="dxa"/>
            <w:gridSpan w:val="3"/>
            <w:tcBorders/>
            <w:shd w:fill="CCEEFF" w:val="clear"/>
            <w:vAlign w:val="center"/>
          </w:tcPr>
          <w:p>
            <w:pPr>
              <w:pStyle w:val="TableContents"/>
              <w:spacing w:before="0" w:after="0"/>
              <w:ind w:left="0" w:right="0" w:firstLine="30"/>
              <w:rPr/>
            </w:pPr>
            <w:r>
              <w:rPr/>
              <w:t> </w:t>
            </w:r>
          </w:p>
        </w:tc>
      </w:tr>
      <w:tr>
        <w:trPr/>
        <w:tc>
          <w:tcPr>
            <w:tcW w:w="34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Commodity forward contracts</w:t>
            </w:r>
          </w:p>
        </w:tc>
        <w:tc>
          <w:tcPr>
            <w:tcW w:w="129" w:type="dxa"/>
            <w:tcBorders/>
            <w:shd w:fill="auto" w:val="clear"/>
            <w:vAlign w:val="center"/>
          </w:tcPr>
          <w:p>
            <w:pPr>
              <w:pStyle w:val="TableContents"/>
              <w:spacing w:before="0" w:after="0"/>
              <w:ind w:left="0" w:right="0" w:firstLine="30"/>
              <w:rPr/>
            </w:pPr>
            <w:r>
              <w:rPr/>
              <w:t> </w:t>
            </w:r>
          </w:p>
        </w:tc>
        <w:tc>
          <w:tcPr>
            <w:tcW w:w="31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Accounts receivable, net</w:t>
            </w:r>
          </w:p>
        </w:tc>
        <w:tc>
          <w:tcPr>
            <w:tcW w:w="129" w:type="dxa"/>
            <w:tcBorders/>
            <w:shd w:fill="auto" w:val="clear"/>
            <w:vAlign w:val="center"/>
          </w:tcPr>
          <w:p>
            <w:pPr>
              <w:pStyle w:val="TableContents"/>
              <w:spacing w:before="0" w:after="0"/>
              <w:ind w:left="0" w:right="0" w:firstLine="30"/>
              <w:rPr/>
            </w:pPr>
            <w:r>
              <w:rPr/>
              <w:t> </w:t>
            </w:r>
          </w:p>
        </w:tc>
        <w:tc>
          <w:tcPr>
            <w:tcW w:w="337"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78"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12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277"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87"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296</w:t>
            </w:r>
          </w:p>
        </w:tc>
        <w:tc>
          <w:tcPr>
            <w:tcW w:w="14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06"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Total derivative assets</w:t>
            </w:r>
          </w:p>
        </w:tc>
        <w:tc>
          <w:tcPr>
            <w:tcW w:w="129" w:type="dxa"/>
            <w:tcBorders/>
            <w:shd w:fill="CCEEFF" w:val="clear"/>
            <w:vAlign w:val="center"/>
          </w:tcPr>
          <w:p>
            <w:pPr>
              <w:pStyle w:val="TableContents"/>
              <w:spacing w:before="0" w:after="0"/>
              <w:ind w:left="0" w:right="0" w:firstLine="30"/>
              <w:rPr/>
            </w:pPr>
            <w:r>
              <w:rPr/>
              <w:t> </w:t>
            </w:r>
          </w:p>
        </w:tc>
        <w:tc>
          <w:tcPr>
            <w:tcW w:w="3171" w:type="dxa"/>
            <w:tcBorders/>
            <w:shd w:fill="CCEEFF" w:val="clear"/>
            <w:vAlign w:val="center"/>
          </w:tcPr>
          <w:p>
            <w:pPr>
              <w:pStyle w:val="TableContents"/>
              <w:spacing w:before="0" w:after="0"/>
              <w:ind w:left="0" w:right="0" w:firstLine="30"/>
              <w:rPr/>
            </w:pPr>
            <w:r>
              <w:rPr/>
              <w:t> </w:t>
            </w:r>
          </w:p>
        </w:tc>
        <w:tc>
          <w:tcPr>
            <w:tcW w:w="129" w:type="dxa"/>
            <w:tcBorders/>
            <w:shd w:fill="CCEEFF" w:val="clear"/>
            <w:vAlign w:val="center"/>
          </w:tcPr>
          <w:p>
            <w:pPr>
              <w:pStyle w:val="TableContents"/>
              <w:spacing w:before="0" w:after="0"/>
              <w:ind w:left="0" w:right="0" w:firstLine="30"/>
              <w:rPr/>
            </w:pPr>
            <w:r>
              <w:rPr/>
              <w:t> </w:t>
            </w:r>
          </w:p>
        </w:tc>
        <w:tc>
          <w:tcPr>
            <w:tcW w:w="33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78" w:type="dxa"/>
            <w:tcBorders>
              <w:bottom w:val="double" w:sz="6" w:space="0" w:color="000000"/>
            </w:tcBorders>
            <w:shd w:fill="CCEEFF" w:val="clear"/>
            <w:tcMar>
              <w:bottom w:w="30" w:type="dxa"/>
            </w:tcMar>
            <w:vAlign w:val="center"/>
          </w:tcPr>
          <w:p>
            <w:pPr>
              <w:pStyle w:val="TableContents"/>
              <w:spacing w:before="0" w:after="0"/>
              <w:jc w:val="right"/>
              <w:rPr/>
            </w:pPr>
            <w:r>
              <w:rPr/>
              <w:t>—</w:t>
            </w:r>
          </w:p>
        </w:tc>
        <w:tc>
          <w:tcPr>
            <w:tcW w:w="122"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27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8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296</w:t>
            </w:r>
          </w:p>
        </w:tc>
        <w:tc>
          <w:tcPr>
            <w:tcW w:w="140"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3648"/>
        <w:gridCol w:w="133"/>
        <w:gridCol w:w="2800"/>
        <w:gridCol w:w="133"/>
        <w:gridCol w:w="337"/>
        <w:gridCol w:w="1230"/>
        <w:gridCol w:w="127"/>
        <w:gridCol w:w="133"/>
        <w:gridCol w:w="278"/>
        <w:gridCol w:w="1239"/>
        <w:gridCol w:w="147"/>
      </w:tblGrid>
      <w:tr>
        <w:trPr/>
        <w:tc>
          <w:tcPr>
            <w:tcW w:w="10205" w:type="dxa"/>
            <w:gridSpan w:val="11"/>
            <w:tcBorders/>
            <w:shd w:fill="auto" w:val="clear"/>
            <w:vAlign w:val="center"/>
          </w:tcPr>
          <w:p>
            <w:pPr>
              <w:pStyle w:val="TableContents"/>
              <w:spacing w:before="0" w:after="283"/>
              <w:rPr>
                <w:sz w:val="4"/>
                <w:szCs w:val="4"/>
              </w:rPr>
            </w:pPr>
            <w:r>
              <w:rPr>
                <w:sz w:val="4"/>
                <w:szCs w:val="4"/>
              </w:rPr>
            </w:r>
          </w:p>
        </w:tc>
      </w:tr>
      <w:tr>
        <w:trPr/>
        <w:tc>
          <w:tcPr>
            <w:tcW w:w="3648"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280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123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23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648"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6424" w:type="dxa"/>
            <w:gridSpan w:val="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Derivative Liabilities</w:t>
            </w:r>
          </w:p>
        </w:tc>
      </w:tr>
      <w:tr>
        <w:trPr/>
        <w:tc>
          <w:tcPr>
            <w:tcW w:w="3648"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2800" w:type="dxa"/>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Balance Sheet Location</w:t>
            </w:r>
          </w:p>
        </w:tc>
        <w:tc>
          <w:tcPr>
            <w:tcW w:w="133" w:type="dxa"/>
            <w:vMerge w:val="restart"/>
            <w:tcBorders/>
            <w:shd w:fill="auto" w:val="clear"/>
            <w:vAlign w:val="center"/>
          </w:tcPr>
          <w:p>
            <w:pPr>
              <w:pStyle w:val="TableContents"/>
              <w:spacing w:before="0" w:after="0"/>
              <w:ind w:left="0" w:right="0" w:firstLine="30"/>
              <w:rPr/>
            </w:pPr>
            <w:r>
              <w:rPr/>
              <w:t> </w:t>
            </w:r>
          </w:p>
        </w:tc>
        <w:tc>
          <w:tcPr>
            <w:tcW w:w="3491"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Fair Value as of</w:t>
            </w:r>
          </w:p>
        </w:tc>
      </w:tr>
      <w:tr>
        <w:trPr/>
        <w:tc>
          <w:tcPr>
            <w:tcW w:w="3648"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2800" w:type="dxa"/>
            <w:vMerge w:val="continue"/>
            <w:tcBorders>
              <w:bottom w:val="single" w:sz="2" w:space="0" w:color="000000"/>
            </w:tcBorders>
            <w:shd w:fill="auto" w:val="clear"/>
            <w:tcMar>
              <w:bottom w:w="30" w:type="dxa"/>
            </w:tcMar>
            <w:vAlign w:val="center"/>
          </w:tcPr>
          <w:p>
            <w:pPr>
              <w:pStyle w:val="Normal"/>
              <w:rPr/>
            </w:pPr>
            <w:r>
              <w:rPr/>
            </w:r>
          </w:p>
        </w:tc>
        <w:tc>
          <w:tcPr>
            <w:tcW w:w="133" w:type="dxa"/>
            <w:vMerge w:val="continue"/>
            <w:tcBorders/>
            <w:shd w:fill="auto" w:val="clear"/>
            <w:vAlign w:val="center"/>
          </w:tcPr>
          <w:p>
            <w:pPr>
              <w:pStyle w:val="Normal"/>
              <w:rPr/>
            </w:pPr>
            <w:r>
              <w:rPr/>
            </w:r>
          </w:p>
        </w:tc>
        <w:tc>
          <w:tcPr>
            <w:tcW w:w="169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September 30, </w:t>
              <w:br/>
              <w:t>2014</w:t>
            </w:r>
          </w:p>
        </w:tc>
        <w:tc>
          <w:tcPr>
            <w:tcW w:w="133" w:type="dxa"/>
            <w:tcBorders/>
            <w:shd w:fill="auto" w:val="clear"/>
            <w:vAlign w:val="center"/>
          </w:tcPr>
          <w:p>
            <w:pPr>
              <w:pStyle w:val="TableContents"/>
              <w:spacing w:before="0" w:after="0"/>
              <w:ind w:left="0" w:right="0" w:firstLine="30"/>
              <w:rPr/>
            </w:pPr>
            <w:r>
              <w:rPr/>
              <w:t> </w:t>
            </w:r>
          </w:p>
        </w:tc>
        <w:tc>
          <w:tcPr>
            <w:tcW w:w="166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December 31, </w:t>
              <w:br/>
              <w:t>2013</w:t>
            </w:r>
          </w:p>
        </w:tc>
      </w:tr>
      <w:tr>
        <w:trPr/>
        <w:tc>
          <w:tcPr>
            <w:tcW w:w="3648"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2800"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694"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664" w:type="dxa"/>
            <w:gridSpan w:val="3"/>
            <w:tcBorders/>
            <w:shd w:fill="auto" w:val="clear"/>
            <w:vAlign w:val="center"/>
          </w:tcPr>
          <w:p>
            <w:pPr>
              <w:pStyle w:val="TableContents"/>
              <w:spacing w:before="0" w:after="0"/>
              <w:ind w:left="0" w:right="0" w:firstLine="30"/>
              <w:jc w:val="center"/>
              <w:rPr>
                <w:rFonts w:ascii="inherit" w:hAnsi="inherit"/>
                <w:b/>
                <w:i/>
                <w:sz w:val="13"/>
              </w:rPr>
            </w:pPr>
            <w:r>
              <w:rPr>
                <w:rFonts w:ascii="inherit" w:hAnsi="inherit"/>
                <w:b/>
                <w:i/>
                <w:sz w:val="13"/>
              </w:rPr>
              <w:t>Predecessor</w:t>
            </w:r>
          </w:p>
        </w:tc>
      </w:tr>
      <w:tr>
        <w:trPr/>
        <w:tc>
          <w:tcPr>
            <w:tcW w:w="3648"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Not designated as hedging instruments</w:t>
            </w:r>
          </w:p>
        </w:tc>
        <w:tc>
          <w:tcPr>
            <w:tcW w:w="133" w:type="dxa"/>
            <w:tcBorders/>
            <w:shd w:fill="CCEEFF" w:val="clear"/>
            <w:vAlign w:val="center"/>
          </w:tcPr>
          <w:p>
            <w:pPr>
              <w:pStyle w:val="TableContents"/>
              <w:spacing w:before="0" w:after="0"/>
              <w:ind w:left="0" w:right="0" w:firstLine="30"/>
              <w:rPr/>
            </w:pPr>
            <w:r>
              <w:rPr/>
              <w:t> </w:t>
            </w:r>
          </w:p>
        </w:tc>
        <w:tc>
          <w:tcPr>
            <w:tcW w:w="2800" w:type="dxa"/>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694"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664" w:type="dxa"/>
            <w:gridSpan w:val="3"/>
            <w:tcBorders/>
            <w:shd w:fill="CCEEFF" w:val="clear"/>
            <w:vAlign w:val="center"/>
          </w:tcPr>
          <w:p>
            <w:pPr>
              <w:pStyle w:val="TableContents"/>
              <w:spacing w:before="0" w:after="0"/>
              <w:ind w:left="0" w:right="0" w:firstLine="30"/>
              <w:rPr/>
            </w:pPr>
            <w:r>
              <w:rPr/>
              <w:t> </w:t>
            </w:r>
          </w:p>
        </w:tc>
      </w:tr>
      <w:tr>
        <w:trPr/>
        <w:tc>
          <w:tcPr>
            <w:tcW w:w="36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Commodity forward contracts</w:t>
            </w:r>
          </w:p>
        </w:tc>
        <w:tc>
          <w:tcPr>
            <w:tcW w:w="133" w:type="dxa"/>
            <w:tcBorders/>
            <w:shd w:fill="auto" w:val="clear"/>
            <w:vAlign w:val="center"/>
          </w:tcPr>
          <w:p>
            <w:pPr>
              <w:pStyle w:val="TableContents"/>
              <w:spacing w:before="0" w:after="0"/>
              <w:ind w:left="0" w:right="0" w:firstLine="30"/>
              <w:rPr/>
            </w:pPr>
            <w:r>
              <w:rPr/>
              <w:t> </w:t>
            </w:r>
          </w:p>
        </w:tc>
        <w:tc>
          <w:tcPr>
            <w:tcW w:w="28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Accrued liabilities</w:t>
            </w:r>
          </w:p>
        </w:tc>
        <w:tc>
          <w:tcPr>
            <w:tcW w:w="133" w:type="dxa"/>
            <w:tcBorders/>
            <w:shd w:fill="auto" w:val="clear"/>
            <w:vAlign w:val="center"/>
          </w:tcPr>
          <w:p>
            <w:pPr>
              <w:pStyle w:val="TableContents"/>
              <w:spacing w:before="0" w:after="0"/>
              <w:ind w:left="0" w:right="0" w:firstLine="30"/>
              <w:rPr/>
            </w:pPr>
            <w:r>
              <w:rPr/>
              <w:t> </w:t>
            </w:r>
          </w:p>
        </w:tc>
        <w:tc>
          <w:tcPr>
            <w:tcW w:w="337"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30"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12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278"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39"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176</w:t>
            </w:r>
          </w:p>
        </w:tc>
        <w:tc>
          <w:tcPr>
            <w:tcW w:w="14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48"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Total derivative liabilities</w:t>
            </w:r>
          </w:p>
        </w:tc>
        <w:tc>
          <w:tcPr>
            <w:tcW w:w="133" w:type="dxa"/>
            <w:tcBorders/>
            <w:shd w:fill="CCEEFF" w:val="clear"/>
            <w:vAlign w:val="center"/>
          </w:tcPr>
          <w:p>
            <w:pPr>
              <w:pStyle w:val="TableContents"/>
              <w:spacing w:before="0" w:after="0"/>
              <w:ind w:left="0" w:right="0" w:firstLine="30"/>
              <w:rPr/>
            </w:pPr>
            <w:r>
              <w:rPr/>
              <w:t> </w:t>
            </w:r>
          </w:p>
        </w:tc>
        <w:tc>
          <w:tcPr>
            <w:tcW w:w="2800" w:type="dxa"/>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33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30" w:type="dxa"/>
            <w:tcBorders>
              <w:bottom w:val="double" w:sz="6" w:space="0" w:color="000000"/>
            </w:tcBorders>
            <w:shd w:fill="CCEEFF" w:val="clear"/>
            <w:tcMar>
              <w:bottom w:w="30" w:type="dxa"/>
            </w:tcMar>
            <w:vAlign w:val="center"/>
          </w:tcPr>
          <w:p>
            <w:pPr>
              <w:pStyle w:val="TableContents"/>
              <w:spacing w:before="0" w:after="0"/>
              <w:jc w:val="right"/>
              <w:rPr/>
            </w:pPr>
            <w:r>
              <w:rPr/>
              <w:t>—</w:t>
            </w:r>
          </w:p>
        </w:tc>
        <w:tc>
          <w:tcPr>
            <w:tcW w:w="12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27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3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176</w:t>
            </w:r>
          </w:p>
        </w:tc>
        <w:tc>
          <w:tcPr>
            <w:tcW w:w="147"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480"/>
        <w:rPr>
          <w:rFonts w:ascii="inherit" w:hAnsi="inherit"/>
          <w:sz w:val="17"/>
        </w:rPr>
      </w:pPr>
      <w:r>
        <w:rPr>
          <w:rFonts w:ascii="inherit" w:hAnsi="inherit"/>
          <w:sz w:val="17"/>
        </w:rPr>
        <w:t>The following tables reflect the impact of derivative instruments designated as fair value hedges and the related hedged items on the combined and consolidated statements of operations. For the three and nine months ended September 30, 2013, there was no material ineffectiveness with regard to the Predecessor's qualifying fair value hedges.</w:t>
      </w:r>
    </w:p>
    <w:tbl>
      <w:tblPr>
        <w:tblW w:w="10205" w:type="dxa"/>
        <w:jc w:val="left"/>
        <w:tblInd w:w="0" w:type="dxa"/>
        <w:tblCellMar>
          <w:top w:w="0" w:type="dxa"/>
          <w:left w:w="0" w:type="dxa"/>
          <w:bottom w:w="0" w:type="dxa"/>
          <w:right w:w="0" w:type="dxa"/>
        </w:tblCellMar>
      </w:tblPr>
      <w:tblGrid>
        <w:gridCol w:w="2053"/>
        <w:gridCol w:w="125"/>
        <w:gridCol w:w="2611"/>
        <w:gridCol w:w="125"/>
        <w:gridCol w:w="154"/>
        <w:gridCol w:w="773"/>
        <w:gridCol w:w="75"/>
        <w:gridCol w:w="125"/>
        <w:gridCol w:w="292"/>
        <w:gridCol w:w="1012"/>
        <w:gridCol w:w="141"/>
        <w:gridCol w:w="125"/>
        <w:gridCol w:w="154"/>
        <w:gridCol w:w="773"/>
        <w:gridCol w:w="75"/>
        <w:gridCol w:w="125"/>
        <w:gridCol w:w="284"/>
        <w:gridCol w:w="1020"/>
        <w:gridCol w:w="163"/>
      </w:tblGrid>
      <w:tr>
        <w:trPr/>
        <w:tc>
          <w:tcPr>
            <w:tcW w:w="10205" w:type="dxa"/>
            <w:gridSpan w:val="19"/>
            <w:tcBorders/>
            <w:shd w:fill="auto" w:val="clear"/>
            <w:vAlign w:val="center"/>
          </w:tcPr>
          <w:p>
            <w:pPr>
              <w:pStyle w:val="TableContents"/>
              <w:spacing w:before="0" w:after="283"/>
              <w:rPr>
                <w:sz w:val="4"/>
                <w:szCs w:val="4"/>
              </w:rPr>
            </w:pPr>
            <w:r>
              <w:rPr>
                <w:sz w:val="4"/>
                <w:szCs w:val="4"/>
              </w:rPr>
            </w:r>
          </w:p>
        </w:tc>
      </w:tr>
      <w:tr>
        <w:trPr/>
        <w:tc>
          <w:tcPr>
            <w:tcW w:w="205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61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053" w:type="dxa"/>
            <w:vMerge w:val="restart"/>
            <w:tcBorders>
              <w:bottom w:val="single" w:sz="2" w:space="0" w:color="000000"/>
            </w:tcBorders>
            <w:shd w:fill="auto" w:val="clear"/>
            <w:tcMar>
              <w:bottom w:w="30" w:type="dxa"/>
            </w:tcMar>
            <w:vAlign w:val="center"/>
          </w:tcPr>
          <w:p>
            <w:pPr>
              <w:pStyle w:val="TableContents"/>
              <w:spacing w:before="0" w:after="0"/>
              <w:rPr>
                <w:rFonts w:ascii="inherit" w:hAnsi="inherit"/>
                <w:b/>
                <w:sz w:val="13"/>
              </w:rPr>
            </w:pPr>
            <w:r>
              <w:rPr>
                <w:rFonts w:ascii="inherit" w:hAnsi="inherit"/>
                <w:b/>
                <w:sz w:val="13"/>
              </w:rPr>
              <w:t xml:space="preserve">Derivatives in Fair Value </w:t>
            </w:r>
          </w:p>
          <w:p>
            <w:pPr>
              <w:pStyle w:val="TableContents"/>
              <w:spacing w:before="0" w:after="0"/>
              <w:ind w:left="0" w:right="0" w:firstLine="30"/>
              <w:rPr/>
            </w:pPr>
            <w:r>
              <w:rPr/>
              <w:t>   </w:t>
            </w:r>
            <w:r>
              <w:rPr>
                <w:rFonts w:ascii="inherit" w:hAnsi="inherit"/>
                <w:b/>
                <w:sz w:val="13"/>
              </w:rPr>
              <w:t>Hedging Relationships</w:t>
            </w:r>
          </w:p>
        </w:tc>
        <w:tc>
          <w:tcPr>
            <w:tcW w:w="125" w:type="dxa"/>
            <w:vMerge w:val="restart"/>
            <w:tcBorders/>
            <w:shd w:fill="auto" w:val="clear"/>
            <w:vAlign w:val="center"/>
          </w:tcPr>
          <w:p>
            <w:pPr>
              <w:pStyle w:val="TableContents"/>
              <w:spacing w:before="0" w:after="0"/>
              <w:ind w:left="0" w:right="0" w:firstLine="30"/>
              <w:rPr/>
            </w:pPr>
            <w:r>
              <w:rPr/>
              <w:t> </w:t>
            </w:r>
          </w:p>
        </w:tc>
        <w:tc>
          <w:tcPr>
            <w:tcW w:w="2611" w:type="dxa"/>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Location of Gain (Loss)</w:t>
            </w:r>
          </w:p>
          <w:p>
            <w:pPr>
              <w:pStyle w:val="TableContents"/>
              <w:spacing w:before="0" w:after="0"/>
              <w:jc w:val="center"/>
              <w:rPr>
                <w:rFonts w:ascii="inherit" w:hAnsi="inherit"/>
                <w:b/>
                <w:sz w:val="13"/>
              </w:rPr>
            </w:pPr>
            <w:r>
              <w:rPr>
                <w:rFonts w:ascii="inherit" w:hAnsi="inherit"/>
                <w:b/>
                <w:sz w:val="13"/>
              </w:rPr>
              <w:t>Recognized in </w:t>
            </w:r>
          </w:p>
          <w:p>
            <w:pPr>
              <w:pStyle w:val="TableContents"/>
              <w:spacing w:before="0" w:after="0"/>
              <w:ind w:left="0" w:right="0" w:firstLine="30"/>
              <w:jc w:val="center"/>
              <w:rPr>
                <w:rFonts w:ascii="inherit" w:hAnsi="inherit"/>
                <w:b/>
                <w:sz w:val="13"/>
              </w:rPr>
            </w:pPr>
            <w:r>
              <w:rPr>
                <w:rFonts w:ascii="inherit" w:hAnsi="inherit"/>
                <w:b/>
                <w:sz w:val="13"/>
              </w:rPr>
              <w:t>Income on Derivative</w:t>
            </w:r>
          </w:p>
        </w:tc>
        <w:tc>
          <w:tcPr>
            <w:tcW w:w="125" w:type="dxa"/>
            <w:vMerge w:val="restart"/>
            <w:tcBorders/>
            <w:shd w:fill="auto" w:val="clear"/>
            <w:vAlign w:val="center"/>
          </w:tcPr>
          <w:p>
            <w:pPr>
              <w:pStyle w:val="TableContents"/>
              <w:spacing w:before="0" w:after="0"/>
              <w:ind w:left="0" w:right="0" w:firstLine="30"/>
              <w:rPr/>
            </w:pPr>
            <w:r>
              <w:rPr/>
              <w:t> </w:t>
            </w:r>
          </w:p>
        </w:tc>
        <w:tc>
          <w:tcPr>
            <w:tcW w:w="2572"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September 30,</w:t>
            </w:r>
          </w:p>
        </w:tc>
        <w:tc>
          <w:tcPr>
            <w:tcW w:w="125" w:type="dxa"/>
            <w:tcBorders/>
            <w:shd w:fill="auto" w:val="clear"/>
            <w:vAlign w:val="center"/>
          </w:tcPr>
          <w:p>
            <w:pPr>
              <w:pStyle w:val="TableContents"/>
              <w:spacing w:before="0" w:after="0"/>
              <w:ind w:left="0" w:right="0" w:firstLine="30"/>
              <w:rPr/>
            </w:pPr>
            <w:r>
              <w:rPr/>
              <w:t> </w:t>
            </w:r>
          </w:p>
        </w:tc>
        <w:tc>
          <w:tcPr>
            <w:tcW w:w="2594"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September 30,</w:t>
            </w:r>
          </w:p>
        </w:tc>
      </w:tr>
      <w:tr>
        <w:trPr/>
        <w:tc>
          <w:tcPr>
            <w:tcW w:w="2053" w:type="dxa"/>
            <w:vMerge w:val="continue"/>
            <w:tcBorders>
              <w:bottom w:val="single" w:sz="2" w:space="0" w:color="000000"/>
            </w:tcBorders>
            <w:shd w:fill="auto" w:val="clear"/>
            <w:tcMar>
              <w:bottom w:w="30" w:type="dxa"/>
            </w:tcMar>
            <w:vAlign w:val="center"/>
          </w:tcPr>
          <w:p>
            <w:pPr>
              <w:pStyle w:val="Normal"/>
              <w:rPr/>
            </w:pPr>
            <w:r>
              <w:rPr/>
            </w:r>
          </w:p>
        </w:tc>
        <w:tc>
          <w:tcPr>
            <w:tcW w:w="125" w:type="dxa"/>
            <w:vMerge w:val="continue"/>
            <w:tcBorders/>
            <w:shd w:fill="auto" w:val="clear"/>
            <w:vAlign w:val="center"/>
          </w:tcPr>
          <w:p>
            <w:pPr>
              <w:pStyle w:val="Normal"/>
              <w:rPr/>
            </w:pPr>
            <w:r>
              <w:rPr/>
            </w:r>
          </w:p>
        </w:tc>
        <w:tc>
          <w:tcPr>
            <w:tcW w:w="2611" w:type="dxa"/>
            <w:vMerge w:val="continue"/>
            <w:tcBorders>
              <w:bottom w:val="single" w:sz="2" w:space="0" w:color="000000"/>
            </w:tcBorders>
            <w:shd w:fill="auto" w:val="clear"/>
            <w:tcMar>
              <w:bottom w:w="30" w:type="dxa"/>
            </w:tcMar>
            <w:vAlign w:val="center"/>
          </w:tcPr>
          <w:p>
            <w:pPr>
              <w:pStyle w:val="Normal"/>
              <w:rPr/>
            </w:pPr>
            <w:r>
              <w:rPr/>
            </w:r>
          </w:p>
        </w:tc>
        <w:tc>
          <w:tcPr>
            <w:tcW w:w="125" w:type="dxa"/>
            <w:vMerge w:val="continue"/>
            <w:tcBorders/>
            <w:shd w:fill="auto" w:val="clear"/>
            <w:vAlign w:val="center"/>
          </w:tcPr>
          <w:p>
            <w:pPr>
              <w:pStyle w:val="Normal"/>
              <w:rPr/>
            </w:pPr>
            <w:r>
              <w:rPr/>
            </w:r>
          </w:p>
        </w:tc>
        <w:tc>
          <w:tcPr>
            <w:tcW w:w="100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2014</w:t>
            </w:r>
          </w:p>
        </w:tc>
        <w:tc>
          <w:tcPr>
            <w:tcW w:w="125" w:type="dxa"/>
            <w:tcBorders/>
            <w:shd w:fill="auto" w:val="clear"/>
            <w:vAlign w:val="center"/>
          </w:tcPr>
          <w:p>
            <w:pPr>
              <w:pStyle w:val="TableContents"/>
              <w:spacing w:before="0" w:after="0"/>
              <w:ind w:left="0" w:right="0" w:firstLine="30"/>
              <w:rPr/>
            </w:pPr>
            <w:r>
              <w:rPr/>
              <w:t> </w:t>
            </w:r>
          </w:p>
        </w:tc>
        <w:tc>
          <w:tcPr>
            <w:tcW w:w="144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25" w:type="dxa"/>
            <w:tcBorders/>
            <w:shd w:fill="auto" w:val="clear"/>
            <w:vAlign w:val="center"/>
          </w:tcPr>
          <w:p>
            <w:pPr>
              <w:pStyle w:val="TableContents"/>
              <w:spacing w:before="0" w:after="0"/>
              <w:ind w:left="0" w:right="0" w:firstLine="30"/>
              <w:rPr/>
            </w:pPr>
            <w:r>
              <w:rPr/>
              <w:t> </w:t>
            </w:r>
          </w:p>
        </w:tc>
        <w:tc>
          <w:tcPr>
            <w:tcW w:w="100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2014</w:t>
            </w:r>
          </w:p>
        </w:tc>
        <w:tc>
          <w:tcPr>
            <w:tcW w:w="125"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467"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r>
      <w:tr>
        <w:trPr/>
        <w:tc>
          <w:tcPr>
            <w:tcW w:w="2053"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2611"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002"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445" w:type="dxa"/>
            <w:gridSpan w:val="3"/>
            <w:tcBorders/>
            <w:shd w:fill="auto" w:val="clear"/>
            <w:vAlign w:val="center"/>
          </w:tcPr>
          <w:p>
            <w:pPr>
              <w:pStyle w:val="TableContents"/>
              <w:spacing w:before="0" w:after="0"/>
              <w:ind w:left="0" w:right="0" w:firstLine="30"/>
              <w:jc w:val="center"/>
              <w:rPr>
                <w:rFonts w:ascii="inherit" w:hAnsi="inherit"/>
                <w:b/>
                <w:i/>
                <w:sz w:val="13"/>
              </w:rPr>
            </w:pPr>
            <w:r>
              <w:rPr>
                <w:rFonts w:ascii="inherit" w:hAnsi="inherit"/>
                <w:b/>
                <w:i/>
                <w:sz w:val="13"/>
              </w:rPr>
              <w:t>Predecessor</w:t>
            </w:r>
          </w:p>
        </w:tc>
        <w:tc>
          <w:tcPr>
            <w:tcW w:w="125" w:type="dxa"/>
            <w:tcBorders/>
            <w:shd w:fill="auto" w:val="clear"/>
            <w:vAlign w:val="center"/>
          </w:tcPr>
          <w:p>
            <w:pPr>
              <w:pStyle w:val="TableContents"/>
              <w:spacing w:before="0" w:after="0"/>
              <w:ind w:left="0" w:right="0" w:firstLine="30"/>
              <w:rPr/>
            </w:pPr>
            <w:r>
              <w:rPr/>
              <w:t> </w:t>
            </w:r>
          </w:p>
        </w:tc>
        <w:tc>
          <w:tcPr>
            <w:tcW w:w="1002" w:type="dxa"/>
            <w:gridSpan w:val="3"/>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467" w:type="dxa"/>
            <w:gridSpan w:val="3"/>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b/>
                <w:i/>
                <w:sz w:val="13"/>
              </w:rPr>
            </w:pPr>
            <w:r>
              <w:rPr>
                <w:rFonts w:ascii="inherit" w:hAnsi="inherit"/>
                <w:b/>
                <w:i/>
                <w:sz w:val="13"/>
              </w:rPr>
              <w:t>Predecessor</w:t>
            </w:r>
          </w:p>
        </w:tc>
      </w:tr>
      <w:tr>
        <w:trPr/>
        <w:tc>
          <w:tcPr>
            <w:tcW w:w="20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Commodity forward contracts</w:t>
            </w:r>
          </w:p>
        </w:tc>
        <w:tc>
          <w:tcPr>
            <w:tcW w:w="125" w:type="dxa"/>
            <w:tcBorders/>
            <w:shd w:fill="CCEEFF" w:val="clear"/>
            <w:vAlign w:val="center"/>
          </w:tcPr>
          <w:p>
            <w:pPr>
              <w:pStyle w:val="TableContents"/>
              <w:spacing w:before="0" w:after="0"/>
              <w:ind w:left="0" w:right="0" w:firstLine="30"/>
              <w:rPr/>
            </w:pPr>
            <w:r>
              <w:rPr/>
              <w:t> </w:t>
            </w:r>
          </w:p>
        </w:tc>
        <w:tc>
          <w:tcPr>
            <w:tcW w:w="26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Cost of sales</w:t>
            </w:r>
          </w:p>
        </w:tc>
        <w:tc>
          <w:tcPr>
            <w:tcW w:w="125" w:type="dxa"/>
            <w:tcBorders/>
            <w:shd w:fill="CCEEFF" w:val="clear"/>
            <w:vAlign w:val="center"/>
          </w:tcPr>
          <w:p>
            <w:pPr>
              <w:pStyle w:val="TableContents"/>
              <w:spacing w:before="0" w:after="0"/>
              <w:ind w:left="0" w:right="0" w:firstLine="30"/>
              <w:rPr/>
            </w:pPr>
            <w:r>
              <w:rPr/>
              <w:t> </w:t>
            </w:r>
          </w:p>
        </w:tc>
        <w:tc>
          <w:tcPr>
            <w:tcW w:w="15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73" w:type="dxa"/>
            <w:tcBorders>
              <w:bottom w:val="double" w:sz="6" w:space="0" w:color="000000"/>
            </w:tcBorders>
            <w:shd w:fill="CCEEFF" w:val="clear"/>
            <w:tcMar>
              <w:bottom w:w="30" w:type="dxa"/>
            </w:tcMar>
            <w:vAlign w:val="center"/>
          </w:tcPr>
          <w:p>
            <w:pPr>
              <w:pStyle w:val="TableContents"/>
              <w:spacing w:before="0" w:after="0"/>
              <w:jc w:val="right"/>
              <w:rPr/>
            </w:pPr>
            <w:r>
              <w:rPr/>
              <w:t>—</w:t>
            </w:r>
          </w:p>
        </w:tc>
        <w:tc>
          <w:tcPr>
            <w:tcW w:w="7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29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(232</w:t>
            </w:r>
          </w:p>
        </w:tc>
        <w:tc>
          <w:tcPr>
            <w:tcW w:w="141"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CCEEFF" w:val="clear"/>
            <w:vAlign w:val="center"/>
          </w:tcPr>
          <w:p>
            <w:pPr>
              <w:pStyle w:val="TableContents"/>
              <w:spacing w:before="0" w:after="0"/>
              <w:ind w:left="0" w:right="0" w:firstLine="30"/>
              <w:rPr/>
            </w:pPr>
            <w:r>
              <w:rPr/>
              <w:t> </w:t>
            </w:r>
          </w:p>
        </w:tc>
        <w:tc>
          <w:tcPr>
            <w:tcW w:w="15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73" w:type="dxa"/>
            <w:tcBorders>
              <w:bottom w:val="double" w:sz="6" w:space="0" w:color="000000"/>
            </w:tcBorders>
            <w:shd w:fill="CCEEFF" w:val="clear"/>
            <w:tcMar>
              <w:bottom w:w="30" w:type="dxa"/>
            </w:tcMar>
            <w:vAlign w:val="center"/>
          </w:tcPr>
          <w:p>
            <w:pPr>
              <w:pStyle w:val="TableContents"/>
              <w:spacing w:before="0" w:after="0"/>
              <w:jc w:val="right"/>
              <w:rPr/>
            </w:pPr>
            <w:r>
              <w:rPr/>
              <w:t>—</w:t>
            </w:r>
          </w:p>
        </w:tc>
        <w:tc>
          <w:tcPr>
            <w:tcW w:w="7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28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2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(342</w:t>
            </w:r>
          </w:p>
        </w:tc>
        <w:tc>
          <w:tcPr>
            <w:tcW w:w="163"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053"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2611"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002"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445"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002"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467" w:type="dxa"/>
            <w:gridSpan w:val="3"/>
            <w:tcBorders/>
            <w:shd w:fill="auto" w:val="clear"/>
            <w:vAlign w:val="center"/>
          </w:tcPr>
          <w:p>
            <w:pPr>
              <w:pStyle w:val="TableContents"/>
              <w:spacing w:before="0" w:after="0"/>
              <w:ind w:left="0" w:right="0" w:firstLine="30"/>
              <w:rPr/>
            </w:pPr>
            <w:r>
              <w:rPr/>
              <w:t> </w:t>
            </w:r>
          </w:p>
        </w:tc>
      </w:tr>
      <w:tr>
        <w:trPr/>
        <w:tc>
          <w:tcPr>
            <w:tcW w:w="2053" w:type="dxa"/>
            <w:vMerge w:val="restart"/>
            <w:tcBorders>
              <w:bottom w:val="single" w:sz="2" w:space="0" w:color="000000"/>
            </w:tcBorders>
            <w:shd w:fill="auto" w:val="clear"/>
            <w:tcMar>
              <w:bottom w:w="30" w:type="dxa"/>
            </w:tcMar>
            <w:vAlign w:val="center"/>
          </w:tcPr>
          <w:p>
            <w:pPr>
              <w:pStyle w:val="TableContents"/>
              <w:spacing w:before="0" w:after="0"/>
              <w:rPr>
                <w:rFonts w:ascii="inherit" w:hAnsi="inherit"/>
                <w:b/>
                <w:sz w:val="13"/>
              </w:rPr>
            </w:pPr>
            <w:r>
              <w:rPr>
                <w:rFonts w:ascii="inherit" w:hAnsi="inherit"/>
                <w:b/>
                <w:sz w:val="13"/>
              </w:rPr>
              <w:t xml:space="preserve">Hedged Items in Fair Value </w:t>
            </w:r>
          </w:p>
          <w:p>
            <w:pPr>
              <w:pStyle w:val="TableContents"/>
              <w:spacing w:before="0" w:after="0"/>
              <w:ind w:left="0" w:right="0" w:firstLine="30"/>
              <w:rPr/>
            </w:pPr>
            <w:r>
              <w:rPr/>
              <w:t>   </w:t>
            </w:r>
            <w:r>
              <w:rPr>
                <w:rFonts w:ascii="inherit" w:hAnsi="inherit"/>
                <w:b/>
                <w:sz w:val="13"/>
              </w:rPr>
              <w:t>Hedging Relationships</w:t>
            </w:r>
          </w:p>
        </w:tc>
        <w:tc>
          <w:tcPr>
            <w:tcW w:w="125" w:type="dxa"/>
            <w:vMerge w:val="restart"/>
            <w:tcBorders/>
            <w:shd w:fill="auto" w:val="clear"/>
            <w:vAlign w:val="center"/>
          </w:tcPr>
          <w:p>
            <w:pPr>
              <w:pStyle w:val="TableContents"/>
              <w:spacing w:before="0" w:after="0"/>
              <w:ind w:left="0" w:right="0" w:firstLine="30"/>
              <w:rPr/>
            </w:pPr>
            <w:r>
              <w:rPr/>
              <w:t> </w:t>
            </w:r>
          </w:p>
        </w:tc>
        <w:tc>
          <w:tcPr>
            <w:tcW w:w="2611" w:type="dxa"/>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Location of Gain (Loss)</w:t>
            </w:r>
          </w:p>
          <w:p>
            <w:pPr>
              <w:pStyle w:val="TableContents"/>
              <w:spacing w:before="0" w:after="0"/>
              <w:jc w:val="center"/>
              <w:rPr>
                <w:rFonts w:ascii="inherit" w:hAnsi="inherit"/>
                <w:b/>
                <w:sz w:val="13"/>
              </w:rPr>
            </w:pPr>
            <w:r>
              <w:rPr>
                <w:rFonts w:ascii="inherit" w:hAnsi="inherit"/>
                <w:b/>
                <w:sz w:val="13"/>
              </w:rPr>
              <w:t>Recognized in </w:t>
            </w:r>
          </w:p>
          <w:p>
            <w:pPr>
              <w:pStyle w:val="TableContents"/>
              <w:spacing w:before="0" w:after="0"/>
              <w:ind w:left="0" w:right="0" w:firstLine="30"/>
              <w:jc w:val="center"/>
              <w:rPr>
                <w:rFonts w:ascii="inherit" w:hAnsi="inherit"/>
                <w:b/>
                <w:sz w:val="13"/>
              </w:rPr>
            </w:pPr>
            <w:r>
              <w:rPr>
                <w:rFonts w:ascii="inherit" w:hAnsi="inherit"/>
                <w:b/>
                <w:sz w:val="13"/>
              </w:rPr>
              <w:t>Income on Hedged Items</w:t>
            </w:r>
          </w:p>
        </w:tc>
        <w:tc>
          <w:tcPr>
            <w:tcW w:w="125" w:type="dxa"/>
            <w:vMerge w:val="restart"/>
            <w:tcBorders/>
            <w:shd w:fill="auto" w:val="clear"/>
            <w:vAlign w:val="center"/>
          </w:tcPr>
          <w:p>
            <w:pPr>
              <w:pStyle w:val="TableContents"/>
              <w:spacing w:before="0" w:after="0"/>
              <w:ind w:left="0" w:right="0" w:firstLine="30"/>
              <w:rPr/>
            </w:pPr>
            <w:r>
              <w:rPr/>
              <w:t> </w:t>
            </w:r>
          </w:p>
        </w:tc>
        <w:tc>
          <w:tcPr>
            <w:tcW w:w="2572"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September 30,</w:t>
            </w:r>
          </w:p>
        </w:tc>
        <w:tc>
          <w:tcPr>
            <w:tcW w:w="125" w:type="dxa"/>
            <w:tcBorders/>
            <w:shd w:fill="auto" w:val="clear"/>
            <w:vAlign w:val="center"/>
          </w:tcPr>
          <w:p>
            <w:pPr>
              <w:pStyle w:val="TableContents"/>
              <w:spacing w:before="0" w:after="0"/>
              <w:ind w:left="0" w:right="0" w:firstLine="30"/>
              <w:rPr/>
            </w:pPr>
            <w:r>
              <w:rPr/>
              <w:t> </w:t>
            </w:r>
          </w:p>
        </w:tc>
        <w:tc>
          <w:tcPr>
            <w:tcW w:w="2594"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September 30,</w:t>
            </w:r>
          </w:p>
        </w:tc>
      </w:tr>
      <w:tr>
        <w:trPr/>
        <w:tc>
          <w:tcPr>
            <w:tcW w:w="2053" w:type="dxa"/>
            <w:vMerge w:val="continue"/>
            <w:tcBorders>
              <w:bottom w:val="single" w:sz="2" w:space="0" w:color="000000"/>
            </w:tcBorders>
            <w:shd w:fill="auto" w:val="clear"/>
            <w:tcMar>
              <w:bottom w:w="30" w:type="dxa"/>
            </w:tcMar>
            <w:vAlign w:val="center"/>
          </w:tcPr>
          <w:p>
            <w:pPr>
              <w:pStyle w:val="Normal"/>
              <w:rPr/>
            </w:pPr>
            <w:r>
              <w:rPr/>
            </w:r>
          </w:p>
        </w:tc>
        <w:tc>
          <w:tcPr>
            <w:tcW w:w="125" w:type="dxa"/>
            <w:vMerge w:val="continue"/>
            <w:tcBorders/>
            <w:shd w:fill="auto" w:val="clear"/>
            <w:vAlign w:val="center"/>
          </w:tcPr>
          <w:p>
            <w:pPr>
              <w:pStyle w:val="Normal"/>
              <w:rPr/>
            </w:pPr>
            <w:r>
              <w:rPr/>
            </w:r>
          </w:p>
        </w:tc>
        <w:tc>
          <w:tcPr>
            <w:tcW w:w="2611" w:type="dxa"/>
            <w:vMerge w:val="continue"/>
            <w:tcBorders>
              <w:bottom w:val="single" w:sz="2" w:space="0" w:color="000000"/>
            </w:tcBorders>
            <w:shd w:fill="auto" w:val="clear"/>
            <w:tcMar>
              <w:bottom w:w="30" w:type="dxa"/>
            </w:tcMar>
            <w:vAlign w:val="center"/>
          </w:tcPr>
          <w:p>
            <w:pPr>
              <w:pStyle w:val="Normal"/>
              <w:rPr/>
            </w:pPr>
            <w:r>
              <w:rPr/>
            </w:r>
          </w:p>
        </w:tc>
        <w:tc>
          <w:tcPr>
            <w:tcW w:w="125" w:type="dxa"/>
            <w:vMerge w:val="continue"/>
            <w:tcBorders/>
            <w:shd w:fill="auto" w:val="clear"/>
            <w:vAlign w:val="center"/>
          </w:tcPr>
          <w:p>
            <w:pPr>
              <w:pStyle w:val="Normal"/>
              <w:rPr/>
            </w:pPr>
            <w:r>
              <w:rPr/>
            </w:r>
          </w:p>
        </w:tc>
        <w:tc>
          <w:tcPr>
            <w:tcW w:w="100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2014</w:t>
            </w:r>
          </w:p>
        </w:tc>
        <w:tc>
          <w:tcPr>
            <w:tcW w:w="125" w:type="dxa"/>
            <w:tcBorders/>
            <w:shd w:fill="auto" w:val="clear"/>
            <w:vAlign w:val="center"/>
          </w:tcPr>
          <w:p>
            <w:pPr>
              <w:pStyle w:val="TableContents"/>
              <w:spacing w:before="0" w:after="0"/>
              <w:ind w:left="0" w:right="0" w:firstLine="30"/>
              <w:rPr/>
            </w:pPr>
            <w:r>
              <w:rPr/>
              <w:t> </w:t>
            </w:r>
          </w:p>
        </w:tc>
        <w:tc>
          <w:tcPr>
            <w:tcW w:w="144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25" w:type="dxa"/>
            <w:tcBorders/>
            <w:shd w:fill="auto" w:val="clear"/>
            <w:vAlign w:val="center"/>
          </w:tcPr>
          <w:p>
            <w:pPr>
              <w:pStyle w:val="TableContents"/>
              <w:spacing w:before="0" w:after="0"/>
              <w:ind w:left="0" w:right="0" w:firstLine="30"/>
              <w:rPr/>
            </w:pPr>
            <w:r>
              <w:rPr/>
              <w:t> </w:t>
            </w:r>
          </w:p>
        </w:tc>
        <w:tc>
          <w:tcPr>
            <w:tcW w:w="100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2014</w:t>
            </w:r>
          </w:p>
        </w:tc>
        <w:tc>
          <w:tcPr>
            <w:tcW w:w="12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r>
          </w:p>
        </w:tc>
        <w:tc>
          <w:tcPr>
            <w:tcW w:w="146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r>
      <w:tr>
        <w:trPr/>
        <w:tc>
          <w:tcPr>
            <w:tcW w:w="2053"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2611"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002"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445" w:type="dxa"/>
            <w:gridSpan w:val="3"/>
            <w:tcBorders/>
            <w:shd w:fill="auto" w:val="clear"/>
            <w:vAlign w:val="center"/>
          </w:tcPr>
          <w:p>
            <w:pPr>
              <w:pStyle w:val="TableContents"/>
              <w:spacing w:before="0" w:after="0"/>
              <w:ind w:left="0" w:right="0" w:firstLine="30"/>
              <w:jc w:val="center"/>
              <w:rPr>
                <w:rFonts w:ascii="inherit" w:hAnsi="inherit"/>
                <w:b/>
                <w:i/>
                <w:sz w:val="13"/>
              </w:rPr>
            </w:pPr>
            <w:r>
              <w:rPr>
                <w:rFonts w:ascii="inherit" w:hAnsi="inherit"/>
                <w:b/>
                <w:i/>
                <w:sz w:val="13"/>
              </w:rPr>
              <w:t>Predecessor</w:t>
            </w:r>
          </w:p>
        </w:tc>
        <w:tc>
          <w:tcPr>
            <w:tcW w:w="125" w:type="dxa"/>
            <w:tcBorders/>
            <w:shd w:fill="auto" w:val="clear"/>
            <w:vAlign w:val="center"/>
          </w:tcPr>
          <w:p>
            <w:pPr>
              <w:pStyle w:val="TableContents"/>
              <w:spacing w:before="0" w:after="0"/>
              <w:ind w:left="0" w:right="0" w:firstLine="30"/>
              <w:rPr/>
            </w:pPr>
            <w:r>
              <w:rPr/>
              <w:t> </w:t>
            </w:r>
          </w:p>
        </w:tc>
        <w:tc>
          <w:tcPr>
            <w:tcW w:w="1002"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467" w:type="dxa"/>
            <w:gridSpan w:val="3"/>
            <w:tcBorders/>
            <w:shd w:fill="auto" w:val="clear"/>
            <w:vAlign w:val="center"/>
          </w:tcPr>
          <w:p>
            <w:pPr>
              <w:pStyle w:val="TableContents"/>
              <w:spacing w:before="0" w:after="0"/>
              <w:ind w:left="0" w:right="0" w:firstLine="30"/>
              <w:jc w:val="center"/>
              <w:rPr>
                <w:rFonts w:ascii="inherit" w:hAnsi="inherit"/>
                <w:b/>
                <w:i/>
                <w:sz w:val="13"/>
              </w:rPr>
            </w:pPr>
            <w:r>
              <w:rPr>
                <w:rFonts w:ascii="inherit" w:hAnsi="inherit"/>
                <w:b/>
                <w:i/>
                <w:sz w:val="13"/>
              </w:rPr>
              <w:t>Predecessor</w:t>
            </w:r>
          </w:p>
        </w:tc>
      </w:tr>
      <w:tr>
        <w:trPr/>
        <w:tc>
          <w:tcPr>
            <w:tcW w:w="20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Firm commitment designated as the hedged item</w:t>
            </w:r>
          </w:p>
        </w:tc>
        <w:tc>
          <w:tcPr>
            <w:tcW w:w="125" w:type="dxa"/>
            <w:tcBorders/>
            <w:shd w:fill="CCEEFF" w:val="clear"/>
            <w:vAlign w:val="center"/>
          </w:tcPr>
          <w:p>
            <w:pPr>
              <w:pStyle w:val="TableContents"/>
              <w:spacing w:before="0" w:after="0"/>
              <w:ind w:left="0" w:right="0" w:firstLine="30"/>
              <w:rPr/>
            </w:pPr>
            <w:r>
              <w:rPr/>
              <w:t> </w:t>
            </w:r>
          </w:p>
        </w:tc>
        <w:tc>
          <w:tcPr>
            <w:tcW w:w="26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Cost of sales</w:t>
            </w:r>
          </w:p>
        </w:tc>
        <w:tc>
          <w:tcPr>
            <w:tcW w:w="125" w:type="dxa"/>
            <w:tcBorders/>
            <w:shd w:fill="CCEEFF" w:val="clear"/>
            <w:vAlign w:val="center"/>
          </w:tcPr>
          <w:p>
            <w:pPr>
              <w:pStyle w:val="TableContents"/>
              <w:spacing w:before="0" w:after="0"/>
              <w:ind w:left="0" w:right="0" w:firstLine="30"/>
              <w:rPr/>
            </w:pPr>
            <w:r>
              <w:rPr/>
              <w:t> </w:t>
            </w:r>
          </w:p>
        </w:tc>
        <w:tc>
          <w:tcPr>
            <w:tcW w:w="15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73" w:type="dxa"/>
            <w:tcBorders>
              <w:bottom w:val="double" w:sz="6" w:space="0" w:color="000000"/>
            </w:tcBorders>
            <w:shd w:fill="CCEEFF" w:val="clear"/>
            <w:tcMar>
              <w:bottom w:w="30" w:type="dxa"/>
            </w:tcMar>
            <w:vAlign w:val="center"/>
          </w:tcPr>
          <w:p>
            <w:pPr>
              <w:pStyle w:val="TableContents"/>
              <w:spacing w:before="0" w:after="0"/>
              <w:jc w:val="right"/>
              <w:rPr/>
            </w:pPr>
            <w:r>
              <w:rPr/>
              <w:t>—</w:t>
            </w:r>
          </w:p>
        </w:tc>
        <w:tc>
          <w:tcPr>
            <w:tcW w:w="7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29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236</w:t>
            </w:r>
          </w:p>
        </w:tc>
        <w:tc>
          <w:tcPr>
            <w:tcW w:w="14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5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73" w:type="dxa"/>
            <w:tcBorders>
              <w:bottom w:val="double" w:sz="6" w:space="0" w:color="000000"/>
            </w:tcBorders>
            <w:shd w:fill="CCEEFF" w:val="clear"/>
            <w:tcMar>
              <w:bottom w:w="30" w:type="dxa"/>
            </w:tcMar>
            <w:vAlign w:val="center"/>
          </w:tcPr>
          <w:p>
            <w:pPr>
              <w:pStyle w:val="TableContents"/>
              <w:spacing w:before="0" w:after="0"/>
              <w:jc w:val="right"/>
              <w:rPr/>
            </w:pPr>
            <w:r>
              <w:rPr/>
              <w:t>—</w:t>
            </w:r>
          </w:p>
        </w:tc>
        <w:tc>
          <w:tcPr>
            <w:tcW w:w="7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28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2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w:t>
            </w:r>
          </w:p>
        </w:tc>
        <w:tc>
          <w:tcPr>
            <w:tcW w:w="163"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450"/>
        <w:rPr>
          <w:rFonts w:ascii="inherit" w:hAnsi="inherit"/>
          <w:sz w:val="17"/>
        </w:rPr>
      </w:pPr>
      <w:r>
        <w:rPr>
          <w:rFonts w:ascii="inherit" w:hAnsi="inherit"/>
          <w:sz w:val="17"/>
        </w:rPr>
        <w:t>The impact of derivative instruments that have not been designated as hedges in the combined and consolidated statements of operations were as follows:</w:t>
      </w:r>
    </w:p>
    <w:tbl>
      <w:tblPr>
        <w:tblW w:w="10205" w:type="dxa"/>
        <w:jc w:val="left"/>
        <w:tblInd w:w="0" w:type="dxa"/>
        <w:tblCellMar>
          <w:top w:w="0" w:type="dxa"/>
          <w:left w:w="0" w:type="dxa"/>
          <w:bottom w:w="0" w:type="dxa"/>
          <w:right w:w="0" w:type="dxa"/>
        </w:tblCellMar>
      </w:tblPr>
      <w:tblGrid>
        <w:gridCol w:w="1924"/>
        <w:gridCol w:w="120"/>
        <w:gridCol w:w="2347"/>
        <w:gridCol w:w="120"/>
        <w:gridCol w:w="147"/>
        <w:gridCol w:w="981"/>
        <w:gridCol w:w="135"/>
        <w:gridCol w:w="120"/>
        <w:gridCol w:w="220"/>
        <w:gridCol w:w="1101"/>
        <w:gridCol w:w="73"/>
        <w:gridCol w:w="120"/>
        <w:gridCol w:w="147"/>
        <w:gridCol w:w="981"/>
        <w:gridCol w:w="135"/>
        <w:gridCol w:w="120"/>
        <w:gridCol w:w="215"/>
        <w:gridCol w:w="1106"/>
        <w:gridCol w:w="93"/>
      </w:tblGrid>
      <w:tr>
        <w:trPr/>
        <w:tc>
          <w:tcPr>
            <w:tcW w:w="10205" w:type="dxa"/>
            <w:gridSpan w:val="19"/>
            <w:tcBorders/>
            <w:shd w:fill="auto" w:val="clear"/>
            <w:vAlign w:val="center"/>
          </w:tcPr>
          <w:p>
            <w:pPr>
              <w:pStyle w:val="TableContents"/>
              <w:spacing w:before="0" w:after="283"/>
              <w:rPr>
                <w:sz w:val="4"/>
                <w:szCs w:val="4"/>
              </w:rPr>
            </w:pPr>
            <w:r>
              <w:rPr>
                <w:sz w:val="4"/>
                <w:szCs w:val="4"/>
              </w:rPr>
            </w:r>
          </w:p>
        </w:tc>
      </w:tr>
      <w:tr>
        <w:trPr/>
        <w:tc>
          <w:tcPr>
            <w:tcW w:w="192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4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924" w:type="dxa"/>
            <w:vMerge w:val="restart"/>
            <w:tcBorders>
              <w:bottom w:val="single" w:sz="2" w:space="0" w:color="000000"/>
            </w:tcBorders>
            <w:shd w:fill="auto" w:val="clear"/>
            <w:tcMar>
              <w:bottom w:w="30" w:type="dxa"/>
            </w:tcMar>
            <w:vAlign w:val="center"/>
          </w:tcPr>
          <w:p>
            <w:pPr>
              <w:pStyle w:val="TableContents"/>
              <w:spacing w:before="0" w:after="0"/>
              <w:rPr>
                <w:rFonts w:ascii="inherit" w:hAnsi="inherit"/>
                <w:b/>
                <w:sz w:val="13"/>
              </w:rPr>
            </w:pPr>
            <w:r>
              <w:rPr>
                <w:rFonts w:ascii="inherit" w:hAnsi="inherit"/>
                <w:b/>
                <w:sz w:val="13"/>
              </w:rPr>
              <w:t xml:space="preserve">Derivatives Not Designated as </w:t>
            </w:r>
          </w:p>
          <w:p>
            <w:pPr>
              <w:pStyle w:val="TableContents"/>
              <w:spacing w:before="0" w:after="0"/>
              <w:ind w:left="0" w:right="0" w:firstLine="30"/>
              <w:rPr/>
            </w:pPr>
            <w:r>
              <w:rPr/>
              <w:t>   </w:t>
            </w:r>
            <w:r>
              <w:rPr>
                <w:rFonts w:ascii="inherit" w:hAnsi="inherit"/>
                <w:b/>
                <w:sz w:val="13"/>
              </w:rPr>
              <w:t>Hedging Instruments</w:t>
            </w:r>
          </w:p>
        </w:tc>
        <w:tc>
          <w:tcPr>
            <w:tcW w:w="120" w:type="dxa"/>
            <w:vMerge w:val="restart"/>
            <w:tcBorders/>
            <w:shd w:fill="auto" w:val="clear"/>
            <w:vAlign w:val="center"/>
          </w:tcPr>
          <w:p>
            <w:pPr>
              <w:pStyle w:val="TableContents"/>
              <w:spacing w:before="0" w:after="0"/>
              <w:ind w:left="0" w:right="0" w:firstLine="30"/>
              <w:rPr/>
            </w:pPr>
            <w:r>
              <w:rPr/>
              <w:t> </w:t>
            </w:r>
          </w:p>
        </w:tc>
        <w:tc>
          <w:tcPr>
            <w:tcW w:w="2347" w:type="dxa"/>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Location of Gain (Loss)</w:t>
            </w:r>
          </w:p>
          <w:p>
            <w:pPr>
              <w:pStyle w:val="TableContents"/>
              <w:spacing w:before="0" w:after="0"/>
              <w:jc w:val="center"/>
              <w:rPr>
                <w:rFonts w:ascii="inherit" w:hAnsi="inherit"/>
                <w:b/>
                <w:sz w:val="13"/>
              </w:rPr>
            </w:pPr>
            <w:r>
              <w:rPr>
                <w:rFonts w:ascii="inherit" w:hAnsi="inherit"/>
                <w:b/>
                <w:sz w:val="13"/>
              </w:rPr>
              <w:t>Recognized in </w:t>
            </w:r>
          </w:p>
          <w:p>
            <w:pPr>
              <w:pStyle w:val="TableContents"/>
              <w:spacing w:before="0" w:after="0"/>
              <w:ind w:left="0" w:right="0" w:firstLine="30"/>
              <w:jc w:val="center"/>
              <w:rPr>
                <w:rFonts w:ascii="inherit" w:hAnsi="inherit"/>
                <w:b/>
                <w:sz w:val="13"/>
              </w:rPr>
            </w:pPr>
            <w:r>
              <w:rPr>
                <w:rFonts w:ascii="inherit" w:hAnsi="inherit"/>
                <w:b/>
                <w:sz w:val="13"/>
              </w:rPr>
              <w:t>Income on Derivative</w:t>
            </w:r>
          </w:p>
        </w:tc>
        <w:tc>
          <w:tcPr>
            <w:tcW w:w="120" w:type="dxa"/>
            <w:vMerge w:val="restart"/>
            <w:tcBorders/>
            <w:shd w:fill="auto" w:val="clear"/>
            <w:vAlign w:val="center"/>
          </w:tcPr>
          <w:p>
            <w:pPr>
              <w:pStyle w:val="TableContents"/>
              <w:spacing w:before="0" w:after="0"/>
              <w:ind w:left="0" w:right="0" w:firstLine="30"/>
              <w:rPr/>
            </w:pPr>
            <w:r>
              <w:rPr/>
              <w:t> </w:t>
            </w:r>
          </w:p>
        </w:tc>
        <w:tc>
          <w:tcPr>
            <w:tcW w:w="2777"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September 30,</w:t>
            </w:r>
          </w:p>
        </w:tc>
        <w:tc>
          <w:tcPr>
            <w:tcW w:w="120" w:type="dxa"/>
            <w:tcBorders/>
            <w:shd w:fill="auto" w:val="clear"/>
            <w:vAlign w:val="center"/>
          </w:tcPr>
          <w:p>
            <w:pPr>
              <w:pStyle w:val="TableContents"/>
              <w:spacing w:before="0" w:after="0"/>
              <w:ind w:left="0" w:right="0" w:firstLine="30"/>
              <w:rPr/>
            </w:pPr>
            <w:r>
              <w:rPr/>
              <w:t> </w:t>
            </w:r>
          </w:p>
        </w:tc>
        <w:tc>
          <w:tcPr>
            <w:tcW w:w="2797"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September 30,</w:t>
            </w:r>
          </w:p>
        </w:tc>
      </w:tr>
      <w:tr>
        <w:trPr/>
        <w:tc>
          <w:tcPr>
            <w:tcW w:w="1924" w:type="dxa"/>
            <w:vMerge w:val="continue"/>
            <w:tcBorders>
              <w:bottom w:val="single" w:sz="2" w:space="0" w:color="000000"/>
            </w:tcBorders>
            <w:shd w:fill="auto" w:val="clear"/>
            <w:tcMar>
              <w:bottom w:w="30" w:type="dxa"/>
            </w:tcMar>
            <w:vAlign w:val="center"/>
          </w:tcPr>
          <w:p>
            <w:pPr>
              <w:pStyle w:val="Normal"/>
              <w:rPr/>
            </w:pPr>
            <w:r>
              <w:rPr/>
            </w:r>
          </w:p>
        </w:tc>
        <w:tc>
          <w:tcPr>
            <w:tcW w:w="120" w:type="dxa"/>
            <w:vMerge w:val="continue"/>
            <w:tcBorders/>
            <w:shd w:fill="auto" w:val="clear"/>
            <w:vAlign w:val="center"/>
          </w:tcPr>
          <w:p>
            <w:pPr>
              <w:pStyle w:val="Normal"/>
              <w:rPr/>
            </w:pPr>
            <w:r>
              <w:rPr/>
            </w:r>
          </w:p>
        </w:tc>
        <w:tc>
          <w:tcPr>
            <w:tcW w:w="2347" w:type="dxa"/>
            <w:vMerge w:val="continue"/>
            <w:tcBorders>
              <w:bottom w:val="single" w:sz="2" w:space="0" w:color="000000"/>
            </w:tcBorders>
            <w:shd w:fill="auto" w:val="clear"/>
            <w:tcMar>
              <w:bottom w:w="30" w:type="dxa"/>
            </w:tcMar>
            <w:vAlign w:val="center"/>
          </w:tcPr>
          <w:p>
            <w:pPr>
              <w:pStyle w:val="Normal"/>
              <w:rPr/>
            </w:pPr>
            <w:r>
              <w:rPr/>
            </w:r>
          </w:p>
        </w:tc>
        <w:tc>
          <w:tcPr>
            <w:tcW w:w="120" w:type="dxa"/>
            <w:vMerge w:val="continue"/>
            <w:tcBorders/>
            <w:shd w:fill="auto" w:val="clear"/>
            <w:vAlign w:val="center"/>
          </w:tcPr>
          <w:p>
            <w:pPr>
              <w:pStyle w:val="Normal"/>
              <w:rPr/>
            </w:pPr>
            <w:r>
              <w:rPr/>
            </w:r>
          </w:p>
        </w:tc>
        <w:tc>
          <w:tcPr>
            <w:tcW w:w="1263"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2014</w:t>
            </w:r>
          </w:p>
        </w:tc>
        <w:tc>
          <w:tcPr>
            <w:tcW w:w="120" w:type="dxa"/>
            <w:tcBorders/>
            <w:shd w:fill="auto" w:val="clear"/>
            <w:vAlign w:val="center"/>
          </w:tcPr>
          <w:p>
            <w:pPr>
              <w:pStyle w:val="TableContents"/>
              <w:spacing w:before="0" w:after="0"/>
              <w:ind w:left="0" w:right="0" w:firstLine="30"/>
              <w:rPr/>
            </w:pPr>
            <w:r>
              <w:rPr/>
              <w:t> </w:t>
            </w:r>
          </w:p>
        </w:tc>
        <w:tc>
          <w:tcPr>
            <w:tcW w:w="139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20" w:type="dxa"/>
            <w:tcBorders/>
            <w:shd w:fill="auto" w:val="clear"/>
            <w:vAlign w:val="center"/>
          </w:tcPr>
          <w:p>
            <w:pPr>
              <w:pStyle w:val="TableContents"/>
              <w:spacing w:before="0" w:after="0"/>
              <w:ind w:left="0" w:right="0" w:firstLine="30"/>
              <w:rPr/>
            </w:pPr>
            <w:r>
              <w:rPr/>
              <w:t> </w:t>
            </w:r>
          </w:p>
        </w:tc>
        <w:tc>
          <w:tcPr>
            <w:tcW w:w="1263"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2014</w:t>
            </w:r>
          </w:p>
        </w:tc>
        <w:tc>
          <w:tcPr>
            <w:tcW w:w="12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41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r>
      <w:tr>
        <w:trPr/>
        <w:tc>
          <w:tcPr>
            <w:tcW w:w="1924" w:type="dxa"/>
            <w:tcBorders/>
            <w:shd w:fill="auto" w:val="clear"/>
            <w:vAlign w:val="center"/>
          </w:tcPr>
          <w:p>
            <w:pPr>
              <w:pStyle w:val="TableContents"/>
              <w:spacing w:before="0" w:after="0"/>
              <w:ind w:left="0" w:right="0" w:firstLine="30"/>
              <w:rPr/>
            </w:pPr>
            <w:r>
              <w:rPr/>
              <w:t> </w:t>
            </w:r>
          </w:p>
        </w:tc>
        <w:tc>
          <w:tcPr>
            <w:tcW w:w="120" w:type="dxa"/>
            <w:tcBorders/>
            <w:shd w:fill="auto" w:val="clear"/>
            <w:vAlign w:val="center"/>
          </w:tcPr>
          <w:p>
            <w:pPr>
              <w:pStyle w:val="TableContents"/>
              <w:spacing w:before="0" w:after="0"/>
              <w:ind w:left="0" w:right="0" w:firstLine="30"/>
              <w:rPr/>
            </w:pPr>
            <w:r>
              <w:rPr/>
              <w:t> </w:t>
            </w:r>
          </w:p>
        </w:tc>
        <w:tc>
          <w:tcPr>
            <w:tcW w:w="2347" w:type="dxa"/>
            <w:tcBorders/>
            <w:shd w:fill="auto" w:val="clear"/>
            <w:vAlign w:val="center"/>
          </w:tcPr>
          <w:p>
            <w:pPr>
              <w:pStyle w:val="TableContents"/>
              <w:spacing w:before="0" w:after="0"/>
              <w:ind w:left="0" w:right="0" w:firstLine="30"/>
              <w:rPr/>
            </w:pPr>
            <w:r>
              <w:rPr/>
              <w:t> </w:t>
            </w:r>
          </w:p>
        </w:tc>
        <w:tc>
          <w:tcPr>
            <w:tcW w:w="120" w:type="dxa"/>
            <w:tcBorders/>
            <w:shd w:fill="auto" w:val="clear"/>
            <w:vAlign w:val="center"/>
          </w:tcPr>
          <w:p>
            <w:pPr>
              <w:pStyle w:val="TableContents"/>
              <w:spacing w:before="0" w:after="0"/>
              <w:ind w:left="0" w:right="0" w:firstLine="30"/>
              <w:rPr/>
            </w:pPr>
            <w:r>
              <w:rPr/>
              <w:t> </w:t>
            </w:r>
          </w:p>
        </w:tc>
        <w:tc>
          <w:tcPr>
            <w:tcW w:w="1263" w:type="dxa"/>
            <w:gridSpan w:val="3"/>
            <w:tcBorders/>
            <w:shd w:fill="auto" w:val="clear"/>
            <w:vAlign w:val="center"/>
          </w:tcPr>
          <w:p>
            <w:pPr>
              <w:pStyle w:val="TableContents"/>
              <w:spacing w:before="0" w:after="0"/>
              <w:ind w:left="0" w:right="0" w:firstLine="30"/>
              <w:rPr/>
            </w:pPr>
            <w:r>
              <w:rPr/>
              <w:t> </w:t>
            </w:r>
          </w:p>
        </w:tc>
        <w:tc>
          <w:tcPr>
            <w:tcW w:w="120" w:type="dxa"/>
            <w:tcBorders/>
            <w:shd w:fill="auto" w:val="clear"/>
            <w:vAlign w:val="center"/>
          </w:tcPr>
          <w:p>
            <w:pPr>
              <w:pStyle w:val="TableContents"/>
              <w:spacing w:before="0" w:after="0"/>
              <w:ind w:left="0" w:right="0" w:firstLine="30"/>
              <w:rPr/>
            </w:pPr>
            <w:r>
              <w:rPr/>
              <w:t> </w:t>
            </w:r>
          </w:p>
        </w:tc>
        <w:tc>
          <w:tcPr>
            <w:tcW w:w="1394" w:type="dxa"/>
            <w:gridSpan w:val="3"/>
            <w:tcBorders/>
            <w:shd w:fill="auto" w:val="clear"/>
            <w:vAlign w:val="center"/>
          </w:tcPr>
          <w:p>
            <w:pPr>
              <w:pStyle w:val="TableContents"/>
              <w:spacing w:before="0" w:after="0"/>
              <w:ind w:left="0" w:right="0" w:firstLine="30"/>
              <w:jc w:val="center"/>
              <w:rPr>
                <w:rFonts w:ascii="inherit" w:hAnsi="inherit"/>
                <w:b/>
                <w:i/>
                <w:sz w:val="13"/>
              </w:rPr>
            </w:pPr>
            <w:r>
              <w:rPr>
                <w:rFonts w:ascii="inherit" w:hAnsi="inherit"/>
                <w:b/>
                <w:i/>
                <w:sz w:val="13"/>
              </w:rPr>
              <w:t>Predecessor</w:t>
            </w:r>
          </w:p>
        </w:tc>
        <w:tc>
          <w:tcPr>
            <w:tcW w:w="120" w:type="dxa"/>
            <w:tcBorders/>
            <w:shd w:fill="auto" w:val="clear"/>
            <w:vAlign w:val="center"/>
          </w:tcPr>
          <w:p>
            <w:pPr>
              <w:pStyle w:val="TableContents"/>
              <w:spacing w:before="0" w:after="0"/>
              <w:ind w:left="0" w:right="0" w:firstLine="30"/>
              <w:rPr/>
            </w:pPr>
            <w:r>
              <w:rPr/>
              <w:t> </w:t>
            </w:r>
          </w:p>
        </w:tc>
        <w:tc>
          <w:tcPr>
            <w:tcW w:w="1263" w:type="dxa"/>
            <w:gridSpan w:val="3"/>
            <w:tcBorders/>
            <w:shd w:fill="auto" w:val="clear"/>
            <w:vAlign w:val="center"/>
          </w:tcPr>
          <w:p>
            <w:pPr>
              <w:pStyle w:val="TableContents"/>
              <w:spacing w:before="0" w:after="0"/>
              <w:ind w:left="0" w:right="0" w:firstLine="30"/>
              <w:rPr/>
            </w:pPr>
            <w:r>
              <w:rPr/>
              <w:t> </w:t>
            </w:r>
          </w:p>
        </w:tc>
        <w:tc>
          <w:tcPr>
            <w:tcW w:w="120" w:type="dxa"/>
            <w:tcBorders/>
            <w:shd w:fill="auto" w:val="clear"/>
            <w:vAlign w:val="center"/>
          </w:tcPr>
          <w:p>
            <w:pPr>
              <w:pStyle w:val="TableContents"/>
              <w:spacing w:before="0" w:after="0"/>
              <w:ind w:left="0" w:right="0" w:firstLine="30"/>
              <w:rPr/>
            </w:pPr>
            <w:r>
              <w:rPr/>
              <w:t> </w:t>
            </w:r>
          </w:p>
        </w:tc>
        <w:tc>
          <w:tcPr>
            <w:tcW w:w="1414" w:type="dxa"/>
            <w:gridSpan w:val="3"/>
            <w:tcBorders/>
            <w:shd w:fill="auto" w:val="clear"/>
            <w:vAlign w:val="center"/>
          </w:tcPr>
          <w:p>
            <w:pPr>
              <w:pStyle w:val="TableContents"/>
              <w:spacing w:before="0" w:after="0"/>
              <w:ind w:left="0" w:right="0" w:firstLine="30"/>
              <w:jc w:val="center"/>
              <w:rPr>
                <w:rFonts w:ascii="inherit" w:hAnsi="inherit"/>
                <w:b/>
                <w:i/>
                <w:sz w:val="13"/>
              </w:rPr>
            </w:pPr>
            <w:r>
              <w:rPr>
                <w:rFonts w:ascii="inherit" w:hAnsi="inherit"/>
                <w:b/>
                <w:i/>
                <w:sz w:val="13"/>
              </w:rPr>
              <w:t>Predecessor</w:t>
            </w:r>
          </w:p>
        </w:tc>
      </w:tr>
      <w:tr>
        <w:trPr/>
        <w:tc>
          <w:tcPr>
            <w:tcW w:w="19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Commodity forward contracts</w:t>
            </w:r>
          </w:p>
        </w:tc>
        <w:tc>
          <w:tcPr>
            <w:tcW w:w="120" w:type="dxa"/>
            <w:tcBorders/>
            <w:shd w:fill="CCEEFF" w:val="clear"/>
            <w:vAlign w:val="center"/>
          </w:tcPr>
          <w:p>
            <w:pPr>
              <w:pStyle w:val="TableContents"/>
              <w:spacing w:before="0" w:after="0"/>
              <w:ind w:left="0" w:right="0" w:firstLine="30"/>
              <w:rPr/>
            </w:pPr>
            <w:r>
              <w:rPr/>
              <w:t> </w:t>
            </w:r>
          </w:p>
        </w:tc>
        <w:tc>
          <w:tcPr>
            <w:tcW w:w="23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profit</w:t>
            </w:r>
          </w:p>
        </w:tc>
        <w:tc>
          <w:tcPr>
            <w:tcW w:w="120" w:type="dxa"/>
            <w:tcBorders/>
            <w:shd w:fill="CCEEFF" w:val="clear"/>
            <w:vAlign w:val="center"/>
          </w:tcPr>
          <w:p>
            <w:pPr>
              <w:pStyle w:val="TableContents"/>
              <w:spacing w:before="0" w:after="0"/>
              <w:ind w:left="0" w:right="0" w:firstLine="30"/>
              <w:rPr/>
            </w:pPr>
            <w:r>
              <w:rPr/>
              <w:t> </w:t>
            </w:r>
          </w:p>
        </w:tc>
        <w:tc>
          <w:tcPr>
            <w:tcW w:w="14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(8,873</w:t>
            </w:r>
          </w:p>
        </w:tc>
        <w:tc>
          <w:tcPr>
            <w:tcW w:w="135"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CCEEFF" w:val="clear"/>
            <w:vAlign w:val="center"/>
          </w:tcPr>
          <w:p>
            <w:pPr>
              <w:pStyle w:val="TableContents"/>
              <w:spacing w:before="0" w:after="0"/>
              <w:ind w:left="0" w:right="0" w:firstLine="30"/>
              <w:rPr/>
            </w:pPr>
            <w:r>
              <w:rPr/>
              <w:t> </w:t>
            </w:r>
          </w:p>
        </w:tc>
        <w:tc>
          <w:tcPr>
            <w:tcW w:w="22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0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4,854</w:t>
            </w:r>
          </w:p>
        </w:tc>
        <w:tc>
          <w:tcPr>
            <w:tcW w:w="7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4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(9,244</w:t>
            </w:r>
          </w:p>
        </w:tc>
        <w:tc>
          <w:tcPr>
            <w:tcW w:w="135"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CCEEFF" w:val="clear"/>
            <w:vAlign w:val="center"/>
          </w:tcPr>
          <w:p>
            <w:pPr>
              <w:pStyle w:val="TableContents"/>
              <w:spacing w:before="0" w:after="0"/>
              <w:ind w:left="0" w:right="0" w:firstLine="30"/>
              <w:rPr/>
            </w:pPr>
            <w:r>
              <w:rPr/>
              <w:t> </w:t>
            </w:r>
          </w:p>
        </w:tc>
        <w:tc>
          <w:tcPr>
            <w:tcW w:w="21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0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9,897</w:t>
            </w:r>
          </w:p>
        </w:tc>
        <w:tc>
          <w:tcPr>
            <w:tcW w:w="93"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480"/>
        <w:rPr>
          <w:rFonts w:ascii="inherit" w:hAnsi="inherit"/>
          <w:sz w:val="17"/>
        </w:rPr>
      </w:pPr>
      <w:r>
        <w:rPr>
          <w:rFonts w:ascii="inherit" w:hAnsi="inherit"/>
          <w:sz w:val="17"/>
        </w:rPr>
        <w:t>See Note 12 for the fair value of derivative instruments.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15</w:t>
      </w:r>
      <w:r>
        <w:br w:type="page"/>
      </w:r>
    </w:p>
    <w:p>
      <w:pPr>
        <w:pStyle w:val="TextBody"/>
        <w:spacing w:lineRule="auto" w:line="288" w:before="0" w:after="0"/>
        <w:jc w:val="left"/>
        <w:rPr/>
      </w:pPr>
      <w:hyperlink w:anchor="s7D21BC485A80E1C3273666ECEC2365C6">
        <w:bookmarkStart w:id="27" w:name="s34EABCA1CB248637CE6866ECE83B57E7"/>
        <w:bookmarkEnd w:id="27"/>
        <w:r>
          <w:rPr>
            <w:rStyle w:val="InternetLink"/>
            <w:rFonts w:ascii="inherit" w:hAnsi="inherit"/>
            <w:sz w:val="17"/>
          </w:rPr>
          <w:t>Table of Contents</w:t>
        </w:r>
      </w:hyperlink>
    </w:p>
    <w:p>
      <w:pPr>
        <w:pStyle w:val="TextBody"/>
        <w:spacing w:lineRule="auto" w:line="288" w:before="0" w:after="0"/>
        <w:jc w:val="center"/>
        <w:rPr>
          <w:rFonts w:ascii="inherit" w:hAnsi="inherit"/>
          <w:b/>
          <w:sz w:val="17"/>
        </w:rPr>
      </w:pPr>
      <w:r>
        <w:rPr>
          <w:rFonts w:ascii="inherit" w:hAnsi="inherit"/>
          <w:b/>
          <w:sz w:val="17"/>
        </w:rPr>
        <w:t>WESTLAKE CHEMICAL PARTNERS LP</w:t>
      </w:r>
    </w:p>
    <w:p>
      <w:pPr>
        <w:pStyle w:val="TextBody"/>
        <w:spacing w:lineRule="auto" w:line="288" w:before="0" w:after="0"/>
        <w:jc w:val="center"/>
        <w:rPr>
          <w:rFonts w:ascii="inherit" w:hAnsi="inherit"/>
          <w:b/>
          <w:sz w:val="17"/>
        </w:rPr>
      </w:pPr>
      <w:r>
        <w:rPr>
          <w:rFonts w:ascii="inherit" w:hAnsi="inherit"/>
          <w:b/>
          <w:sz w:val="17"/>
        </w:rPr>
        <w:t>NOTES TO COMBINED AND CONSOLIDATED FINANCIAL STATEMENTS - Continued</w:t>
      </w:r>
    </w:p>
    <w:p>
      <w:pPr>
        <w:pStyle w:val="TextBody"/>
        <w:spacing w:lineRule="auto" w:line="288" w:before="0" w:after="0"/>
        <w:jc w:val="center"/>
        <w:rPr>
          <w:rFonts w:ascii="inherit" w:hAnsi="inherit"/>
          <w:b/>
          <w:sz w:val="17"/>
        </w:rPr>
      </w:pPr>
      <w:r>
        <w:rPr>
          <w:rFonts w:ascii="inherit" w:hAnsi="inherit"/>
          <w:b/>
          <w:sz w:val="17"/>
        </w:rPr>
        <w:t>(Unaudited)</w:t>
      </w:r>
    </w:p>
    <w:p>
      <w:pPr>
        <w:pStyle w:val="TextBody"/>
        <w:spacing w:lineRule="auto" w:line="288" w:before="0" w:after="0"/>
        <w:jc w:val="center"/>
        <w:rPr>
          <w:rFonts w:ascii="inherit" w:hAnsi="inherit"/>
          <w:b/>
          <w:sz w:val="17"/>
        </w:rPr>
      </w:pPr>
      <w:r>
        <w:rPr>
          <w:rFonts w:ascii="inherit" w:hAnsi="inherit"/>
          <w:b/>
          <w:sz w:val="17"/>
        </w:rPr>
        <w:t>(in thousands of dollars, except unit amounts and per unit data)</w:t>
      </w:r>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12. Fair Value Measurements</w:t>
      </w:r>
    </w:p>
    <w:p>
      <w:pPr>
        <w:pStyle w:val="TextBody"/>
        <w:spacing w:lineRule="auto" w:line="288" w:before="0" w:after="0"/>
        <w:ind w:left="0" w:right="0" w:firstLine="480"/>
        <w:rPr>
          <w:rFonts w:ascii="inherit" w:hAnsi="inherit"/>
          <w:sz w:val="17"/>
        </w:rPr>
      </w:pPr>
      <w:r>
        <w:rPr>
          <w:rFonts w:ascii="inherit" w:hAnsi="inherit"/>
          <w:sz w:val="17"/>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pStyle w:val="TextBody"/>
        <w:spacing w:lineRule="auto" w:line="288" w:before="0" w:after="0"/>
        <w:ind w:left="0" w:right="0" w:firstLine="480"/>
        <w:rPr>
          <w:rFonts w:ascii="inherit" w:hAnsi="inherit"/>
          <w:sz w:val="17"/>
        </w:rPr>
      </w:pPr>
      <w:r>
        <w:rPr>
          <w:rFonts w:ascii="inherit" w:hAnsi="inherit"/>
          <w:sz w:val="17"/>
        </w:rPr>
        <w:t>Level 1: Quoted market prices in active markets for identical assets or liabilities.</w:t>
      </w:r>
    </w:p>
    <w:p>
      <w:pPr>
        <w:pStyle w:val="TextBody"/>
        <w:spacing w:lineRule="auto" w:line="288" w:before="0" w:after="0"/>
        <w:ind w:left="0" w:right="0" w:firstLine="480"/>
        <w:rPr>
          <w:rFonts w:ascii="inherit" w:hAnsi="inherit"/>
          <w:sz w:val="17"/>
        </w:rPr>
      </w:pPr>
      <w:r>
        <w:rPr>
          <w:rFonts w:ascii="inherit" w:hAnsi="inherit"/>
          <w:sz w:val="17"/>
        </w:rPr>
        <w:t>Level 2: Observable market-based inputs or unobservable inputs that are corroborated by market data.</w:t>
      </w:r>
    </w:p>
    <w:p>
      <w:pPr>
        <w:pStyle w:val="TextBody"/>
        <w:spacing w:lineRule="auto" w:line="288" w:before="0" w:after="0"/>
        <w:ind w:left="0" w:right="0" w:firstLine="480"/>
        <w:rPr>
          <w:rFonts w:ascii="inherit" w:hAnsi="inherit"/>
          <w:sz w:val="17"/>
        </w:rPr>
      </w:pPr>
      <w:r>
        <w:rPr>
          <w:rFonts w:ascii="inherit" w:hAnsi="inherit"/>
          <w:sz w:val="17"/>
        </w:rPr>
        <w:t>Level 3: Unobservable inputs that are not corroborated by market data.</w:t>
      </w:r>
    </w:p>
    <w:p>
      <w:pPr>
        <w:pStyle w:val="TextBody"/>
        <w:spacing w:lineRule="auto" w:line="288" w:before="0" w:after="0"/>
        <w:ind w:left="0" w:right="0" w:firstLine="480"/>
        <w:rPr>
          <w:sz w:val="17"/>
        </w:rPr>
      </w:pPr>
      <w:r>
        <w:rPr>
          <w:rFonts w:ascii="inherit" w:hAnsi="inherit"/>
          <w:sz w:val="17"/>
        </w:rPr>
        <w:t xml:space="preserve">There were no assets or liabilities accounted for at fair value on a recurring basis as of </w:t>
      </w:r>
      <w:r>
        <w:rPr>
          <w:rFonts w:ascii="Times New Roman" w:hAnsi="Times New Roman"/>
          <w:color w:val="000000"/>
          <w:sz w:val="17"/>
        </w:rPr>
        <w:t>September 30, 2014</w:t>
      </w:r>
      <w:r>
        <w:rPr>
          <w:rFonts w:ascii="inherit" w:hAnsi="inherit"/>
          <w:sz w:val="17"/>
        </w:rPr>
        <w:t>. The following table summarizes, by level within the fair value hierarchy, assets and liabilities that were accounted for at fair value on a recurring basis:</w:t>
      </w:r>
    </w:p>
    <w:tbl>
      <w:tblPr>
        <w:tblW w:w="10205" w:type="dxa"/>
        <w:jc w:val="left"/>
        <w:tblInd w:w="0" w:type="dxa"/>
        <w:tblCellMar>
          <w:top w:w="0" w:type="dxa"/>
          <w:left w:w="0" w:type="dxa"/>
          <w:bottom w:w="0" w:type="dxa"/>
          <w:right w:w="0" w:type="dxa"/>
        </w:tblCellMar>
      </w:tblPr>
      <w:tblGrid>
        <w:gridCol w:w="5193"/>
        <w:gridCol w:w="148"/>
        <w:gridCol w:w="233"/>
        <w:gridCol w:w="1091"/>
        <w:gridCol w:w="111"/>
        <w:gridCol w:w="148"/>
        <w:gridCol w:w="180"/>
        <w:gridCol w:w="1086"/>
        <w:gridCol w:w="169"/>
        <w:gridCol w:w="148"/>
        <w:gridCol w:w="177"/>
        <w:gridCol w:w="1077"/>
        <w:gridCol w:w="444"/>
      </w:tblGrid>
      <w:tr>
        <w:trPr/>
        <w:tc>
          <w:tcPr>
            <w:tcW w:w="10205" w:type="dxa"/>
            <w:gridSpan w:val="13"/>
            <w:tcBorders/>
            <w:shd w:fill="auto" w:val="clear"/>
            <w:vAlign w:val="center"/>
          </w:tcPr>
          <w:p>
            <w:pPr>
              <w:pStyle w:val="TableContents"/>
              <w:spacing w:before="0" w:after="283"/>
              <w:rPr>
                <w:sz w:val="4"/>
                <w:szCs w:val="4"/>
              </w:rPr>
            </w:pPr>
            <w:r>
              <w:rPr>
                <w:sz w:val="4"/>
                <w:szCs w:val="4"/>
              </w:rPr>
            </w:r>
          </w:p>
        </w:tc>
      </w:tr>
      <w:tr>
        <w:trPr/>
        <w:tc>
          <w:tcPr>
            <w:tcW w:w="5193"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93" w:type="dxa"/>
            <w:tcBorders/>
            <w:shd w:fill="auto" w:val="clear"/>
            <w:vAlign w:val="center"/>
          </w:tcPr>
          <w:p>
            <w:pPr>
              <w:pStyle w:val="TableContents"/>
              <w:spacing w:before="0" w:after="0"/>
              <w:ind w:left="0" w:right="0" w:firstLine="30"/>
              <w:rPr/>
            </w:pPr>
            <w:r>
              <w:rPr/>
              <w:t> </w:t>
            </w:r>
          </w:p>
        </w:tc>
        <w:tc>
          <w:tcPr>
            <w:tcW w:w="148" w:type="dxa"/>
            <w:tcBorders/>
            <w:shd w:fill="auto" w:val="clear"/>
            <w:vAlign w:val="center"/>
          </w:tcPr>
          <w:p>
            <w:pPr>
              <w:pStyle w:val="TableContents"/>
              <w:spacing w:before="0" w:after="0"/>
              <w:ind w:left="0" w:right="0" w:firstLine="30"/>
              <w:rPr/>
            </w:pPr>
            <w:r>
              <w:rPr/>
              <w:t> </w:t>
            </w:r>
          </w:p>
        </w:tc>
        <w:tc>
          <w:tcPr>
            <w:tcW w:w="4864"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December 31, 2013</w:t>
            </w:r>
          </w:p>
        </w:tc>
      </w:tr>
      <w:tr>
        <w:trPr/>
        <w:tc>
          <w:tcPr>
            <w:tcW w:w="5193" w:type="dxa"/>
            <w:tcBorders/>
            <w:shd w:fill="auto" w:val="clear"/>
            <w:vAlign w:val="center"/>
          </w:tcPr>
          <w:p>
            <w:pPr>
              <w:pStyle w:val="TableContents"/>
              <w:spacing w:before="0" w:after="0"/>
              <w:ind w:left="0" w:right="0" w:firstLine="30"/>
              <w:rPr/>
            </w:pPr>
            <w:r>
              <w:rPr/>
              <w:t> </w:t>
            </w:r>
          </w:p>
        </w:tc>
        <w:tc>
          <w:tcPr>
            <w:tcW w:w="148" w:type="dxa"/>
            <w:tcBorders/>
            <w:shd w:fill="auto" w:val="clear"/>
            <w:vAlign w:val="center"/>
          </w:tcPr>
          <w:p>
            <w:pPr>
              <w:pStyle w:val="TableContents"/>
              <w:spacing w:before="0" w:after="0"/>
              <w:ind w:left="0" w:right="0" w:firstLine="30"/>
              <w:rPr/>
            </w:pPr>
            <w:r>
              <w:rPr/>
              <w:t> </w:t>
            </w:r>
          </w:p>
        </w:tc>
        <w:tc>
          <w:tcPr>
            <w:tcW w:w="143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1</w:t>
            </w:r>
          </w:p>
        </w:tc>
        <w:tc>
          <w:tcPr>
            <w:tcW w:w="148" w:type="dxa"/>
            <w:tcBorders/>
            <w:shd w:fill="auto" w:val="clear"/>
            <w:vAlign w:val="center"/>
          </w:tcPr>
          <w:p>
            <w:pPr>
              <w:pStyle w:val="TableContents"/>
              <w:spacing w:before="0" w:after="0"/>
              <w:ind w:left="0" w:right="0" w:firstLine="30"/>
              <w:rPr/>
            </w:pPr>
            <w:r>
              <w:rPr/>
              <w:t> </w:t>
            </w:r>
          </w:p>
        </w:tc>
        <w:tc>
          <w:tcPr>
            <w:tcW w:w="143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2</w:t>
            </w:r>
          </w:p>
        </w:tc>
        <w:tc>
          <w:tcPr>
            <w:tcW w:w="148" w:type="dxa"/>
            <w:tcBorders/>
            <w:shd w:fill="auto" w:val="clear"/>
            <w:vAlign w:val="center"/>
          </w:tcPr>
          <w:p>
            <w:pPr>
              <w:pStyle w:val="TableContents"/>
              <w:spacing w:before="0" w:after="0"/>
              <w:ind w:left="0" w:right="0" w:firstLine="30"/>
              <w:rPr/>
            </w:pPr>
            <w:r>
              <w:rPr/>
              <w:t> </w:t>
            </w:r>
          </w:p>
        </w:tc>
        <w:tc>
          <w:tcPr>
            <w:tcW w:w="169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r>
      <w:tr>
        <w:trPr/>
        <w:tc>
          <w:tcPr>
            <w:tcW w:w="5193" w:type="dxa"/>
            <w:tcBorders/>
            <w:shd w:fill="auto" w:val="clear"/>
            <w:vAlign w:val="center"/>
          </w:tcPr>
          <w:p>
            <w:pPr>
              <w:pStyle w:val="TableContents"/>
              <w:spacing w:before="0" w:after="0"/>
              <w:ind w:left="0" w:right="0" w:firstLine="30"/>
              <w:rPr/>
            </w:pPr>
            <w:r>
              <w:rPr/>
              <w:t> </w:t>
            </w:r>
          </w:p>
        </w:tc>
        <w:tc>
          <w:tcPr>
            <w:tcW w:w="148" w:type="dxa"/>
            <w:tcBorders/>
            <w:shd w:fill="auto" w:val="clear"/>
            <w:vAlign w:val="center"/>
          </w:tcPr>
          <w:p>
            <w:pPr>
              <w:pStyle w:val="TableContents"/>
              <w:spacing w:before="0" w:after="0"/>
              <w:ind w:left="0" w:right="0" w:firstLine="30"/>
              <w:rPr/>
            </w:pPr>
            <w:r>
              <w:rPr/>
              <w:t> </w:t>
            </w:r>
          </w:p>
        </w:tc>
        <w:tc>
          <w:tcPr>
            <w:tcW w:w="4864" w:type="dxa"/>
            <w:gridSpan w:val="11"/>
            <w:tcBorders/>
            <w:shd w:fill="auto" w:val="clear"/>
            <w:vAlign w:val="center"/>
          </w:tcPr>
          <w:p>
            <w:pPr>
              <w:pStyle w:val="TableContents"/>
              <w:spacing w:before="0" w:after="0"/>
              <w:ind w:left="0" w:right="0" w:firstLine="30"/>
              <w:jc w:val="center"/>
              <w:rPr>
                <w:rFonts w:ascii="inherit" w:hAnsi="inherit"/>
                <w:b/>
                <w:i/>
                <w:sz w:val="13"/>
              </w:rPr>
            </w:pPr>
            <w:r>
              <w:rPr>
                <w:rFonts w:ascii="inherit" w:hAnsi="inherit"/>
                <w:b/>
                <w:i/>
                <w:sz w:val="13"/>
              </w:rPr>
              <w:t>Predecessor</w:t>
            </w:r>
          </w:p>
        </w:tc>
      </w:tr>
      <w:tr>
        <w:trPr/>
        <w:tc>
          <w:tcPr>
            <w:tcW w:w="5193"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Derivative instruments</w:t>
            </w:r>
          </w:p>
        </w:tc>
        <w:tc>
          <w:tcPr>
            <w:tcW w:w="148" w:type="dxa"/>
            <w:tcBorders/>
            <w:shd w:fill="CCEEFF" w:val="clear"/>
            <w:vAlign w:val="center"/>
          </w:tcPr>
          <w:p>
            <w:pPr>
              <w:pStyle w:val="TableContents"/>
              <w:spacing w:before="0" w:after="0"/>
              <w:ind w:left="0" w:right="0" w:firstLine="30"/>
              <w:rPr/>
            </w:pPr>
            <w:r>
              <w:rPr/>
              <w:t> </w:t>
            </w:r>
          </w:p>
        </w:tc>
        <w:tc>
          <w:tcPr>
            <w:tcW w:w="1435" w:type="dxa"/>
            <w:gridSpan w:val="3"/>
            <w:tcBorders/>
            <w:shd w:fill="CCEEFF" w:val="clear"/>
            <w:vAlign w:val="center"/>
          </w:tcPr>
          <w:p>
            <w:pPr>
              <w:pStyle w:val="TableContents"/>
              <w:spacing w:before="0" w:after="0"/>
              <w:ind w:left="0" w:right="0" w:firstLine="30"/>
              <w:rPr/>
            </w:pPr>
            <w:r>
              <w:rPr/>
              <w:t> </w:t>
            </w:r>
          </w:p>
        </w:tc>
        <w:tc>
          <w:tcPr>
            <w:tcW w:w="148" w:type="dxa"/>
            <w:tcBorders/>
            <w:shd w:fill="CCEEFF" w:val="clear"/>
            <w:vAlign w:val="center"/>
          </w:tcPr>
          <w:p>
            <w:pPr>
              <w:pStyle w:val="TableContents"/>
              <w:spacing w:before="0" w:after="0"/>
              <w:ind w:left="0" w:right="0" w:firstLine="30"/>
              <w:rPr/>
            </w:pPr>
            <w:r>
              <w:rPr/>
              <w:t> </w:t>
            </w:r>
          </w:p>
        </w:tc>
        <w:tc>
          <w:tcPr>
            <w:tcW w:w="1435" w:type="dxa"/>
            <w:gridSpan w:val="3"/>
            <w:tcBorders/>
            <w:shd w:fill="CCEEFF" w:val="clear"/>
            <w:vAlign w:val="center"/>
          </w:tcPr>
          <w:p>
            <w:pPr>
              <w:pStyle w:val="TableContents"/>
              <w:spacing w:before="0" w:after="0"/>
              <w:ind w:left="0" w:right="0" w:firstLine="30"/>
              <w:rPr/>
            </w:pPr>
            <w:r>
              <w:rPr/>
              <w:t> </w:t>
            </w:r>
          </w:p>
        </w:tc>
        <w:tc>
          <w:tcPr>
            <w:tcW w:w="148" w:type="dxa"/>
            <w:tcBorders/>
            <w:shd w:fill="CCEEFF" w:val="clear"/>
            <w:vAlign w:val="center"/>
          </w:tcPr>
          <w:p>
            <w:pPr>
              <w:pStyle w:val="TableContents"/>
              <w:spacing w:before="0" w:after="0"/>
              <w:ind w:left="0" w:right="0" w:firstLine="30"/>
              <w:rPr/>
            </w:pPr>
            <w:r>
              <w:rPr/>
              <w:t> </w:t>
            </w:r>
          </w:p>
        </w:tc>
        <w:tc>
          <w:tcPr>
            <w:tcW w:w="1698" w:type="dxa"/>
            <w:gridSpan w:val="3"/>
            <w:tcBorders/>
            <w:shd w:fill="CCEEFF" w:val="clear"/>
            <w:vAlign w:val="center"/>
          </w:tcPr>
          <w:p>
            <w:pPr>
              <w:pStyle w:val="TableContents"/>
              <w:spacing w:before="0" w:after="0"/>
              <w:ind w:left="0" w:right="0" w:firstLine="420"/>
              <w:rPr/>
            </w:pPr>
            <w:r>
              <w:rPr/>
              <w:t> </w:t>
            </w:r>
          </w:p>
        </w:tc>
      </w:tr>
      <w:tr>
        <w:trPr/>
        <w:tc>
          <w:tcPr>
            <w:tcW w:w="5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Risk management assets - Commodity forward contracts</w:t>
            </w:r>
          </w:p>
        </w:tc>
        <w:tc>
          <w:tcPr>
            <w:tcW w:w="148" w:type="dxa"/>
            <w:tcBorders/>
            <w:shd w:fill="auto" w:val="clear"/>
            <w:vAlign w:val="center"/>
          </w:tcPr>
          <w:p>
            <w:pPr>
              <w:pStyle w:val="TableContents"/>
              <w:spacing w:before="0" w:after="0"/>
              <w:ind w:left="0" w:right="0" w:firstLine="30"/>
              <w:rPr/>
            </w:pPr>
            <w:r>
              <w:rPr/>
              <w:t> </w:t>
            </w:r>
          </w:p>
        </w:tc>
        <w:tc>
          <w:tcPr>
            <w:tcW w:w="23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91" w:type="dxa"/>
            <w:tcBorders/>
            <w:shd w:fill="auto" w:val="clear"/>
            <w:vAlign w:val="center"/>
          </w:tcPr>
          <w:p>
            <w:pPr>
              <w:pStyle w:val="TableContents"/>
              <w:spacing w:before="0" w:after="0"/>
              <w:jc w:val="right"/>
              <w:rPr>
                <w:rFonts w:ascii="inherit" w:hAnsi="inherit"/>
                <w:sz w:val="17"/>
              </w:rPr>
            </w:pPr>
            <w:r>
              <w:rPr>
                <w:rFonts w:ascii="inherit" w:hAnsi="inherit"/>
                <w:sz w:val="17"/>
              </w:rPr>
              <w:t>48</w:t>
            </w:r>
          </w:p>
        </w:tc>
        <w:tc>
          <w:tcPr>
            <w:tcW w:w="1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8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86" w:type="dxa"/>
            <w:tcBorders/>
            <w:shd w:fill="auto" w:val="clear"/>
            <w:vAlign w:val="center"/>
          </w:tcPr>
          <w:p>
            <w:pPr>
              <w:pStyle w:val="TableContents"/>
              <w:spacing w:before="0" w:after="0"/>
              <w:jc w:val="right"/>
              <w:rPr>
                <w:rFonts w:ascii="inherit" w:hAnsi="inherit"/>
                <w:sz w:val="17"/>
              </w:rPr>
            </w:pPr>
            <w:r>
              <w:rPr>
                <w:rFonts w:ascii="inherit" w:hAnsi="inherit"/>
                <w:sz w:val="17"/>
              </w:rPr>
              <w:t>248</w:t>
            </w:r>
          </w:p>
        </w:tc>
        <w:tc>
          <w:tcPr>
            <w:tcW w:w="1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7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77" w:type="dxa"/>
            <w:tcBorders/>
            <w:shd w:fill="auto" w:val="clear"/>
            <w:vAlign w:val="center"/>
          </w:tcPr>
          <w:p>
            <w:pPr>
              <w:pStyle w:val="TableContents"/>
              <w:spacing w:before="0" w:after="0"/>
              <w:jc w:val="right"/>
              <w:rPr>
                <w:rFonts w:ascii="inherit" w:hAnsi="inherit"/>
                <w:sz w:val="17"/>
              </w:rPr>
            </w:pPr>
            <w:r>
              <w:rPr>
                <w:rFonts w:ascii="inherit" w:hAnsi="inherit"/>
                <w:sz w:val="17"/>
              </w:rPr>
              <w:t>296</w:t>
            </w:r>
          </w:p>
        </w:tc>
        <w:tc>
          <w:tcPr>
            <w:tcW w:w="44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Risk management liabilities - Commodity forward contracts</w:t>
            </w:r>
          </w:p>
        </w:tc>
        <w:tc>
          <w:tcPr>
            <w:tcW w:w="148" w:type="dxa"/>
            <w:tcBorders/>
            <w:shd w:fill="CCEEFF" w:val="clear"/>
            <w:vAlign w:val="center"/>
          </w:tcPr>
          <w:p>
            <w:pPr>
              <w:pStyle w:val="TableContents"/>
              <w:spacing w:before="0" w:after="0"/>
              <w:ind w:left="0" w:right="0" w:firstLine="30"/>
              <w:rPr/>
            </w:pPr>
            <w:r>
              <w:rPr/>
              <w:t> </w:t>
            </w:r>
          </w:p>
        </w:tc>
        <w:tc>
          <w:tcPr>
            <w:tcW w:w="1324" w:type="dxa"/>
            <w:gridSpan w:val="2"/>
            <w:tcBorders/>
            <w:shd w:fill="CCEEFF" w:val="clear"/>
            <w:vAlign w:val="center"/>
          </w:tcPr>
          <w:p>
            <w:pPr>
              <w:pStyle w:val="TableContents"/>
              <w:spacing w:before="0" w:after="0"/>
              <w:jc w:val="right"/>
              <w:rPr/>
            </w:pPr>
            <w:r>
              <w:rPr/>
              <w:t>—</w:t>
            </w:r>
          </w:p>
        </w:tc>
        <w:tc>
          <w:tcPr>
            <w:tcW w:w="1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26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(176</w:t>
            </w:r>
          </w:p>
        </w:tc>
        <w:tc>
          <w:tcPr>
            <w:tcW w:w="1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8" w:type="dxa"/>
            <w:tcBorders/>
            <w:shd w:fill="CCEEFF" w:val="clear"/>
            <w:vAlign w:val="center"/>
          </w:tcPr>
          <w:p>
            <w:pPr>
              <w:pStyle w:val="TableContents"/>
              <w:spacing w:before="0" w:after="0"/>
              <w:ind w:left="0" w:right="0" w:firstLine="30"/>
              <w:rPr/>
            </w:pPr>
            <w:r>
              <w:rPr/>
              <w:t> </w:t>
            </w:r>
          </w:p>
        </w:tc>
        <w:tc>
          <w:tcPr>
            <w:tcW w:w="12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(176</w:t>
            </w:r>
          </w:p>
        </w:tc>
        <w:tc>
          <w:tcPr>
            <w:tcW w:w="44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ind w:left="0" w:right="0" w:firstLine="480"/>
        <w:rPr>
          <w:rFonts w:ascii="inherit" w:hAnsi="inherit"/>
          <w:sz w:val="17"/>
        </w:rPr>
      </w:pPr>
      <w:r>
        <w:rPr>
          <w:rFonts w:ascii="inherit" w:hAnsi="inherit"/>
          <w:sz w:val="17"/>
        </w:rPr>
        <w:t>The Level 2 measurements for the Predecessor's commodity contracts were derived using forward curves supplied by industry-recognized and unrelated third-party services. There were no transfers in or out of Levels 1 and 2 of the fair value hierarchy for the nine months ended September 30, 2014 and 2013.</w:t>
      </w:r>
    </w:p>
    <w:p>
      <w:pPr>
        <w:pStyle w:val="TextBody"/>
        <w:spacing w:lineRule="auto" w:line="288" w:before="0" w:after="0"/>
        <w:ind w:left="0" w:right="0" w:firstLine="480"/>
        <w:rPr>
          <w:sz w:val="17"/>
        </w:rPr>
      </w:pPr>
      <w:r>
        <w:rPr>
          <w:rFonts w:ascii="inherit" w:hAnsi="inherit"/>
          <w:sz w:val="17"/>
        </w:rPr>
        <w:t xml:space="preserve">In addition to the financial assets and liabilities above, the Partnership has other financial assets and liabilities subject to fair value measures. These financial assets and liabilities include accounts receivable, net, accounts payable and long-term debt payable to Westlake, all of which are recorded at carrying value. The amounts reported in the consolidated and combined balance sheets for accounts receivable, net and accounts payable approximate their fair value due to the short maturities of these instruments. The carrying and fair values of the Partnership's and the Predecessor's long-term debt at </w:t>
      </w:r>
      <w:r>
        <w:rPr>
          <w:rFonts w:ascii="Times New Roman" w:hAnsi="Times New Roman"/>
          <w:color w:val="000000"/>
          <w:sz w:val="17"/>
        </w:rPr>
        <w:t>September 30, 2014</w:t>
      </w:r>
      <w:r>
        <w:rPr>
          <w:sz w:val="17"/>
        </w:rPr>
        <w:t xml:space="preserve"> </w:t>
      </w:r>
      <w:r>
        <w:rPr>
          <w:rFonts w:ascii="inherit" w:hAnsi="inherit"/>
          <w:sz w:val="17"/>
        </w:rPr>
        <w:t xml:space="preserve">and </w:t>
      </w:r>
      <w:r>
        <w:rPr>
          <w:rFonts w:ascii="Times New Roman" w:hAnsi="Times New Roman"/>
          <w:color w:val="000000"/>
          <w:sz w:val="17"/>
        </w:rPr>
        <w:t>December 31, 2013</w:t>
      </w:r>
      <w:r>
        <w:rPr>
          <w:sz w:val="17"/>
        </w:rPr>
        <w:t xml:space="preserve"> </w:t>
      </w:r>
      <w:r>
        <w:rPr>
          <w:rFonts w:ascii="inherit" w:hAnsi="inherit"/>
          <w:sz w:val="17"/>
        </w:rPr>
        <w:t>are summarized in the table below. The Partnership’s long-term debt includes related party promissory notes issued to Westlake and a credit facility entered with Westlake in connection with the IPO. The fair value of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long-term debt are classified as Level 3 within the fair value hierarchy. Inputs used to estimate the fair values of the Partnership's long-term debt include the selection of an appropriate discount rate.</w:t>
      </w:r>
    </w:p>
    <w:tbl>
      <w:tblPr>
        <w:tblW w:w="10205" w:type="dxa"/>
        <w:jc w:val="left"/>
        <w:tblInd w:w="0" w:type="dxa"/>
        <w:tblCellMar>
          <w:top w:w="0" w:type="dxa"/>
          <w:left w:w="0" w:type="dxa"/>
          <w:bottom w:w="0" w:type="dxa"/>
          <w:right w:w="0" w:type="dxa"/>
        </w:tblCellMar>
      </w:tblPr>
      <w:tblGrid>
        <w:gridCol w:w="3818"/>
        <w:gridCol w:w="137"/>
        <w:gridCol w:w="243"/>
        <w:gridCol w:w="1113"/>
        <w:gridCol w:w="91"/>
        <w:gridCol w:w="137"/>
        <w:gridCol w:w="284"/>
        <w:gridCol w:w="1072"/>
        <w:gridCol w:w="91"/>
        <w:gridCol w:w="137"/>
        <w:gridCol w:w="163"/>
        <w:gridCol w:w="1208"/>
        <w:gridCol w:w="91"/>
        <w:gridCol w:w="137"/>
        <w:gridCol w:w="163"/>
        <w:gridCol w:w="1208"/>
        <w:gridCol w:w="112"/>
      </w:tblGrid>
      <w:tr>
        <w:trPr/>
        <w:tc>
          <w:tcPr>
            <w:tcW w:w="10205" w:type="dxa"/>
            <w:gridSpan w:val="17"/>
            <w:tcBorders/>
            <w:shd w:fill="auto" w:val="clear"/>
            <w:vAlign w:val="center"/>
          </w:tcPr>
          <w:p>
            <w:pPr>
              <w:pStyle w:val="TableContents"/>
              <w:spacing w:before="0" w:after="283"/>
              <w:rPr>
                <w:sz w:val="4"/>
                <w:szCs w:val="4"/>
              </w:rPr>
            </w:pPr>
            <w:r>
              <w:rPr>
                <w:sz w:val="4"/>
                <w:szCs w:val="4"/>
              </w:rPr>
            </w:r>
          </w:p>
        </w:tc>
      </w:tr>
      <w:tr>
        <w:trPr/>
        <w:tc>
          <w:tcPr>
            <w:tcW w:w="381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208"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208"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818" w:type="dxa"/>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3031"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 2014</w:t>
            </w:r>
          </w:p>
        </w:tc>
        <w:tc>
          <w:tcPr>
            <w:tcW w:w="137" w:type="dxa"/>
            <w:tcBorders/>
            <w:shd w:fill="auto" w:val="clear"/>
            <w:vAlign w:val="center"/>
          </w:tcPr>
          <w:p>
            <w:pPr>
              <w:pStyle w:val="TableContents"/>
              <w:spacing w:before="0" w:after="0"/>
              <w:ind w:left="0" w:right="0" w:firstLine="30"/>
              <w:rPr/>
            </w:pPr>
            <w:r>
              <w:rPr/>
              <w:t> </w:t>
            </w:r>
          </w:p>
        </w:tc>
        <w:tc>
          <w:tcPr>
            <w:tcW w:w="3082"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December 31, 2013</w:t>
            </w:r>
          </w:p>
        </w:tc>
      </w:tr>
      <w:tr>
        <w:trPr/>
        <w:tc>
          <w:tcPr>
            <w:tcW w:w="3818" w:type="dxa"/>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447"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Carrying</w:t>
            </w:r>
          </w:p>
          <w:p>
            <w:pPr>
              <w:pStyle w:val="TableContents"/>
              <w:spacing w:before="0" w:after="0"/>
              <w:ind w:left="0" w:right="0" w:firstLine="30"/>
              <w:jc w:val="center"/>
              <w:rPr>
                <w:rFonts w:ascii="inherit" w:hAnsi="inherit"/>
                <w:b/>
                <w:sz w:val="13"/>
              </w:rPr>
            </w:pPr>
            <w:r>
              <w:rPr>
                <w:rFonts w:ascii="inherit" w:hAnsi="inherit"/>
                <w:b/>
                <w:sz w:val="13"/>
              </w:rPr>
              <w:t>Value</w:t>
            </w:r>
          </w:p>
        </w:tc>
        <w:tc>
          <w:tcPr>
            <w:tcW w:w="137" w:type="dxa"/>
            <w:tcBorders/>
            <w:shd w:fill="auto" w:val="clear"/>
            <w:vAlign w:val="center"/>
          </w:tcPr>
          <w:p>
            <w:pPr>
              <w:pStyle w:val="TableContents"/>
              <w:spacing w:before="0" w:after="0"/>
              <w:ind w:left="0" w:right="0" w:firstLine="30"/>
              <w:rPr/>
            </w:pPr>
            <w:r>
              <w:rPr/>
              <w:t> </w:t>
            </w:r>
          </w:p>
        </w:tc>
        <w:tc>
          <w:tcPr>
            <w:tcW w:w="1447"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Fair</w:t>
            </w:r>
          </w:p>
          <w:p>
            <w:pPr>
              <w:pStyle w:val="TableContents"/>
              <w:spacing w:before="0" w:after="0"/>
              <w:ind w:left="0" w:right="0" w:firstLine="30"/>
              <w:jc w:val="center"/>
              <w:rPr>
                <w:rFonts w:ascii="inherit" w:hAnsi="inherit"/>
                <w:b/>
                <w:sz w:val="13"/>
              </w:rPr>
            </w:pPr>
            <w:r>
              <w:rPr>
                <w:rFonts w:ascii="inherit" w:hAnsi="inherit"/>
                <w:b/>
                <w:sz w:val="13"/>
              </w:rPr>
              <w:t>Value</w:t>
            </w:r>
          </w:p>
        </w:tc>
        <w:tc>
          <w:tcPr>
            <w:tcW w:w="137" w:type="dxa"/>
            <w:tcBorders/>
            <w:shd w:fill="auto" w:val="clear"/>
            <w:vAlign w:val="center"/>
          </w:tcPr>
          <w:p>
            <w:pPr>
              <w:pStyle w:val="TableContents"/>
              <w:spacing w:before="0" w:after="0"/>
              <w:ind w:left="0" w:right="0" w:firstLine="30"/>
              <w:rPr/>
            </w:pPr>
            <w:r>
              <w:rPr/>
              <w:t> </w:t>
            </w:r>
          </w:p>
        </w:tc>
        <w:tc>
          <w:tcPr>
            <w:tcW w:w="1462"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Carrying</w:t>
            </w:r>
          </w:p>
          <w:p>
            <w:pPr>
              <w:pStyle w:val="TableContents"/>
              <w:spacing w:before="0" w:after="0"/>
              <w:ind w:left="0" w:right="0" w:firstLine="30"/>
              <w:jc w:val="center"/>
              <w:rPr>
                <w:rFonts w:ascii="inherit" w:hAnsi="inherit"/>
                <w:b/>
                <w:sz w:val="13"/>
              </w:rPr>
            </w:pPr>
            <w:r>
              <w:rPr>
                <w:rFonts w:ascii="inherit" w:hAnsi="inherit"/>
                <w:b/>
                <w:sz w:val="13"/>
              </w:rPr>
              <w:t>Value</w:t>
            </w:r>
          </w:p>
        </w:tc>
        <w:tc>
          <w:tcPr>
            <w:tcW w:w="137" w:type="dxa"/>
            <w:tcBorders/>
            <w:shd w:fill="auto" w:val="clear"/>
            <w:vAlign w:val="center"/>
          </w:tcPr>
          <w:p>
            <w:pPr>
              <w:pStyle w:val="TableContents"/>
              <w:spacing w:before="0" w:after="0"/>
              <w:ind w:left="0" w:right="0" w:firstLine="30"/>
              <w:rPr/>
            </w:pPr>
            <w:r>
              <w:rPr/>
              <w:t> </w:t>
            </w:r>
          </w:p>
        </w:tc>
        <w:tc>
          <w:tcPr>
            <w:tcW w:w="1483"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Fair</w:t>
            </w:r>
          </w:p>
          <w:p>
            <w:pPr>
              <w:pStyle w:val="TableContents"/>
              <w:spacing w:before="0" w:after="0"/>
              <w:ind w:left="0" w:right="0" w:firstLine="30"/>
              <w:jc w:val="center"/>
              <w:rPr>
                <w:rFonts w:ascii="inherit" w:hAnsi="inherit"/>
                <w:b/>
                <w:sz w:val="13"/>
              </w:rPr>
            </w:pPr>
            <w:r>
              <w:rPr>
                <w:rFonts w:ascii="inherit" w:hAnsi="inherit"/>
                <w:b/>
                <w:sz w:val="13"/>
              </w:rPr>
              <w:t>Value</w:t>
            </w:r>
          </w:p>
        </w:tc>
      </w:tr>
      <w:tr>
        <w:trPr/>
        <w:tc>
          <w:tcPr>
            <w:tcW w:w="3818" w:type="dxa"/>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447" w:type="dxa"/>
            <w:gridSpan w:val="3"/>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447" w:type="dxa"/>
            <w:gridSpan w:val="3"/>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3082" w:type="dxa"/>
            <w:gridSpan w:val="7"/>
            <w:tcBorders/>
            <w:shd w:fill="auto" w:val="clear"/>
            <w:vAlign w:val="center"/>
          </w:tcPr>
          <w:p>
            <w:pPr>
              <w:pStyle w:val="TableContents"/>
              <w:spacing w:before="0" w:after="0"/>
              <w:ind w:left="0" w:right="0" w:firstLine="30"/>
              <w:jc w:val="center"/>
              <w:rPr>
                <w:rFonts w:ascii="inherit" w:hAnsi="inherit"/>
                <w:b/>
                <w:i/>
                <w:sz w:val="13"/>
              </w:rPr>
            </w:pPr>
            <w:r>
              <w:rPr>
                <w:rFonts w:ascii="inherit" w:hAnsi="inherit"/>
                <w:b/>
                <w:i/>
                <w:sz w:val="13"/>
              </w:rPr>
              <w:t>Predecessor</w:t>
            </w:r>
          </w:p>
        </w:tc>
      </w:tr>
      <w:tr>
        <w:trPr/>
        <w:tc>
          <w:tcPr>
            <w:tcW w:w="38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2006 Pipeline Note</w:t>
            </w:r>
          </w:p>
        </w:tc>
        <w:tc>
          <w:tcPr>
            <w:tcW w:w="137" w:type="dxa"/>
            <w:tcBorders/>
            <w:shd w:fill="CCEEFF" w:val="clear"/>
            <w:vAlign w:val="center"/>
          </w:tcPr>
          <w:p>
            <w:pPr>
              <w:pStyle w:val="TableContents"/>
              <w:spacing w:before="0" w:after="0"/>
              <w:ind w:left="0" w:right="0" w:firstLine="30"/>
              <w:rPr/>
            </w:pPr>
            <w:r>
              <w:rPr/>
              <w:t> </w:t>
            </w:r>
          </w:p>
        </w:tc>
        <w:tc>
          <w:tcPr>
            <w:tcW w:w="24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3" w:type="dxa"/>
            <w:tcBorders/>
            <w:shd w:fill="CCEEFF" w:val="clear"/>
            <w:vAlign w:val="center"/>
          </w:tcPr>
          <w:p>
            <w:pPr>
              <w:pStyle w:val="TableContents"/>
              <w:spacing w:before="0" w:after="0"/>
              <w:jc w:val="right"/>
              <w:rPr/>
            </w:pPr>
            <w:r>
              <w:rPr/>
              <w:t>—</w:t>
            </w:r>
          </w:p>
        </w:tc>
        <w:tc>
          <w:tcPr>
            <w:tcW w:w="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28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72" w:type="dxa"/>
            <w:tcBorders/>
            <w:shd w:fill="CCEEFF" w:val="clear"/>
            <w:vAlign w:val="center"/>
          </w:tcPr>
          <w:p>
            <w:pPr>
              <w:pStyle w:val="TableContents"/>
              <w:spacing w:before="0" w:after="0"/>
              <w:jc w:val="right"/>
              <w:rPr/>
            </w:pPr>
            <w:r>
              <w:rPr/>
              <w:t>—</w:t>
            </w:r>
          </w:p>
        </w:tc>
        <w:tc>
          <w:tcPr>
            <w:tcW w:w="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08" w:type="dxa"/>
            <w:tcBorders/>
            <w:shd w:fill="CCEEFF" w:val="clear"/>
            <w:vAlign w:val="center"/>
          </w:tcPr>
          <w:p>
            <w:pPr>
              <w:pStyle w:val="TableContents"/>
              <w:spacing w:before="0" w:after="0"/>
              <w:jc w:val="right"/>
              <w:rPr>
                <w:rFonts w:ascii="inherit" w:hAnsi="inherit"/>
                <w:sz w:val="17"/>
              </w:rPr>
            </w:pPr>
            <w:r>
              <w:rPr>
                <w:rFonts w:ascii="inherit" w:hAnsi="inherit"/>
                <w:sz w:val="17"/>
              </w:rPr>
              <w:t>14,400</w:t>
            </w:r>
          </w:p>
        </w:tc>
        <w:tc>
          <w:tcPr>
            <w:tcW w:w="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08" w:type="dxa"/>
            <w:tcBorders/>
            <w:shd w:fill="CCEEFF" w:val="clear"/>
            <w:vAlign w:val="center"/>
          </w:tcPr>
          <w:p>
            <w:pPr>
              <w:pStyle w:val="TableContents"/>
              <w:spacing w:before="0" w:after="0"/>
              <w:jc w:val="right"/>
              <w:rPr>
                <w:rFonts w:ascii="inherit" w:hAnsi="inherit"/>
                <w:sz w:val="17"/>
              </w:rPr>
            </w:pPr>
            <w:r>
              <w:rPr>
                <w:rFonts w:ascii="inherit" w:hAnsi="inherit"/>
                <w:sz w:val="17"/>
              </w:rPr>
              <w:t>13,922</w:t>
            </w:r>
          </w:p>
        </w:tc>
        <w:tc>
          <w:tcPr>
            <w:tcW w:w="11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1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2013 Promissory Notes</w:t>
            </w:r>
          </w:p>
        </w:tc>
        <w:tc>
          <w:tcPr>
            <w:tcW w:w="137" w:type="dxa"/>
            <w:tcBorders/>
            <w:shd w:fill="auto" w:val="clear"/>
            <w:vAlign w:val="center"/>
          </w:tcPr>
          <w:p>
            <w:pPr>
              <w:pStyle w:val="TableContents"/>
              <w:spacing w:before="0" w:after="0"/>
              <w:ind w:left="0" w:right="0" w:firstLine="30"/>
              <w:rPr/>
            </w:pPr>
            <w:r>
              <w:rPr/>
              <w:t> </w:t>
            </w:r>
          </w:p>
        </w:tc>
        <w:tc>
          <w:tcPr>
            <w:tcW w:w="135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168,376</w:t>
            </w:r>
          </w:p>
        </w:tc>
        <w:tc>
          <w:tcPr>
            <w:tcW w:w="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35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168,376</w:t>
            </w:r>
          </w:p>
        </w:tc>
        <w:tc>
          <w:tcPr>
            <w:tcW w:w="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37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238,573</w:t>
            </w:r>
          </w:p>
        </w:tc>
        <w:tc>
          <w:tcPr>
            <w:tcW w:w="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37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238,573</w:t>
            </w:r>
          </w:p>
        </w:tc>
        <w:tc>
          <w:tcPr>
            <w:tcW w:w="1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Senior unsecured revolving credit facility</w:t>
            </w:r>
          </w:p>
        </w:tc>
        <w:tc>
          <w:tcPr>
            <w:tcW w:w="137" w:type="dxa"/>
            <w:tcBorders/>
            <w:shd w:fill="CCEEFF" w:val="clear"/>
            <w:vAlign w:val="center"/>
          </w:tcPr>
          <w:p>
            <w:pPr>
              <w:pStyle w:val="TableContents"/>
              <w:spacing w:before="0" w:after="0"/>
              <w:ind w:left="0" w:right="0" w:firstLine="30"/>
              <w:rPr/>
            </w:pPr>
            <w:r>
              <w:rPr/>
              <w:t> </w:t>
            </w:r>
          </w:p>
        </w:tc>
        <w:tc>
          <w:tcPr>
            <w:tcW w:w="135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20,147</w:t>
            </w:r>
          </w:p>
        </w:tc>
        <w:tc>
          <w:tcPr>
            <w:tcW w:w="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35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20,147</w:t>
            </w:r>
          </w:p>
        </w:tc>
        <w:tc>
          <w:tcPr>
            <w:tcW w:w="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371" w:type="dxa"/>
            <w:gridSpan w:val="2"/>
            <w:tcBorders/>
            <w:shd w:fill="CCEEFF" w:val="clear"/>
            <w:vAlign w:val="center"/>
          </w:tcPr>
          <w:p>
            <w:pPr>
              <w:pStyle w:val="TableContents"/>
              <w:spacing w:before="0" w:after="0"/>
              <w:jc w:val="right"/>
              <w:rPr/>
            </w:pPr>
            <w:r>
              <w:rPr/>
              <w:t>—</w:t>
            </w:r>
          </w:p>
        </w:tc>
        <w:tc>
          <w:tcPr>
            <w:tcW w:w="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371" w:type="dxa"/>
            <w:gridSpan w:val="2"/>
            <w:tcBorders/>
            <w:shd w:fill="CCEEFF" w:val="clear"/>
            <w:vAlign w:val="center"/>
          </w:tcPr>
          <w:p>
            <w:pPr>
              <w:pStyle w:val="TableContents"/>
              <w:spacing w:before="0" w:after="0"/>
              <w:jc w:val="right"/>
              <w:rPr/>
            </w:pPr>
            <w:r>
              <w:rPr/>
              <w:t>—</w:t>
            </w:r>
          </w:p>
        </w:tc>
        <w:tc>
          <w:tcPr>
            <w:tcW w:w="112"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b/>
          <w:sz w:val="17"/>
        </w:rPr>
      </w:pPr>
      <w:bookmarkStart w:id="28" w:name="s08E3871EC09E7436E78566ECE845B075"/>
      <w:bookmarkEnd w:id="28"/>
      <w:r>
        <w:rPr>
          <w:rFonts w:ascii="inherit" w:hAnsi="inherit"/>
          <w:b/>
          <w:sz w:val="17"/>
        </w:rPr>
        <w:t>13. Income Taxes</w:t>
      </w:r>
    </w:p>
    <w:p>
      <w:pPr>
        <w:pStyle w:val="TextBody"/>
        <w:spacing w:lineRule="auto" w:line="288" w:before="0" w:after="0"/>
        <w:ind w:left="0" w:right="0" w:firstLine="450"/>
        <w:jc w:val="left"/>
        <w:rPr>
          <w:rFonts w:ascii="inherit" w:hAnsi="inherit"/>
          <w:sz w:val="17"/>
        </w:rPr>
      </w:pPr>
      <w:r>
        <w:rPr>
          <w:rFonts w:ascii="inherit" w:hAnsi="inherit"/>
          <w:sz w:val="17"/>
        </w:rPr>
        <w:t>The Partnership is a limited partnership and is treated as a partnership for U.S. federal income tax purposes and, therefore, is not liable for entity-level federal income taxes. The Predecessor’s operating results were included in Westlake’s consolidated U.S. federal and state income tax returns. Amounts presented in the combined financial statements prior to the IPO relate to income taxes that have been determined on a separate tax return basis, and the Predecessor’s contribution to Westlake Chemical Corporation’s net operating losses and tax credits have been included in the Predecessor’s financial statements.</w:t>
      </w:r>
    </w:p>
    <w:p>
      <w:pPr>
        <w:pStyle w:val="TextBody"/>
        <w:spacing w:lineRule="auto" w:line="288" w:before="0" w:after="0"/>
        <w:ind w:left="0" w:right="0" w:firstLine="480"/>
        <w:rPr>
          <w:sz w:val="17"/>
        </w:rPr>
      </w:pPr>
      <w:r>
        <w:rPr>
          <w:rFonts w:ascii="inherit" w:hAnsi="inherit"/>
          <w:sz w:val="17"/>
        </w:rPr>
        <w:t>The effective income tax rate of the Predecessor was 35.4%</w:t>
      </w:r>
      <w:r>
        <w:rPr>
          <w:sz w:val="17"/>
        </w:rPr>
        <w:t xml:space="preserve"> </w:t>
      </w:r>
      <w:r>
        <w:rPr>
          <w:rFonts w:ascii="inherit" w:hAnsi="inherit"/>
          <w:sz w:val="17"/>
        </w:rPr>
        <w:t>for the period from January 1, 2014 through August 3, 2014. The effective income tax rate for the 2014</w:t>
      </w:r>
      <w:r>
        <w:rPr>
          <w:sz w:val="17"/>
        </w:rPr>
        <w:t xml:space="preserve"> </w:t>
      </w:r>
      <w:r>
        <w:rPr>
          <w:rFonts w:ascii="inherit" w:hAnsi="inherit"/>
          <w:sz w:val="17"/>
        </w:rPr>
        <w:t>period prior to the IPO was above the U.S. federal statutory rate of 35.0%</w:t>
      </w:r>
      <w:r>
        <w:rPr>
          <w:sz w:val="17"/>
        </w:rPr>
        <w:t xml:space="preserve"> </w:t>
      </w:r>
      <w:r>
        <w:rPr>
          <w:rFonts w:ascii="inherit" w:hAnsi="inherit"/>
          <w:sz w:val="17"/>
        </w:rPr>
        <w:t xml:space="preserve">primarily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16</w:t>
      </w:r>
      <w:r>
        <w:br w:type="page"/>
      </w:r>
    </w:p>
    <w:p>
      <w:pPr>
        <w:pStyle w:val="TextBody"/>
        <w:spacing w:lineRule="auto" w:line="288" w:before="0" w:after="0"/>
        <w:jc w:val="left"/>
        <w:rPr/>
      </w:pPr>
      <w:hyperlink w:anchor="s7D21BC485A80E1C3273666ECEC2365C6">
        <w:r>
          <w:rPr>
            <w:rStyle w:val="InternetLink"/>
            <w:rFonts w:ascii="inherit" w:hAnsi="inherit"/>
            <w:sz w:val="17"/>
          </w:rPr>
          <w:t>Table of Contents</w:t>
        </w:r>
      </w:hyperlink>
    </w:p>
    <w:p>
      <w:pPr>
        <w:pStyle w:val="TextBody"/>
        <w:spacing w:lineRule="auto" w:line="288" w:before="0" w:after="0"/>
        <w:jc w:val="center"/>
        <w:rPr>
          <w:rFonts w:ascii="inherit" w:hAnsi="inherit"/>
          <w:b/>
          <w:sz w:val="17"/>
        </w:rPr>
      </w:pPr>
      <w:r>
        <w:rPr>
          <w:rFonts w:ascii="inherit" w:hAnsi="inherit"/>
          <w:b/>
          <w:sz w:val="17"/>
        </w:rPr>
        <w:t>WESTLAKE CHEMICAL PARTNERS LP</w:t>
      </w:r>
    </w:p>
    <w:p>
      <w:pPr>
        <w:pStyle w:val="TextBody"/>
        <w:spacing w:lineRule="auto" w:line="288" w:before="0" w:after="0"/>
        <w:jc w:val="center"/>
        <w:rPr>
          <w:rFonts w:ascii="inherit" w:hAnsi="inherit"/>
          <w:b/>
          <w:sz w:val="17"/>
        </w:rPr>
      </w:pPr>
      <w:r>
        <w:rPr>
          <w:rFonts w:ascii="inherit" w:hAnsi="inherit"/>
          <w:b/>
          <w:sz w:val="17"/>
        </w:rPr>
        <w:t>NOTES TO COMBINED AND CONSOLIDATED FINANCIAL STATEMENTS - Continued</w:t>
      </w:r>
    </w:p>
    <w:p>
      <w:pPr>
        <w:pStyle w:val="TextBody"/>
        <w:spacing w:lineRule="auto" w:line="288" w:before="0" w:after="0"/>
        <w:jc w:val="center"/>
        <w:rPr>
          <w:rFonts w:ascii="inherit" w:hAnsi="inherit"/>
          <w:b/>
          <w:sz w:val="17"/>
        </w:rPr>
      </w:pPr>
      <w:r>
        <w:rPr>
          <w:rFonts w:ascii="inherit" w:hAnsi="inherit"/>
          <w:b/>
          <w:sz w:val="17"/>
        </w:rPr>
        <w:t>(Unaudited)</w:t>
      </w:r>
    </w:p>
    <w:p>
      <w:pPr>
        <w:pStyle w:val="TextBody"/>
        <w:spacing w:lineRule="auto" w:line="288" w:before="0" w:after="0"/>
        <w:jc w:val="center"/>
        <w:rPr>
          <w:rFonts w:ascii="inherit" w:hAnsi="inherit"/>
          <w:b/>
          <w:sz w:val="17"/>
        </w:rPr>
      </w:pPr>
      <w:r>
        <w:rPr>
          <w:rFonts w:ascii="inherit" w:hAnsi="inherit"/>
          <w:b/>
          <w:sz w:val="17"/>
        </w:rPr>
        <w:t>(in thousands of dollars, except unit amounts and per unit data)</w:t>
      </w:r>
    </w:p>
    <w:p>
      <w:pPr>
        <w:pStyle w:val="TextBody"/>
        <w:spacing w:before="0" w:after="0"/>
        <w:rPr/>
      </w:pPr>
      <w:r>
        <w:rPr/>
      </w:r>
    </w:p>
    <w:p>
      <w:pPr>
        <w:pStyle w:val="TextBody"/>
        <w:spacing w:lineRule="auto" w:line="288" w:before="0" w:after="0"/>
        <w:rPr>
          <w:sz w:val="17"/>
        </w:rPr>
      </w:pPr>
      <w:r>
        <w:rPr>
          <w:rFonts w:ascii="inherit" w:hAnsi="inherit"/>
          <w:sz w:val="17"/>
        </w:rPr>
        <w:t>due to state income taxes, mostly offset by the domestic manufacturing deduction and state income tax credits. The effective income tax rate of the Predecessor was 35.5%</w:t>
      </w:r>
      <w:r>
        <w:rPr>
          <w:sz w:val="17"/>
        </w:rPr>
        <w:t xml:space="preserve"> </w:t>
      </w:r>
      <w:r>
        <w:rPr>
          <w:rFonts w:ascii="inherit" w:hAnsi="inherit"/>
          <w:sz w:val="17"/>
        </w:rPr>
        <w:t>for the nine months ended September 30, 2013. The effective income tax rate for the nine months ended September 30, 2013</w:t>
      </w:r>
      <w:r>
        <w:rPr>
          <w:sz w:val="17"/>
        </w:rPr>
        <w:t xml:space="preserve"> </w:t>
      </w:r>
      <w:r>
        <w:rPr>
          <w:rFonts w:ascii="inherit" w:hAnsi="inherit"/>
          <w:sz w:val="17"/>
        </w:rPr>
        <w:t>was above the U.S. federal statutory rate of 35.0%</w:t>
      </w:r>
      <w:r>
        <w:rPr>
          <w:sz w:val="17"/>
        </w:rPr>
        <w:t xml:space="preserve"> </w:t>
      </w:r>
      <w:r>
        <w:rPr>
          <w:rFonts w:ascii="inherit" w:hAnsi="inherit"/>
          <w:sz w:val="17"/>
        </w:rPr>
        <w:t xml:space="preserve">primarily due to state income taxes, mostly offset by the domestic manufacturing deduction and state income tax credits. The Partnership’s effective tax rate was less than one percent for the period subsequent to the IPO. </w:t>
      </w:r>
    </w:p>
    <w:p>
      <w:pPr>
        <w:pStyle w:val="TextBody"/>
        <w:spacing w:lineRule="auto" w:line="288" w:before="0" w:after="0"/>
        <w:jc w:val="left"/>
        <w:rPr>
          <w:sz w:val="17"/>
        </w:rPr>
      </w:pPr>
      <w:bookmarkStart w:id="29" w:name="s8B54A4B13D2A747C632D66ECE8635563"/>
      <w:bookmarkEnd w:id="29"/>
      <w:r>
        <w:rPr>
          <w:rFonts w:ascii="inherit" w:hAnsi="inherit"/>
          <w:b/>
          <w:sz w:val="17"/>
        </w:rPr>
        <w:t>14.</w:t>
      </w:r>
      <w:r>
        <w:rPr>
          <w:sz w:val="17"/>
        </w:rPr>
        <w:t xml:space="preserve"> </w:t>
      </w:r>
      <w:r>
        <w:rPr>
          <w:rFonts w:ascii="inherit" w:hAnsi="inherit"/>
          <w:b/>
          <w:sz w:val="17"/>
        </w:rPr>
        <w:t>Supplemental Information</w:t>
      </w:r>
    </w:p>
    <w:p>
      <w:pPr>
        <w:pStyle w:val="TextBody"/>
        <w:spacing w:lineRule="auto" w:line="288" w:before="0" w:after="0"/>
        <w:jc w:val="left"/>
        <w:rPr>
          <w:rFonts w:ascii="inherit" w:hAnsi="inherit"/>
          <w:b/>
          <w:i/>
          <w:sz w:val="17"/>
        </w:rPr>
      </w:pPr>
      <w:r>
        <w:rPr>
          <w:rFonts w:ascii="inherit" w:hAnsi="inherit"/>
          <w:b/>
          <w:i/>
          <w:sz w:val="17"/>
        </w:rPr>
        <w:t>Net Liabilities Retained by Westlake</w:t>
      </w:r>
    </w:p>
    <w:p>
      <w:pPr>
        <w:pStyle w:val="TextBody"/>
        <w:spacing w:lineRule="auto" w:line="288" w:before="0" w:after="0"/>
        <w:ind w:left="0" w:right="0" w:firstLine="450"/>
        <w:jc w:val="left"/>
        <w:rPr>
          <w:rFonts w:ascii="inherit" w:hAnsi="inherit"/>
          <w:sz w:val="17"/>
        </w:rPr>
      </w:pPr>
      <w:r>
        <w:rPr>
          <w:rFonts w:ascii="inherit" w:hAnsi="inherit"/>
          <w:sz w:val="17"/>
        </w:rPr>
        <w:t>Net liabilities of the Predecessor that were not assumed by OpCo in connection with the IPO are composed of the following:</w:t>
      </w:r>
    </w:p>
    <w:tbl>
      <w:tblPr>
        <w:tblW w:w="10205" w:type="dxa"/>
        <w:jc w:val="left"/>
        <w:tblInd w:w="0" w:type="dxa"/>
        <w:tblCellMar>
          <w:top w:w="0" w:type="dxa"/>
          <w:left w:w="0" w:type="dxa"/>
          <w:bottom w:w="0" w:type="dxa"/>
          <w:right w:w="0" w:type="dxa"/>
        </w:tblCellMar>
      </w:tblPr>
      <w:tblGrid>
        <w:gridCol w:w="8602"/>
        <w:gridCol w:w="104"/>
        <w:gridCol w:w="126"/>
        <w:gridCol w:w="1245"/>
        <w:gridCol w:w="128"/>
      </w:tblGrid>
      <w:tr>
        <w:trPr/>
        <w:tc>
          <w:tcPr>
            <w:tcW w:w="10205" w:type="dxa"/>
            <w:gridSpan w:val="5"/>
            <w:tcBorders/>
            <w:shd w:fill="auto" w:val="clear"/>
            <w:vAlign w:val="center"/>
          </w:tcPr>
          <w:p>
            <w:pPr>
              <w:pStyle w:val="TableContents"/>
              <w:spacing w:before="0" w:after="283"/>
              <w:rPr>
                <w:sz w:val="4"/>
                <w:szCs w:val="4"/>
              </w:rPr>
            </w:pPr>
            <w:r>
              <w:rPr>
                <w:sz w:val="4"/>
                <w:szCs w:val="4"/>
              </w:rPr>
            </w:r>
          </w:p>
        </w:tc>
      </w:tr>
      <w:tr>
        <w:trPr/>
        <w:tc>
          <w:tcPr>
            <w:tcW w:w="8602"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86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Accounts receivable, net—third parties</w:t>
            </w:r>
          </w:p>
        </w:tc>
        <w:tc>
          <w:tcPr>
            <w:tcW w:w="104"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45" w:type="dxa"/>
            <w:tcBorders/>
            <w:shd w:fill="CCEEFF" w:val="clear"/>
            <w:vAlign w:val="center"/>
          </w:tcPr>
          <w:p>
            <w:pPr>
              <w:pStyle w:val="TableContents"/>
              <w:spacing w:before="0" w:after="0"/>
              <w:jc w:val="right"/>
              <w:rPr>
                <w:rFonts w:ascii="inherit" w:hAnsi="inherit"/>
                <w:sz w:val="17"/>
              </w:rPr>
            </w:pPr>
            <w:r>
              <w:rPr>
                <w:rFonts w:ascii="inherit" w:hAnsi="inherit"/>
                <w:sz w:val="17"/>
              </w:rPr>
              <w:t>64,650</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86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Inventories</w:t>
            </w:r>
          </w:p>
        </w:tc>
        <w:tc>
          <w:tcPr>
            <w:tcW w:w="104"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37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85,057</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86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Prepaid expenses and other current assets</w:t>
            </w:r>
          </w:p>
        </w:tc>
        <w:tc>
          <w:tcPr>
            <w:tcW w:w="104"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3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669</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86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Deferred income taxes</w:t>
            </w:r>
          </w:p>
        </w:tc>
        <w:tc>
          <w:tcPr>
            <w:tcW w:w="104"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37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4,448</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86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Property, plant and equipment, net</w:t>
            </w:r>
          </w:p>
        </w:tc>
        <w:tc>
          <w:tcPr>
            <w:tcW w:w="104"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3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62,886</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86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 investments</w:t>
            </w:r>
          </w:p>
        </w:tc>
        <w:tc>
          <w:tcPr>
            <w:tcW w:w="104"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37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9,338</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86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Accounts payable—third parties</w:t>
            </w:r>
          </w:p>
        </w:tc>
        <w:tc>
          <w:tcPr>
            <w:tcW w:w="104"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3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(101,671</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86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Accrued liabilities</w:t>
            </w:r>
          </w:p>
        </w:tc>
        <w:tc>
          <w:tcPr>
            <w:tcW w:w="104"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37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(37,451</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86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Deferred income taxes</w:t>
            </w:r>
          </w:p>
        </w:tc>
        <w:tc>
          <w:tcPr>
            <w:tcW w:w="104"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3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(189,615</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86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Long-term debt payable to Westlake</w:t>
            </w:r>
          </w:p>
        </w:tc>
        <w:tc>
          <w:tcPr>
            <w:tcW w:w="104"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37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(137,103</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86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liabilities</w:t>
            </w:r>
          </w:p>
        </w:tc>
        <w:tc>
          <w:tcPr>
            <w:tcW w:w="104"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3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(914</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86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04"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2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4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(239,706</w:t>
            </w:r>
          </w:p>
        </w:tc>
        <w:tc>
          <w:tcPr>
            <w:tcW w:w="12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jc w:val="left"/>
        <w:rPr>
          <w:rFonts w:ascii="inherit" w:hAnsi="inherit"/>
          <w:b/>
          <w:i/>
          <w:sz w:val="17"/>
        </w:rPr>
      </w:pPr>
      <w:r>
        <w:rPr>
          <w:rFonts w:ascii="inherit" w:hAnsi="inherit"/>
          <w:b/>
          <w:i/>
          <w:sz w:val="17"/>
        </w:rPr>
        <w:t xml:space="preserve">Non-cash Operating Activity </w:t>
      </w:r>
    </w:p>
    <w:p>
      <w:pPr>
        <w:pStyle w:val="TextBody"/>
        <w:spacing w:lineRule="auto" w:line="288" w:before="0" w:after="0"/>
        <w:ind w:left="0" w:right="0" w:firstLine="450"/>
        <w:jc w:val="left"/>
        <w:rPr>
          <w:sz w:val="17"/>
        </w:rPr>
      </w:pPr>
      <w:r>
        <w:rPr>
          <w:rFonts w:ascii="inherit" w:hAnsi="inherit"/>
          <w:sz w:val="17"/>
        </w:rPr>
        <w:t>The Partnership or the Predecessor settled $2,089</w:t>
      </w:r>
      <w:r>
        <w:rPr>
          <w:sz w:val="17"/>
        </w:rPr>
        <w:t xml:space="preserve"> </w:t>
      </w:r>
      <w:r>
        <w:rPr>
          <w:rFonts w:ascii="inherit" w:hAnsi="inherit"/>
          <w:sz w:val="17"/>
        </w:rPr>
        <w:t>and $2,168</w:t>
      </w:r>
      <w:r>
        <w:rPr>
          <w:sz w:val="17"/>
        </w:rPr>
        <w:t xml:space="preserve"> </w:t>
      </w:r>
      <w:r>
        <w:rPr>
          <w:rFonts w:ascii="inherit" w:hAnsi="inherit"/>
          <w:sz w:val="17"/>
        </w:rPr>
        <w:t>of its total interest expense incurred on long-term debt payable to Westlake as an addition to principal on debt outstanding for the three months ended September 30, 2014</w:t>
      </w:r>
      <w:r>
        <w:rPr>
          <w:sz w:val="17"/>
        </w:rPr>
        <w:t xml:space="preserve"> </w:t>
      </w:r>
      <w:r>
        <w:rPr>
          <w:rFonts w:ascii="inherit" w:hAnsi="inherit"/>
          <w:sz w:val="17"/>
        </w:rPr>
        <w:t>and 2013, respectively. The Partnership or the Predecessor settled $9,530</w:t>
      </w:r>
      <w:r>
        <w:rPr>
          <w:sz w:val="17"/>
        </w:rPr>
        <w:t xml:space="preserve"> </w:t>
      </w:r>
      <w:r>
        <w:rPr>
          <w:rFonts w:ascii="inherit" w:hAnsi="inherit"/>
          <w:sz w:val="17"/>
        </w:rPr>
        <w:t>and $4,498</w:t>
      </w:r>
      <w:r>
        <w:rPr>
          <w:sz w:val="17"/>
        </w:rPr>
        <w:t xml:space="preserve"> </w:t>
      </w:r>
      <w:r>
        <w:rPr>
          <w:rFonts w:ascii="inherit" w:hAnsi="inherit"/>
          <w:sz w:val="17"/>
        </w:rPr>
        <w:t>of its total interest expense incurred on long-term debt payable to Westlake as an addition to principal on long-term debt payable to Westlake for the nine months ended September 30, 2014</w:t>
      </w:r>
      <w:r>
        <w:rPr>
          <w:sz w:val="17"/>
        </w:rPr>
        <w:t xml:space="preserve"> </w:t>
      </w:r>
      <w:r>
        <w:rPr>
          <w:rFonts w:ascii="inherit" w:hAnsi="inherit"/>
          <w:sz w:val="17"/>
        </w:rPr>
        <w:t>and 2013, respectively. Interest incurred on long-term debt payable to Westlake discussed in Note 10 may be settled through additions to principal outstanding, at the Partnership's option. For additional information on the 2013 Promissory Notes, please read Note 9 (Promissory Notes Payables to Westlake) to the audited combined carve-out financial statements for the fiscal year ended December 31, 2013</w:t>
      </w:r>
      <w:r>
        <w:rPr>
          <w:sz w:val="17"/>
        </w:rPr>
        <w:t xml:space="preserve"> </w:t>
      </w:r>
      <w:r>
        <w:rPr>
          <w:rFonts w:ascii="inherit" w:hAnsi="inherit"/>
          <w:sz w:val="17"/>
        </w:rPr>
        <w:t>included in the WLKP Prospectus.</w:t>
      </w:r>
    </w:p>
    <w:p>
      <w:pPr>
        <w:pStyle w:val="TextBody"/>
        <w:spacing w:lineRule="auto" w:line="288" w:before="0" w:after="0"/>
        <w:jc w:val="left"/>
        <w:rPr>
          <w:rFonts w:ascii="inherit" w:hAnsi="inherit"/>
          <w:b/>
          <w:i/>
          <w:sz w:val="17"/>
        </w:rPr>
      </w:pPr>
      <w:r>
        <w:rPr>
          <w:rFonts w:ascii="inherit" w:hAnsi="inherit"/>
          <w:b/>
          <w:i/>
          <w:sz w:val="17"/>
        </w:rPr>
        <w:t xml:space="preserve">Non-cash Investing Activity </w:t>
      </w:r>
    </w:p>
    <w:p>
      <w:pPr>
        <w:pStyle w:val="TextBody"/>
        <w:spacing w:lineRule="auto" w:line="288" w:before="0" w:after="0"/>
        <w:ind w:left="0" w:right="0" w:firstLine="450"/>
        <w:jc w:val="left"/>
        <w:rPr>
          <w:sz w:val="17"/>
        </w:rPr>
      </w:pPr>
      <w:r>
        <w:rPr>
          <w:rFonts w:ascii="inherit" w:hAnsi="inherit"/>
          <w:sz w:val="17"/>
        </w:rPr>
        <w:t>The change in capital expenditure accrual reducing</w:t>
      </w:r>
      <w:r>
        <w:rPr>
          <w:sz w:val="17"/>
        </w:rPr>
        <w:t xml:space="preserve"> </w:t>
      </w:r>
      <w:r>
        <w:rPr>
          <w:rFonts w:ascii="inherit" w:hAnsi="inherit"/>
          <w:sz w:val="17"/>
        </w:rPr>
        <w:t>additions to property, plant and equipment was $8,564</w:t>
      </w:r>
      <w:r>
        <w:rPr>
          <w:sz w:val="17"/>
        </w:rPr>
        <w:t xml:space="preserve"> </w:t>
      </w:r>
      <w:r>
        <w:rPr>
          <w:rFonts w:ascii="inherit" w:hAnsi="inherit"/>
          <w:sz w:val="17"/>
        </w:rPr>
        <w:t>for the nine months ended September 30, 2014. The change in capital expenditure accrual reducing</w:t>
      </w:r>
      <w:r>
        <w:rPr>
          <w:sz w:val="17"/>
        </w:rPr>
        <w:t xml:space="preserve"> </w:t>
      </w:r>
      <w:r>
        <w:rPr>
          <w:rFonts w:ascii="inherit" w:hAnsi="inherit"/>
          <w:sz w:val="17"/>
        </w:rPr>
        <w:t>additions to property, plant and equipment was $9,512</w:t>
      </w:r>
      <w:r>
        <w:rPr>
          <w:sz w:val="17"/>
        </w:rPr>
        <w:t xml:space="preserve"> </w:t>
      </w:r>
      <w:r>
        <w:rPr>
          <w:rFonts w:ascii="inherit" w:hAnsi="inherit"/>
          <w:sz w:val="17"/>
        </w:rPr>
        <w:t xml:space="preserve">for the nine months ended September 30, 2013. </w:t>
      </w:r>
    </w:p>
    <w:p>
      <w:pPr>
        <w:pStyle w:val="TextBody"/>
        <w:spacing w:lineRule="auto" w:line="288" w:before="0" w:after="0"/>
        <w:jc w:val="left"/>
        <w:rPr>
          <w:rFonts w:ascii="inherit" w:hAnsi="inherit"/>
          <w:b/>
          <w:i/>
          <w:sz w:val="17"/>
        </w:rPr>
      </w:pPr>
      <w:r>
        <w:rPr>
          <w:rFonts w:ascii="inherit" w:hAnsi="inherit"/>
          <w:b/>
          <w:i/>
          <w:sz w:val="17"/>
        </w:rPr>
        <w:t xml:space="preserve">Non-cash Financing Activity </w:t>
      </w:r>
    </w:p>
    <w:p>
      <w:pPr>
        <w:pStyle w:val="TextBody"/>
        <w:spacing w:lineRule="auto" w:line="288" w:before="0" w:after="0"/>
        <w:ind w:left="0" w:right="0" w:firstLine="450"/>
        <w:jc w:val="left"/>
        <w:rPr>
          <w:sz w:val="17"/>
        </w:rPr>
      </w:pPr>
      <w:r>
        <w:rPr>
          <w:rFonts w:ascii="inherit" w:hAnsi="inherit"/>
          <w:sz w:val="17"/>
        </w:rPr>
        <w:t>Related party notes payable to Westlake of $238,600</w:t>
      </w:r>
      <w:r>
        <w:rPr>
          <w:sz w:val="17"/>
        </w:rPr>
        <w:t xml:space="preserve"> </w:t>
      </w:r>
      <w:r>
        <w:rPr>
          <w:rFonts w:ascii="inherit" w:hAnsi="inherit"/>
          <w:sz w:val="17"/>
        </w:rPr>
        <w:t>were deemed settled through net investment in 2013. The non-cash settlement was recorded as an increase in Westlake’s net investment in the Predecessor. No</w:t>
      </w:r>
      <w:r>
        <w:rPr>
          <w:sz w:val="17"/>
        </w:rPr>
        <w:t xml:space="preserve"> </w:t>
      </w:r>
      <w:r>
        <w:rPr>
          <w:rFonts w:ascii="inherit" w:hAnsi="inherit"/>
          <w:sz w:val="17"/>
        </w:rPr>
        <w:t>cash was transferred in connection with the deemed settlement of these notes. See Note 9 (Promissory Notes Payable to Westlake) to the audited combined carve-out financial statements for the fiscal year ended December 31, 2013</w:t>
      </w:r>
      <w:r>
        <w:rPr>
          <w:sz w:val="17"/>
        </w:rPr>
        <w:t xml:space="preserve"> </w:t>
      </w:r>
      <w:r>
        <w:rPr>
          <w:rFonts w:ascii="inherit" w:hAnsi="inherit"/>
          <w:sz w:val="17"/>
        </w:rPr>
        <w:t>included in the WLKP Prospectus, for a description of the intercompany debt settled in 2013 between the Predecessor and Westlake.</w:t>
      </w:r>
    </w:p>
    <w:p>
      <w:pPr>
        <w:pStyle w:val="TextBody"/>
        <w:spacing w:lineRule="auto" w:line="288" w:before="0" w:after="0"/>
        <w:jc w:val="left"/>
        <w:rPr>
          <w:sz w:val="17"/>
        </w:rPr>
      </w:pPr>
      <w:bookmarkStart w:id="30" w:name="sA71A7D71F0AAEDE48E9066ECE84F0513"/>
      <w:bookmarkEnd w:id="30"/>
      <w:r>
        <w:rPr>
          <w:rFonts w:ascii="inherit" w:hAnsi="inherit"/>
          <w:b/>
          <w:sz w:val="17"/>
        </w:rPr>
        <w:t>15</w:t>
      </w:r>
      <w:r>
        <w:rPr>
          <w:rFonts w:ascii="inherit" w:hAnsi="inherit"/>
          <w:sz w:val="17"/>
        </w:rPr>
        <w:t xml:space="preserve">. </w:t>
      </w:r>
      <w:r>
        <w:rPr>
          <w:rFonts w:ascii="inherit" w:hAnsi="inherit"/>
          <w:b/>
          <w:sz w:val="17"/>
        </w:rPr>
        <w:t>Major Customer and Concentration of Credit Risk</w:t>
      </w:r>
    </w:p>
    <w:p>
      <w:pPr>
        <w:pStyle w:val="TextBody"/>
        <w:spacing w:lineRule="auto" w:line="288" w:before="0" w:after="0"/>
        <w:ind w:left="0" w:right="0" w:firstLine="450"/>
        <w:jc w:val="left"/>
        <w:rPr>
          <w:sz w:val="17"/>
        </w:rPr>
      </w:pPr>
      <w:r>
        <w:rPr>
          <w:rFonts w:ascii="inherit" w:hAnsi="inherit"/>
          <w:sz w:val="17"/>
        </w:rPr>
        <w:t xml:space="preserve">During the </w:t>
      </w:r>
      <w:r>
        <w:rPr>
          <w:rFonts w:ascii="inherit" w:hAnsi="inherit"/>
          <w:strike w:val="false"/>
          <w:dstrike w:val="false"/>
          <w:color w:val="000000"/>
          <w:sz w:val="17"/>
          <w:u w:val="none"/>
          <w:effect w:val="none"/>
        </w:rPr>
        <w:t>three months ended September 30, 2014 and 2013</w:t>
      </w:r>
      <w:r>
        <w:rPr>
          <w:rFonts w:ascii="inherit" w:hAnsi="inherit"/>
          <w:sz w:val="17"/>
        </w:rPr>
        <w:t>, Westlake accounted for approximately 73.9%</w:t>
      </w:r>
      <w:r>
        <w:rPr>
          <w:sz w:val="17"/>
        </w:rPr>
        <w:t xml:space="preserve"> </w:t>
      </w:r>
      <w:r>
        <w:rPr>
          <w:rFonts w:ascii="inherit" w:hAnsi="inherit"/>
          <w:sz w:val="17"/>
        </w:rPr>
        <w:t>and 72.5%, respectively, of the Partnership's or the Predecessor's net sales. During the nine months ended September 30, 2014 and 2013, Westlake accounted for approximately 73.7%</w:t>
      </w:r>
      <w:r>
        <w:rPr>
          <w:sz w:val="17"/>
        </w:rPr>
        <w:t xml:space="preserve"> </w:t>
      </w:r>
      <w:r>
        <w:rPr>
          <w:rFonts w:ascii="inherit" w:hAnsi="inherit"/>
          <w:sz w:val="17"/>
        </w:rPr>
        <w:t xml:space="preserve">and 76.4%, respectively, of the Partnership’s or the Predecessor's net sales.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17</w:t>
      </w:r>
      <w:r>
        <w:br w:type="page"/>
      </w:r>
    </w:p>
    <w:p>
      <w:pPr>
        <w:pStyle w:val="TextBody"/>
        <w:spacing w:lineRule="auto" w:line="288" w:before="0" w:after="0"/>
        <w:jc w:val="left"/>
        <w:rPr/>
      </w:pPr>
      <w:hyperlink w:anchor="s7D21BC485A80E1C3273666ECEC2365C6">
        <w:bookmarkStart w:id="31" w:name="sAE270FC4122B55F7455566ECE8B394E0"/>
        <w:bookmarkEnd w:id="31"/>
        <w:r>
          <w:rPr>
            <w:rStyle w:val="InternetLink"/>
            <w:rFonts w:ascii="inherit" w:hAnsi="inherit"/>
            <w:sz w:val="17"/>
          </w:rPr>
          <w:t>Table of Contents</w:t>
        </w:r>
      </w:hyperlink>
    </w:p>
    <w:p>
      <w:pPr>
        <w:pStyle w:val="TextBody"/>
        <w:spacing w:lineRule="auto" w:line="288" w:before="0" w:after="0"/>
        <w:jc w:val="center"/>
        <w:rPr>
          <w:rFonts w:ascii="inherit" w:hAnsi="inherit"/>
          <w:b/>
          <w:sz w:val="17"/>
        </w:rPr>
      </w:pPr>
      <w:r>
        <w:rPr>
          <w:rFonts w:ascii="inherit" w:hAnsi="inherit"/>
          <w:b/>
          <w:sz w:val="17"/>
        </w:rPr>
        <w:t>WESTLAKE CHEMICAL PARTNERS LP</w:t>
      </w:r>
    </w:p>
    <w:p>
      <w:pPr>
        <w:pStyle w:val="TextBody"/>
        <w:spacing w:lineRule="auto" w:line="288" w:before="0" w:after="0"/>
        <w:jc w:val="center"/>
        <w:rPr>
          <w:rFonts w:ascii="inherit" w:hAnsi="inherit"/>
          <w:b/>
          <w:sz w:val="17"/>
        </w:rPr>
      </w:pPr>
      <w:r>
        <w:rPr>
          <w:rFonts w:ascii="inherit" w:hAnsi="inherit"/>
          <w:b/>
          <w:sz w:val="17"/>
        </w:rPr>
        <w:t>NOTES TO COMBINED AND CONSOLIDATED FINANCIAL STATEMENTS - Continued</w:t>
      </w:r>
    </w:p>
    <w:p>
      <w:pPr>
        <w:pStyle w:val="TextBody"/>
        <w:spacing w:lineRule="auto" w:line="288" w:before="0" w:after="0"/>
        <w:jc w:val="center"/>
        <w:rPr>
          <w:rFonts w:ascii="inherit" w:hAnsi="inherit"/>
          <w:b/>
          <w:sz w:val="17"/>
        </w:rPr>
      </w:pPr>
      <w:r>
        <w:rPr>
          <w:rFonts w:ascii="inherit" w:hAnsi="inherit"/>
          <w:b/>
          <w:sz w:val="17"/>
        </w:rPr>
        <w:t>(Unaudited)</w:t>
      </w:r>
    </w:p>
    <w:p>
      <w:pPr>
        <w:pStyle w:val="TextBody"/>
        <w:spacing w:lineRule="auto" w:line="288" w:before="0" w:after="0"/>
        <w:jc w:val="center"/>
        <w:rPr>
          <w:rFonts w:ascii="inherit" w:hAnsi="inherit"/>
          <w:b/>
          <w:sz w:val="17"/>
        </w:rPr>
      </w:pPr>
      <w:r>
        <w:rPr>
          <w:rFonts w:ascii="inherit" w:hAnsi="inherit"/>
          <w:b/>
          <w:sz w:val="17"/>
        </w:rPr>
        <w:t>(in thousands of dollars, except unit amounts and per unit data)</w:t>
      </w:r>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16. Commitments and Contingencies</w:t>
      </w:r>
    </w:p>
    <w:p>
      <w:pPr>
        <w:pStyle w:val="TextBody"/>
        <w:spacing w:lineRule="auto" w:line="288" w:before="0" w:after="0"/>
        <w:ind w:left="0" w:right="0" w:firstLine="450"/>
        <w:jc w:val="left"/>
        <w:rPr>
          <w:rFonts w:ascii="inherit" w:hAnsi="inherit"/>
          <w:sz w:val="17"/>
        </w:rPr>
      </w:pPr>
      <w:r>
        <w:rPr>
          <w:rFonts w:ascii="inherit" w:hAnsi="inherit"/>
          <w:sz w:val="17"/>
        </w:rPr>
        <w:t>The Partnership is subject to environmental laws and regulations that can impose civil and criminal sanctions and that may require it to mitigate the effects of contamination caused by the release or disposal of hazardous substances into the environment. Under one law, an owner or operator of property may be held strictly liable for remediating contamination without regard to whether that person caused the contamination, and without regard to whether the practices that resulted in the contamination were legal at the time they occurred. Because several of the Partnership’s production sites have a history of industrial use, it is impossible to predict precisely what effect these legal requirements will have on the Partnership.</w:t>
      </w:r>
    </w:p>
    <w:p>
      <w:pPr>
        <w:pStyle w:val="TextBody"/>
        <w:spacing w:lineRule="auto" w:line="288" w:before="0" w:after="0"/>
        <w:ind w:left="0" w:right="0" w:firstLine="450"/>
        <w:jc w:val="left"/>
        <w:rPr>
          <w:sz w:val="17"/>
        </w:rPr>
      </w:pPr>
      <w:r>
        <w:rPr>
          <w:rFonts w:ascii="inherit" w:hAnsi="inherit"/>
          <w:i/>
          <w:sz w:val="17"/>
        </w:rPr>
        <w:t>Contract Disputes with Goodrich and PolyOne</w:t>
      </w:r>
      <w:r>
        <w:rPr>
          <w:rFonts w:ascii="inherit" w:hAnsi="inherit"/>
          <w:sz w:val="17"/>
        </w:rPr>
        <w:t>. In connection with the 1990 and 1997 acquisitions of the Goodrich Corporation ("Goodrich") chemical manufacturing complex in Calvert City, Goodrich agreed to indemnify the Predecessor for any liabilities related to preexisting contamination at the complex. For its part, the Predecessor agreed to indemnify Goodrich for post-closing contamination caused by the Predecessor’s operations. The soil and groundwater at the complex, which does not include the Predecessor’s nearby PVC facility, had been extensively contaminated under Goodrich’s operations. In 1993, Goodrich spun off the Predecessor of PolyOne Corporation ("PolyOne"), and the Predecessor assumed Goodrich’s indemnification obligations relating to preexisting contamination.</w:t>
      </w:r>
    </w:p>
    <w:p>
      <w:pPr>
        <w:pStyle w:val="TextBody"/>
        <w:spacing w:lineRule="auto" w:line="288" w:before="0" w:after="0"/>
        <w:ind w:left="0" w:right="0" w:firstLine="450"/>
        <w:jc w:val="left"/>
        <w:rPr>
          <w:sz w:val="17"/>
        </w:rPr>
      </w:pPr>
      <w:r>
        <w:rPr>
          <w:rFonts w:ascii="inherit" w:hAnsi="inherit"/>
          <w:sz w:val="17"/>
        </w:rPr>
        <w:t>In 2003, litigation arose among the Predecessor, Goodrich and PolyOne with respect to the allocation of the cost of remediating contamination at the site. The parties settled this litigation in December 2007 and PolyOne agreed to assume 100%</w:t>
      </w:r>
      <w:r>
        <w:rPr>
          <w:sz w:val="17"/>
        </w:rPr>
        <w:t xml:space="preserve"> </w:t>
      </w:r>
      <w:r>
        <w:rPr>
          <w:rFonts w:ascii="inherit" w:hAnsi="inherit"/>
          <w:sz w:val="17"/>
        </w:rPr>
        <w:t>of responsibility for site contamination subject to the right to seek reallocation through an arbitration process. By letter dated March 16, 2010, PolyOne notified Westlake that it was initiating an arbitration proceeding under the settlement agreement. This arbitration is currently stayed.</w:t>
      </w:r>
    </w:p>
    <w:p>
      <w:pPr>
        <w:pStyle w:val="TextBody"/>
        <w:spacing w:lineRule="auto" w:line="288" w:before="0" w:after="0"/>
        <w:ind w:left="0" w:right="0" w:firstLine="450"/>
        <w:jc w:val="left"/>
        <w:rPr>
          <w:sz w:val="17"/>
        </w:rPr>
      </w:pPr>
      <w:r>
        <w:rPr>
          <w:rFonts w:ascii="inherit" w:hAnsi="inherit"/>
          <w:i/>
          <w:sz w:val="17"/>
        </w:rPr>
        <w:t>State Administrative Proceedings</w:t>
      </w:r>
      <w:r>
        <w:rPr>
          <w:rFonts w:ascii="inherit" w:hAnsi="inherit"/>
          <w:sz w:val="17"/>
        </w:rPr>
        <w:t>. There are several administrative proceedings in Kentucky pertaining to the Calvert City site involving Goodrich’s Resource Conservation and Recovery Act permit which requires Goodrich to remediate contamination at the site. Site contamination is currently being addressed under the U.S. Comprehensive Environmental Response, Compensation, and Liability Act by the Predecessor, Goodrich and PolyOne pursuant to an Administrative Settlement with the U.S. Environmental Protection Agency which requires the parties to conduct a remedial investigation and feasibility study. As a result, the state proceedings are currently stayed and corrective action under the permit has been suspended.</w:t>
      </w:r>
    </w:p>
    <w:p>
      <w:pPr>
        <w:pStyle w:val="TextBody"/>
        <w:spacing w:lineRule="auto" w:line="288" w:before="0" w:after="0"/>
        <w:ind w:left="0" w:right="0" w:firstLine="450"/>
        <w:jc w:val="left"/>
        <w:rPr>
          <w:sz w:val="17"/>
        </w:rPr>
      </w:pPr>
      <w:r>
        <w:rPr>
          <w:rFonts w:ascii="inherit" w:hAnsi="inherit"/>
          <w:i/>
          <w:sz w:val="17"/>
        </w:rPr>
        <w:t>Monetary Relief</w:t>
      </w:r>
      <w:r>
        <w:rPr>
          <w:rFonts w:ascii="inherit" w:hAnsi="inherit"/>
          <w:sz w:val="17"/>
        </w:rPr>
        <w:t>. Except as noted above with respect to the settlement of the contract litigation among the Predecessor, Goodrich and PolyOne, there has been no determination of responsibility or any allocation of the costs of remediation among the various parties that are involved in the judicial and administrative proceedings discussed above. At this time, the Partnership is not able to estimate the loss or reasonable possible loss, if any, on the Predecessor’s financial statements that could result from the resolution of these proceedings. These matters will have no impact on the Partnership’s financial statements since Westlake has agreed to indemnify OpCo for any liabilities related to pre-existing contamination at the Calvert City plant, and OpCo has agreed to indemnity Westlake for any post-closing contamination caused by its operations of the Calvert City plant.</w:t>
      </w:r>
    </w:p>
    <w:p>
      <w:pPr>
        <w:pStyle w:val="TextBody"/>
        <w:spacing w:lineRule="auto" w:line="288" w:before="0" w:after="0"/>
        <w:ind w:left="0" w:right="0" w:firstLine="450"/>
        <w:jc w:val="left"/>
        <w:rPr>
          <w:rFonts w:ascii="inherit" w:hAnsi="inherit"/>
          <w:sz w:val="17"/>
        </w:rPr>
      </w:pPr>
      <w:r>
        <w:rPr>
          <w:rFonts w:ascii="inherit" w:hAnsi="inherit"/>
          <w:sz w:val="17"/>
        </w:rPr>
        <w:t>In addition to the matters described above, the Partnership is involved in various routine legal proceedings incidental to the conduct of its business. The Partnership does not believe that any of these routine legal proceedings will have a material adverse effect on its financial condition, results of operations or cash flows.</w:t>
      </w:r>
    </w:p>
    <w:p>
      <w:pPr>
        <w:pStyle w:val="TextBody"/>
        <w:spacing w:lineRule="auto" w:line="288" w:before="0" w:after="0"/>
        <w:rPr>
          <w:rFonts w:ascii="inherit" w:hAnsi="inherit"/>
          <w:b/>
          <w:sz w:val="17"/>
        </w:rPr>
      </w:pPr>
      <w:bookmarkStart w:id="32" w:name="s0D27714AC2C6A5F42BB466ECE89F333A"/>
      <w:bookmarkEnd w:id="32"/>
      <w:r>
        <w:rPr>
          <w:rFonts w:ascii="inherit" w:hAnsi="inherit"/>
          <w:b/>
          <w:sz w:val="17"/>
        </w:rPr>
        <w:t>17. Subsequent Events</w:t>
      </w:r>
    </w:p>
    <w:p>
      <w:pPr>
        <w:pStyle w:val="TextBody"/>
        <w:spacing w:lineRule="auto" w:line="288" w:before="0" w:after="0"/>
        <w:jc w:val="left"/>
        <w:rPr>
          <w:rFonts w:ascii="inherit" w:hAnsi="inherit"/>
          <w:b/>
          <w:i/>
          <w:sz w:val="17"/>
        </w:rPr>
      </w:pPr>
      <w:r>
        <w:rPr>
          <w:rFonts w:ascii="inherit" w:hAnsi="inherit"/>
          <w:b/>
          <w:i/>
          <w:sz w:val="17"/>
        </w:rPr>
        <w:t>Distribution</w:t>
      </w:r>
    </w:p>
    <w:p>
      <w:pPr>
        <w:pStyle w:val="TextBody"/>
        <w:spacing w:lineRule="auto" w:line="288" w:before="0" w:after="0"/>
        <w:ind w:left="0" w:right="0" w:firstLine="450"/>
        <w:jc w:val="left"/>
        <w:rPr>
          <w:sz w:val="17"/>
        </w:rPr>
      </w:pPr>
      <w:r>
        <w:rPr>
          <w:rFonts w:ascii="inherit" w:hAnsi="inherit"/>
          <w:sz w:val="17"/>
        </w:rPr>
        <w:t>On October 28, 2014, the board of directors of Westlake Chemical Partners GP LLC, the Partnership's general partner, declared an initial prorated quarterly distribution for the period August 4, 2014 through September 30, 2014 of $0.1704</w:t>
      </w:r>
      <w:r>
        <w:rPr>
          <w:sz w:val="17"/>
        </w:rPr>
        <w:t xml:space="preserve"> </w:t>
      </w:r>
      <w:r>
        <w:rPr>
          <w:rFonts w:ascii="inherit" w:hAnsi="inherit"/>
          <w:sz w:val="17"/>
        </w:rPr>
        <w:t>per unit, or $4,611</w:t>
      </w:r>
      <w:r>
        <w:rPr>
          <w:sz w:val="17"/>
        </w:rPr>
        <w:t xml:space="preserve"> </w:t>
      </w:r>
      <w:r>
        <w:rPr>
          <w:rFonts w:ascii="inherit" w:hAnsi="inherit"/>
          <w:sz w:val="17"/>
        </w:rPr>
        <w:t>in total, that will be paid November 25, 2014 to unitholders of record on November 10, 2014.</w:t>
      </w:r>
    </w:p>
    <w:p>
      <w:pPr>
        <w:pStyle w:val="TextBody"/>
        <w:spacing w:lineRule="auto" w:line="288" w:before="0" w:after="0"/>
        <w:jc w:val="left"/>
        <w:rPr>
          <w:rFonts w:ascii="inherit" w:hAnsi="inherit"/>
          <w:b/>
          <w:i/>
          <w:sz w:val="17"/>
        </w:rPr>
      </w:pPr>
      <w:r>
        <w:rPr>
          <w:rFonts w:ascii="inherit" w:hAnsi="inherit"/>
          <w:b/>
          <w:i/>
          <w:sz w:val="17"/>
        </w:rPr>
        <w:t>General</w:t>
      </w:r>
    </w:p>
    <w:p>
      <w:pPr>
        <w:pStyle w:val="TextBody"/>
        <w:spacing w:lineRule="auto" w:line="288" w:before="0" w:after="0"/>
        <w:ind w:left="0" w:right="0" w:firstLine="450"/>
        <w:rPr>
          <w:rFonts w:ascii="inherit" w:hAnsi="inherit"/>
          <w:sz w:val="17"/>
        </w:rPr>
      </w:pPr>
      <w:r>
        <w:rPr>
          <w:rFonts w:ascii="inherit" w:hAnsi="inherit"/>
          <w:sz w:val="17"/>
        </w:rPr>
        <w:t>Subsequent events were evaluated through the date on which the financial statements were issued.</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18</w:t>
      </w:r>
      <w:r>
        <w:br w:type="page"/>
      </w:r>
    </w:p>
    <w:p>
      <w:pPr>
        <w:pStyle w:val="TextBody"/>
        <w:spacing w:lineRule="auto" w:line="288" w:before="0" w:after="0"/>
        <w:rPr/>
      </w:pPr>
      <w:hyperlink w:anchor="s7D21BC485A80E1C3273666ECEC2365C6">
        <w:bookmarkStart w:id="33" w:name="s9C2546C56352668CD99F66ECE9F30F6A"/>
        <w:bookmarkEnd w:id="33"/>
        <w:r>
          <w:rPr>
            <w:rStyle w:val="InternetLink"/>
            <w:rFonts w:ascii="inherit" w:hAnsi="inherit"/>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 xml:space="preserve">Item 2. Management's Discussion and Analysis of Financial Condition and Results of Operations </w:t>
      </w:r>
    </w:p>
    <w:p>
      <w:pPr>
        <w:pStyle w:val="TextBody"/>
        <w:spacing w:lineRule="auto" w:line="288" w:before="0" w:after="0"/>
        <w:ind w:left="0" w:right="0" w:firstLine="450"/>
        <w:rPr>
          <w:rFonts w:ascii="inherit" w:hAnsi="inherit"/>
          <w:sz w:val="17"/>
        </w:rPr>
      </w:pPr>
      <w:r>
        <w:rPr>
          <w:rFonts w:ascii="inherit" w:hAnsi="inherit"/>
          <w:sz w:val="17"/>
        </w:rPr>
        <w:t>Unless the context otherwise requires, references in this report to the "Predecessor" refer to Westlake Chemical Partners LP Predecessor, our predecessor for accounting purposes, and refer to the time periods prior to the IPO. References in this report to "Westlake Chemical Partners LP," "the Partnership," "we," "our," "us," or like terms used in the present tense or prospectively, refer to Westlake Chemical Partners LP and refer to the periods subsequent to the IPO, except that in certain instances, references to the Partnership for all periods prior to the IPO refer to the Predecessor, as applicable. References to "Westlake" refer to Westlake Chemical Corporation and its consolidated subsidiaries other than the Partnership and OpCo.</w:t>
      </w:r>
    </w:p>
    <w:p>
      <w:pPr>
        <w:pStyle w:val="TextBody"/>
        <w:spacing w:lineRule="auto" w:line="288" w:before="0" w:after="0"/>
        <w:ind w:left="0" w:right="0" w:firstLine="450"/>
        <w:jc w:val="left"/>
        <w:rPr>
          <w:rFonts w:ascii="inherit" w:hAnsi="inherit"/>
          <w:sz w:val="17"/>
        </w:rPr>
      </w:pPr>
      <w:r>
        <w:rPr>
          <w:rFonts w:ascii="inherit" w:hAnsi="inherit"/>
          <w:sz w:val="17"/>
        </w:rPr>
        <w:t xml:space="preserve">This Management’s Discussion and Analysis of Financial Condition and Results of Operations section should be read in conjunction with the accompanying combined and consolidated financial statements and the notes within this Quarterly Report on Form 10-Q and the audited combined carve-out financial statements and notes thereto for the fiscal year ended December 31, 2013 included in the Westlake Chemical Partners LP prospectus related to the initial public offering (the "IPO") dated July 29, 2014 (the "WLKP Prospectus"), as filed with the SEC on July 31, 2014. </w:t>
      </w:r>
    </w:p>
    <w:p>
      <w:pPr>
        <w:pStyle w:val="TextBody"/>
        <w:spacing w:lineRule="auto" w:line="288" w:before="0" w:after="0"/>
        <w:ind w:left="0" w:right="0" w:firstLine="450"/>
        <w:jc w:val="left"/>
        <w:rPr>
          <w:rFonts w:ascii="inherit" w:hAnsi="inherit"/>
          <w:sz w:val="17"/>
        </w:rPr>
      </w:pPr>
      <w:r>
        <w:rPr>
          <w:rFonts w:ascii="inherit" w:hAnsi="inherit"/>
          <w:sz w:val="17"/>
        </w:rPr>
        <w:t>The following discussion contains forward-looking statements. Please read "Forward-Looking Statements" for a discussion of limitations inherent in such statements.</w:t>
      </w:r>
    </w:p>
    <w:p>
      <w:pPr>
        <w:pStyle w:val="TextBody"/>
        <w:spacing w:lineRule="auto" w:line="288" w:before="0" w:after="0"/>
        <w:jc w:val="left"/>
        <w:rPr>
          <w:rFonts w:ascii="inherit" w:hAnsi="inherit"/>
          <w:b/>
          <w:sz w:val="17"/>
        </w:rPr>
      </w:pPr>
      <w:r>
        <w:rPr>
          <w:rFonts w:ascii="inherit" w:hAnsi="inherit"/>
          <w:b/>
          <w:sz w:val="17"/>
        </w:rPr>
        <w:t>The Initial Public Offering</w:t>
      </w:r>
    </w:p>
    <w:p>
      <w:pPr>
        <w:pStyle w:val="TextBody"/>
        <w:spacing w:lineRule="auto" w:line="288" w:before="0" w:after="0"/>
        <w:ind w:left="0" w:right="0" w:firstLine="450"/>
        <w:jc w:val="left"/>
        <w:rPr>
          <w:sz w:val="17"/>
        </w:rPr>
      </w:pPr>
      <w:r>
        <w:rPr>
          <w:rFonts w:ascii="inherit" w:hAnsi="inherit"/>
          <w:sz w:val="17"/>
        </w:rPr>
        <w:t>On August 4, 2014, the Partnership closed its IPO of 12,937,500</w:t>
      </w:r>
      <w:r>
        <w:rPr>
          <w:sz w:val="17"/>
        </w:rPr>
        <w:t xml:space="preserve"> </w:t>
      </w:r>
      <w:r>
        <w:rPr>
          <w:rFonts w:ascii="inherit" w:hAnsi="inherit"/>
          <w:sz w:val="17"/>
        </w:rPr>
        <w:t xml:space="preserve">common units. See Note 2 to the combined and consolidated financial statements within this Quarterly Report on Form 10-Q for a description of the IPO, the assets and liabilities contributed and agreements entered in connection with the closing of the IPO. </w:t>
      </w:r>
    </w:p>
    <w:p>
      <w:pPr>
        <w:pStyle w:val="TextBody"/>
        <w:spacing w:lineRule="auto" w:line="288" w:before="0" w:after="0"/>
        <w:jc w:val="left"/>
        <w:rPr>
          <w:rFonts w:ascii="inherit" w:hAnsi="inherit"/>
          <w:b/>
          <w:sz w:val="17"/>
        </w:rPr>
      </w:pPr>
      <w:r>
        <w:rPr>
          <w:rFonts w:ascii="inherit" w:hAnsi="inherit"/>
          <w:b/>
          <w:sz w:val="17"/>
        </w:rPr>
        <w:t>Partnership Overview</w:t>
      </w:r>
    </w:p>
    <w:p>
      <w:pPr>
        <w:pStyle w:val="TextBody"/>
        <w:spacing w:lineRule="auto" w:line="288" w:before="0" w:after="0"/>
        <w:ind w:left="0" w:right="0" w:firstLine="450"/>
        <w:jc w:val="left"/>
        <w:rPr>
          <w:sz w:val="17"/>
        </w:rPr>
      </w:pPr>
      <w:r>
        <w:rPr>
          <w:rFonts w:ascii="inherit" w:hAnsi="inherit"/>
          <w:sz w:val="17"/>
        </w:rPr>
        <w:t>We are a Delaware limited partnership formed by Westlake to operate, acquire and develop ethylene production facilities and related assets. Subsequent to the closing of the IPO, we own a 10.6% limited partner interest in OpCo, a limited partnership formed by Westlake and us in anticipation of the IPO to own and operate an ethylene production business. We control OpCo through our ownership of its general partner. Westlake retained the remaining 89.4% limited partner interest in OpCo as well as significant interest in us through its ownership of our general partner as well as 52.2% of our limited partner units (consisting of 1,436,115</w:t>
      </w:r>
      <w:r>
        <w:rPr>
          <w:sz w:val="17"/>
        </w:rPr>
        <w:t xml:space="preserve"> </w:t>
      </w:r>
      <w:r>
        <w:rPr>
          <w:rFonts w:ascii="inherit" w:hAnsi="inherit"/>
          <w:sz w:val="17"/>
        </w:rPr>
        <w:t>common units and all of the subordinated units) and our incentive distribution rights. The initial assets contributed by Westlake to OpCo consist of three ethylene production facilities with an aggregate annual combined production capacity of approximately 3.4 billion pounds of ethylene and a 200-mile common carrier ethylene pipeline.</w:t>
      </w:r>
    </w:p>
    <w:p>
      <w:pPr>
        <w:pStyle w:val="TextBody"/>
        <w:spacing w:lineRule="auto" w:line="288" w:before="0" w:after="0"/>
        <w:jc w:val="left"/>
        <w:rPr>
          <w:rFonts w:ascii="inherit" w:hAnsi="inherit"/>
          <w:b/>
          <w:sz w:val="17"/>
        </w:rPr>
      </w:pPr>
      <w:r>
        <w:rPr>
          <w:rFonts w:ascii="inherit" w:hAnsi="inherit"/>
          <w:b/>
          <w:sz w:val="17"/>
        </w:rPr>
        <w:t>How We Generate Revenue</w:t>
      </w:r>
    </w:p>
    <w:p>
      <w:pPr>
        <w:pStyle w:val="TextBody"/>
        <w:spacing w:lineRule="auto" w:line="288" w:before="0" w:after="0"/>
        <w:ind w:left="0" w:right="0" w:firstLine="450"/>
        <w:jc w:val="left"/>
        <w:rPr>
          <w:rFonts w:ascii="inherit" w:hAnsi="inherit"/>
          <w:sz w:val="17"/>
        </w:rPr>
      </w:pPr>
      <w:r>
        <w:rPr>
          <w:rFonts w:ascii="inherit" w:hAnsi="inherit"/>
          <w:sz w:val="17"/>
        </w:rPr>
        <w:t>We generate revenue primarily by selling ethylene and the resulting co-products we produce. At the closing of the IPO, OpCo and Westlake entered into an ethylene sales agreement (the "Ethylene Sales Agreement") pursuant to which we generate a substantial majority of our revenue. We believe this agreement, which is a long-term, fee-based agreement with a minimum purchase commitment, and variable pricing equal to OpCo’s actual feedstock and natural gas costs and estimated other costs of producing ethylene, plus a fixed margin per pound of $0.10 less revenue from co-product sales, will promote stable and predictable cash flows. We expect Westlake will take volumes in excess of the minimum commitment under the Ethylene Sales Agreement if we produce more than our planned production.</w:t>
      </w:r>
    </w:p>
    <w:p>
      <w:pPr>
        <w:pStyle w:val="TextBody"/>
        <w:spacing w:lineRule="auto" w:line="288" w:before="0" w:after="0"/>
        <w:ind w:left="0" w:right="0" w:firstLine="450"/>
        <w:jc w:val="left"/>
        <w:rPr>
          <w:rFonts w:ascii="inherit" w:hAnsi="inherit"/>
          <w:sz w:val="17"/>
        </w:rPr>
      </w:pPr>
      <w:r>
        <w:rPr>
          <w:rFonts w:ascii="inherit" w:hAnsi="inherit"/>
          <w:sz w:val="17"/>
        </w:rPr>
        <w:t>We sell ethylene production in excess of volumes sold to Westlake, as well as associated co-products resulting from the ethylene production, directly to third parties on either a spot or contract basis. Net proceeds (after transportation and other costs) from the sales of associated co-products that result from the production of ethylene purchased by Westlake are netted against the ethylene price charged to Westlake under the Ethylene Sales Agreement thereby substantially reducing our exposure to fluctuations in the market prices of these co-products. Historically, third-party ethylene and associated co-product sales have generated greater than 25% of our total revenues.</w:t>
      </w:r>
    </w:p>
    <w:p>
      <w:pPr>
        <w:pStyle w:val="TextBody"/>
        <w:spacing w:lineRule="auto" w:line="288" w:before="0" w:after="0"/>
        <w:ind w:left="0" w:right="0" w:firstLine="450"/>
        <w:jc w:val="left"/>
        <w:rPr>
          <w:rFonts w:ascii="inherit" w:hAnsi="inherit"/>
          <w:sz w:val="17"/>
        </w:rPr>
      </w:pPr>
      <w:r>
        <w:rPr>
          <w:rFonts w:ascii="inherit" w:hAnsi="inherit"/>
          <w:sz w:val="17"/>
        </w:rPr>
        <w:t>Please refer to Note 2 to the combined and consolidated financial statements within this Quarterly Report on Form 10-Q for details of the Ethylene Sales Agreement.</w:t>
      </w:r>
    </w:p>
    <w:p>
      <w:pPr>
        <w:pStyle w:val="TextBody"/>
        <w:spacing w:lineRule="auto" w:line="288" w:before="0" w:after="0"/>
        <w:jc w:val="left"/>
        <w:rPr>
          <w:rFonts w:ascii="inherit" w:hAnsi="inherit"/>
          <w:b/>
          <w:sz w:val="17"/>
        </w:rPr>
      </w:pPr>
      <w:r>
        <w:rPr>
          <w:rFonts w:ascii="inherit" w:hAnsi="inherit"/>
          <w:b/>
          <w:sz w:val="17"/>
        </w:rPr>
        <w:t>How We Source Feedstock</w:t>
      </w:r>
    </w:p>
    <w:p>
      <w:pPr>
        <w:pStyle w:val="TextBody"/>
        <w:spacing w:lineRule="auto" w:line="288" w:before="0" w:after="0"/>
        <w:ind w:left="0" w:right="0" w:firstLine="450"/>
        <w:jc w:val="left"/>
        <w:rPr>
          <w:rFonts w:ascii="inherit" w:hAnsi="inherit"/>
          <w:sz w:val="17"/>
        </w:rPr>
      </w:pPr>
      <w:r>
        <w:rPr>
          <w:rFonts w:ascii="inherit" w:hAnsi="inherit"/>
          <w:sz w:val="17"/>
        </w:rPr>
        <w:t>At the closing of the IPO, OpCo entered into a 12-year feedstock supply agreement (the "Feedstock Supply Agreement") with Westlake Petrochemicals LLC, a wholly owned subsidiary of Westlake, under which Westlake Petrochemicals LLC supplies OpCo with ethane and other feedstocks that OpCo uses to produce ethylene under the Ethylene Sales Agreement. We expect that OpCo will also purchase the ethane and other feedstocks to produce ethylene and resulting co-products to sell to unrelated third parties from Westlake Petrochemicals LLC.</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19</w:t>
      </w:r>
      <w:r>
        <w:br w:type="page"/>
      </w:r>
    </w:p>
    <w:p>
      <w:pPr>
        <w:pStyle w:val="TextBody"/>
        <w:spacing w:lineRule="auto" w:line="288" w:before="0" w:after="0"/>
        <w:rPr/>
      </w:pPr>
      <w:hyperlink w:anchor="s7D21BC485A80E1C3273666ECEC2365C6">
        <w:bookmarkStart w:id="34" w:name="s9C2546C56352668CD99F66ECE9F30F6A1"/>
        <w:bookmarkEnd w:id="34"/>
        <w:r>
          <w:rPr>
            <w:rStyle w:val="InternetLink"/>
            <w:rFonts w:ascii="inherit" w:hAnsi="inherit"/>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450"/>
        <w:jc w:val="left"/>
        <w:rPr>
          <w:rFonts w:ascii="inherit" w:hAnsi="inherit"/>
          <w:sz w:val="17"/>
        </w:rPr>
      </w:pPr>
      <w:r>
        <w:rPr>
          <w:rFonts w:ascii="inherit" w:hAnsi="inherit"/>
          <w:sz w:val="17"/>
        </w:rPr>
        <w:t>Please refer to Note 2 to the combined and consolidated financial statements within this Quarterly Report on Form 10-Q for details of the Feedstock Supply Agreement.</w:t>
      </w:r>
    </w:p>
    <w:p>
      <w:pPr>
        <w:pStyle w:val="TextBody"/>
        <w:spacing w:lineRule="auto" w:line="288" w:before="0" w:after="0"/>
        <w:jc w:val="left"/>
        <w:rPr>
          <w:rFonts w:ascii="inherit" w:hAnsi="inherit"/>
          <w:b/>
          <w:sz w:val="17"/>
        </w:rPr>
      </w:pPr>
      <w:r>
        <w:rPr>
          <w:rFonts w:ascii="inherit" w:hAnsi="inherit"/>
          <w:b/>
          <w:sz w:val="17"/>
        </w:rPr>
        <w:t>How We Evaluate Operations</w:t>
      </w:r>
    </w:p>
    <w:p>
      <w:pPr>
        <w:pStyle w:val="TextBody"/>
        <w:spacing w:lineRule="auto" w:line="288" w:before="0" w:after="0"/>
        <w:ind w:left="0" w:right="0" w:firstLine="450"/>
        <w:jc w:val="left"/>
        <w:rPr>
          <w:rFonts w:ascii="inherit" w:hAnsi="inherit"/>
          <w:sz w:val="17"/>
        </w:rPr>
      </w:pPr>
      <w:r>
        <w:rPr>
          <w:rFonts w:ascii="inherit" w:hAnsi="inherit"/>
          <w:sz w:val="17"/>
        </w:rPr>
        <w:t>Our management uses a variety of financial and operating metrics to analyze our performance. These metrics are significant factors in assessing our operating results and profitability and include: (i) production volumes, (ii) operating and maintenance expenses, including turnaround costs, and (iii) distributable cash flow.</w:t>
      </w:r>
    </w:p>
    <w:p>
      <w:pPr>
        <w:pStyle w:val="TextBody"/>
        <w:spacing w:lineRule="auto" w:line="288" w:before="0" w:after="0"/>
        <w:jc w:val="left"/>
        <w:rPr>
          <w:rFonts w:ascii="inherit" w:hAnsi="inherit"/>
          <w:b/>
          <w:i/>
          <w:sz w:val="17"/>
        </w:rPr>
      </w:pPr>
      <w:r>
        <w:rPr>
          <w:rFonts w:ascii="inherit" w:hAnsi="inherit"/>
          <w:b/>
          <w:i/>
          <w:sz w:val="17"/>
        </w:rPr>
        <w:t>Production Volumes</w:t>
      </w:r>
    </w:p>
    <w:p>
      <w:pPr>
        <w:pStyle w:val="TextBody"/>
        <w:spacing w:lineRule="auto" w:line="288" w:before="0" w:after="0"/>
        <w:ind w:left="0" w:right="0" w:firstLine="450"/>
        <w:jc w:val="left"/>
        <w:rPr>
          <w:rFonts w:ascii="inherit" w:hAnsi="inherit"/>
          <w:sz w:val="17"/>
        </w:rPr>
      </w:pPr>
      <w:r>
        <w:rPr>
          <w:rFonts w:ascii="inherit" w:hAnsi="inherit"/>
          <w:sz w:val="17"/>
        </w:rPr>
        <w:t>The amount of profit we generate primarily depends on the volumes of ethylene and resulting co-products we are able to produce at Calvert City Olefins and Lake Charles Olefins. Although Westlake has committed to purchasing minimum volumes from us under the Ethylene Sales Agreement described above, our results of operations are impacted by our ability to:</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produce sufficient volumes of ethylene to meet our commitments under the Ethylene Sales Agreement or recover our estimated costs through the pricing provisions of the Ethylene Sales Agreement;</w:t>
            </w:r>
          </w:p>
        </w:tc>
      </w:tr>
    </w:tbl>
    <w:tbl>
      <w:tblPr>
        <w:tblW w:w="7855" w:type="dxa"/>
        <w:jc w:val="left"/>
        <w:tblInd w:w="0" w:type="dxa"/>
        <w:tblCellMar>
          <w:top w:w="0" w:type="dxa"/>
          <w:left w:w="0" w:type="dxa"/>
          <w:bottom w:w="0" w:type="dxa"/>
          <w:right w:w="0" w:type="dxa"/>
        </w:tblCellMar>
      </w:tblPr>
      <w:tblGrid>
        <w:gridCol w:w="485"/>
        <w:gridCol w:w="7370"/>
      </w:tblGrid>
      <w:tr>
        <w:trPr/>
        <w:tc>
          <w:tcPr>
            <w:tcW w:w="485" w:type="dxa"/>
            <w:tcBorders/>
            <w:shd w:fill="auto" w:val="clear"/>
            <w:vAlign w:val="center"/>
          </w:tcPr>
          <w:p>
            <w:pPr>
              <w:pStyle w:val="TableContents"/>
              <w:spacing w:before="0" w:after="283"/>
              <w:rPr>
                <w:sz w:val="4"/>
                <w:szCs w:val="4"/>
              </w:rPr>
            </w:pPr>
            <w:r>
              <w:rPr>
                <w:sz w:val="4"/>
                <w:szCs w:val="4"/>
              </w:rPr>
            </w:r>
          </w:p>
        </w:tc>
        <w:tc>
          <w:tcPr>
            <w:tcW w:w="737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737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contract with third parties for the remaining uncommitted ethylene production capacity;</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add or increase capacity at our existing ethylene production facilities, or add additional production capacity via organic expansion projects and acquisitions; and</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achieve or exceed the specified yield factors for natural gas, ethane and other feedstock under the Ethylene Sales Agreement.</w:t>
            </w:r>
          </w:p>
        </w:tc>
      </w:tr>
    </w:tbl>
    <w:p>
      <w:pPr>
        <w:pStyle w:val="TextBody"/>
        <w:spacing w:lineRule="auto" w:line="288" w:before="0" w:after="0"/>
        <w:jc w:val="left"/>
        <w:rPr>
          <w:rFonts w:ascii="inherit" w:hAnsi="inherit"/>
          <w:b/>
          <w:i/>
          <w:sz w:val="17"/>
        </w:rPr>
      </w:pPr>
      <w:r>
        <w:rPr>
          <w:rFonts w:ascii="inherit" w:hAnsi="inherit"/>
          <w:b/>
          <w:i/>
          <w:sz w:val="17"/>
        </w:rPr>
        <w:t>Operating Expenses and Maintenance Capital Expenditures</w:t>
      </w:r>
    </w:p>
    <w:p>
      <w:pPr>
        <w:pStyle w:val="TextBody"/>
        <w:spacing w:lineRule="auto" w:line="288" w:before="0" w:after="0"/>
        <w:ind w:left="0" w:right="0" w:firstLine="450"/>
        <w:jc w:val="left"/>
        <w:rPr>
          <w:rFonts w:ascii="inherit" w:hAnsi="inherit"/>
          <w:sz w:val="17"/>
        </w:rPr>
      </w:pPr>
      <w:r>
        <w:rPr>
          <w:rFonts w:ascii="inherit" w:hAnsi="inherit"/>
          <w:sz w:val="17"/>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repair and maintenance expenses. With the exception of feedstock and utilities 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unit.</w:t>
      </w:r>
    </w:p>
    <w:p>
      <w:pPr>
        <w:pStyle w:val="TextBody"/>
        <w:spacing w:lineRule="auto" w:line="288" w:before="0" w:after="0"/>
        <w:ind w:left="0" w:right="0" w:firstLine="450"/>
        <w:jc w:val="left"/>
        <w:rPr>
          <w:rFonts w:ascii="inherit" w:hAnsi="inherit"/>
          <w:sz w:val="17"/>
        </w:rPr>
      </w:pPr>
      <w:r>
        <w:rPr>
          <w:rFonts w:ascii="inherit" w:hAnsi="inherit"/>
          <w:sz w:val="17"/>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costs, directly affects our profitability and cash flows. We seek to manage our operating and maintenance expenses on our ethylene production facilities by scheduling maintenance and turnaround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w:t>
      </w:r>
    </w:p>
    <w:p>
      <w:pPr>
        <w:pStyle w:val="TextBody"/>
        <w:spacing w:lineRule="auto" w:line="288" w:before="0" w:after="0"/>
        <w:jc w:val="left"/>
        <w:rPr>
          <w:rFonts w:ascii="inherit" w:hAnsi="inherit"/>
          <w:b/>
          <w:i/>
          <w:sz w:val="17"/>
        </w:rPr>
      </w:pPr>
      <w:r>
        <w:rPr>
          <w:rFonts w:ascii="inherit" w:hAnsi="inherit"/>
          <w:b/>
          <w:i/>
          <w:sz w:val="17"/>
        </w:rPr>
        <w:t>Distributable Cash Flow</w:t>
      </w:r>
    </w:p>
    <w:p>
      <w:pPr>
        <w:pStyle w:val="TextBody"/>
        <w:spacing w:lineRule="auto" w:line="288" w:before="0" w:after="0"/>
        <w:ind w:left="0" w:right="0" w:firstLine="450"/>
        <w:jc w:val="left"/>
        <w:rPr>
          <w:rFonts w:ascii="inherit" w:hAnsi="inherit"/>
          <w:sz w:val="17"/>
        </w:rPr>
      </w:pPr>
      <w:r>
        <w:rPr>
          <w:rFonts w:ascii="inherit" w:hAnsi="inherit"/>
          <w:sz w:val="17"/>
        </w:rPr>
        <w:t>After the closing of the IPO, we use distributable cash flow to analyze our performance. We define distributable cash flows as net income plus depreciation and amortization, less contributions for turnaround reserves and maintenance capital expenditures. Distributable cash flow does not reflect changes in working capital balances. Distributable cash flow is a non-GAAP supplemental financial measure that management and external users of our consolidated financial statements, such as industry analysts, investors, lenders and rating agencies, may use to assess:</w:t>
      </w:r>
    </w:p>
    <w:tbl>
      <w:tblPr>
        <w:tblW w:w="7105" w:type="dxa"/>
        <w:jc w:val="left"/>
        <w:tblInd w:w="0" w:type="dxa"/>
        <w:tblCellMar>
          <w:top w:w="0" w:type="dxa"/>
          <w:left w:w="0" w:type="dxa"/>
          <w:bottom w:w="0" w:type="dxa"/>
          <w:right w:w="0" w:type="dxa"/>
        </w:tblCellMar>
      </w:tblPr>
      <w:tblGrid>
        <w:gridCol w:w="485"/>
        <w:gridCol w:w="6620"/>
      </w:tblGrid>
      <w:tr>
        <w:trPr/>
        <w:tc>
          <w:tcPr>
            <w:tcW w:w="485" w:type="dxa"/>
            <w:tcBorders/>
            <w:shd w:fill="auto" w:val="clear"/>
            <w:vAlign w:val="center"/>
          </w:tcPr>
          <w:p>
            <w:pPr>
              <w:pStyle w:val="TableContents"/>
              <w:spacing w:before="0" w:after="283"/>
              <w:rPr>
                <w:sz w:val="4"/>
                <w:szCs w:val="4"/>
              </w:rPr>
            </w:pPr>
            <w:r>
              <w:rPr>
                <w:sz w:val="4"/>
                <w:szCs w:val="4"/>
              </w:rPr>
            </w:r>
          </w:p>
        </w:tc>
        <w:tc>
          <w:tcPr>
            <w:tcW w:w="66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66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our operating performance as compared to other publicly traded partnerships;</w:t>
            </w:r>
          </w:p>
        </w:tc>
      </w:tr>
    </w:tbl>
    <w:tbl>
      <w:tblPr>
        <w:tblW w:w="6070" w:type="dxa"/>
        <w:jc w:val="left"/>
        <w:tblInd w:w="0" w:type="dxa"/>
        <w:tblCellMar>
          <w:top w:w="0" w:type="dxa"/>
          <w:left w:w="0" w:type="dxa"/>
          <w:bottom w:w="0" w:type="dxa"/>
          <w:right w:w="0" w:type="dxa"/>
        </w:tblCellMar>
      </w:tblPr>
      <w:tblGrid>
        <w:gridCol w:w="485"/>
        <w:gridCol w:w="5585"/>
      </w:tblGrid>
      <w:tr>
        <w:trPr/>
        <w:tc>
          <w:tcPr>
            <w:tcW w:w="485" w:type="dxa"/>
            <w:tcBorders/>
            <w:shd w:fill="auto" w:val="clear"/>
            <w:vAlign w:val="center"/>
          </w:tcPr>
          <w:p>
            <w:pPr>
              <w:pStyle w:val="TableContents"/>
              <w:spacing w:before="0" w:after="283"/>
              <w:rPr>
                <w:sz w:val="4"/>
                <w:szCs w:val="4"/>
              </w:rPr>
            </w:pPr>
            <w:r>
              <w:rPr>
                <w:sz w:val="4"/>
                <w:szCs w:val="4"/>
              </w:rPr>
            </w:r>
          </w:p>
        </w:tc>
        <w:tc>
          <w:tcPr>
            <w:tcW w:w="558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558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our ability to incur and service debt and fund capital expenditures;</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viability of acquisitions and other capital expenditure projects and the returns on investment of various investment opportunities.</w:t>
            </w:r>
          </w:p>
        </w:tc>
      </w:tr>
    </w:tbl>
    <w:p>
      <w:pPr>
        <w:pStyle w:val="TextBody"/>
        <w:spacing w:lineRule="auto" w:line="288" w:before="0" w:after="0"/>
        <w:ind w:left="0" w:right="0" w:firstLine="450"/>
        <w:jc w:val="left"/>
        <w:rPr>
          <w:rFonts w:ascii="inherit" w:hAnsi="inherit"/>
          <w:sz w:val="17"/>
        </w:rPr>
      </w:pPr>
      <w:r>
        <w:rPr>
          <w:rFonts w:ascii="inherit" w:hAnsi="inherit"/>
          <w:sz w:val="17"/>
        </w:rPr>
        <w:t xml:space="preserve">We believe that the presentation of distributable cash flow provides useful information to investors in assessing our financial condition and results of operations. The GAAP measures most directly comparable to distributable cash flow are net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20</w:t>
      </w:r>
      <w:r>
        <w:br w:type="page"/>
      </w:r>
    </w:p>
    <w:p>
      <w:pPr>
        <w:pStyle w:val="TextBody"/>
        <w:spacing w:lineRule="auto" w:line="288" w:before="0" w:after="0"/>
        <w:rPr/>
      </w:pPr>
      <w:hyperlink w:anchor="s7D21BC485A80E1C3273666ECEC2365C6">
        <w:bookmarkStart w:id="35" w:name="s9C2546C56352668CD99F66ECE9F30F6A2"/>
        <w:bookmarkEnd w:id="35"/>
        <w:r>
          <w:rPr>
            <w:rStyle w:val="InternetLink"/>
            <w:rFonts w:ascii="inherit" w:hAnsi="inherit"/>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income and net cash provided by operating activities. Distributable cash flow should not be considered as an alternative to GAAP net income or net cash provided by operating activities. Distributable cash flow has important limitations as an analytical tool because it excludes some but not all items that affect net income and net cash provided by operating activities. Distributable cash flow should not be considered in isolation or as a substitute for analysis of our results as reported under GAAP.</w:t>
      </w:r>
    </w:p>
    <w:p>
      <w:pPr>
        <w:pStyle w:val="TextBody"/>
        <w:spacing w:lineRule="auto" w:line="288" w:before="0" w:after="0"/>
        <w:jc w:val="left"/>
        <w:rPr>
          <w:rFonts w:ascii="inherit" w:hAnsi="inherit"/>
          <w:b/>
          <w:sz w:val="17"/>
        </w:rPr>
      </w:pPr>
      <w:r>
        <w:rPr>
          <w:rFonts w:ascii="inherit" w:hAnsi="inherit"/>
          <w:b/>
          <w:sz w:val="17"/>
        </w:rPr>
        <w:t>Factors Affecting the Comparability of Our Financial Results</w:t>
      </w:r>
    </w:p>
    <w:p>
      <w:pPr>
        <w:pStyle w:val="TextBody"/>
        <w:spacing w:lineRule="auto" w:line="288" w:before="0" w:after="0"/>
        <w:ind w:left="0" w:right="0" w:firstLine="450"/>
        <w:jc w:val="left"/>
        <w:rPr>
          <w:rFonts w:ascii="inherit" w:hAnsi="inherit"/>
          <w:sz w:val="17"/>
        </w:rPr>
      </w:pPr>
      <w:r>
        <w:rPr>
          <w:rFonts w:ascii="inherit" w:hAnsi="inherit"/>
          <w:sz w:val="17"/>
        </w:rPr>
        <w:t>Our results of operations subsequent to the IPO are not comparable to the Predecessor’s historical results of operations for the reasons described below:</w:t>
      </w:r>
    </w:p>
    <w:p>
      <w:pPr>
        <w:pStyle w:val="TextBody"/>
        <w:spacing w:lineRule="auto" w:line="288" w:before="0" w:after="0"/>
        <w:jc w:val="left"/>
        <w:rPr>
          <w:rFonts w:ascii="inherit" w:hAnsi="inherit"/>
          <w:b/>
          <w:i/>
          <w:sz w:val="17"/>
        </w:rPr>
      </w:pPr>
      <w:r>
        <w:rPr>
          <w:rFonts w:ascii="inherit" w:hAnsi="inherit"/>
          <w:b/>
          <w:i/>
          <w:sz w:val="17"/>
        </w:rPr>
        <w:t>Revenue</w:t>
      </w:r>
    </w:p>
    <w:p>
      <w:pPr>
        <w:pStyle w:val="TextBody"/>
        <w:spacing w:lineRule="auto" w:line="288" w:before="0" w:after="0"/>
        <w:jc w:val="left"/>
        <w:rPr>
          <w:rFonts w:ascii="inherit" w:hAnsi="inherit"/>
          <w:i/>
          <w:sz w:val="17"/>
        </w:rPr>
      </w:pPr>
      <w:r>
        <w:rPr>
          <w:rFonts w:ascii="inherit" w:hAnsi="inherit"/>
          <w:i/>
          <w:sz w:val="17"/>
        </w:rPr>
        <w:t>Ethylene, Co-products and Excess Feedstock Sales</w:t>
      </w:r>
    </w:p>
    <w:p>
      <w:pPr>
        <w:pStyle w:val="TextBody"/>
        <w:spacing w:lineRule="auto" w:line="288" w:before="0" w:after="0"/>
        <w:ind w:left="0" w:right="0" w:firstLine="450"/>
        <w:jc w:val="left"/>
        <w:rPr>
          <w:rFonts w:ascii="inherit" w:hAnsi="inherit"/>
          <w:sz w:val="17"/>
        </w:rPr>
      </w:pPr>
      <w:r>
        <w:rPr>
          <w:rFonts w:ascii="inherit" w:hAnsi="inherit"/>
          <w:sz w:val="17"/>
        </w:rPr>
        <w:t>There are differences in the way the Predecessor generated and recorded revenue and the way we generate and record revenue from ethylene sales to Westlake. The Predecessor generally recognized revenue for ethylene sold internally based on a transfer pricing formula intended to approximate the fair market value of the commodity. Subsequent to the IPO, a substantial majority of our revenue from ethylene sales is generated from sales of manufactured ethylene to Westlake under the Ethylene Sales Agreement. The Ethylene Sales Agreement contains minimum purchase commitments and pricing that is expected to generate a fixed margin of $0.10 per pound. The price per pound of ethylene sold under the Ethylene Sales Agreement is lower than historical prices charged by the Predecessor for ethylene sold internally. As such, we expect a significant decrease in revenue from ethylene sales to Westlake for periods after the IPO compared with the Predecessor’s historical revenue.</w:t>
      </w:r>
    </w:p>
    <w:p>
      <w:pPr>
        <w:pStyle w:val="TextBody"/>
        <w:spacing w:lineRule="auto" w:line="288" w:before="0" w:after="0"/>
        <w:ind w:left="0" w:right="0" w:firstLine="450"/>
        <w:jc w:val="left"/>
        <w:rPr>
          <w:rFonts w:ascii="inherit" w:hAnsi="inherit"/>
          <w:sz w:val="17"/>
        </w:rPr>
      </w:pPr>
      <w:r>
        <w:rPr>
          <w:rFonts w:ascii="inherit" w:hAnsi="inherit"/>
          <w:sz w:val="17"/>
        </w:rPr>
        <w:t xml:space="preserve">The Predecessor’s third-party sales consisted of ethylene, feedstock and associated co-product sales. With respect to third-party ethylene sales, the Predecessor also resold externally procured ethylene to third parties. Subsequent to the IPO, the ethylene procurement and reselling activities of the Predecessor remained with Westlake. In addition, the Predecessor’s net sales included revenue from sales to third parties of excess feedstock not used in the ethylene production process. Following the closing of the IPO, we do not generate revenues from the sale of excess feedstock to third parties as all of the Predecessor’s feedstock risk-management activities remained with Westlake. However, we sell all of our co-product volume to third parties in a manner consistent with the Predecessor. As such, there are no significant changes to revenue related to the sale of co-products, as compared to the Predecessor’s historical revenue from co-product sales. </w:t>
      </w:r>
    </w:p>
    <w:p>
      <w:pPr>
        <w:pStyle w:val="TextBody"/>
        <w:spacing w:lineRule="auto" w:line="288" w:before="0" w:after="0"/>
        <w:jc w:val="left"/>
        <w:rPr>
          <w:rFonts w:ascii="inherit" w:hAnsi="inherit"/>
          <w:b/>
          <w:i/>
          <w:sz w:val="17"/>
        </w:rPr>
      </w:pPr>
      <w:r>
        <w:rPr>
          <w:rFonts w:ascii="inherit" w:hAnsi="inherit"/>
          <w:b/>
          <w:i/>
          <w:sz w:val="17"/>
        </w:rPr>
        <w:t>Expenses</w:t>
      </w:r>
    </w:p>
    <w:p>
      <w:pPr>
        <w:pStyle w:val="TextBody"/>
        <w:spacing w:lineRule="auto" w:line="288" w:before="0" w:after="0"/>
        <w:jc w:val="left"/>
        <w:rPr>
          <w:rFonts w:ascii="inherit" w:hAnsi="inherit"/>
          <w:i/>
          <w:sz w:val="17"/>
        </w:rPr>
      </w:pPr>
      <w:r>
        <w:rPr>
          <w:rFonts w:ascii="inherit" w:hAnsi="inherit"/>
          <w:i/>
          <w:sz w:val="17"/>
        </w:rPr>
        <w:t>Selling, General and Administrative Expenses</w:t>
      </w:r>
    </w:p>
    <w:p>
      <w:pPr>
        <w:pStyle w:val="TextBody"/>
        <w:spacing w:lineRule="auto" w:line="288" w:before="0" w:after="0"/>
        <w:ind w:left="0" w:right="0" w:firstLine="450"/>
        <w:jc w:val="left"/>
        <w:rPr>
          <w:rFonts w:ascii="inherit" w:hAnsi="inherit"/>
          <w:sz w:val="17"/>
        </w:rPr>
      </w:pPr>
      <w:r>
        <w:rPr>
          <w:rFonts w:ascii="inherit" w:hAnsi="inherit"/>
          <w:sz w:val="17"/>
        </w:rPr>
        <w:t>The Predecessor’s selling, general and administrative expenses included direct and indirect charges for the management and operation of our ethylene and other transportation assets allocated by Westlake for general corporate services such as treasury, information technology, legal, corporate tax, human resources, executive compensation, other financial and administrative services, among others. These expenses were charged or allocated to the Predecessor based on the nature of the expense and the Predecessor’s proportionate share of fixed assets, headcount or other measure, as deemed appropriate. Following the closing of the IPO, under the services and secondment agreement and omnibus agreement, Westlake continues to charge us a combination of direct and allocated charges for similar general corporate services as those charged to the Predecessor historically. We also expect to incur approximately $3.0 million of incremental annual general and administrative expenses as a result of being a separate publicly traded partnership. These incremental general and administrative expenses were not reflected in the Predecessor’s combined financial statements.</w:t>
      </w:r>
    </w:p>
    <w:p>
      <w:pPr>
        <w:pStyle w:val="TextBody"/>
        <w:spacing w:lineRule="auto" w:line="288" w:before="0" w:after="0"/>
        <w:jc w:val="left"/>
        <w:rPr>
          <w:rFonts w:ascii="inherit" w:hAnsi="inherit"/>
          <w:b/>
          <w:i/>
          <w:sz w:val="17"/>
        </w:rPr>
      </w:pPr>
      <w:r>
        <w:rPr>
          <w:rFonts w:ascii="inherit" w:hAnsi="inherit"/>
          <w:b/>
          <w:i/>
          <w:sz w:val="17"/>
        </w:rPr>
        <w:t>Income Taxes</w:t>
      </w:r>
    </w:p>
    <w:p>
      <w:pPr>
        <w:pStyle w:val="TextBody"/>
        <w:spacing w:lineRule="auto" w:line="288" w:before="0" w:after="0"/>
        <w:ind w:left="0" w:right="0" w:firstLine="450"/>
        <w:jc w:val="left"/>
        <w:rPr>
          <w:rFonts w:ascii="inherit" w:hAnsi="inherit"/>
          <w:sz w:val="17"/>
        </w:rPr>
      </w:pPr>
      <w:r>
        <w:rPr>
          <w:rFonts w:ascii="inherit" w:hAnsi="inherit"/>
          <w:sz w:val="17"/>
        </w:rPr>
        <w:t>The Partnership is a limited partnership and is treated as a partnership for U.S. federal income tax purposes and, therefore, is not liable for entity-level federal income taxes. The Partnership is subject to state and local income taxes. The Predecessor’s tax provision was determined on a separate return basis. Accordingly, we expect our tax provision to be significantly reduced subsequent to the IPO as compared to that of the Predecessor.</w:t>
      </w:r>
    </w:p>
    <w:p>
      <w:pPr>
        <w:pStyle w:val="TextBody"/>
        <w:spacing w:lineRule="auto" w:line="288" w:before="0" w:after="0"/>
        <w:jc w:val="left"/>
        <w:rPr>
          <w:rFonts w:ascii="inherit" w:hAnsi="inherit"/>
          <w:b/>
          <w:i/>
          <w:sz w:val="17"/>
        </w:rPr>
      </w:pPr>
      <w:r>
        <w:rPr>
          <w:rFonts w:ascii="inherit" w:hAnsi="inherit"/>
          <w:b/>
          <w:i/>
          <w:sz w:val="17"/>
        </w:rPr>
        <w:t>Noncontrolling Interest</w:t>
      </w:r>
    </w:p>
    <w:p>
      <w:pPr>
        <w:pStyle w:val="TextBody"/>
        <w:spacing w:lineRule="auto" w:line="288" w:before="0" w:after="0"/>
        <w:ind w:left="0" w:right="0" w:firstLine="450"/>
        <w:jc w:val="left"/>
        <w:rPr>
          <w:rFonts w:ascii="inherit" w:hAnsi="inherit"/>
          <w:sz w:val="17"/>
        </w:rPr>
      </w:pPr>
      <w:r>
        <w:rPr>
          <w:rFonts w:ascii="inherit" w:hAnsi="inherit"/>
          <w:sz w:val="17"/>
        </w:rPr>
        <w:t xml:space="preserve">At the closing of the IPO, Westlake contributed a 5.8% limited partner interest and the general partner interest in OpCo to us. Immediately following the IPO, we used the IPO net proceeds to acquire an additional 4.8% limited partner interest in OpCo directly from OpCo. Westlake retained the remaining 89.4% limited partner interest in OpCo. As a result, Westlake's retained interest is recorded as noncontrolling interest in our consolidated financial statements.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21</w:t>
      </w:r>
      <w:r>
        <w:br w:type="page"/>
      </w:r>
    </w:p>
    <w:p>
      <w:pPr>
        <w:pStyle w:val="TextBody"/>
        <w:spacing w:lineRule="auto" w:line="288" w:before="0" w:after="0"/>
        <w:rPr/>
      </w:pPr>
      <w:hyperlink w:anchor="s7D21BC485A80E1C3273666ECEC2365C6">
        <w:bookmarkStart w:id="36" w:name="s9C2546C56352668CD99F66ECE9F30F6A3"/>
        <w:bookmarkEnd w:id="36"/>
        <w:r>
          <w:rPr>
            <w:rStyle w:val="InternetLink"/>
            <w:rFonts w:ascii="inherit" w:hAnsi="inherit"/>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Factors Affecting Our Business</w:t>
      </w:r>
    </w:p>
    <w:p>
      <w:pPr>
        <w:pStyle w:val="TextBody"/>
        <w:spacing w:lineRule="auto" w:line="288" w:before="0" w:after="0"/>
        <w:jc w:val="left"/>
        <w:rPr>
          <w:rFonts w:ascii="inherit" w:hAnsi="inherit"/>
          <w:b/>
          <w:i/>
          <w:sz w:val="17"/>
        </w:rPr>
      </w:pPr>
      <w:r>
        <w:rPr>
          <w:rFonts w:ascii="inherit" w:hAnsi="inherit"/>
          <w:b/>
          <w:i/>
          <w:sz w:val="17"/>
        </w:rPr>
        <w:t>Supply and Demand for Ethylene and Resulting Co-products</w:t>
      </w:r>
    </w:p>
    <w:p>
      <w:pPr>
        <w:pStyle w:val="TextBody"/>
        <w:spacing w:lineRule="auto" w:line="288" w:before="0" w:after="0"/>
        <w:ind w:left="0" w:right="0" w:firstLine="450"/>
        <w:jc w:val="left"/>
        <w:rPr>
          <w:rFonts w:ascii="inherit" w:hAnsi="inherit"/>
          <w:sz w:val="17"/>
        </w:rPr>
      </w:pPr>
      <w:r>
        <w:rPr>
          <w:rFonts w:ascii="inherit" w:hAnsi="inherit"/>
          <w:sz w:val="17"/>
        </w:rPr>
        <w:t>Subsequent to the IPO, we generate a substantial majority of our revenue from the Ethylene Sales Agreement with Westlake. This contract is intended to promote cash flow stability and minimize our direct exposure to commodity price fluctuations in the following ways: (i) the cost-plus pricing structure of the Ethylene Sales Agreement is expected to generate a fixed margin of $0.10 per pound, adjusting automatically for changes in feedstock costs; and (ii) the commitment under which Westlake will purchase 95% of the annual planned production, subject to a maximum commitment of 3.8 billion pounds of ethylene per year, with an option to purchase an additional 95% of actual monthly production in excess of the planned production. As a result, our direct exposure to commodity price risk is limited to approximately 5% of our total ethylene production, which is that portion sold to third parties, as well as co-product sales.</w:t>
      </w:r>
    </w:p>
    <w:p>
      <w:pPr>
        <w:pStyle w:val="TextBody"/>
        <w:spacing w:lineRule="auto" w:line="288" w:before="0" w:after="0"/>
        <w:ind w:left="0" w:right="0" w:firstLine="450"/>
        <w:jc w:val="left"/>
        <w:rPr>
          <w:rFonts w:ascii="inherit" w:hAnsi="inherit"/>
          <w:sz w:val="17"/>
        </w:rPr>
      </w:pPr>
      <w:r>
        <w:rPr>
          <w:rFonts w:ascii="inherit" w:hAnsi="inherit"/>
          <w:sz w:val="17"/>
        </w:rPr>
        <w:t>We also have indirect exposure to commodity price fluctuations to the extent such fluctuations affect the ethylene consumption patterns of third-party purchasers. Demand for ethylene exhibits cyclical commodity characteristics as margins earned on ethylene derivative products are influenced by changes in the balance between supply and demand, the resulting operating rates and general economic activity. While we believe we have substantially mitigated our indirect exposure to commodity price fluctuations during the term of the Ethylene Sales Agreement through the minimum commitment and the cost-plus based pricing, our ability to execute our growth strategy in our areas of operation will depend, in part, on the demand for ethylene derivatives in the geographical areas served by our ethylene production facilities.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22</w:t>
      </w:r>
      <w:r>
        <w:br w:type="page"/>
      </w:r>
    </w:p>
    <w:p>
      <w:pPr>
        <w:pStyle w:val="TextBody"/>
        <w:spacing w:lineRule="auto" w:line="288" w:before="0" w:after="0"/>
        <w:rPr/>
      </w:pPr>
      <w:hyperlink w:anchor="s7D21BC485A80E1C3273666ECEC2365C6">
        <w:bookmarkStart w:id="37" w:name="s9C2546C56352668CD99F66ECE9F30F6A4"/>
        <w:bookmarkEnd w:id="37"/>
        <w:r>
          <w:rPr>
            <w:rStyle w:val="InternetLink"/>
            <w:rFonts w:ascii="inherit" w:hAnsi="inherit"/>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Results of Operations</w:t>
      </w:r>
    </w:p>
    <w:p>
      <w:pPr>
        <w:pStyle w:val="TextBody"/>
        <w:spacing w:lineRule="auto" w:line="288" w:before="0" w:after="0"/>
        <w:ind w:left="0" w:right="0" w:firstLine="450"/>
        <w:jc w:val="left"/>
        <w:rPr>
          <w:rFonts w:ascii="inherit" w:hAnsi="inherit"/>
          <w:sz w:val="17"/>
        </w:rPr>
      </w:pPr>
      <w:r>
        <w:rPr>
          <w:rFonts w:ascii="inherit" w:hAnsi="inherit"/>
          <w:sz w:val="17"/>
        </w:rPr>
        <w:t xml:space="preserve">The table below and descriptions that follow represent the combined results of operations of the Predecessor for the three and nine months ended September 30, 2013 and for the period from January 1, 2014 through August 3, 2014, and the consolidated results of the Partnership for the period from August 4, 2014, the date of the IPO, through September 30, 2014. Our consolidated results of operations subsequent to the IPO are not comparable to the Predecessor’s historical combined results of operations for the reasons discussed under "Factors Affecting the Comparability of Our Financial Results." </w:t>
      </w:r>
    </w:p>
    <w:tbl>
      <w:tblPr>
        <w:tblW w:w="10205" w:type="dxa"/>
        <w:jc w:val="left"/>
        <w:tblInd w:w="0" w:type="dxa"/>
        <w:tblCellMar>
          <w:top w:w="0" w:type="dxa"/>
          <w:left w:w="0" w:type="dxa"/>
          <w:bottom w:w="0" w:type="dxa"/>
          <w:right w:w="0" w:type="dxa"/>
        </w:tblCellMar>
      </w:tblPr>
      <w:tblGrid>
        <w:gridCol w:w="3059"/>
        <w:gridCol w:w="125"/>
        <w:gridCol w:w="172"/>
        <w:gridCol w:w="1111"/>
        <w:gridCol w:w="283"/>
        <w:gridCol w:w="125"/>
        <w:gridCol w:w="158"/>
        <w:gridCol w:w="1111"/>
        <w:gridCol w:w="283"/>
        <w:gridCol w:w="125"/>
        <w:gridCol w:w="172"/>
        <w:gridCol w:w="1250"/>
        <w:gridCol w:w="283"/>
        <w:gridCol w:w="125"/>
        <w:gridCol w:w="158"/>
        <w:gridCol w:w="1250"/>
        <w:gridCol w:w="415"/>
      </w:tblGrid>
      <w:tr>
        <w:trPr/>
        <w:tc>
          <w:tcPr>
            <w:tcW w:w="10205" w:type="dxa"/>
            <w:gridSpan w:val="17"/>
            <w:tcBorders/>
            <w:shd w:fill="auto" w:val="clear"/>
            <w:vAlign w:val="center"/>
          </w:tcPr>
          <w:p>
            <w:pPr>
              <w:pStyle w:val="TableContents"/>
              <w:spacing w:before="0" w:after="283"/>
              <w:rPr>
                <w:sz w:val="4"/>
                <w:szCs w:val="4"/>
              </w:rPr>
            </w:pPr>
            <w:r>
              <w:rPr>
                <w:sz w:val="4"/>
                <w:szCs w:val="4"/>
              </w:rPr>
            </w:r>
          </w:p>
        </w:tc>
      </w:tr>
      <w:tr>
        <w:trPr/>
        <w:tc>
          <w:tcPr>
            <w:tcW w:w="305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059"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3243"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September 30,</w:t>
            </w:r>
          </w:p>
        </w:tc>
        <w:tc>
          <w:tcPr>
            <w:tcW w:w="125" w:type="dxa"/>
            <w:tcBorders/>
            <w:shd w:fill="auto" w:val="clear"/>
            <w:vAlign w:val="center"/>
          </w:tcPr>
          <w:p>
            <w:pPr>
              <w:pStyle w:val="TableContents"/>
              <w:spacing w:before="0" w:after="0"/>
              <w:ind w:left="0" w:right="0" w:firstLine="30"/>
              <w:rPr/>
            </w:pPr>
            <w:r>
              <w:rPr/>
              <w:t> </w:t>
            </w:r>
          </w:p>
        </w:tc>
        <w:tc>
          <w:tcPr>
            <w:tcW w:w="3653"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September 30,</w:t>
            </w:r>
          </w:p>
        </w:tc>
      </w:tr>
      <w:tr>
        <w:trPr/>
        <w:tc>
          <w:tcPr>
            <w:tcW w:w="3059"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566"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2014</w:t>
            </w:r>
          </w:p>
        </w:tc>
        <w:tc>
          <w:tcPr>
            <w:tcW w:w="125" w:type="dxa"/>
            <w:tcBorders/>
            <w:shd w:fill="auto" w:val="clear"/>
            <w:vAlign w:val="center"/>
          </w:tcPr>
          <w:p>
            <w:pPr>
              <w:pStyle w:val="TableContents"/>
              <w:spacing w:before="0" w:after="0"/>
              <w:ind w:left="0" w:right="0" w:firstLine="30"/>
              <w:rPr/>
            </w:pPr>
            <w:r>
              <w:rPr/>
              <w:t> </w:t>
            </w:r>
          </w:p>
        </w:tc>
        <w:tc>
          <w:tcPr>
            <w:tcW w:w="155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25" w:type="dxa"/>
            <w:tcBorders/>
            <w:shd w:fill="auto" w:val="clear"/>
            <w:vAlign w:val="center"/>
          </w:tcPr>
          <w:p>
            <w:pPr>
              <w:pStyle w:val="TableContents"/>
              <w:spacing w:before="0" w:after="0"/>
              <w:ind w:left="0" w:right="0" w:firstLine="30"/>
              <w:rPr/>
            </w:pPr>
            <w:r>
              <w:rPr/>
              <w:t> </w:t>
            </w:r>
          </w:p>
        </w:tc>
        <w:tc>
          <w:tcPr>
            <w:tcW w:w="170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2014</w:t>
            </w:r>
          </w:p>
        </w:tc>
        <w:tc>
          <w:tcPr>
            <w:tcW w:w="125"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823"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r>
      <w:tr>
        <w:trPr/>
        <w:tc>
          <w:tcPr>
            <w:tcW w:w="3059"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566"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552" w:type="dxa"/>
            <w:gridSpan w:val="3"/>
            <w:tcBorders/>
            <w:shd w:fill="auto" w:val="clear"/>
            <w:vAlign w:val="center"/>
          </w:tcPr>
          <w:p>
            <w:pPr>
              <w:pStyle w:val="TableContents"/>
              <w:spacing w:before="0" w:after="0"/>
              <w:ind w:left="0" w:right="0" w:firstLine="30"/>
              <w:jc w:val="center"/>
              <w:rPr>
                <w:rFonts w:ascii="inherit" w:hAnsi="inherit"/>
                <w:b/>
                <w:i/>
                <w:sz w:val="13"/>
              </w:rPr>
            </w:pPr>
            <w:r>
              <w:rPr>
                <w:rFonts w:ascii="inherit" w:hAnsi="inherit"/>
                <w:b/>
                <w:i/>
                <w:sz w:val="13"/>
              </w:rPr>
              <w:t>Predecessor</w:t>
            </w:r>
          </w:p>
        </w:tc>
        <w:tc>
          <w:tcPr>
            <w:tcW w:w="125" w:type="dxa"/>
            <w:tcBorders/>
            <w:shd w:fill="auto" w:val="clear"/>
            <w:vAlign w:val="center"/>
          </w:tcPr>
          <w:p>
            <w:pPr>
              <w:pStyle w:val="TableContents"/>
              <w:spacing w:before="0" w:after="0"/>
              <w:ind w:left="0" w:right="0" w:firstLine="30"/>
              <w:rPr/>
            </w:pPr>
            <w:r>
              <w:rPr/>
              <w:t> </w:t>
            </w:r>
          </w:p>
        </w:tc>
        <w:tc>
          <w:tcPr>
            <w:tcW w:w="1705"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823" w:type="dxa"/>
            <w:gridSpan w:val="3"/>
            <w:tcBorders/>
            <w:shd w:fill="auto" w:val="clear"/>
            <w:vAlign w:val="center"/>
          </w:tcPr>
          <w:p>
            <w:pPr>
              <w:pStyle w:val="TableContents"/>
              <w:spacing w:before="0" w:after="0"/>
              <w:ind w:left="0" w:right="0" w:firstLine="30"/>
              <w:jc w:val="center"/>
              <w:rPr>
                <w:rFonts w:ascii="inherit" w:hAnsi="inherit"/>
                <w:b/>
                <w:i/>
                <w:sz w:val="13"/>
              </w:rPr>
            </w:pPr>
            <w:r>
              <w:rPr>
                <w:rFonts w:ascii="inherit" w:hAnsi="inherit"/>
                <w:b/>
                <w:i/>
                <w:sz w:val="13"/>
              </w:rPr>
              <w:t>Predecessor</w:t>
            </w:r>
          </w:p>
        </w:tc>
      </w:tr>
      <w:tr>
        <w:trPr/>
        <w:tc>
          <w:tcPr>
            <w:tcW w:w="3059"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566"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552"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705"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823" w:type="dxa"/>
            <w:gridSpan w:val="3"/>
            <w:tcBorders/>
            <w:shd w:fill="auto" w:val="clear"/>
            <w:vAlign w:val="center"/>
          </w:tcPr>
          <w:p>
            <w:pPr>
              <w:pStyle w:val="TableContents"/>
              <w:spacing w:before="0" w:after="0"/>
              <w:ind w:left="0" w:right="0" w:firstLine="30"/>
              <w:rPr/>
            </w:pPr>
            <w:r>
              <w:rPr/>
              <w:t> </w:t>
            </w:r>
          </w:p>
        </w:tc>
      </w:tr>
      <w:tr>
        <w:trPr/>
        <w:tc>
          <w:tcPr>
            <w:tcW w:w="3059"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7021" w:type="dxa"/>
            <w:gridSpan w:val="15"/>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(dollars in thousands)</w:t>
            </w:r>
          </w:p>
        </w:tc>
      </w:tr>
      <w:tr>
        <w:trPr/>
        <w:tc>
          <w:tcPr>
            <w:tcW w:w="3059"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Revenue</w:t>
            </w:r>
          </w:p>
        </w:tc>
        <w:tc>
          <w:tcPr>
            <w:tcW w:w="125" w:type="dxa"/>
            <w:tcBorders/>
            <w:shd w:fill="CCEEFF" w:val="clear"/>
            <w:vAlign w:val="center"/>
          </w:tcPr>
          <w:p>
            <w:pPr>
              <w:pStyle w:val="TableContents"/>
              <w:spacing w:before="0" w:after="0"/>
              <w:ind w:left="0" w:right="0" w:firstLine="30"/>
              <w:rPr/>
            </w:pPr>
            <w:r>
              <w:rPr/>
              <w:t> </w:t>
            </w:r>
          </w:p>
        </w:tc>
        <w:tc>
          <w:tcPr>
            <w:tcW w:w="1566" w:type="dxa"/>
            <w:gridSpan w:val="3"/>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ind w:left="0" w:right="0" w:firstLine="30"/>
              <w:rPr/>
            </w:pPr>
            <w:r>
              <w:rPr/>
              <w:t> </w:t>
            </w:r>
          </w:p>
        </w:tc>
        <w:tc>
          <w:tcPr>
            <w:tcW w:w="1552" w:type="dxa"/>
            <w:gridSpan w:val="3"/>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ind w:left="0" w:right="0" w:firstLine="30"/>
              <w:rPr/>
            </w:pPr>
            <w:r>
              <w:rPr/>
              <w:t> </w:t>
            </w:r>
          </w:p>
        </w:tc>
        <w:tc>
          <w:tcPr>
            <w:tcW w:w="1705" w:type="dxa"/>
            <w:gridSpan w:val="3"/>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ind w:left="0" w:right="0" w:firstLine="30"/>
              <w:rPr/>
            </w:pPr>
            <w:r>
              <w:rPr/>
              <w:t> </w:t>
            </w:r>
          </w:p>
        </w:tc>
        <w:tc>
          <w:tcPr>
            <w:tcW w:w="1823" w:type="dxa"/>
            <w:gridSpan w:val="3"/>
            <w:tcBorders/>
            <w:shd w:fill="CCEEFF" w:val="clear"/>
            <w:vAlign w:val="center"/>
          </w:tcPr>
          <w:p>
            <w:pPr>
              <w:pStyle w:val="TableContents"/>
              <w:spacing w:before="0" w:after="0"/>
              <w:ind w:left="0" w:right="0" w:firstLine="300"/>
              <w:rPr/>
            </w:pPr>
            <w:r>
              <w:rPr/>
              <w:t> </w:t>
            </w:r>
          </w:p>
        </w:tc>
      </w:tr>
      <w:tr>
        <w:trPr/>
        <w:tc>
          <w:tcPr>
            <w:tcW w:w="30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sales—Westlake</w:t>
            </w:r>
          </w:p>
        </w:tc>
        <w:tc>
          <w:tcPr>
            <w:tcW w:w="125"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11" w:type="dxa"/>
            <w:tcBorders/>
            <w:shd w:fill="auto" w:val="clear"/>
            <w:vAlign w:val="center"/>
          </w:tcPr>
          <w:p>
            <w:pPr>
              <w:pStyle w:val="TableContents"/>
              <w:spacing w:before="0" w:after="0"/>
              <w:jc w:val="right"/>
              <w:rPr>
                <w:rFonts w:ascii="inherit" w:hAnsi="inherit"/>
                <w:sz w:val="17"/>
              </w:rPr>
            </w:pPr>
            <w:r>
              <w:rPr>
                <w:rFonts w:ascii="inherit" w:hAnsi="inherit"/>
                <w:sz w:val="17"/>
              </w:rPr>
              <w:t>289,601</w:t>
            </w:r>
          </w:p>
        </w:tc>
        <w:tc>
          <w:tcPr>
            <w:tcW w:w="2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5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11" w:type="dxa"/>
            <w:tcBorders/>
            <w:shd w:fill="auto" w:val="clear"/>
            <w:vAlign w:val="center"/>
          </w:tcPr>
          <w:p>
            <w:pPr>
              <w:pStyle w:val="TableContents"/>
              <w:spacing w:before="0" w:after="0"/>
              <w:jc w:val="right"/>
              <w:rPr>
                <w:rFonts w:ascii="inherit" w:hAnsi="inherit"/>
                <w:sz w:val="17"/>
              </w:rPr>
            </w:pPr>
            <w:r>
              <w:rPr>
                <w:rFonts w:ascii="inherit" w:hAnsi="inherit"/>
                <w:sz w:val="17"/>
              </w:rPr>
              <w:t>391,801</w:t>
            </w:r>
          </w:p>
        </w:tc>
        <w:tc>
          <w:tcPr>
            <w:tcW w:w="2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50" w:type="dxa"/>
            <w:tcBorders/>
            <w:shd w:fill="auto" w:val="clear"/>
            <w:vAlign w:val="center"/>
          </w:tcPr>
          <w:p>
            <w:pPr>
              <w:pStyle w:val="TableContents"/>
              <w:spacing w:before="0" w:after="0"/>
              <w:jc w:val="right"/>
              <w:rPr>
                <w:rFonts w:ascii="inherit" w:hAnsi="inherit"/>
                <w:sz w:val="17"/>
              </w:rPr>
            </w:pPr>
            <w:r>
              <w:rPr>
                <w:rFonts w:ascii="inherit" w:hAnsi="inherit"/>
                <w:sz w:val="17"/>
              </w:rPr>
              <w:t>1,088,561</w:t>
            </w:r>
          </w:p>
        </w:tc>
        <w:tc>
          <w:tcPr>
            <w:tcW w:w="2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5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50" w:type="dxa"/>
            <w:tcBorders/>
            <w:shd w:fill="auto" w:val="clear"/>
            <w:vAlign w:val="center"/>
          </w:tcPr>
          <w:p>
            <w:pPr>
              <w:pStyle w:val="TableContents"/>
              <w:spacing w:before="0" w:after="0"/>
              <w:jc w:val="right"/>
              <w:rPr>
                <w:rFonts w:ascii="inherit" w:hAnsi="inherit"/>
                <w:sz w:val="17"/>
              </w:rPr>
            </w:pPr>
            <w:r>
              <w:rPr>
                <w:rFonts w:ascii="inherit" w:hAnsi="inherit"/>
                <w:sz w:val="17"/>
              </w:rPr>
              <w:t>1,195,870</w:t>
            </w:r>
          </w:p>
        </w:tc>
        <w:tc>
          <w:tcPr>
            <w:tcW w:w="4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059" w:type="dxa"/>
            <w:tcBorders/>
            <w:shd w:fill="CCEEFF" w:val="clear"/>
            <w:vAlign w:val="center"/>
          </w:tcPr>
          <w:p>
            <w:pPr>
              <w:pStyle w:val="TableContents"/>
              <w:spacing w:before="0" w:after="0"/>
              <w:jc w:val="left"/>
              <w:rPr>
                <w:rFonts w:ascii="inherit" w:hAnsi="inherit"/>
                <w:sz w:val="17"/>
              </w:rPr>
            </w:pPr>
            <w:r>
              <w:rPr>
                <w:rFonts w:ascii="inherit" w:hAnsi="inherit"/>
                <w:sz w:val="17"/>
              </w:rPr>
              <w:t xml:space="preserve">Net co-product, ethylene and feedstock </w:t>
            </w:r>
          </w:p>
          <w:p>
            <w:pPr>
              <w:pStyle w:val="TableContents"/>
              <w:spacing w:before="0" w:after="0"/>
              <w:ind w:left="0" w:right="0" w:firstLine="30"/>
              <w:jc w:val="left"/>
              <w:rPr/>
            </w:pPr>
            <w:r>
              <w:rPr/>
              <w:t>   </w:t>
            </w:r>
            <w:r>
              <w:rPr>
                <w:rFonts w:ascii="inherit" w:hAnsi="inherit"/>
                <w:sz w:val="17"/>
              </w:rPr>
              <w:t>sales—third parties</w:t>
            </w:r>
          </w:p>
        </w:tc>
        <w:tc>
          <w:tcPr>
            <w:tcW w:w="125" w:type="dxa"/>
            <w:tcBorders/>
            <w:shd w:fill="CCEEFF" w:val="clear"/>
            <w:vAlign w:val="center"/>
          </w:tcPr>
          <w:p>
            <w:pPr>
              <w:pStyle w:val="TableContents"/>
              <w:spacing w:before="0" w:after="0"/>
              <w:ind w:left="0" w:right="0" w:firstLine="30"/>
              <w:rPr/>
            </w:pPr>
            <w:r>
              <w:rPr/>
              <w:t> </w:t>
            </w:r>
          </w:p>
        </w:tc>
        <w:tc>
          <w:tcPr>
            <w:tcW w:w="128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102,407</w:t>
            </w:r>
          </w:p>
        </w:tc>
        <w:tc>
          <w:tcPr>
            <w:tcW w:w="28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26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148,332</w:t>
            </w:r>
          </w:p>
        </w:tc>
        <w:tc>
          <w:tcPr>
            <w:tcW w:w="28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42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387,596</w:t>
            </w:r>
          </w:p>
        </w:tc>
        <w:tc>
          <w:tcPr>
            <w:tcW w:w="28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40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369,939</w:t>
            </w:r>
          </w:p>
        </w:tc>
        <w:tc>
          <w:tcPr>
            <w:tcW w:w="41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net sales</w:t>
            </w:r>
          </w:p>
        </w:tc>
        <w:tc>
          <w:tcPr>
            <w:tcW w:w="125" w:type="dxa"/>
            <w:tcBorders/>
            <w:shd w:fill="auto" w:val="clear"/>
            <w:vAlign w:val="center"/>
          </w:tcPr>
          <w:p>
            <w:pPr>
              <w:pStyle w:val="TableContents"/>
              <w:spacing w:before="0" w:after="0"/>
              <w:ind w:left="0" w:right="0" w:firstLine="30"/>
              <w:rPr/>
            </w:pPr>
            <w:r>
              <w:rPr/>
              <w:t> </w:t>
            </w:r>
          </w:p>
        </w:tc>
        <w:tc>
          <w:tcPr>
            <w:tcW w:w="12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392,008</w:t>
            </w:r>
          </w:p>
        </w:tc>
        <w:tc>
          <w:tcPr>
            <w:tcW w:w="2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269"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540,133</w:t>
            </w:r>
          </w:p>
        </w:tc>
        <w:tc>
          <w:tcPr>
            <w:tcW w:w="283"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42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1,476,157</w:t>
            </w:r>
          </w:p>
        </w:tc>
        <w:tc>
          <w:tcPr>
            <w:tcW w:w="283"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40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1,565,809</w:t>
            </w:r>
          </w:p>
        </w:tc>
        <w:tc>
          <w:tcPr>
            <w:tcW w:w="41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Cost of sales</w:t>
            </w:r>
          </w:p>
        </w:tc>
        <w:tc>
          <w:tcPr>
            <w:tcW w:w="125" w:type="dxa"/>
            <w:tcBorders/>
            <w:shd w:fill="CCEEFF" w:val="clear"/>
            <w:vAlign w:val="center"/>
          </w:tcPr>
          <w:p>
            <w:pPr>
              <w:pStyle w:val="TableContents"/>
              <w:spacing w:before="0" w:after="0"/>
              <w:ind w:left="0" w:right="0" w:firstLine="30"/>
              <w:rPr/>
            </w:pPr>
            <w:r>
              <w:rPr/>
              <w:t> </w:t>
            </w:r>
          </w:p>
        </w:tc>
        <w:tc>
          <w:tcPr>
            <w:tcW w:w="12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227,015</w:t>
            </w:r>
          </w:p>
        </w:tc>
        <w:tc>
          <w:tcPr>
            <w:tcW w:w="2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2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327,152</w:t>
            </w:r>
          </w:p>
        </w:tc>
        <w:tc>
          <w:tcPr>
            <w:tcW w:w="2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4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832,304</w:t>
            </w:r>
          </w:p>
        </w:tc>
        <w:tc>
          <w:tcPr>
            <w:tcW w:w="2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40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924,663</w:t>
            </w:r>
          </w:p>
        </w:tc>
        <w:tc>
          <w:tcPr>
            <w:tcW w:w="4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profit</w:t>
            </w:r>
          </w:p>
        </w:tc>
        <w:tc>
          <w:tcPr>
            <w:tcW w:w="125" w:type="dxa"/>
            <w:tcBorders/>
            <w:shd w:fill="auto" w:val="clear"/>
            <w:vAlign w:val="center"/>
          </w:tcPr>
          <w:p>
            <w:pPr>
              <w:pStyle w:val="TableContents"/>
              <w:spacing w:before="0" w:after="0"/>
              <w:ind w:left="0" w:right="0" w:firstLine="30"/>
              <w:rPr/>
            </w:pPr>
            <w:r>
              <w:rPr/>
              <w:t> </w:t>
            </w:r>
          </w:p>
        </w:tc>
        <w:tc>
          <w:tcPr>
            <w:tcW w:w="1283"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164,993</w:t>
            </w:r>
          </w:p>
        </w:tc>
        <w:tc>
          <w:tcPr>
            <w:tcW w:w="283"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269"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212,981</w:t>
            </w:r>
          </w:p>
        </w:tc>
        <w:tc>
          <w:tcPr>
            <w:tcW w:w="283"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42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643,853</w:t>
            </w:r>
          </w:p>
        </w:tc>
        <w:tc>
          <w:tcPr>
            <w:tcW w:w="283"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40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641,146</w:t>
            </w:r>
          </w:p>
        </w:tc>
        <w:tc>
          <w:tcPr>
            <w:tcW w:w="41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Selling, general and administrative expenses</w:t>
            </w:r>
          </w:p>
        </w:tc>
        <w:tc>
          <w:tcPr>
            <w:tcW w:w="125" w:type="dxa"/>
            <w:tcBorders/>
            <w:shd w:fill="CCEEFF" w:val="clear"/>
            <w:vAlign w:val="center"/>
          </w:tcPr>
          <w:p>
            <w:pPr>
              <w:pStyle w:val="TableContents"/>
              <w:spacing w:before="0" w:after="0"/>
              <w:ind w:left="0" w:right="0" w:firstLine="30"/>
              <w:rPr/>
            </w:pPr>
            <w:r>
              <w:rPr/>
              <w:t> </w:t>
            </w:r>
          </w:p>
        </w:tc>
        <w:tc>
          <w:tcPr>
            <w:tcW w:w="12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8,860</w:t>
            </w:r>
          </w:p>
        </w:tc>
        <w:tc>
          <w:tcPr>
            <w:tcW w:w="2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2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6,391</w:t>
            </w:r>
          </w:p>
        </w:tc>
        <w:tc>
          <w:tcPr>
            <w:tcW w:w="2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4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22,803</w:t>
            </w:r>
          </w:p>
        </w:tc>
        <w:tc>
          <w:tcPr>
            <w:tcW w:w="2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40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19,326</w:t>
            </w:r>
          </w:p>
        </w:tc>
        <w:tc>
          <w:tcPr>
            <w:tcW w:w="41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from operations</w:t>
            </w:r>
          </w:p>
        </w:tc>
        <w:tc>
          <w:tcPr>
            <w:tcW w:w="125" w:type="dxa"/>
            <w:tcBorders/>
            <w:shd w:fill="auto" w:val="clear"/>
            <w:vAlign w:val="center"/>
          </w:tcPr>
          <w:p>
            <w:pPr>
              <w:pStyle w:val="TableContents"/>
              <w:spacing w:before="0" w:after="0"/>
              <w:ind w:left="0" w:right="0" w:firstLine="30"/>
              <w:rPr/>
            </w:pPr>
            <w:r>
              <w:rPr/>
              <w:t> </w:t>
            </w:r>
          </w:p>
        </w:tc>
        <w:tc>
          <w:tcPr>
            <w:tcW w:w="1283"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156,133</w:t>
            </w:r>
          </w:p>
        </w:tc>
        <w:tc>
          <w:tcPr>
            <w:tcW w:w="283"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269"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206,590</w:t>
            </w:r>
          </w:p>
        </w:tc>
        <w:tc>
          <w:tcPr>
            <w:tcW w:w="283"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42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621,050</w:t>
            </w:r>
          </w:p>
        </w:tc>
        <w:tc>
          <w:tcPr>
            <w:tcW w:w="283"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40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621,820</w:t>
            </w:r>
          </w:p>
        </w:tc>
        <w:tc>
          <w:tcPr>
            <w:tcW w:w="41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59"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Other income (expense)</w:t>
            </w:r>
          </w:p>
        </w:tc>
        <w:tc>
          <w:tcPr>
            <w:tcW w:w="125" w:type="dxa"/>
            <w:tcBorders/>
            <w:shd w:fill="CCEEFF" w:val="clear"/>
            <w:vAlign w:val="center"/>
          </w:tcPr>
          <w:p>
            <w:pPr>
              <w:pStyle w:val="TableContents"/>
              <w:spacing w:before="0" w:after="0"/>
              <w:ind w:left="0" w:right="0" w:firstLine="30"/>
              <w:rPr/>
            </w:pPr>
            <w:r>
              <w:rPr/>
              <w:t> </w:t>
            </w:r>
          </w:p>
        </w:tc>
        <w:tc>
          <w:tcPr>
            <w:tcW w:w="1566" w:type="dxa"/>
            <w:gridSpan w:val="3"/>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552" w:type="dxa"/>
            <w:gridSpan w:val="3"/>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705" w:type="dxa"/>
            <w:gridSpan w:val="3"/>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823" w:type="dxa"/>
            <w:gridSpan w:val="3"/>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0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expense—Westlake</w:t>
            </w:r>
          </w:p>
        </w:tc>
        <w:tc>
          <w:tcPr>
            <w:tcW w:w="125" w:type="dxa"/>
            <w:tcBorders/>
            <w:shd w:fill="auto" w:val="clear"/>
            <w:vAlign w:val="center"/>
          </w:tcPr>
          <w:p>
            <w:pPr>
              <w:pStyle w:val="TableContents"/>
              <w:spacing w:before="0" w:after="0"/>
              <w:ind w:left="0" w:right="0" w:firstLine="30"/>
              <w:rPr/>
            </w:pPr>
            <w:r>
              <w:rPr/>
              <w:t> </w:t>
            </w:r>
          </w:p>
        </w:tc>
        <w:tc>
          <w:tcPr>
            <w:tcW w:w="12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(2,137</w:t>
            </w:r>
          </w:p>
        </w:tc>
        <w:tc>
          <w:tcPr>
            <w:tcW w:w="2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ind w:left="0" w:right="0" w:firstLine="30"/>
              <w:rPr/>
            </w:pPr>
            <w:r>
              <w:rPr/>
              <w:t> </w:t>
            </w:r>
          </w:p>
        </w:tc>
        <w:tc>
          <w:tcPr>
            <w:tcW w:w="12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(2,295</w:t>
            </w:r>
          </w:p>
        </w:tc>
        <w:tc>
          <w:tcPr>
            <w:tcW w:w="2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ind w:left="0" w:right="0" w:firstLine="30"/>
              <w:rPr/>
            </w:pPr>
            <w:r>
              <w:rPr/>
              <w:t> </w:t>
            </w:r>
          </w:p>
        </w:tc>
        <w:tc>
          <w:tcPr>
            <w:tcW w:w="14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(9,833</w:t>
            </w:r>
          </w:p>
        </w:tc>
        <w:tc>
          <w:tcPr>
            <w:tcW w:w="2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ind w:left="0" w:right="0" w:firstLine="30"/>
              <w:rPr/>
            </w:pPr>
            <w:r>
              <w:rPr/>
              <w:t> </w:t>
            </w:r>
          </w:p>
        </w:tc>
        <w:tc>
          <w:tcPr>
            <w:tcW w:w="140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(4,893</w:t>
            </w:r>
          </w:p>
        </w:tc>
        <w:tc>
          <w:tcPr>
            <w:tcW w:w="4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059" w:type="dxa"/>
            <w:tcBorders/>
            <w:shd w:fill="CCEEFF" w:val="clear"/>
            <w:vAlign w:val="center"/>
          </w:tcPr>
          <w:p>
            <w:pPr>
              <w:pStyle w:val="TableContents"/>
              <w:spacing w:lineRule="auto" w:line="288" w:before="0" w:after="0"/>
              <w:ind w:left="0" w:right="0" w:firstLine="30"/>
              <w:jc w:val="left"/>
              <w:rPr>
                <w:sz w:val="17"/>
              </w:rPr>
            </w:pPr>
            <w:r>
              <w:rPr>
                <w:rFonts w:ascii="inherit" w:hAnsi="inherit"/>
                <w:sz w:val="17"/>
              </w:rPr>
              <w:t xml:space="preserve">Other income, net </w:t>
            </w:r>
            <w:r>
              <w:rPr>
                <w:rFonts w:ascii="inherit" w:hAnsi="inherit"/>
                <w:sz w:val="12"/>
              </w:rPr>
              <w:t>(1)</w:t>
            </w:r>
          </w:p>
        </w:tc>
        <w:tc>
          <w:tcPr>
            <w:tcW w:w="125" w:type="dxa"/>
            <w:tcBorders/>
            <w:shd w:fill="CCEEFF" w:val="clear"/>
            <w:vAlign w:val="center"/>
          </w:tcPr>
          <w:p>
            <w:pPr>
              <w:pStyle w:val="TableContents"/>
              <w:spacing w:before="0" w:after="0"/>
              <w:ind w:left="0" w:right="0" w:firstLine="30"/>
              <w:rPr/>
            </w:pPr>
            <w:r>
              <w:rPr/>
              <w:t> </w:t>
            </w:r>
          </w:p>
        </w:tc>
        <w:tc>
          <w:tcPr>
            <w:tcW w:w="12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486</w:t>
            </w:r>
          </w:p>
        </w:tc>
        <w:tc>
          <w:tcPr>
            <w:tcW w:w="2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2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1,162</w:t>
            </w:r>
          </w:p>
        </w:tc>
        <w:tc>
          <w:tcPr>
            <w:tcW w:w="2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4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3,135</w:t>
            </w:r>
          </w:p>
        </w:tc>
        <w:tc>
          <w:tcPr>
            <w:tcW w:w="2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40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6,422</w:t>
            </w:r>
          </w:p>
        </w:tc>
        <w:tc>
          <w:tcPr>
            <w:tcW w:w="41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before income taxes</w:t>
            </w:r>
          </w:p>
        </w:tc>
        <w:tc>
          <w:tcPr>
            <w:tcW w:w="125" w:type="dxa"/>
            <w:tcBorders/>
            <w:shd w:fill="auto" w:val="clear"/>
            <w:vAlign w:val="center"/>
          </w:tcPr>
          <w:p>
            <w:pPr>
              <w:pStyle w:val="TableContents"/>
              <w:spacing w:before="0" w:after="0"/>
              <w:ind w:left="0" w:right="0" w:firstLine="30"/>
              <w:rPr/>
            </w:pPr>
            <w:r>
              <w:rPr/>
              <w:t> </w:t>
            </w:r>
          </w:p>
        </w:tc>
        <w:tc>
          <w:tcPr>
            <w:tcW w:w="1283"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154,482</w:t>
            </w:r>
          </w:p>
        </w:tc>
        <w:tc>
          <w:tcPr>
            <w:tcW w:w="283"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269"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205,457</w:t>
            </w:r>
          </w:p>
        </w:tc>
        <w:tc>
          <w:tcPr>
            <w:tcW w:w="283"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42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614,352</w:t>
            </w:r>
          </w:p>
        </w:tc>
        <w:tc>
          <w:tcPr>
            <w:tcW w:w="283"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40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623,349</w:t>
            </w:r>
          </w:p>
        </w:tc>
        <w:tc>
          <w:tcPr>
            <w:tcW w:w="415" w:type="dxa"/>
            <w:tcBorders>
              <w:top w:val="single" w:sz="2" w:space="0" w:color="000000"/>
            </w:tcBorders>
            <w:shd w:fill="auto" w:val="clear"/>
            <w:tcMar>
              <w:top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0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Provision for income taxes</w:t>
            </w:r>
          </w:p>
        </w:tc>
        <w:tc>
          <w:tcPr>
            <w:tcW w:w="125" w:type="dxa"/>
            <w:tcBorders/>
            <w:shd w:fill="CCEEFF" w:val="clear"/>
            <w:vAlign w:val="center"/>
          </w:tcPr>
          <w:p>
            <w:pPr>
              <w:pStyle w:val="TableContents"/>
              <w:spacing w:before="0" w:after="0"/>
              <w:ind w:left="0" w:right="0" w:firstLine="30"/>
              <w:rPr/>
            </w:pPr>
            <w:r>
              <w:rPr/>
              <w:t> </w:t>
            </w:r>
          </w:p>
        </w:tc>
        <w:tc>
          <w:tcPr>
            <w:tcW w:w="12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36,309</w:t>
            </w:r>
          </w:p>
        </w:tc>
        <w:tc>
          <w:tcPr>
            <w:tcW w:w="2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2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72,876</w:t>
            </w:r>
          </w:p>
        </w:tc>
        <w:tc>
          <w:tcPr>
            <w:tcW w:w="2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4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198,461</w:t>
            </w:r>
          </w:p>
        </w:tc>
        <w:tc>
          <w:tcPr>
            <w:tcW w:w="2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40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221,009</w:t>
            </w:r>
          </w:p>
        </w:tc>
        <w:tc>
          <w:tcPr>
            <w:tcW w:w="41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25" w:type="dxa"/>
            <w:tcBorders/>
            <w:shd w:fill="auto" w:val="clear"/>
            <w:vAlign w:val="center"/>
          </w:tcPr>
          <w:p>
            <w:pPr>
              <w:pStyle w:val="TableContents"/>
              <w:spacing w:before="0" w:after="0"/>
              <w:ind w:left="0" w:right="0" w:firstLine="30"/>
              <w:rPr/>
            </w:pPr>
            <w:r>
              <w:rPr/>
              <w:t> </w:t>
            </w:r>
          </w:p>
        </w:tc>
        <w:tc>
          <w:tcPr>
            <w:tcW w:w="172"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111"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118,173</w:t>
            </w:r>
          </w:p>
        </w:tc>
        <w:tc>
          <w:tcPr>
            <w:tcW w:w="283"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5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132,581</w:t>
            </w:r>
          </w:p>
        </w:tc>
        <w:tc>
          <w:tcPr>
            <w:tcW w:w="28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72"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250"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415,891</w:t>
            </w:r>
          </w:p>
        </w:tc>
        <w:tc>
          <w:tcPr>
            <w:tcW w:w="283"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5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5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402,340</w:t>
            </w:r>
          </w:p>
        </w:tc>
        <w:tc>
          <w:tcPr>
            <w:tcW w:w="41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059" w:type="dxa"/>
            <w:tcBorders/>
            <w:shd w:fill="CCEEFF" w:val="clear"/>
            <w:vAlign w:val="center"/>
          </w:tcPr>
          <w:p>
            <w:pPr>
              <w:pStyle w:val="TableContents"/>
              <w:spacing w:before="0" w:after="0"/>
              <w:jc w:val="left"/>
              <w:rPr>
                <w:rFonts w:ascii="inherit" w:hAnsi="inherit"/>
                <w:sz w:val="17"/>
              </w:rPr>
            </w:pPr>
            <w:r>
              <w:rPr>
                <w:rFonts w:ascii="inherit" w:hAnsi="inherit"/>
                <w:sz w:val="17"/>
              </w:rPr>
              <w:t xml:space="preserve">Less: Predecessor net income prior to initial public </w:t>
            </w:r>
          </w:p>
          <w:p>
            <w:pPr>
              <w:pStyle w:val="TableContents"/>
              <w:spacing w:before="0" w:after="0"/>
              <w:ind w:left="0" w:right="0" w:firstLine="30"/>
              <w:jc w:val="left"/>
              <w:rPr/>
            </w:pPr>
            <w:r>
              <w:rPr/>
              <w:t>   </w:t>
            </w:r>
            <w:r>
              <w:rPr>
                <w:rFonts w:ascii="inherit" w:hAnsi="inherit"/>
                <w:sz w:val="17"/>
              </w:rPr>
              <w:t>offering on August 4, 2014</w:t>
            </w:r>
          </w:p>
        </w:tc>
        <w:tc>
          <w:tcPr>
            <w:tcW w:w="125" w:type="dxa"/>
            <w:tcBorders/>
            <w:shd w:fill="CCEEFF" w:val="clear"/>
            <w:vAlign w:val="center"/>
          </w:tcPr>
          <w:p>
            <w:pPr>
              <w:pStyle w:val="TableContents"/>
              <w:spacing w:before="0" w:after="0"/>
              <w:ind w:left="0" w:right="0" w:firstLine="30"/>
              <w:rPr/>
            </w:pPr>
            <w:r>
              <w:rPr/>
              <w:t> </w:t>
            </w:r>
          </w:p>
        </w:tc>
        <w:tc>
          <w:tcPr>
            <w:tcW w:w="128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63,616</w:t>
            </w:r>
          </w:p>
        </w:tc>
        <w:tc>
          <w:tcPr>
            <w:tcW w:w="28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552" w:type="dxa"/>
            <w:gridSpan w:val="3"/>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ind w:left="0" w:right="0" w:firstLine="30"/>
              <w:rPr/>
            </w:pPr>
            <w:r>
              <w:rPr/>
              <w:t> </w:t>
            </w:r>
          </w:p>
        </w:tc>
        <w:tc>
          <w:tcPr>
            <w:tcW w:w="142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361,334</w:t>
            </w:r>
          </w:p>
        </w:tc>
        <w:tc>
          <w:tcPr>
            <w:tcW w:w="28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823" w:type="dxa"/>
            <w:gridSpan w:val="3"/>
            <w:tcBorders/>
            <w:shd w:fill="CCEEFF" w:val="clear"/>
            <w:vAlign w:val="center"/>
          </w:tcPr>
          <w:p>
            <w:pPr>
              <w:pStyle w:val="TableContents"/>
              <w:spacing w:before="0" w:after="0"/>
              <w:ind w:left="0" w:right="0" w:firstLine="30"/>
              <w:rPr/>
            </w:pPr>
            <w:r>
              <w:rPr/>
              <w:t> </w:t>
            </w:r>
          </w:p>
        </w:tc>
      </w:tr>
      <w:tr>
        <w:trPr/>
        <w:tc>
          <w:tcPr>
            <w:tcW w:w="30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subsequent to initial public offering</w:t>
            </w:r>
          </w:p>
        </w:tc>
        <w:tc>
          <w:tcPr>
            <w:tcW w:w="125" w:type="dxa"/>
            <w:tcBorders/>
            <w:shd w:fill="auto" w:val="clear"/>
            <w:vAlign w:val="center"/>
          </w:tcPr>
          <w:p>
            <w:pPr>
              <w:pStyle w:val="TableContents"/>
              <w:spacing w:before="0" w:after="0"/>
              <w:ind w:left="0" w:right="0" w:firstLine="30"/>
              <w:rPr/>
            </w:pPr>
            <w:r>
              <w:rPr/>
              <w:t> </w:t>
            </w:r>
          </w:p>
        </w:tc>
        <w:tc>
          <w:tcPr>
            <w:tcW w:w="12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54,557</w:t>
            </w:r>
          </w:p>
        </w:tc>
        <w:tc>
          <w:tcPr>
            <w:tcW w:w="2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552"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4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54,557</w:t>
            </w:r>
          </w:p>
        </w:tc>
        <w:tc>
          <w:tcPr>
            <w:tcW w:w="2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823" w:type="dxa"/>
            <w:gridSpan w:val="3"/>
            <w:tcBorders/>
            <w:shd w:fill="auto" w:val="clear"/>
            <w:vAlign w:val="center"/>
          </w:tcPr>
          <w:p>
            <w:pPr>
              <w:pStyle w:val="TableContents"/>
              <w:spacing w:before="0" w:after="0"/>
              <w:ind w:left="0" w:right="0" w:firstLine="300"/>
              <w:rPr/>
            </w:pPr>
            <w:r>
              <w:rPr/>
              <w:t> </w:t>
            </w:r>
          </w:p>
        </w:tc>
      </w:tr>
      <w:tr>
        <w:trPr/>
        <w:tc>
          <w:tcPr>
            <w:tcW w:w="3059" w:type="dxa"/>
            <w:tcBorders/>
            <w:shd w:fill="CCEEFF" w:val="clear"/>
            <w:vAlign w:val="center"/>
          </w:tcPr>
          <w:p>
            <w:pPr>
              <w:pStyle w:val="TableContents"/>
              <w:spacing w:before="0" w:after="0"/>
              <w:jc w:val="left"/>
              <w:rPr>
                <w:rFonts w:ascii="inherit" w:hAnsi="inherit"/>
                <w:sz w:val="17"/>
              </w:rPr>
            </w:pPr>
            <w:r>
              <w:rPr>
                <w:rFonts w:ascii="inherit" w:hAnsi="inherit"/>
                <w:sz w:val="17"/>
              </w:rPr>
              <w:t xml:space="preserve">Less: Net income attributable to noncontrolling </w:t>
            </w:r>
          </w:p>
          <w:p>
            <w:pPr>
              <w:pStyle w:val="TableContents"/>
              <w:spacing w:before="0" w:after="0"/>
              <w:ind w:left="0" w:right="0" w:firstLine="30"/>
              <w:jc w:val="left"/>
              <w:rPr/>
            </w:pPr>
            <w:r>
              <w:rPr/>
              <w:t>   </w:t>
            </w:r>
            <w:r>
              <w:rPr>
                <w:rFonts w:ascii="inherit" w:hAnsi="inherit"/>
                <w:sz w:val="17"/>
              </w:rPr>
              <w:t>interest in OpCo</w:t>
            </w:r>
          </w:p>
        </w:tc>
        <w:tc>
          <w:tcPr>
            <w:tcW w:w="125" w:type="dxa"/>
            <w:tcBorders/>
            <w:shd w:fill="CCEEFF" w:val="clear"/>
            <w:vAlign w:val="center"/>
          </w:tcPr>
          <w:p>
            <w:pPr>
              <w:pStyle w:val="TableContents"/>
              <w:spacing w:before="0" w:after="0"/>
              <w:ind w:left="0" w:right="0" w:firstLine="30"/>
              <w:rPr/>
            </w:pPr>
            <w:r>
              <w:rPr/>
              <w:t> </w:t>
            </w:r>
          </w:p>
        </w:tc>
        <w:tc>
          <w:tcPr>
            <w:tcW w:w="12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49,542</w:t>
            </w:r>
          </w:p>
        </w:tc>
        <w:tc>
          <w:tcPr>
            <w:tcW w:w="2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552" w:type="dxa"/>
            <w:gridSpan w:val="3"/>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ind w:left="0" w:right="0" w:firstLine="30"/>
              <w:rPr/>
            </w:pPr>
            <w:r>
              <w:rPr/>
              <w:t> </w:t>
            </w:r>
          </w:p>
        </w:tc>
        <w:tc>
          <w:tcPr>
            <w:tcW w:w="14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49,542</w:t>
            </w:r>
          </w:p>
        </w:tc>
        <w:tc>
          <w:tcPr>
            <w:tcW w:w="2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823" w:type="dxa"/>
            <w:gridSpan w:val="3"/>
            <w:tcBorders/>
            <w:shd w:fill="CCEEFF" w:val="clear"/>
            <w:vAlign w:val="center"/>
          </w:tcPr>
          <w:p>
            <w:pPr>
              <w:pStyle w:val="TableContents"/>
              <w:spacing w:before="0" w:after="0"/>
              <w:ind w:left="0" w:right="0" w:firstLine="30"/>
              <w:rPr/>
            </w:pPr>
            <w:r>
              <w:rPr/>
              <w:t> </w:t>
            </w:r>
          </w:p>
        </w:tc>
      </w:tr>
      <w:tr>
        <w:trPr/>
        <w:tc>
          <w:tcPr>
            <w:tcW w:w="3059" w:type="dxa"/>
            <w:tcBorders/>
            <w:shd w:fill="auto" w:val="clear"/>
            <w:vAlign w:val="center"/>
          </w:tcPr>
          <w:p>
            <w:pPr>
              <w:pStyle w:val="TableContents"/>
              <w:spacing w:before="0" w:after="0"/>
              <w:jc w:val="left"/>
              <w:rPr>
                <w:rFonts w:ascii="inherit" w:hAnsi="inherit"/>
                <w:b/>
                <w:sz w:val="17"/>
              </w:rPr>
            </w:pPr>
            <w:r>
              <w:rPr>
                <w:rFonts w:ascii="inherit" w:hAnsi="inherit"/>
                <w:b/>
                <w:sz w:val="17"/>
              </w:rPr>
              <w:t xml:space="preserve">Net income attributable to Westlake Chemical </w:t>
            </w:r>
          </w:p>
          <w:p>
            <w:pPr>
              <w:pStyle w:val="TableContents"/>
              <w:spacing w:before="0" w:after="0"/>
              <w:jc w:val="left"/>
              <w:rPr/>
            </w:pPr>
            <w:r>
              <w:rPr/>
              <w:t>   </w:t>
            </w:r>
            <w:r>
              <w:rPr>
                <w:rFonts w:ascii="inherit" w:hAnsi="inherit"/>
                <w:b/>
                <w:sz w:val="17"/>
              </w:rPr>
              <w:t>Partners LP subsequent to initial public offering</w:t>
            </w:r>
          </w:p>
          <w:p>
            <w:pPr>
              <w:pStyle w:val="TableContents"/>
              <w:spacing w:before="0" w:after="0"/>
              <w:ind w:left="0" w:right="0" w:firstLine="30"/>
              <w:jc w:val="left"/>
              <w:rPr/>
            </w:pPr>
            <w:r>
              <w:rPr/>
              <w:t>   </w:t>
            </w:r>
            <w:r>
              <w:rPr>
                <w:rFonts w:ascii="inherit" w:hAnsi="inherit"/>
                <w:b/>
                <w:sz w:val="17"/>
              </w:rPr>
              <w:t>and limited partners' interest in net income</w:t>
            </w:r>
          </w:p>
        </w:tc>
        <w:tc>
          <w:tcPr>
            <w:tcW w:w="125" w:type="dxa"/>
            <w:tcBorders/>
            <w:shd w:fill="auto" w:val="clear"/>
            <w:vAlign w:val="center"/>
          </w:tcPr>
          <w:p>
            <w:pPr>
              <w:pStyle w:val="TableContents"/>
              <w:spacing w:before="0" w:after="0"/>
              <w:ind w:left="0" w:right="0" w:firstLine="30"/>
              <w:rPr/>
            </w:pPr>
            <w:r>
              <w:rPr/>
              <w:t> </w:t>
            </w:r>
          </w:p>
        </w:tc>
        <w:tc>
          <w:tcPr>
            <w:tcW w:w="17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111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5,015</w:t>
            </w:r>
          </w:p>
        </w:tc>
        <w:tc>
          <w:tcPr>
            <w:tcW w:w="28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552"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7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125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5,015</w:t>
            </w:r>
          </w:p>
        </w:tc>
        <w:tc>
          <w:tcPr>
            <w:tcW w:w="28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823" w:type="dxa"/>
            <w:gridSpan w:val="3"/>
            <w:tcBorders/>
            <w:shd w:fill="auto" w:val="clear"/>
            <w:vAlign w:val="center"/>
          </w:tcPr>
          <w:p>
            <w:pPr>
              <w:pStyle w:val="TableContents"/>
              <w:spacing w:before="0" w:after="0"/>
              <w:ind w:left="0" w:right="0" w:firstLine="30"/>
              <w:rPr/>
            </w:pPr>
            <w:r>
              <w:rPr/>
              <w:t> </w:t>
            </w:r>
          </w:p>
        </w:tc>
      </w:tr>
      <w:tr>
        <w:trPr/>
        <w:tc>
          <w:tcPr>
            <w:tcW w:w="3059"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Distributable cash flow to the Partnership </w:t>
            </w:r>
            <w:r>
              <w:rPr>
                <w:rFonts w:ascii="inherit" w:hAnsi="inherit"/>
                <w:sz w:val="12"/>
              </w:rPr>
              <w:t>(2)</w:t>
            </w:r>
          </w:p>
        </w:tc>
        <w:tc>
          <w:tcPr>
            <w:tcW w:w="125" w:type="dxa"/>
            <w:tcBorders/>
            <w:shd w:fill="CCEEFF" w:val="clear"/>
            <w:vAlign w:val="center"/>
          </w:tcPr>
          <w:p>
            <w:pPr>
              <w:pStyle w:val="TableContents"/>
              <w:spacing w:before="0" w:after="0"/>
              <w:ind w:left="0" w:right="0" w:firstLine="30"/>
              <w:rPr/>
            </w:pPr>
            <w:r>
              <w:rPr/>
              <w:t> </w:t>
            </w:r>
          </w:p>
        </w:tc>
        <w:tc>
          <w:tcPr>
            <w:tcW w:w="12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5,265</w:t>
            </w:r>
          </w:p>
        </w:tc>
        <w:tc>
          <w:tcPr>
            <w:tcW w:w="2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552" w:type="dxa"/>
            <w:gridSpan w:val="3"/>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ind w:left="0" w:right="0" w:firstLine="30"/>
              <w:rPr/>
            </w:pPr>
            <w:r>
              <w:rPr/>
              <w:t> </w:t>
            </w:r>
          </w:p>
        </w:tc>
        <w:tc>
          <w:tcPr>
            <w:tcW w:w="14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5,265</w:t>
            </w:r>
          </w:p>
        </w:tc>
        <w:tc>
          <w:tcPr>
            <w:tcW w:w="2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823" w:type="dxa"/>
            <w:gridSpan w:val="3"/>
            <w:tcBorders/>
            <w:shd w:fill="CCEEFF" w:val="clear"/>
            <w:vAlign w:val="center"/>
          </w:tcPr>
          <w:p>
            <w:pPr>
              <w:pStyle w:val="TableContents"/>
              <w:spacing w:before="0" w:after="0"/>
              <w:ind w:left="0" w:right="0" w:firstLine="30"/>
              <w:rPr/>
            </w:pPr>
            <w:r>
              <w:rPr/>
              <w:t> </w:t>
            </w:r>
          </w:p>
        </w:tc>
      </w:tr>
      <w:tr>
        <w:trPr/>
        <w:tc>
          <w:tcPr>
            <w:tcW w:w="30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____________</w:t>
            </w:r>
          </w:p>
        </w:tc>
        <w:tc>
          <w:tcPr>
            <w:tcW w:w="125" w:type="dxa"/>
            <w:tcBorders/>
            <w:shd w:fill="auto" w:val="clear"/>
            <w:vAlign w:val="center"/>
          </w:tcPr>
          <w:p>
            <w:pPr>
              <w:pStyle w:val="TableContents"/>
              <w:spacing w:before="0" w:after="0"/>
              <w:ind w:left="0" w:right="0" w:firstLine="30"/>
              <w:rPr/>
            </w:pPr>
            <w:r>
              <w:rPr/>
              <w:t> </w:t>
            </w:r>
          </w:p>
        </w:tc>
        <w:tc>
          <w:tcPr>
            <w:tcW w:w="1566"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552"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705"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823" w:type="dxa"/>
            <w:gridSpan w:val="3"/>
            <w:tcBorders/>
            <w:shd w:fill="auto" w:val="clear"/>
            <w:vAlign w:val="center"/>
          </w:tcPr>
          <w:p>
            <w:pPr>
              <w:pStyle w:val="TableContents"/>
              <w:spacing w:before="0" w:after="0"/>
              <w:ind w:left="0" w:right="0" w:firstLine="30"/>
              <w:rPr/>
            </w:pPr>
            <w:r>
              <w:rPr/>
              <w:t> </w:t>
            </w:r>
          </w:p>
        </w:tc>
      </w:tr>
      <w:tr>
        <w:trPr/>
        <w:tc>
          <w:tcPr>
            <w:tcW w:w="10205" w:type="dxa"/>
            <w:gridSpan w:val="17"/>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 Includes income from the Predecessor’s equity stake in a pipeline joint venture that was not contributed to the Partnership in connection with the IPO.</w:t>
            </w:r>
          </w:p>
        </w:tc>
      </w:tr>
      <w:tr>
        <w:trPr/>
        <w:tc>
          <w:tcPr>
            <w:tcW w:w="10205" w:type="dxa"/>
            <w:gridSpan w:val="17"/>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 Non GAAP financial measure. See the "Reconciliation of Distributable Cash Flow Attributable to the Partnership to Net Income and Net Cash Provided by Operating Activities."</w:t>
            </w:r>
          </w:p>
        </w:tc>
      </w:tr>
      <w:tr>
        <w:trPr/>
        <w:tc>
          <w:tcPr>
            <w:tcW w:w="3059"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566"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552"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705"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823" w:type="dxa"/>
            <w:gridSpan w:val="3"/>
            <w:tcBorders/>
            <w:shd w:fill="auto" w:val="clear"/>
            <w:vAlign w:val="center"/>
          </w:tcPr>
          <w:p>
            <w:pPr>
              <w:pStyle w:val="TableContents"/>
              <w:spacing w:before="0" w:after="0"/>
              <w:ind w:left="0" w:right="0" w:firstLine="30"/>
              <w:rPr/>
            </w:pPr>
            <w:r>
              <w:rPr/>
              <w:t> </w:t>
            </w:r>
          </w:p>
        </w:tc>
      </w:tr>
      <w:tr>
        <w:trPr/>
        <w:tc>
          <w:tcPr>
            <w:tcW w:w="3059"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3243"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September 30, 2014</w:t>
            </w:r>
          </w:p>
        </w:tc>
        <w:tc>
          <w:tcPr>
            <w:tcW w:w="125" w:type="dxa"/>
            <w:tcBorders/>
            <w:shd w:fill="auto" w:val="clear"/>
            <w:vAlign w:val="center"/>
          </w:tcPr>
          <w:p>
            <w:pPr>
              <w:pStyle w:val="TableContents"/>
              <w:spacing w:before="0" w:after="0"/>
              <w:ind w:left="0" w:right="0" w:firstLine="30"/>
              <w:rPr/>
            </w:pPr>
            <w:r>
              <w:rPr/>
              <w:t> </w:t>
            </w:r>
          </w:p>
        </w:tc>
        <w:tc>
          <w:tcPr>
            <w:tcW w:w="3653"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September 30, 2014</w:t>
            </w:r>
          </w:p>
        </w:tc>
      </w:tr>
      <w:tr>
        <w:trPr/>
        <w:tc>
          <w:tcPr>
            <w:tcW w:w="3059"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566"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Average</w:t>
            </w:r>
          </w:p>
          <w:p>
            <w:pPr>
              <w:pStyle w:val="TableContents"/>
              <w:spacing w:before="0" w:after="0"/>
              <w:ind w:left="0" w:right="0" w:firstLine="30"/>
              <w:jc w:val="center"/>
              <w:rPr>
                <w:rFonts w:ascii="inherit" w:hAnsi="inherit"/>
                <w:b/>
                <w:sz w:val="13"/>
              </w:rPr>
            </w:pPr>
            <w:r>
              <w:rPr>
                <w:rFonts w:ascii="inherit" w:hAnsi="inherit"/>
                <w:b/>
                <w:sz w:val="13"/>
              </w:rPr>
              <w:t>Sales Price</w:t>
            </w:r>
          </w:p>
        </w:tc>
        <w:tc>
          <w:tcPr>
            <w:tcW w:w="12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r>
          </w:p>
        </w:tc>
        <w:tc>
          <w:tcPr>
            <w:tcW w:w="155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Volume</w:t>
            </w:r>
          </w:p>
        </w:tc>
        <w:tc>
          <w:tcPr>
            <w:tcW w:w="125" w:type="dxa"/>
            <w:tcBorders/>
            <w:shd w:fill="auto" w:val="clear"/>
            <w:vAlign w:val="center"/>
          </w:tcPr>
          <w:p>
            <w:pPr>
              <w:pStyle w:val="TableContents"/>
              <w:spacing w:before="0" w:after="0"/>
              <w:ind w:left="0" w:right="0" w:firstLine="30"/>
              <w:rPr/>
            </w:pPr>
            <w:r>
              <w:rPr/>
              <w:t> </w:t>
            </w:r>
          </w:p>
        </w:tc>
        <w:tc>
          <w:tcPr>
            <w:tcW w:w="170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center"/>
              <w:rPr>
                <w:rFonts w:ascii="inherit" w:hAnsi="inherit"/>
                <w:b/>
                <w:sz w:val="13"/>
              </w:rPr>
            </w:pPr>
            <w:r>
              <w:rPr>
                <w:rFonts w:ascii="inherit" w:hAnsi="inherit"/>
                <w:b/>
                <w:sz w:val="13"/>
              </w:rPr>
              <w:t>Average</w:t>
            </w:r>
          </w:p>
          <w:p>
            <w:pPr>
              <w:pStyle w:val="TableContents"/>
              <w:spacing w:before="0" w:after="0"/>
              <w:ind w:left="0" w:right="0" w:firstLine="30"/>
              <w:jc w:val="center"/>
              <w:rPr>
                <w:rFonts w:ascii="inherit" w:hAnsi="inherit"/>
                <w:b/>
                <w:sz w:val="13"/>
              </w:rPr>
            </w:pPr>
            <w:r>
              <w:rPr>
                <w:rFonts w:ascii="inherit" w:hAnsi="inherit"/>
                <w:b/>
                <w:sz w:val="13"/>
              </w:rPr>
              <w:t>Sales Price</w:t>
            </w:r>
          </w:p>
        </w:tc>
        <w:tc>
          <w:tcPr>
            <w:tcW w:w="125"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823"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Volume</w:t>
            </w:r>
          </w:p>
        </w:tc>
      </w:tr>
      <w:tr>
        <w:trPr/>
        <w:tc>
          <w:tcPr>
            <w:tcW w:w="3059" w:type="dxa"/>
            <w:tcBorders/>
            <w:shd w:fill="CCEEFF" w:val="clear"/>
            <w:vAlign w:val="center"/>
          </w:tcPr>
          <w:p>
            <w:pPr>
              <w:pStyle w:val="TableContents"/>
              <w:spacing w:before="0" w:after="0"/>
              <w:rPr>
                <w:sz w:val="17"/>
              </w:rPr>
            </w:pPr>
            <w:r>
              <w:rPr>
                <w:rFonts w:ascii="inherit" w:hAnsi="inherit"/>
                <w:b/>
                <w:sz w:val="17"/>
              </w:rPr>
              <w:t xml:space="preserve">Product sales prices and volume percentage change </w:t>
            </w:r>
            <w:r>
              <w:rPr>
                <w:sz w:val="17"/>
              </w:rPr>
              <w:t>   </w:t>
            </w:r>
          </w:p>
          <w:p>
            <w:pPr>
              <w:pStyle w:val="TableContents"/>
              <w:spacing w:before="0" w:after="0"/>
              <w:ind w:left="0" w:right="0" w:firstLine="30"/>
              <w:rPr/>
            </w:pPr>
            <w:r>
              <w:rPr/>
              <w:t>   </w:t>
            </w:r>
            <w:r>
              <w:rPr>
                <w:rFonts w:ascii="inherit" w:hAnsi="inherit"/>
                <w:b/>
                <w:sz w:val="17"/>
              </w:rPr>
              <w:t>from prior year period</w:t>
            </w:r>
          </w:p>
        </w:tc>
        <w:tc>
          <w:tcPr>
            <w:tcW w:w="125" w:type="dxa"/>
            <w:tcBorders/>
            <w:shd w:fill="CCEEFF" w:val="clear"/>
            <w:vAlign w:val="center"/>
          </w:tcPr>
          <w:p>
            <w:pPr>
              <w:pStyle w:val="TableContents"/>
              <w:spacing w:before="0" w:after="0"/>
              <w:ind w:left="0" w:right="0" w:firstLine="30"/>
              <w:rPr/>
            </w:pPr>
            <w:r>
              <w:rPr/>
              <w:t> </w:t>
            </w:r>
          </w:p>
        </w:tc>
        <w:tc>
          <w:tcPr>
            <w:tcW w:w="1283"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-17.4</w:t>
            </w:r>
          </w:p>
        </w:tc>
        <w:tc>
          <w:tcPr>
            <w:tcW w:w="283" w:type="dxa"/>
            <w:tcBorders>
              <w:top w:val="single" w:sz="2" w:space="0" w:color="000000"/>
            </w:tcBorders>
            <w:shd w:fill="CCEEFF" w:val="clear"/>
            <w:tcMar>
              <w:top w:w="30" w:type="dxa"/>
            </w:tcMar>
            <w:vAlign w:val="center"/>
          </w:tcPr>
          <w:p>
            <w:pPr>
              <w:pStyle w:val="TableContents"/>
              <w:spacing w:before="0" w:after="0"/>
              <w:ind w:left="0" w:right="0" w:firstLine="30"/>
              <w:jc w:val="left"/>
              <w:rPr/>
            </w:pPr>
            <w:r>
              <w:rPr/>
              <w:t> </w:t>
            </w:r>
            <w:r>
              <w:rPr>
                <w:rFonts w:ascii="inherit" w:hAnsi="inherit"/>
                <w:sz w:val="17"/>
              </w:rPr>
              <w:t>%</w:t>
            </w:r>
          </w:p>
        </w:tc>
        <w:tc>
          <w:tcPr>
            <w:tcW w:w="125" w:type="dxa"/>
            <w:tcBorders/>
            <w:shd w:fill="CCEEFF" w:val="clear"/>
            <w:vAlign w:val="center"/>
          </w:tcPr>
          <w:p>
            <w:pPr>
              <w:pStyle w:val="TableContents"/>
              <w:spacing w:before="0" w:after="0"/>
              <w:ind w:left="0" w:right="0" w:firstLine="30"/>
              <w:rPr/>
            </w:pPr>
            <w:r>
              <w:rPr/>
              <w:t> </w:t>
            </w:r>
          </w:p>
        </w:tc>
        <w:tc>
          <w:tcPr>
            <w:tcW w:w="1269"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-10.2</w:t>
            </w:r>
          </w:p>
        </w:tc>
        <w:tc>
          <w:tcPr>
            <w:tcW w:w="283" w:type="dxa"/>
            <w:tcBorders>
              <w:top w:val="single" w:sz="2" w:space="0" w:color="000000"/>
            </w:tcBorders>
            <w:shd w:fill="CCEEFF" w:val="clear"/>
            <w:tcMar>
              <w:top w:w="30" w:type="dxa"/>
            </w:tcMar>
            <w:vAlign w:val="center"/>
          </w:tcPr>
          <w:p>
            <w:pPr>
              <w:pStyle w:val="TableContents"/>
              <w:spacing w:before="0" w:after="0"/>
              <w:ind w:left="0" w:right="0" w:firstLine="30"/>
              <w:jc w:val="left"/>
              <w:rPr/>
            </w:pPr>
            <w:r>
              <w:rPr/>
              <w:t> </w:t>
            </w:r>
            <w:r>
              <w:rPr>
                <w:rFonts w:ascii="inherit" w:hAnsi="inherit"/>
                <w:sz w:val="17"/>
              </w:rPr>
              <w:t>%</w:t>
            </w:r>
          </w:p>
        </w:tc>
        <w:tc>
          <w:tcPr>
            <w:tcW w:w="125" w:type="dxa"/>
            <w:tcBorders/>
            <w:shd w:fill="CCEEFF" w:val="clear"/>
            <w:vAlign w:val="center"/>
          </w:tcPr>
          <w:p>
            <w:pPr>
              <w:pStyle w:val="TableContents"/>
              <w:spacing w:before="0" w:after="0"/>
              <w:ind w:left="0" w:right="0" w:firstLine="30"/>
              <w:rPr/>
            </w:pPr>
            <w:r>
              <w:rPr/>
              <w:t> </w:t>
            </w:r>
          </w:p>
        </w:tc>
        <w:tc>
          <w:tcPr>
            <w:tcW w:w="1422"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-5.2</w:t>
            </w:r>
          </w:p>
        </w:tc>
        <w:tc>
          <w:tcPr>
            <w:tcW w:w="283" w:type="dxa"/>
            <w:tcBorders>
              <w:top w:val="single" w:sz="2" w:space="0" w:color="000000"/>
            </w:tcBorders>
            <w:shd w:fill="CCEEFF" w:val="clear"/>
            <w:tcMar>
              <w:top w:w="30" w:type="dxa"/>
            </w:tcMar>
            <w:vAlign w:val="center"/>
          </w:tcPr>
          <w:p>
            <w:pPr>
              <w:pStyle w:val="TableContents"/>
              <w:spacing w:before="0" w:after="0"/>
              <w:ind w:left="0" w:right="0" w:firstLine="30"/>
              <w:jc w:val="left"/>
              <w:rPr/>
            </w:pPr>
            <w:r>
              <w:rPr/>
              <w:t> </w:t>
            </w:r>
            <w:r>
              <w:rPr>
                <w:rFonts w:ascii="inherit" w:hAnsi="inherit"/>
                <w:sz w:val="17"/>
              </w:rPr>
              <w:t>%</w:t>
            </w:r>
          </w:p>
        </w:tc>
        <w:tc>
          <w:tcPr>
            <w:tcW w:w="125" w:type="dxa"/>
            <w:tcBorders/>
            <w:shd w:fill="CCEEFF" w:val="clear"/>
            <w:vAlign w:val="center"/>
          </w:tcPr>
          <w:p>
            <w:pPr>
              <w:pStyle w:val="TableContents"/>
              <w:spacing w:before="0" w:after="0"/>
              <w:ind w:left="0" w:right="0" w:firstLine="30"/>
              <w:rPr/>
            </w:pPr>
            <w:r>
              <w:rPr/>
              <w:t> </w:t>
            </w:r>
          </w:p>
        </w:tc>
        <w:tc>
          <w:tcPr>
            <w:tcW w:w="1408"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-0.6</w:t>
            </w:r>
          </w:p>
        </w:tc>
        <w:tc>
          <w:tcPr>
            <w:tcW w:w="415" w:type="dxa"/>
            <w:tcBorders>
              <w:top w:val="single" w:sz="2" w:space="0" w:color="000000"/>
            </w:tcBorders>
            <w:shd w:fill="CCEEFF" w:val="clear"/>
            <w:tcMar>
              <w:top w:w="30" w:type="dxa"/>
            </w:tcMar>
            <w:vAlign w:val="center"/>
          </w:tcPr>
          <w:p>
            <w:pPr>
              <w:pStyle w:val="TableContents"/>
              <w:spacing w:before="0" w:after="0"/>
              <w:ind w:left="0" w:right="0" w:firstLine="30"/>
              <w:jc w:val="left"/>
              <w:rPr/>
            </w:pPr>
            <w:r>
              <w:rPr/>
              <w:t> </w:t>
            </w:r>
            <w:r>
              <w:rPr>
                <w:rFonts w:ascii="inherit" w:hAnsi="inherit"/>
                <w:sz w:val="17"/>
              </w:rPr>
              <w:t>%</w:t>
            </w:r>
          </w:p>
        </w:tc>
      </w:tr>
      <w:tr>
        <w:trPr/>
        <w:tc>
          <w:tcPr>
            <w:tcW w:w="3059"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566"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552"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705"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823" w:type="dxa"/>
            <w:gridSpan w:val="3"/>
            <w:tcBorders/>
            <w:shd w:fill="auto" w:val="clear"/>
            <w:vAlign w:val="center"/>
          </w:tcPr>
          <w:p>
            <w:pPr>
              <w:pStyle w:val="TableContents"/>
              <w:spacing w:before="0" w:after="0"/>
              <w:ind w:left="0" w:right="0" w:firstLine="30"/>
              <w:rPr/>
            </w:pPr>
            <w:r>
              <w:rPr/>
              <w:t> </w:t>
            </w:r>
          </w:p>
        </w:tc>
      </w:tr>
      <w:tr>
        <w:trPr/>
        <w:tc>
          <w:tcPr>
            <w:tcW w:w="3059"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3243"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September 30,</w:t>
            </w:r>
          </w:p>
        </w:tc>
        <w:tc>
          <w:tcPr>
            <w:tcW w:w="125" w:type="dxa"/>
            <w:tcBorders/>
            <w:shd w:fill="auto" w:val="clear"/>
            <w:vAlign w:val="center"/>
          </w:tcPr>
          <w:p>
            <w:pPr>
              <w:pStyle w:val="TableContents"/>
              <w:spacing w:before="0" w:after="0"/>
              <w:ind w:left="0" w:right="0" w:firstLine="30"/>
              <w:rPr/>
            </w:pPr>
            <w:r>
              <w:rPr/>
              <w:t> </w:t>
            </w:r>
          </w:p>
        </w:tc>
        <w:tc>
          <w:tcPr>
            <w:tcW w:w="3653"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September 30,</w:t>
            </w:r>
          </w:p>
        </w:tc>
      </w:tr>
      <w:tr>
        <w:trPr/>
        <w:tc>
          <w:tcPr>
            <w:tcW w:w="3059"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56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2014</w:t>
            </w:r>
          </w:p>
        </w:tc>
        <w:tc>
          <w:tcPr>
            <w:tcW w:w="12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r>
          </w:p>
        </w:tc>
        <w:tc>
          <w:tcPr>
            <w:tcW w:w="155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25" w:type="dxa"/>
            <w:tcBorders/>
            <w:shd w:fill="auto" w:val="clear"/>
            <w:vAlign w:val="center"/>
          </w:tcPr>
          <w:p>
            <w:pPr>
              <w:pStyle w:val="TableContents"/>
              <w:spacing w:before="0" w:after="0"/>
              <w:ind w:left="0" w:right="0" w:firstLine="30"/>
              <w:rPr/>
            </w:pPr>
            <w:r>
              <w:rPr/>
              <w:t> </w:t>
            </w:r>
          </w:p>
        </w:tc>
        <w:tc>
          <w:tcPr>
            <w:tcW w:w="170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2014</w:t>
            </w:r>
          </w:p>
        </w:tc>
        <w:tc>
          <w:tcPr>
            <w:tcW w:w="125"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823"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r>
      <w:tr>
        <w:trPr/>
        <w:tc>
          <w:tcPr>
            <w:tcW w:w="3059" w:type="dxa"/>
            <w:tcBorders/>
            <w:shd w:fill="auto" w:val="clear"/>
            <w:vAlign w:val="center"/>
          </w:tcPr>
          <w:p>
            <w:pPr>
              <w:pStyle w:val="TableContents"/>
              <w:spacing w:lineRule="auto" w:line="288" w:before="0" w:after="0"/>
              <w:ind w:left="0" w:right="0" w:firstLine="30"/>
              <w:rPr>
                <w:sz w:val="17"/>
              </w:rPr>
            </w:pPr>
            <w:r>
              <w:rPr>
                <w:rFonts w:ascii="inherit" w:hAnsi="inherit"/>
                <w:b/>
                <w:sz w:val="17"/>
              </w:rPr>
              <w:t xml:space="preserve">Average industry prices </w:t>
            </w:r>
            <w:r>
              <w:rPr>
                <w:rFonts w:ascii="inherit" w:hAnsi="inherit"/>
                <w:b/>
                <w:sz w:val="12"/>
              </w:rPr>
              <w:t>(1)</w:t>
            </w:r>
          </w:p>
        </w:tc>
        <w:tc>
          <w:tcPr>
            <w:tcW w:w="125" w:type="dxa"/>
            <w:tcBorders/>
            <w:shd w:fill="auto" w:val="clear"/>
            <w:vAlign w:val="center"/>
          </w:tcPr>
          <w:p>
            <w:pPr>
              <w:pStyle w:val="TableContents"/>
              <w:spacing w:before="0" w:after="0"/>
              <w:ind w:left="0" w:right="0" w:firstLine="30"/>
              <w:rPr/>
            </w:pPr>
            <w:r>
              <w:rPr/>
              <w:t> </w:t>
            </w:r>
          </w:p>
        </w:tc>
        <w:tc>
          <w:tcPr>
            <w:tcW w:w="1566"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552"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705"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823" w:type="dxa"/>
            <w:gridSpan w:val="3"/>
            <w:tcBorders/>
            <w:shd w:fill="auto" w:val="clear"/>
            <w:vAlign w:val="center"/>
          </w:tcPr>
          <w:p>
            <w:pPr>
              <w:pStyle w:val="TableContents"/>
              <w:spacing w:before="0" w:after="0"/>
              <w:ind w:left="0" w:right="0" w:firstLine="30"/>
              <w:rPr/>
            </w:pPr>
            <w:r>
              <w:rPr/>
              <w:t> </w:t>
            </w:r>
          </w:p>
        </w:tc>
      </w:tr>
      <w:tr>
        <w:trPr/>
        <w:tc>
          <w:tcPr>
            <w:tcW w:w="30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Ethane (cents/lb)</w:t>
            </w:r>
          </w:p>
        </w:tc>
        <w:tc>
          <w:tcPr>
            <w:tcW w:w="125" w:type="dxa"/>
            <w:tcBorders/>
            <w:shd w:fill="CCEEFF" w:val="clear"/>
            <w:vAlign w:val="center"/>
          </w:tcPr>
          <w:p>
            <w:pPr>
              <w:pStyle w:val="TableContents"/>
              <w:spacing w:before="0" w:after="0"/>
              <w:ind w:left="0" w:right="0" w:firstLine="30"/>
              <w:rPr/>
            </w:pPr>
            <w:r>
              <w:rPr/>
              <w:t> </w:t>
            </w:r>
          </w:p>
        </w:tc>
        <w:tc>
          <w:tcPr>
            <w:tcW w:w="12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7.9</w:t>
            </w:r>
          </w:p>
        </w:tc>
        <w:tc>
          <w:tcPr>
            <w:tcW w:w="2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2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8.4</w:t>
            </w:r>
          </w:p>
        </w:tc>
        <w:tc>
          <w:tcPr>
            <w:tcW w:w="2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4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9.7</w:t>
            </w:r>
          </w:p>
        </w:tc>
        <w:tc>
          <w:tcPr>
            <w:tcW w:w="2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40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8.7</w:t>
            </w:r>
          </w:p>
        </w:tc>
        <w:tc>
          <w:tcPr>
            <w:tcW w:w="4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Propane (cents/lb)</w:t>
            </w:r>
          </w:p>
        </w:tc>
        <w:tc>
          <w:tcPr>
            <w:tcW w:w="125" w:type="dxa"/>
            <w:tcBorders/>
            <w:shd w:fill="auto" w:val="clear"/>
            <w:vAlign w:val="center"/>
          </w:tcPr>
          <w:p>
            <w:pPr>
              <w:pStyle w:val="TableContents"/>
              <w:spacing w:before="0" w:after="0"/>
              <w:ind w:left="0" w:right="0" w:firstLine="30"/>
              <w:rPr/>
            </w:pPr>
            <w:r>
              <w:rPr/>
              <w:t> </w:t>
            </w:r>
          </w:p>
        </w:tc>
        <w:tc>
          <w:tcPr>
            <w:tcW w:w="12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24.6</w:t>
            </w:r>
          </w:p>
        </w:tc>
        <w:tc>
          <w:tcPr>
            <w:tcW w:w="2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2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24.4</w:t>
            </w:r>
          </w:p>
        </w:tc>
        <w:tc>
          <w:tcPr>
            <w:tcW w:w="2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4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26.9</w:t>
            </w:r>
          </w:p>
        </w:tc>
        <w:tc>
          <w:tcPr>
            <w:tcW w:w="2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40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22.2</w:t>
            </w:r>
          </w:p>
        </w:tc>
        <w:tc>
          <w:tcPr>
            <w:tcW w:w="4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59"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Ethylene (cents/lb) </w:t>
            </w:r>
            <w:r>
              <w:rPr>
                <w:rFonts w:ascii="inherit" w:hAnsi="inherit"/>
                <w:sz w:val="12"/>
              </w:rPr>
              <w:t>(2)</w:t>
            </w:r>
          </w:p>
        </w:tc>
        <w:tc>
          <w:tcPr>
            <w:tcW w:w="125" w:type="dxa"/>
            <w:tcBorders/>
            <w:shd w:fill="CCEEFF" w:val="clear"/>
            <w:vAlign w:val="center"/>
          </w:tcPr>
          <w:p>
            <w:pPr>
              <w:pStyle w:val="TableContents"/>
              <w:spacing w:before="0" w:after="0"/>
              <w:ind w:left="0" w:right="0" w:firstLine="30"/>
              <w:rPr/>
            </w:pPr>
            <w:r>
              <w:rPr/>
              <w:t> </w:t>
            </w:r>
          </w:p>
        </w:tc>
        <w:tc>
          <w:tcPr>
            <w:tcW w:w="12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66.6</w:t>
            </w:r>
          </w:p>
        </w:tc>
        <w:tc>
          <w:tcPr>
            <w:tcW w:w="2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2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54.3</w:t>
            </w:r>
          </w:p>
        </w:tc>
        <w:tc>
          <w:tcPr>
            <w:tcW w:w="2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4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59.1</w:t>
            </w:r>
          </w:p>
        </w:tc>
        <w:tc>
          <w:tcPr>
            <w:tcW w:w="2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40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58.7</w:t>
            </w:r>
          </w:p>
        </w:tc>
        <w:tc>
          <w:tcPr>
            <w:tcW w:w="415"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t>_____________</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23</w:t>
      </w:r>
      <w:r>
        <w:br w:type="page"/>
      </w:r>
    </w:p>
    <w:p>
      <w:pPr>
        <w:pStyle w:val="TextBody"/>
        <w:spacing w:lineRule="auto" w:line="288" w:before="0" w:after="0"/>
        <w:rPr/>
      </w:pPr>
      <w:hyperlink w:anchor="s7D21BC485A80E1C3273666ECEC2365C6">
        <w:bookmarkStart w:id="38" w:name="s9C2546C56352668CD99F66ECE9F30F6A5"/>
        <w:bookmarkEnd w:id="38"/>
        <w:r>
          <w:rPr>
            <w:rStyle w:val="InternetLink"/>
            <w:rFonts w:ascii="inherit" w:hAnsi="inherit"/>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tbl>
      <w:tblPr>
        <w:tblW w:w="8620" w:type="dxa"/>
        <w:jc w:val="left"/>
        <w:tblInd w:w="0" w:type="dxa"/>
        <w:tblCellMar>
          <w:top w:w="0" w:type="dxa"/>
          <w:left w:w="0" w:type="dxa"/>
          <w:bottom w:w="0" w:type="dxa"/>
          <w:right w:w="0" w:type="dxa"/>
        </w:tblCellMar>
      </w:tblPr>
      <w:tblGrid>
        <w:gridCol w:w="260"/>
        <w:gridCol w:w="8360"/>
      </w:tblGrid>
      <w:tr>
        <w:trPr/>
        <w:tc>
          <w:tcPr>
            <w:tcW w:w="260" w:type="dxa"/>
            <w:tcBorders/>
            <w:shd w:fill="auto" w:val="clear"/>
            <w:vAlign w:val="center"/>
          </w:tcPr>
          <w:p>
            <w:pPr>
              <w:pStyle w:val="TableContents"/>
              <w:spacing w:before="0" w:after="283"/>
              <w:rPr>
                <w:sz w:val="4"/>
                <w:szCs w:val="4"/>
              </w:rPr>
            </w:pPr>
            <w:r>
              <w:rPr>
                <w:sz w:val="4"/>
                <w:szCs w:val="4"/>
              </w:rPr>
            </w:r>
          </w:p>
        </w:tc>
        <w:tc>
          <w:tcPr>
            <w:tcW w:w="8360" w:type="dxa"/>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(1)</w:t>
            </w:r>
          </w:p>
        </w:tc>
        <w:tc>
          <w:tcPr>
            <w:tcW w:w="836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Industry pricing data was obtained from IHS Chemical. We have not independently verified the data.</w:t>
            </w:r>
          </w:p>
        </w:tc>
      </w:tr>
    </w:tbl>
    <w:tbl>
      <w:tblPr>
        <w:tblW w:w="9115" w:type="dxa"/>
        <w:jc w:val="left"/>
        <w:tblInd w:w="0" w:type="dxa"/>
        <w:tblCellMar>
          <w:top w:w="0" w:type="dxa"/>
          <w:left w:w="0" w:type="dxa"/>
          <w:bottom w:w="0" w:type="dxa"/>
          <w:right w:w="0" w:type="dxa"/>
        </w:tblCellMar>
      </w:tblPr>
      <w:tblGrid>
        <w:gridCol w:w="260"/>
        <w:gridCol w:w="8855"/>
      </w:tblGrid>
      <w:tr>
        <w:trPr/>
        <w:tc>
          <w:tcPr>
            <w:tcW w:w="260" w:type="dxa"/>
            <w:tcBorders/>
            <w:shd w:fill="auto" w:val="clear"/>
            <w:vAlign w:val="center"/>
          </w:tcPr>
          <w:p>
            <w:pPr>
              <w:pStyle w:val="TableContents"/>
              <w:spacing w:before="0" w:after="283"/>
              <w:rPr>
                <w:sz w:val="4"/>
                <w:szCs w:val="4"/>
              </w:rPr>
            </w:pPr>
            <w:r>
              <w:rPr>
                <w:sz w:val="4"/>
                <w:szCs w:val="4"/>
              </w:rPr>
            </w:r>
          </w:p>
        </w:tc>
        <w:tc>
          <w:tcPr>
            <w:tcW w:w="8855" w:type="dxa"/>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(2)</w:t>
            </w:r>
          </w:p>
        </w:tc>
        <w:tc>
          <w:tcPr>
            <w:tcW w:w="885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Represents average North American spot prices of ethylene over the period as reported by IHS Chemical.</w:t>
            </w:r>
          </w:p>
        </w:tc>
      </w:tr>
    </w:tbl>
    <w:p>
      <w:pPr>
        <w:pStyle w:val="TextBody"/>
        <w:spacing w:lineRule="auto" w:line="288" w:before="0" w:after="0"/>
        <w:rPr>
          <w:rFonts w:ascii="inherit" w:hAnsi="inherit"/>
          <w:b/>
          <w:sz w:val="17"/>
        </w:rPr>
      </w:pPr>
      <w:r>
        <w:rPr>
          <w:rFonts w:ascii="inherit" w:hAnsi="inherit"/>
          <w:b/>
          <w:sz w:val="17"/>
        </w:rPr>
        <w:t>Reconciliation of Distributable Cash Flow Attributable to the Partnership to Net Income and Cash Provided by Operating Activities</w:t>
      </w:r>
    </w:p>
    <w:p>
      <w:pPr>
        <w:pStyle w:val="TextBody"/>
        <w:spacing w:lineRule="auto" w:line="288" w:before="0" w:after="0"/>
        <w:ind w:left="0" w:right="0" w:firstLine="450"/>
        <w:jc w:val="left"/>
        <w:rPr>
          <w:rFonts w:ascii="inherit" w:hAnsi="inherit"/>
          <w:sz w:val="17"/>
        </w:rPr>
      </w:pPr>
      <w:r>
        <w:rPr>
          <w:rFonts w:ascii="inherit" w:hAnsi="inherit"/>
          <w:sz w:val="17"/>
        </w:rPr>
        <w:t>The following tables present reconciliations of distributable cash flow to net income and net cash provided by operating activities, the most directly comparable GAAP financial measures, for each of the periods indicated.</w:t>
      </w:r>
    </w:p>
    <w:tbl>
      <w:tblPr>
        <w:tblW w:w="10205" w:type="dxa"/>
        <w:jc w:val="left"/>
        <w:tblInd w:w="0" w:type="dxa"/>
        <w:tblCellMar>
          <w:top w:w="0" w:type="dxa"/>
          <w:left w:w="0" w:type="dxa"/>
          <w:bottom w:w="0" w:type="dxa"/>
          <w:right w:w="0" w:type="dxa"/>
        </w:tblCellMar>
      </w:tblPr>
      <w:tblGrid>
        <w:gridCol w:w="5929"/>
        <w:gridCol w:w="149"/>
        <w:gridCol w:w="196"/>
        <w:gridCol w:w="1470"/>
        <w:gridCol w:w="168"/>
        <w:gridCol w:w="149"/>
        <w:gridCol w:w="196"/>
        <w:gridCol w:w="1470"/>
        <w:gridCol w:w="478"/>
      </w:tblGrid>
      <w:tr>
        <w:trPr/>
        <w:tc>
          <w:tcPr>
            <w:tcW w:w="10205" w:type="dxa"/>
            <w:gridSpan w:val="9"/>
            <w:tcBorders/>
            <w:shd w:fill="auto" w:val="clear"/>
            <w:vAlign w:val="center"/>
          </w:tcPr>
          <w:p>
            <w:pPr>
              <w:pStyle w:val="TableContents"/>
              <w:spacing w:before="0" w:after="283"/>
              <w:rPr>
                <w:sz w:val="4"/>
                <w:szCs w:val="4"/>
              </w:rPr>
            </w:pPr>
            <w:r>
              <w:rPr>
                <w:sz w:val="4"/>
                <w:szCs w:val="4"/>
              </w:rPr>
            </w:r>
          </w:p>
        </w:tc>
      </w:tr>
      <w:tr>
        <w:trPr/>
        <w:tc>
          <w:tcPr>
            <w:tcW w:w="592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7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70"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929" w:type="dxa"/>
            <w:tcBorders/>
            <w:shd w:fill="auto" w:val="clear"/>
            <w:vAlign w:val="center"/>
          </w:tcPr>
          <w:p>
            <w:pPr>
              <w:pStyle w:val="TableContents"/>
              <w:spacing w:before="0" w:after="0"/>
              <w:ind w:left="0" w:right="0" w:firstLine="30"/>
              <w:rPr/>
            </w:pPr>
            <w:r>
              <w:rPr/>
              <w:t> </w:t>
            </w:r>
          </w:p>
        </w:tc>
        <w:tc>
          <w:tcPr>
            <w:tcW w:w="149" w:type="dxa"/>
            <w:tcBorders/>
            <w:shd w:fill="auto" w:val="clear"/>
            <w:vAlign w:val="center"/>
          </w:tcPr>
          <w:p>
            <w:pPr>
              <w:pStyle w:val="TableContents"/>
              <w:spacing w:before="0" w:after="0"/>
              <w:ind w:left="0" w:right="0" w:firstLine="30"/>
              <w:rPr/>
            </w:pPr>
            <w:r>
              <w:rPr/>
              <w:t> </w:t>
            </w:r>
          </w:p>
        </w:tc>
        <w:tc>
          <w:tcPr>
            <w:tcW w:w="183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September 30, 2014</w:t>
            </w:r>
          </w:p>
        </w:tc>
        <w:tc>
          <w:tcPr>
            <w:tcW w:w="149" w:type="dxa"/>
            <w:tcBorders/>
            <w:shd w:fill="auto" w:val="clear"/>
            <w:vAlign w:val="center"/>
          </w:tcPr>
          <w:p>
            <w:pPr>
              <w:pStyle w:val="TableContents"/>
              <w:spacing w:before="0" w:after="0"/>
              <w:ind w:left="0" w:right="0" w:firstLine="30"/>
              <w:rPr/>
            </w:pPr>
            <w:r>
              <w:rPr/>
              <w:t> </w:t>
            </w:r>
          </w:p>
        </w:tc>
        <w:tc>
          <w:tcPr>
            <w:tcW w:w="214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September 30, 2014</w:t>
            </w:r>
          </w:p>
        </w:tc>
      </w:tr>
      <w:tr>
        <w:trPr/>
        <w:tc>
          <w:tcPr>
            <w:tcW w:w="5929"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Distributable cash flow attributable to the Partnership</w:t>
            </w:r>
          </w:p>
        </w:tc>
        <w:tc>
          <w:tcPr>
            <w:tcW w:w="149" w:type="dxa"/>
            <w:tcBorders/>
            <w:shd w:fill="CCEEFF" w:val="clear"/>
            <w:vAlign w:val="center"/>
          </w:tcPr>
          <w:p>
            <w:pPr>
              <w:pStyle w:val="TableContents"/>
              <w:spacing w:before="0" w:after="0"/>
              <w:ind w:left="0" w:right="0" w:firstLine="30"/>
              <w:rPr/>
            </w:pPr>
            <w:r>
              <w:rPr/>
              <w:t> </w:t>
            </w:r>
          </w:p>
        </w:tc>
        <w:tc>
          <w:tcPr>
            <w:tcW w:w="196" w:type="dxa"/>
            <w:tcBorders/>
            <w:shd w:fill="CCEEFF" w:val="clear"/>
            <w:vAlign w:val="center"/>
          </w:tcPr>
          <w:p>
            <w:pPr>
              <w:pStyle w:val="TableContents"/>
              <w:spacing w:before="0" w:after="0"/>
              <w:jc w:val="left"/>
              <w:rPr>
                <w:rFonts w:ascii="inherit" w:hAnsi="inherit"/>
                <w:b/>
                <w:sz w:val="17"/>
              </w:rPr>
            </w:pPr>
            <w:r>
              <w:rPr>
                <w:rFonts w:ascii="inherit" w:hAnsi="inherit"/>
                <w:b/>
                <w:sz w:val="17"/>
              </w:rPr>
              <w:t>$</w:t>
            </w:r>
          </w:p>
        </w:tc>
        <w:tc>
          <w:tcPr>
            <w:tcW w:w="1470" w:type="dxa"/>
            <w:tcBorders/>
            <w:shd w:fill="CCEEFF" w:val="clear"/>
            <w:vAlign w:val="center"/>
          </w:tcPr>
          <w:p>
            <w:pPr>
              <w:pStyle w:val="TableContents"/>
              <w:spacing w:before="0" w:after="0"/>
              <w:jc w:val="right"/>
              <w:rPr>
                <w:rFonts w:ascii="inherit" w:hAnsi="inherit"/>
                <w:b/>
                <w:sz w:val="17"/>
              </w:rPr>
            </w:pPr>
            <w:r>
              <w:rPr>
                <w:rFonts w:ascii="inherit" w:hAnsi="inherit"/>
                <w:b/>
                <w:sz w:val="17"/>
              </w:rPr>
              <w:t>5,265</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96" w:type="dxa"/>
            <w:tcBorders/>
            <w:shd w:fill="CCEEFF" w:val="clear"/>
            <w:vAlign w:val="center"/>
          </w:tcPr>
          <w:p>
            <w:pPr>
              <w:pStyle w:val="TableContents"/>
              <w:spacing w:before="0" w:after="0"/>
              <w:jc w:val="left"/>
              <w:rPr>
                <w:rFonts w:ascii="inherit" w:hAnsi="inherit"/>
                <w:b/>
                <w:sz w:val="17"/>
              </w:rPr>
            </w:pPr>
            <w:r>
              <w:rPr>
                <w:rFonts w:ascii="inherit" w:hAnsi="inherit"/>
                <w:b/>
                <w:sz w:val="17"/>
              </w:rPr>
              <w:t>$</w:t>
            </w:r>
          </w:p>
        </w:tc>
        <w:tc>
          <w:tcPr>
            <w:tcW w:w="1470" w:type="dxa"/>
            <w:tcBorders/>
            <w:shd w:fill="CCEEFF" w:val="clear"/>
            <w:vAlign w:val="center"/>
          </w:tcPr>
          <w:p>
            <w:pPr>
              <w:pStyle w:val="TableContents"/>
              <w:spacing w:before="0" w:after="0"/>
              <w:jc w:val="right"/>
              <w:rPr>
                <w:rFonts w:ascii="inherit" w:hAnsi="inherit"/>
                <w:b/>
                <w:sz w:val="17"/>
              </w:rPr>
            </w:pPr>
            <w:r>
              <w:rPr>
                <w:rFonts w:ascii="inherit" w:hAnsi="inherit"/>
                <w:b/>
                <w:sz w:val="17"/>
              </w:rPr>
              <w:t>5,265</w:t>
            </w:r>
          </w:p>
        </w:tc>
        <w:tc>
          <w:tcPr>
            <w:tcW w:w="4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Add:</w:t>
            </w:r>
          </w:p>
        </w:tc>
        <w:tc>
          <w:tcPr>
            <w:tcW w:w="149" w:type="dxa"/>
            <w:tcBorders/>
            <w:shd w:fill="auto" w:val="clear"/>
            <w:vAlign w:val="center"/>
          </w:tcPr>
          <w:p>
            <w:pPr>
              <w:pStyle w:val="TableContents"/>
              <w:spacing w:before="0" w:after="0"/>
              <w:ind w:left="0" w:right="0" w:firstLine="30"/>
              <w:rPr/>
            </w:pPr>
            <w:r>
              <w:rPr/>
              <w:t> </w:t>
            </w:r>
          </w:p>
        </w:tc>
        <w:tc>
          <w:tcPr>
            <w:tcW w:w="1834" w:type="dxa"/>
            <w:gridSpan w:val="3"/>
            <w:tcBorders/>
            <w:shd w:fill="auto" w:val="clear"/>
            <w:vAlign w:val="center"/>
          </w:tcPr>
          <w:p>
            <w:pPr>
              <w:pStyle w:val="TableContents"/>
              <w:spacing w:before="0" w:after="0"/>
              <w:ind w:left="0" w:right="0" w:firstLine="30"/>
              <w:rPr/>
            </w:pPr>
            <w:r>
              <w:rPr/>
              <w:t> </w:t>
            </w:r>
          </w:p>
        </w:tc>
        <w:tc>
          <w:tcPr>
            <w:tcW w:w="149" w:type="dxa"/>
            <w:tcBorders/>
            <w:shd w:fill="auto" w:val="clear"/>
            <w:vAlign w:val="center"/>
          </w:tcPr>
          <w:p>
            <w:pPr>
              <w:pStyle w:val="TableContents"/>
              <w:spacing w:before="0" w:after="0"/>
              <w:ind w:left="0" w:right="0" w:firstLine="30"/>
              <w:rPr/>
            </w:pPr>
            <w:r>
              <w:rPr/>
              <w:t> </w:t>
            </w:r>
          </w:p>
        </w:tc>
        <w:tc>
          <w:tcPr>
            <w:tcW w:w="2144" w:type="dxa"/>
            <w:gridSpan w:val="3"/>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9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Distributable cash flow attributable to noncontrolling interest in OpCo</w:t>
            </w:r>
          </w:p>
        </w:tc>
        <w:tc>
          <w:tcPr>
            <w:tcW w:w="149" w:type="dxa"/>
            <w:tcBorders/>
            <w:shd w:fill="CCEEFF" w:val="clear"/>
            <w:vAlign w:val="center"/>
          </w:tcPr>
          <w:p>
            <w:pPr>
              <w:pStyle w:val="TableContents"/>
              <w:spacing w:before="0" w:after="0"/>
              <w:ind w:left="0" w:right="0" w:firstLine="30"/>
              <w:rPr/>
            </w:pPr>
            <w:r>
              <w:rPr/>
              <w:t> </w:t>
            </w:r>
          </w:p>
        </w:tc>
        <w:tc>
          <w:tcPr>
            <w:tcW w:w="166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51,652</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66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51,652</w:t>
            </w:r>
          </w:p>
        </w:tc>
        <w:tc>
          <w:tcPr>
            <w:tcW w:w="47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9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the Predecessor</w:t>
            </w:r>
          </w:p>
        </w:tc>
        <w:tc>
          <w:tcPr>
            <w:tcW w:w="149" w:type="dxa"/>
            <w:tcBorders/>
            <w:shd w:fill="auto" w:val="clear"/>
            <w:vAlign w:val="center"/>
          </w:tcPr>
          <w:p>
            <w:pPr>
              <w:pStyle w:val="TableContents"/>
              <w:spacing w:before="0" w:after="0"/>
              <w:ind w:left="0" w:right="0" w:firstLine="30"/>
              <w:rPr/>
            </w:pPr>
            <w:r>
              <w:rPr/>
              <w:t> </w:t>
            </w:r>
          </w:p>
        </w:tc>
        <w:tc>
          <w:tcPr>
            <w:tcW w:w="166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63,616</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66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361,334</w:t>
            </w:r>
          </w:p>
        </w:tc>
        <w:tc>
          <w:tcPr>
            <w:tcW w:w="47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9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Maintenance capital expenditures</w:t>
            </w:r>
          </w:p>
        </w:tc>
        <w:tc>
          <w:tcPr>
            <w:tcW w:w="149" w:type="dxa"/>
            <w:tcBorders/>
            <w:shd w:fill="CCEEFF" w:val="clear"/>
            <w:vAlign w:val="center"/>
          </w:tcPr>
          <w:p>
            <w:pPr>
              <w:pStyle w:val="TableContents"/>
              <w:spacing w:before="0" w:after="0"/>
              <w:ind w:left="0" w:right="0" w:firstLine="30"/>
              <w:rPr/>
            </w:pPr>
            <w:r>
              <w:rPr/>
              <w:t> </w:t>
            </w:r>
          </w:p>
        </w:tc>
        <w:tc>
          <w:tcPr>
            <w:tcW w:w="166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5,839</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66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5,839</w:t>
            </w:r>
          </w:p>
        </w:tc>
        <w:tc>
          <w:tcPr>
            <w:tcW w:w="47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9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Contribution to turnaround reserves</w:t>
            </w:r>
          </w:p>
        </w:tc>
        <w:tc>
          <w:tcPr>
            <w:tcW w:w="149" w:type="dxa"/>
            <w:tcBorders/>
            <w:shd w:fill="auto" w:val="clear"/>
            <w:vAlign w:val="center"/>
          </w:tcPr>
          <w:p>
            <w:pPr>
              <w:pStyle w:val="TableContents"/>
              <w:spacing w:before="0" w:after="0"/>
              <w:ind w:left="0" w:right="0" w:firstLine="30"/>
              <w:rPr/>
            </w:pPr>
            <w:r>
              <w:rPr/>
              <w:t> </w:t>
            </w:r>
          </w:p>
        </w:tc>
        <w:tc>
          <w:tcPr>
            <w:tcW w:w="166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4,484</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66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4,484</w:t>
            </w:r>
          </w:p>
        </w:tc>
        <w:tc>
          <w:tcPr>
            <w:tcW w:w="4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Less:</w:t>
            </w:r>
          </w:p>
        </w:tc>
        <w:tc>
          <w:tcPr>
            <w:tcW w:w="149" w:type="dxa"/>
            <w:tcBorders/>
            <w:shd w:fill="CCEEFF" w:val="clear"/>
            <w:vAlign w:val="center"/>
          </w:tcPr>
          <w:p>
            <w:pPr>
              <w:pStyle w:val="TableContents"/>
              <w:spacing w:before="0" w:after="0"/>
              <w:ind w:left="0" w:right="0" w:firstLine="30"/>
              <w:rPr/>
            </w:pPr>
            <w:r>
              <w:rPr/>
              <w:t> </w:t>
            </w:r>
          </w:p>
        </w:tc>
        <w:tc>
          <w:tcPr>
            <w:tcW w:w="1834" w:type="dxa"/>
            <w:gridSpan w:val="3"/>
            <w:tcBorders/>
            <w:shd w:fill="CCEEFF" w:val="clear"/>
            <w:vAlign w:val="center"/>
          </w:tcPr>
          <w:p>
            <w:pPr>
              <w:pStyle w:val="TableContents"/>
              <w:spacing w:before="0" w:after="0"/>
              <w:ind w:left="0" w:right="0" w:firstLine="30"/>
              <w:rPr/>
            </w:pPr>
            <w:r>
              <w:rPr/>
              <w:t> </w:t>
            </w:r>
          </w:p>
        </w:tc>
        <w:tc>
          <w:tcPr>
            <w:tcW w:w="149" w:type="dxa"/>
            <w:tcBorders/>
            <w:shd w:fill="CCEEFF" w:val="clear"/>
            <w:vAlign w:val="center"/>
          </w:tcPr>
          <w:p>
            <w:pPr>
              <w:pStyle w:val="TableContents"/>
              <w:spacing w:before="0" w:after="0"/>
              <w:ind w:left="0" w:right="0" w:firstLine="30"/>
              <w:rPr/>
            </w:pPr>
            <w:r>
              <w:rPr/>
              <w:t> </w:t>
            </w:r>
          </w:p>
        </w:tc>
        <w:tc>
          <w:tcPr>
            <w:tcW w:w="2144" w:type="dxa"/>
            <w:gridSpan w:val="3"/>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929"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Depreciation and amortization </w:t>
            </w:r>
            <w:r>
              <w:rPr>
                <w:rFonts w:ascii="inherit" w:hAnsi="inherit"/>
                <w:sz w:val="12"/>
              </w:rPr>
              <w:t>(1)</w:t>
            </w:r>
          </w:p>
        </w:tc>
        <w:tc>
          <w:tcPr>
            <w:tcW w:w="149" w:type="dxa"/>
            <w:tcBorders/>
            <w:shd w:fill="auto" w:val="clear"/>
            <w:vAlign w:val="center"/>
          </w:tcPr>
          <w:p>
            <w:pPr>
              <w:pStyle w:val="TableContents"/>
              <w:spacing w:before="0" w:after="0"/>
              <w:ind w:left="0" w:right="0" w:firstLine="30"/>
              <w:rPr/>
            </w:pPr>
            <w:r>
              <w:rPr/>
              <w:t> </w:t>
            </w:r>
          </w:p>
        </w:tc>
        <w:tc>
          <w:tcPr>
            <w:tcW w:w="166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(12,683</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66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(12,683</w:t>
            </w:r>
          </w:p>
        </w:tc>
        <w:tc>
          <w:tcPr>
            <w:tcW w:w="4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929"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Net income</w:t>
            </w:r>
          </w:p>
        </w:tc>
        <w:tc>
          <w:tcPr>
            <w:tcW w:w="149" w:type="dxa"/>
            <w:tcBorders/>
            <w:shd w:fill="CCEEFF" w:val="clear"/>
            <w:vAlign w:val="center"/>
          </w:tcPr>
          <w:p>
            <w:pPr>
              <w:pStyle w:val="TableContents"/>
              <w:spacing w:before="0" w:after="0"/>
              <w:ind w:left="0" w:right="0" w:firstLine="30"/>
              <w:rPr/>
            </w:pPr>
            <w:r>
              <w:rPr/>
              <w:t> </w:t>
            </w:r>
          </w:p>
        </w:tc>
        <w:tc>
          <w:tcPr>
            <w:tcW w:w="19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147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118,173</w:t>
            </w:r>
          </w:p>
        </w:tc>
        <w:tc>
          <w:tcPr>
            <w:tcW w:w="16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96"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147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415,891</w:t>
            </w:r>
          </w:p>
        </w:tc>
        <w:tc>
          <w:tcPr>
            <w:tcW w:w="478"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Changes in operating assets and liabilities and other</w:t>
            </w:r>
          </w:p>
        </w:tc>
        <w:tc>
          <w:tcPr>
            <w:tcW w:w="149" w:type="dxa"/>
            <w:tcBorders/>
            <w:shd w:fill="auto" w:val="clear"/>
            <w:vAlign w:val="center"/>
          </w:tcPr>
          <w:p>
            <w:pPr>
              <w:pStyle w:val="TableContents"/>
              <w:spacing w:before="0" w:after="0"/>
              <w:ind w:left="0" w:right="0" w:firstLine="30"/>
              <w:rPr/>
            </w:pPr>
            <w:r>
              <w:rPr/>
              <w:t> </w:t>
            </w:r>
          </w:p>
        </w:tc>
        <w:tc>
          <w:tcPr>
            <w:tcW w:w="1834" w:type="dxa"/>
            <w:gridSpan w:val="3"/>
            <w:tcBorders/>
            <w:shd w:fill="auto" w:val="clear"/>
            <w:vAlign w:val="center"/>
          </w:tcPr>
          <w:p>
            <w:pPr>
              <w:pStyle w:val="TableContents"/>
              <w:spacing w:before="0" w:after="0"/>
              <w:ind w:left="0" w:right="0" w:firstLine="30"/>
              <w:rPr/>
            </w:pPr>
            <w:r>
              <w:rPr/>
              <w:t> </w:t>
            </w:r>
          </w:p>
        </w:tc>
        <w:tc>
          <w:tcPr>
            <w:tcW w:w="149" w:type="dxa"/>
            <w:tcBorders/>
            <w:shd w:fill="auto" w:val="clear"/>
            <w:vAlign w:val="center"/>
          </w:tcPr>
          <w:p>
            <w:pPr>
              <w:pStyle w:val="TableContents"/>
              <w:spacing w:before="0" w:after="0"/>
              <w:ind w:left="0" w:right="0" w:firstLine="30"/>
              <w:rPr/>
            </w:pPr>
            <w:r>
              <w:rPr/>
              <w:t> </w:t>
            </w:r>
          </w:p>
        </w:tc>
        <w:tc>
          <w:tcPr>
            <w:tcW w:w="166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59,450</w:t>
            </w:r>
          </w:p>
        </w:tc>
        <w:tc>
          <w:tcPr>
            <w:tcW w:w="4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income of joint venture, net of dividends</w:t>
            </w:r>
          </w:p>
        </w:tc>
        <w:tc>
          <w:tcPr>
            <w:tcW w:w="149" w:type="dxa"/>
            <w:tcBorders/>
            <w:shd w:fill="CCEEFF" w:val="clear"/>
            <w:vAlign w:val="center"/>
          </w:tcPr>
          <w:p>
            <w:pPr>
              <w:pStyle w:val="TableContents"/>
              <w:spacing w:before="0" w:after="0"/>
              <w:ind w:left="0" w:right="0" w:firstLine="30"/>
              <w:rPr/>
            </w:pPr>
            <w:r>
              <w:rPr/>
              <w:t> </w:t>
            </w:r>
          </w:p>
        </w:tc>
        <w:tc>
          <w:tcPr>
            <w:tcW w:w="1834" w:type="dxa"/>
            <w:gridSpan w:val="3"/>
            <w:tcBorders/>
            <w:shd w:fill="CCEEFF" w:val="clear"/>
            <w:vAlign w:val="center"/>
          </w:tcPr>
          <w:p>
            <w:pPr>
              <w:pStyle w:val="TableContents"/>
              <w:spacing w:before="0" w:after="0"/>
              <w:ind w:left="0" w:right="0" w:firstLine="30"/>
              <w:rPr/>
            </w:pPr>
            <w:r>
              <w:rPr/>
              <w:t> </w:t>
            </w:r>
          </w:p>
        </w:tc>
        <w:tc>
          <w:tcPr>
            <w:tcW w:w="149" w:type="dxa"/>
            <w:tcBorders/>
            <w:shd w:fill="CCEEFF" w:val="clear"/>
            <w:vAlign w:val="center"/>
          </w:tcPr>
          <w:p>
            <w:pPr>
              <w:pStyle w:val="TableContents"/>
              <w:spacing w:before="0" w:after="0"/>
              <w:ind w:left="0" w:right="0" w:firstLine="30"/>
              <w:rPr/>
            </w:pPr>
            <w:r>
              <w:rPr/>
              <w:t> </w:t>
            </w:r>
          </w:p>
        </w:tc>
        <w:tc>
          <w:tcPr>
            <w:tcW w:w="166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1,073</w:t>
            </w:r>
          </w:p>
        </w:tc>
        <w:tc>
          <w:tcPr>
            <w:tcW w:w="4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Deferred income taxes</w:t>
            </w:r>
          </w:p>
        </w:tc>
        <w:tc>
          <w:tcPr>
            <w:tcW w:w="149" w:type="dxa"/>
            <w:tcBorders/>
            <w:shd w:fill="auto" w:val="clear"/>
            <w:vAlign w:val="center"/>
          </w:tcPr>
          <w:p>
            <w:pPr>
              <w:pStyle w:val="TableContents"/>
              <w:spacing w:before="0" w:after="0"/>
              <w:ind w:left="0" w:right="0" w:firstLine="30"/>
              <w:rPr/>
            </w:pPr>
            <w:r>
              <w:rPr/>
              <w:t> </w:t>
            </w:r>
          </w:p>
        </w:tc>
        <w:tc>
          <w:tcPr>
            <w:tcW w:w="1834" w:type="dxa"/>
            <w:gridSpan w:val="3"/>
            <w:tcBorders/>
            <w:shd w:fill="auto" w:val="clear"/>
            <w:vAlign w:val="center"/>
          </w:tcPr>
          <w:p>
            <w:pPr>
              <w:pStyle w:val="TableContents"/>
              <w:spacing w:before="0" w:after="0"/>
              <w:ind w:left="0" w:right="0" w:firstLine="30"/>
              <w:rPr/>
            </w:pPr>
            <w:r>
              <w:rPr/>
              <w:t> </w:t>
            </w:r>
          </w:p>
        </w:tc>
        <w:tc>
          <w:tcPr>
            <w:tcW w:w="149" w:type="dxa"/>
            <w:tcBorders/>
            <w:shd w:fill="auto" w:val="clear"/>
            <w:vAlign w:val="center"/>
          </w:tcPr>
          <w:p>
            <w:pPr>
              <w:pStyle w:val="TableContents"/>
              <w:spacing w:before="0" w:after="0"/>
              <w:ind w:left="0" w:right="0" w:firstLine="30"/>
              <w:rPr/>
            </w:pPr>
            <w:r>
              <w:rPr/>
              <w:t> </w:t>
            </w:r>
          </w:p>
        </w:tc>
        <w:tc>
          <w:tcPr>
            <w:tcW w:w="166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8,267</w:t>
            </w:r>
          </w:p>
        </w:tc>
        <w:tc>
          <w:tcPr>
            <w:tcW w:w="4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from disposition of fixed assets</w:t>
            </w:r>
          </w:p>
        </w:tc>
        <w:tc>
          <w:tcPr>
            <w:tcW w:w="149" w:type="dxa"/>
            <w:tcBorders/>
            <w:shd w:fill="CCEEFF" w:val="clear"/>
            <w:vAlign w:val="center"/>
          </w:tcPr>
          <w:p>
            <w:pPr>
              <w:pStyle w:val="TableContents"/>
              <w:spacing w:before="0" w:after="0"/>
              <w:ind w:left="0" w:right="0" w:firstLine="30"/>
              <w:rPr/>
            </w:pPr>
            <w:r>
              <w:rPr/>
              <w:t> </w:t>
            </w:r>
          </w:p>
        </w:tc>
        <w:tc>
          <w:tcPr>
            <w:tcW w:w="1834" w:type="dxa"/>
            <w:gridSpan w:val="3"/>
            <w:tcBorders/>
            <w:shd w:fill="CCEEFF" w:val="clear"/>
            <w:vAlign w:val="center"/>
          </w:tcPr>
          <w:p>
            <w:pPr>
              <w:pStyle w:val="TableContents"/>
              <w:spacing w:before="0" w:after="0"/>
              <w:ind w:left="0" w:right="0" w:firstLine="30"/>
              <w:rPr/>
            </w:pPr>
            <w:r>
              <w:rPr/>
              <w:t> </w:t>
            </w:r>
          </w:p>
        </w:tc>
        <w:tc>
          <w:tcPr>
            <w:tcW w:w="149" w:type="dxa"/>
            <w:tcBorders/>
            <w:shd w:fill="CCEEFF" w:val="clear"/>
            <w:vAlign w:val="center"/>
          </w:tcPr>
          <w:p>
            <w:pPr>
              <w:pStyle w:val="TableContents"/>
              <w:spacing w:before="0" w:after="0"/>
              <w:ind w:left="0" w:right="0" w:firstLine="30"/>
              <w:rPr/>
            </w:pPr>
            <w:r>
              <w:rPr/>
              <w:t> </w:t>
            </w:r>
          </w:p>
        </w:tc>
        <w:tc>
          <w:tcPr>
            <w:tcW w:w="166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1,244</w:t>
            </w:r>
          </w:p>
        </w:tc>
        <w:tc>
          <w:tcPr>
            <w:tcW w:w="4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Provision for doubtful accounts</w:t>
            </w:r>
          </w:p>
        </w:tc>
        <w:tc>
          <w:tcPr>
            <w:tcW w:w="149" w:type="dxa"/>
            <w:tcBorders/>
            <w:shd w:fill="auto" w:val="clear"/>
            <w:vAlign w:val="center"/>
          </w:tcPr>
          <w:p>
            <w:pPr>
              <w:pStyle w:val="TableContents"/>
              <w:spacing w:before="0" w:after="0"/>
              <w:ind w:left="0" w:right="0" w:firstLine="30"/>
              <w:rPr/>
            </w:pPr>
            <w:r>
              <w:rPr/>
              <w:t> </w:t>
            </w:r>
          </w:p>
        </w:tc>
        <w:tc>
          <w:tcPr>
            <w:tcW w:w="1834" w:type="dxa"/>
            <w:gridSpan w:val="3"/>
            <w:tcBorders/>
            <w:shd w:fill="auto" w:val="clear"/>
            <w:vAlign w:val="center"/>
          </w:tcPr>
          <w:p>
            <w:pPr>
              <w:pStyle w:val="TableContents"/>
              <w:spacing w:before="0" w:after="0"/>
              <w:ind w:left="0" w:right="0" w:firstLine="30"/>
              <w:rPr/>
            </w:pPr>
            <w:r>
              <w:rPr/>
              <w:t> </w:t>
            </w:r>
          </w:p>
        </w:tc>
        <w:tc>
          <w:tcPr>
            <w:tcW w:w="149" w:type="dxa"/>
            <w:tcBorders/>
            <w:shd w:fill="auto" w:val="clear"/>
            <w:vAlign w:val="center"/>
          </w:tcPr>
          <w:p>
            <w:pPr>
              <w:pStyle w:val="TableContents"/>
              <w:spacing w:before="0" w:after="0"/>
              <w:ind w:left="0" w:right="0" w:firstLine="30"/>
              <w:rPr/>
            </w:pPr>
            <w:r>
              <w:rPr/>
              <w:t> </w:t>
            </w:r>
          </w:p>
        </w:tc>
        <w:tc>
          <w:tcPr>
            <w:tcW w:w="166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w:t>
            </w:r>
          </w:p>
        </w:tc>
        <w:tc>
          <w:tcPr>
            <w:tcW w:w="4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29"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Net cash provided by operating activities</w:t>
            </w:r>
          </w:p>
        </w:tc>
        <w:tc>
          <w:tcPr>
            <w:tcW w:w="149" w:type="dxa"/>
            <w:tcBorders/>
            <w:shd w:fill="CCEEFF" w:val="clear"/>
            <w:vAlign w:val="center"/>
          </w:tcPr>
          <w:p>
            <w:pPr>
              <w:pStyle w:val="TableContents"/>
              <w:spacing w:before="0" w:after="0"/>
              <w:ind w:left="0" w:right="0" w:firstLine="30"/>
              <w:rPr/>
            </w:pPr>
            <w:r>
              <w:rPr/>
              <w:t> </w:t>
            </w:r>
          </w:p>
        </w:tc>
        <w:tc>
          <w:tcPr>
            <w:tcW w:w="1834" w:type="dxa"/>
            <w:gridSpan w:val="3"/>
            <w:tcBorders/>
            <w:shd w:fill="CCEEFF" w:val="clear"/>
            <w:vAlign w:val="center"/>
          </w:tcPr>
          <w:p>
            <w:pPr>
              <w:pStyle w:val="TableContents"/>
              <w:spacing w:before="0" w:after="0"/>
              <w:ind w:left="0" w:right="0" w:firstLine="30"/>
              <w:rPr/>
            </w:pPr>
            <w:r>
              <w:rPr/>
              <w:t> </w:t>
            </w:r>
          </w:p>
        </w:tc>
        <w:tc>
          <w:tcPr>
            <w:tcW w:w="149" w:type="dxa"/>
            <w:tcBorders/>
            <w:shd w:fill="CCEEFF" w:val="clear"/>
            <w:vAlign w:val="center"/>
          </w:tcPr>
          <w:p>
            <w:pPr>
              <w:pStyle w:val="TableContents"/>
              <w:spacing w:before="0" w:after="0"/>
              <w:ind w:left="0" w:right="0" w:firstLine="30"/>
              <w:rPr/>
            </w:pPr>
            <w:r>
              <w:rPr/>
              <w:t> </w:t>
            </w:r>
          </w:p>
        </w:tc>
        <w:tc>
          <w:tcPr>
            <w:tcW w:w="19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147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485,990</w:t>
            </w:r>
          </w:p>
        </w:tc>
        <w:tc>
          <w:tcPr>
            <w:tcW w:w="47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____________</w:t>
            </w:r>
          </w:p>
        </w:tc>
        <w:tc>
          <w:tcPr>
            <w:tcW w:w="149" w:type="dxa"/>
            <w:tcBorders/>
            <w:shd w:fill="auto" w:val="clear"/>
            <w:vAlign w:val="center"/>
          </w:tcPr>
          <w:p>
            <w:pPr>
              <w:pStyle w:val="TableContents"/>
              <w:spacing w:before="0" w:after="0"/>
              <w:ind w:left="0" w:right="0" w:firstLine="30"/>
              <w:rPr/>
            </w:pPr>
            <w:r>
              <w:rPr/>
              <w:t> </w:t>
            </w:r>
          </w:p>
        </w:tc>
        <w:tc>
          <w:tcPr>
            <w:tcW w:w="1834" w:type="dxa"/>
            <w:gridSpan w:val="3"/>
            <w:tcBorders/>
            <w:shd w:fill="auto" w:val="clear"/>
            <w:vAlign w:val="center"/>
          </w:tcPr>
          <w:p>
            <w:pPr>
              <w:pStyle w:val="TableContents"/>
              <w:spacing w:before="0" w:after="0"/>
              <w:ind w:left="0" w:right="0" w:firstLine="30"/>
              <w:rPr/>
            </w:pPr>
            <w:r>
              <w:rPr/>
              <w:t> </w:t>
            </w:r>
          </w:p>
        </w:tc>
        <w:tc>
          <w:tcPr>
            <w:tcW w:w="149" w:type="dxa"/>
            <w:tcBorders/>
            <w:shd w:fill="auto" w:val="clear"/>
            <w:vAlign w:val="center"/>
          </w:tcPr>
          <w:p>
            <w:pPr>
              <w:pStyle w:val="TableContents"/>
              <w:spacing w:before="0" w:after="0"/>
              <w:ind w:left="0" w:right="0" w:firstLine="30"/>
              <w:rPr/>
            </w:pPr>
            <w:r>
              <w:rPr/>
              <w:t> </w:t>
            </w:r>
          </w:p>
        </w:tc>
        <w:tc>
          <w:tcPr>
            <w:tcW w:w="2144" w:type="dxa"/>
            <w:gridSpan w:val="3"/>
            <w:tcBorders/>
            <w:shd w:fill="auto" w:val="clear"/>
            <w:vAlign w:val="center"/>
          </w:tcPr>
          <w:p>
            <w:pPr>
              <w:pStyle w:val="TableContents"/>
              <w:spacing w:before="0" w:after="0"/>
              <w:ind w:left="0" w:right="0" w:firstLine="30"/>
              <w:rPr/>
            </w:pPr>
            <w:r>
              <w:rPr/>
              <w:t> </w:t>
            </w:r>
          </w:p>
        </w:tc>
      </w:tr>
      <w:tr>
        <w:trPr/>
        <w:tc>
          <w:tcPr>
            <w:tcW w:w="10205" w:type="dxa"/>
            <w:gridSpan w:val="9"/>
            <w:tcBorders/>
            <w:shd w:fill="auto" w:val="clear"/>
            <w:vAlign w:val="center"/>
          </w:tcPr>
          <w:p>
            <w:pPr>
              <w:pStyle w:val="TableContents"/>
              <w:spacing w:before="0" w:after="0"/>
              <w:jc w:val="left"/>
              <w:rPr>
                <w:rFonts w:ascii="inherit" w:hAnsi="inherit"/>
                <w:sz w:val="17"/>
              </w:rPr>
            </w:pPr>
            <w:r>
              <w:rPr>
                <w:rFonts w:ascii="inherit" w:hAnsi="inherit"/>
                <w:sz w:val="17"/>
              </w:rPr>
              <w:t>(1) Includes the amounts for the period from August 4, 2014 through September 30, 2014 only.</w:t>
            </w:r>
          </w:p>
        </w:tc>
      </w:tr>
    </w:tbl>
    <w:p>
      <w:pPr>
        <w:pStyle w:val="TextBody"/>
        <w:spacing w:lineRule="auto" w:line="288" w:before="0" w:after="0"/>
        <w:jc w:val="left"/>
        <w:rPr>
          <w:rFonts w:ascii="inherit" w:hAnsi="inherit"/>
          <w:b/>
          <w:i/>
          <w:sz w:val="17"/>
        </w:rPr>
      </w:pPr>
      <w:r>
        <w:rPr>
          <w:rFonts w:ascii="inherit" w:hAnsi="inherit"/>
          <w:b/>
          <w:i/>
          <w:sz w:val="17"/>
        </w:rPr>
        <w:t xml:space="preserve">Summary </w:t>
      </w:r>
    </w:p>
    <w:p>
      <w:pPr>
        <w:pStyle w:val="TextBody"/>
        <w:spacing w:lineRule="auto" w:line="288" w:before="0" w:after="0"/>
        <w:ind w:left="0" w:right="0" w:firstLine="480"/>
        <w:jc w:val="left"/>
        <w:rPr>
          <w:sz w:val="17"/>
        </w:rPr>
      </w:pPr>
      <w:r>
        <w:rPr>
          <w:rFonts w:ascii="inherit" w:hAnsi="inherit"/>
          <w:sz w:val="17"/>
        </w:rPr>
        <w:t>For the quarter ended September 30, 2014, net income was $118.2 million</w:t>
      </w:r>
      <w:r>
        <w:rPr>
          <w:sz w:val="17"/>
        </w:rPr>
        <w:t xml:space="preserve"> </w:t>
      </w:r>
      <w:r>
        <w:rPr>
          <w:rFonts w:ascii="inherit" w:hAnsi="inherit"/>
          <w:sz w:val="17"/>
        </w:rPr>
        <w:t>on net sales of $392.0 million. This represents a decrease in net income of $14.4 million</w:t>
      </w:r>
      <w:r>
        <w:rPr>
          <w:sz w:val="17"/>
        </w:rPr>
        <w:t xml:space="preserve"> </w:t>
      </w:r>
      <w:r>
        <w:rPr>
          <w:rFonts w:ascii="inherit" w:hAnsi="inherit"/>
          <w:sz w:val="17"/>
        </w:rPr>
        <w:t>as compared to the quarter ended September 30, 2013</w:t>
      </w:r>
      <w:r>
        <w:rPr>
          <w:sz w:val="17"/>
        </w:rPr>
        <w:t xml:space="preserve"> </w:t>
      </w:r>
      <w:r>
        <w:rPr>
          <w:rFonts w:ascii="inherit" w:hAnsi="inherit"/>
          <w:sz w:val="17"/>
        </w:rPr>
        <w:t>net income of $132.6 million</w:t>
      </w:r>
      <w:r>
        <w:rPr>
          <w:sz w:val="17"/>
        </w:rPr>
        <w:t xml:space="preserve"> </w:t>
      </w:r>
      <w:r>
        <w:rPr>
          <w:rFonts w:ascii="inherit" w:hAnsi="inherit"/>
          <w:sz w:val="17"/>
        </w:rPr>
        <w:t>on net sales of $540.1 million. Net sales for the third quarter of 2014</w:t>
      </w:r>
      <w:r>
        <w:rPr>
          <w:sz w:val="17"/>
        </w:rPr>
        <w:t xml:space="preserve"> </w:t>
      </w:r>
      <w:r>
        <w:rPr>
          <w:rFonts w:ascii="inherit" w:hAnsi="inherit"/>
          <w:sz w:val="17"/>
        </w:rPr>
        <w:t>decreased by $148.1 million</w:t>
      </w:r>
      <w:r>
        <w:rPr>
          <w:sz w:val="17"/>
        </w:rPr>
        <w:t xml:space="preserve"> </w:t>
      </w:r>
      <w:r>
        <w:rPr>
          <w:rFonts w:ascii="inherit" w:hAnsi="inherit"/>
          <w:sz w:val="17"/>
        </w:rPr>
        <w:t>as compared to net sales for the third quarter of 2013, mainly due to lower average sales prices and sales volumes of ethylene sold to Westlake resulting primarily from the execution of the Ethylene Sales Agreement, as well as the retention by Westlake of the Predecessors’ ethylene procurement and reselling activities in connection with the closing of the IPO. Ethylene co-products sales volumes and average sales prices were also lower for the third quarter of 2014 as compared to the same period a year ago, primarily due to the change to ethane feedstock currently being utilized at our Calvert City ethylene plant following the completion of the feedstock conversion project. Income from operations was $156.1 million</w:t>
      </w:r>
      <w:r>
        <w:rPr>
          <w:sz w:val="17"/>
        </w:rPr>
        <w:t xml:space="preserve"> </w:t>
      </w:r>
      <w:r>
        <w:rPr>
          <w:rFonts w:ascii="inherit" w:hAnsi="inherit"/>
          <w:sz w:val="17"/>
        </w:rPr>
        <w:t>for the third quarter of 2014</w:t>
      </w:r>
      <w:r>
        <w:rPr>
          <w:sz w:val="17"/>
        </w:rPr>
        <w:t xml:space="preserve"> </w:t>
      </w:r>
      <w:r>
        <w:rPr>
          <w:rFonts w:ascii="inherit" w:hAnsi="inherit"/>
          <w:sz w:val="17"/>
        </w:rPr>
        <w:t>as compared to $206.6 million</w:t>
      </w:r>
      <w:r>
        <w:rPr>
          <w:sz w:val="17"/>
        </w:rPr>
        <w:t xml:space="preserve"> </w:t>
      </w:r>
      <w:r>
        <w:rPr>
          <w:rFonts w:ascii="inherit" w:hAnsi="inherit"/>
          <w:sz w:val="17"/>
        </w:rPr>
        <w:t>for the third quarter of 2013. Income from operations for the third quarter of 2014</w:t>
      </w:r>
      <w:r>
        <w:rPr>
          <w:sz w:val="17"/>
        </w:rPr>
        <w:t xml:space="preserve"> </w:t>
      </w:r>
      <w:r>
        <w:rPr>
          <w:rFonts w:ascii="inherit" w:hAnsi="inherit"/>
          <w:sz w:val="17"/>
        </w:rPr>
        <w:t xml:space="preserve">decreased mainly as result of the execution of the Ethylene Sales Agreement in connection with the closing of the IPO, partially offset by significantly lower feedstock costs driven by an overall reduced dependency on the more expensive propane as a result of the completion of the feedstock conversion project at Calvert City Olefins. </w:t>
      </w:r>
    </w:p>
    <w:p>
      <w:pPr>
        <w:pStyle w:val="TextBody"/>
        <w:spacing w:lineRule="auto" w:line="288" w:before="0" w:after="0"/>
        <w:ind w:left="0" w:right="0" w:firstLine="450"/>
        <w:jc w:val="left"/>
        <w:rPr>
          <w:sz w:val="17"/>
        </w:rPr>
      </w:pPr>
      <w:r>
        <w:rPr>
          <w:rFonts w:ascii="inherit" w:hAnsi="inherit"/>
          <w:sz w:val="17"/>
        </w:rPr>
        <w:t>For the nine months ended September 30, 2014, net income was $415.9 million</w:t>
      </w:r>
      <w:r>
        <w:rPr>
          <w:sz w:val="17"/>
        </w:rPr>
        <w:t xml:space="preserve"> </w:t>
      </w:r>
      <w:r>
        <w:rPr>
          <w:rFonts w:ascii="inherit" w:hAnsi="inherit"/>
          <w:sz w:val="17"/>
        </w:rPr>
        <w:t>on net sales of $1,476.2 million. This represents an increase in net income of $13.6 million</w:t>
      </w:r>
      <w:r>
        <w:rPr>
          <w:sz w:val="17"/>
        </w:rPr>
        <w:t xml:space="preserve"> </w:t>
      </w:r>
      <w:r>
        <w:rPr>
          <w:rFonts w:ascii="inherit" w:hAnsi="inherit"/>
          <w:sz w:val="17"/>
        </w:rPr>
        <w:t>as compared to the nine months ended September 30, 2013</w:t>
      </w:r>
      <w:r>
        <w:rPr>
          <w:sz w:val="17"/>
        </w:rPr>
        <w:t xml:space="preserve"> </w:t>
      </w:r>
      <w:r>
        <w:rPr>
          <w:rFonts w:ascii="inherit" w:hAnsi="inherit"/>
          <w:sz w:val="17"/>
        </w:rPr>
        <w:t>net income of $402.3 million</w:t>
      </w:r>
      <w:r>
        <w:rPr>
          <w:sz w:val="17"/>
        </w:rPr>
        <w:t xml:space="preserve"> </w:t>
      </w:r>
      <w:r>
        <w:rPr>
          <w:rFonts w:ascii="inherit" w:hAnsi="inherit"/>
          <w:sz w:val="17"/>
        </w:rPr>
        <w:t>on net sales of $1,565.8 million. Net sales for the nine months ended September 30, 2014</w:t>
      </w:r>
      <w:r>
        <w:rPr>
          <w:sz w:val="17"/>
        </w:rPr>
        <w:t xml:space="preserve"> </w:t>
      </w:r>
      <w:r>
        <w:rPr>
          <w:rFonts w:ascii="inherit" w:hAnsi="inherit"/>
          <w:sz w:val="17"/>
        </w:rPr>
        <w:t>decreased by $89.6 million</w:t>
      </w:r>
      <w:r>
        <w:rPr>
          <w:sz w:val="17"/>
        </w:rPr>
        <w:t xml:space="preserve"> </w:t>
      </w:r>
      <w:r>
        <w:rPr>
          <w:rFonts w:ascii="inherit" w:hAnsi="inherit"/>
          <w:sz w:val="17"/>
        </w:rPr>
        <w:t>as compared to the nine months ended September 30, 2013</w:t>
      </w:r>
      <w:r>
        <w:rPr>
          <w:sz w:val="17"/>
        </w:rPr>
        <w:t xml:space="preserve"> </w:t>
      </w:r>
      <w:r>
        <w:rPr>
          <w:rFonts w:ascii="inherit" w:hAnsi="inherit"/>
          <w:sz w:val="17"/>
        </w:rPr>
        <w:t>mainly due to lower average sales prices and sales volumes of ethylene sold to Westlake resulting primarily from the execution of the Ethylene Sales Agreement, as well as the retention by Westlake of the Predecessors’ ethylene procurement and reselling activities in connection with the closing of the IPO. The decrease in net sales was partially offset by an increase in sales volumes and average sales prices for ethylene and feedstock sold to third parties. Income from operations was $621.1 million</w:t>
      </w:r>
      <w:r>
        <w:rPr>
          <w:sz w:val="17"/>
        </w:rPr>
        <w:t xml:space="preserve"> </w:t>
      </w:r>
      <w:r>
        <w:rPr>
          <w:rFonts w:ascii="inherit" w:hAnsi="inherit"/>
          <w:sz w:val="17"/>
        </w:rPr>
        <w:t>for the nine months ended September 30, 2014</w:t>
      </w:r>
      <w:r>
        <w:rPr>
          <w:sz w:val="17"/>
        </w:rPr>
        <w:t xml:space="preserve"> </w:t>
      </w:r>
      <w:r>
        <w:rPr>
          <w:rFonts w:ascii="inherit" w:hAnsi="inherit"/>
          <w:sz w:val="17"/>
        </w:rPr>
        <w:t>as compared to $621.8 million</w:t>
      </w:r>
      <w:r>
        <w:rPr>
          <w:sz w:val="17"/>
        </w:rPr>
        <w:t xml:space="preserve"> </w:t>
      </w:r>
      <w:r>
        <w:rPr>
          <w:rFonts w:ascii="inherit" w:hAnsi="inherit"/>
          <w:sz w:val="17"/>
        </w:rPr>
        <w:t>for the nine months ended September 30, 2013. Income from operations for the nine months ended September 30, 2014</w:t>
      </w:r>
      <w:r>
        <w:rPr>
          <w:sz w:val="17"/>
        </w:rPr>
        <w:t xml:space="preserve"> </w:t>
      </w:r>
      <w:r>
        <w:rPr>
          <w:rFonts w:ascii="inherit" w:hAnsi="inherit"/>
          <w:sz w:val="17"/>
        </w:rPr>
        <w:t xml:space="preserve">decreased primarily as result of the overall lower margin achieved on manufactured ethylene resulting from the execution of the Ethylene Sales Agreement in connection with the closing of the IPO, as well as costs and lost production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24</w:t>
      </w:r>
      <w:r>
        <w:br w:type="page"/>
      </w:r>
    </w:p>
    <w:p>
      <w:pPr>
        <w:pStyle w:val="TextBody"/>
        <w:spacing w:lineRule="auto" w:line="288" w:before="0" w:after="0"/>
        <w:rPr/>
      </w:pPr>
      <w:hyperlink w:anchor="s7D21BC485A80E1C3273666ECEC2365C6">
        <w:bookmarkStart w:id="39" w:name="s9C2546C56352668CD99F66ECE9F30F6A6"/>
        <w:bookmarkEnd w:id="39"/>
        <w:r>
          <w:rPr>
            <w:rStyle w:val="InternetLink"/>
            <w:rFonts w:ascii="inherit" w:hAnsi="inherit"/>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sz w:val="17"/>
        </w:rPr>
      </w:pPr>
      <w:r>
        <w:rPr>
          <w:rFonts w:ascii="inherit" w:hAnsi="inherit"/>
          <w:sz w:val="17"/>
        </w:rPr>
        <w:t>associated with the Calvert City Olefins maintenance turnaround, conversion and expansion activities that took place during the first and second quarters of 2014. The decrease in income from operations for the nine months ended September 30, 2014</w:t>
      </w:r>
      <w:r>
        <w:rPr>
          <w:sz w:val="17"/>
        </w:rPr>
        <w:t xml:space="preserve"> </w:t>
      </w:r>
      <w:r>
        <w:rPr>
          <w:rFonts w:ascii="inherit" w:hAnsi="inherit"/>
          <w:sz w:val="17"/>
        </w:rPr>
        <w:t>as compared to the nine months ended September 30, 2013</w:t>
      </w:r>
      <w:r>
        <w:rPr>
          <w:sz w:val="17"/>
        </w:rPr>
        <w:t xml:space="preserve"> </w:t>
      </w:r>
      <w:r>
        <w:rPr>
          <w:rFonts w:ascii="inherit" w:hAnsi="inherit"/>
          <w:sz w:val="17"/>
        </w:rPr>
        <w:t>was largely offset by significantly lower feedstock costs driven by an overall reduced dependency on the more expensive propane as a result of the completion of the feedstock conversion project at Calvert City Olefins.</w:t>
      </w:r>
    </w:p>
    <w:p>
      <w:pPr>
        <w:pStyle w:val="TextBody"/>
        <w:spacing w:lineRule="auto" w:line="288" w:before="0" w:after="0"/>
        <w:jc w:val="left"/>
        <w:rPr>
          <w:rFonts w:ascii="inherit" w:hAnsi="inherit"/>
          <w:b/>
          <w:sz w:val="17"/>
        </w:rPr>
      </w:pPr>
      <w:r>
        <w:rPr>
          <w:rFonts w:ascii="inherit" w:hAnsi="inherit"/>
          <w:b/>
          <w:sz w:val="17"/>
        </w:rPr>
        <w:t xml:space="preserve">RESULTS OF OPERATIONS </w:t>
      </w:r>
    </w:p>
    <w:p>
      <w:pPr>
        <w:pStyle w:val="TextBody"/>
        <w:spacing w:lineRule="auto" w:line="288" w:before="0" w:after="0"/>
        <w:jc w:val="left"/>
        <w:rPr>
          <w:sz w:val="17"/>
        </w:rPr>
      </w:pPr>
      <w:r>
        <w:rPr>
          <w:rFonts w:ascii="inherit" w:hAnsi="inherit"/>
          <w:b/>
          <w:i/>
          <w:sz w:val="17"/>
        </w:rPr>
        <w:t>Third Quarter 2014</w:t>
      </w:r>
      <w:r>
        <w:rPr>
          <w:sz w:val="17"/>
        </w:rPr>
        <w:t> </w:t>
      </w:r>
      <w:r>
        <w:rPr>
          <w:rFonts w:ascii="inherit" w:hAnsi="inherit"/>
          <w:b/>
          <w:i/>
          <w:sz w:val="17"/>
        </w:rPr>
        <w:t>Compared with Third Quarter 2013</w:t>
      </w:r>
    </w:p>
    <w:p>
      <w:pPr>
        <w:pStyle w:val="TextBody"/>
        <w:spacing w:lineRule="auto" w:line="288" w:before="0" w:after="0"/>
        <w:ind w:left="0" w:right="0" w:firstLine="480"/>
        <w:jc w:val="left"/>
        <w:rPr>
          <w:sz w:val="17"/>
        </w:rPr>
      </w:pPr>
      <w:r>
        <w:rPr>
          <w:rFonts w:ascii="inherit" w:hAnsi="inherit"/>
          <w:i/>
          <w:sz w:val="17"/>
        </w:rPr>
        <w:t>Net Sales.</w:t>
      </w:r>
      <w:r>
        <w:rPr>
          <w:sz w:val="17"/>
        </w:rPr>
        <w:t> </w:t>
      </w:r>
      <w:r>
        <w:rPr>
          <w:rFonts w:ascii="inherit" w:hAnsi="inherit"/>
          <w:sz w:val="17"/>
        </w:rPr>
        <w:t>Net sales decreased by $148.1 million, or 27.4%, to $392.0 million</w:t>
      </w:r>
      <w:r>
        <w:rPr>
          <w:sz w:val="17"/>
        </w:rPr>
        <w:t xml:space="preserve"> </w:t>
      </w:r>
      <w:r>
        <w:rPr>
          <w:rFonts w:ascii="inherit" w:hAnsi="inherit"/>
          <w:sz w:val="17"/>
        </w:rPr>
        <w:t>in the third quarter of 2014</w:t>
      </w:r>
      <w:r>
        <w:rPr>
          <w:sz w:val="17"/>
        </w:rPr>
        <w:t xml:space="preserve"> </w:t>
      </w:r>
      <w:r>
        <w:rPr>
          <w:rFonts w:ascii="inherit" w:hAnsi="inherit"/>
          <w:sz w:val="17"/>
        </w:rPr>
        <w:t>from $540.1 million</w:t>
      </w:r>
      <w:r>
        <w:rPr>
          <w:sz w:val="17"/>
        </w:rPr>
        <w:t xml:space="preserve"> </w:t>
      </w:r>
      <w:r>
        <w:rPr>
          <w:rFonts w:ascii="inherit" w:hAnsi="inherit"/>
          <w:sz w:val="17"/>
        </w:rPr>
        <w:t>in the third quarter of 2013, primarily due to lower average sales prices and sales volumes of ethylene sold to Westlake resulting from the execution of the Ethylene Sales Agreement, as well as the retention by Westlake of the Predecessors’ ethylene procurement and reselling activities in connection with the closing of the IPO. Further, ethylene co-products sales volumes and average sales prices were also lower for the third quarter of 2014 as compared to the same period a year ago, primarily due to the change to ethane feedstock currently being utilized at our Calvert City ethylene plant following the completion of the feedstock conversion project. Average sales prices for the third quarter of 2014</w:t>
      </w:r>
      <w:r>
        <w:rPr>
          <w:sz w:val="17"/>
        </w:rPr>
        <w:t xml:space="preserve"> </w:t>
      </w:r>
      <w:r>
        <w:rPr>
          <w:rFonts w:ascii="inherit" w:hAnsi="inherit"/>
          <w:sz w:val="17"/>
        </w:rPr>
        <w:t>decreased by 17.4%</w:t>
      </w:r>
      <w:r>
        <w:rPr>
          <w:sz w:val="17"/>
        </w:rPr>
        <w:t xml:space="preserve"> </w:t>
      </w:r>
      <w:r>
        <w:rPr>
          <w:rFonts w:ascii="inherit" w:hAnsi="inherit"/>
          <w:sz w:val="17"/>
        </w:rPr>
        <w:t>as compared to the third quarter of 2013. Overall sales volumes decreased by 10.2%</w:t>
      </w:r>
      <w:r>
        <w:rPr>
          <w:sz w:val="17"/>
        </w:rPr>
        <w:t xml:space="preserve"> </w:t>
      </w:r>
      <w:r>
        <w:rPr>
          <w:rFonts w:ascii="inherit" w:hAnsi="inherit"/>
          <w:sz w:val="17"/>
        </w:rPr>
        <w:t>as compared to the third quarter of 2013.</w:t>
      </w:r>
    </w:p>
    <w:p>
      <w:pPr>
        <w:pStyle w:val="TextBody"/>
        <w:spacing w:lineRule="auto" w:line="288" w:before="0" w:after="0"/>
        <w:ind w:left="0" w:right="0" w:firstLine="480"/>
        <w:jc w:val="left"/>
        <w:rPr>
          <w:sz w:val="17"/>
        </w:rPr>
      </w:pPr>
      <w:r>
        <w:rPr>
          <w:rFonts w:ascii="inherit" w:hAnsi="inherit"/>
          <w:i/>
          <w:sz w:val="17"/>
        </w:rPr>
        <w:t>Gross Profit.</w:t>
      </w:r>
      <w:r>
        <w:rPr>
          <w:sz w:val="17"/>
        </w:rPr>
        <w:t> </w:t>
      </w:r>
      <w:r>
        <w:rPr>
          <w:rFonts w:ascii="inherit" w:hAnsi="inherit"/>
          <w:sz w:val="17"/>
        </w:rPr>
        <w:t>Gross profit margin percentage increased to 42.1%</w:t>
      </w:r>
      <w:r>
        <w:rPr>
          <w:sz w:val="17"/>
        </w:rPr>
        <w:t xml:space="preserve"> </w:t>
      </w:r>
      <w:r>
        <w:rPr>
          <w:rFonts w:ascii="inherit" w:hAnsi="inherit"/>
          <w:sz w:val="17"/>
        </w:rPr>
        <w:t>for the third quarter of 2014</w:t>
      </w:r>
      <w:r>
        <w:rPr>
          <w:sz w:val="17"/>
        </w:rPr>
        <w:t xml:space="preserve"> </w:t>
      </w:r>
      <w:r>
        <w:rPr>
          <w:rFonts w:ascii="inherit" w:hAnsi="inherit"/>
          <w:sz w:val="17"/>
        </w:rPr>
        <w:t>from 39.4%</w:t>
      </w:r>
      <w:r>
        <w:rPr>
          <w:sz w:val="17"/>
        </w:rPr>
        <w:t xml:space="preserve"> </w:t>
      </w:r>
      <w:r>
        <w:rPr>
          <w:rFonts w:ascii="inherit" w:hAnsi="inherit"/>
          <w:sz w:val="17"/>
        </w:rPr>
        <w:t>for the third quarter of 2013, primarily due to a reduction in feedstock costs resulting from the completion of the Calvert City Olefins conversion project, largely offset by a reduction in margin for ethylene sold to Westlake resulting from the execution of the Ethylene Sales Agreement at the closing of the IPO. Overall, sales prices decreased an average of 17.4%</w:t>
      </w:r>
      <w:r>
        <w:rPr>
          <w:sz w:val="17"/>
        </w:rPr>
        <w:t> </w:t>
      </w:r>
      <w:r>
        <w:rPr>
          <w:rFonts w:ascii="inherit" w:hAnsi="inherit"/>
          <w:sz w:val="17"/>
        </w:rPr>
        <w:t>for the third quarter of 2014</w:t>
      </w:r>
      <w:r>
        <w:rPr>
          <w:sz w:val="17"/>
        </w:rPr>
        <w:t> </w:t>
      </w:r>
      <w:r>
        <w:rPr>
          <w:rFonts w:ascii="inherit" w:hAnsi="inherit"/>
          <w:sz w:val="17"/>
        </w:rPr>
        <w:t xml:space="preserve">as compared to the third quarter of 2013. </w:t>
      </w:r>
    </w:p>
    <w:p>
      <w:pPr>
        <w:pStyle w:val="TextBody"/>
        <w:spacing w:lineRule="auto" w:line="288" w:before="0" w:after="0"/>
        <w:ind w:left="0" w:right="0" w:firstLine="480"/>
        <w:jc w:val="left"/>
        <w:rPr>
          <w:sz w:val="17"/>
        </w:rPr>
      </w:pPr>
      <w:r>
        <w:rPr>
          <w:rFonts w:ascii="inherit" w:hAnsi="inherit"/>
          <w:i/>
          <w:sz w:val="17"/>
        </w:rPr>
        <w:t>Selling General and Administrative Expenses.</w:t>
      </w:r>
      <w:r>
        <w:rPr>
          <w:sz w:val="17"/>
        </w:rPr>
        <w:t> </w:t>
      </w:r>
      <w:r>
        <w:rPr>
          <w:rFonts w:ascii="inherit" w:hAnsi="inherit"/>
          <w:sz w:val="17"/>
        </w:rPr>
        <w:t>Selling, general and administrative expenses increased $2.5 million, or 39.1%, to $8.9 million</w:t>
      </w:r>
      <w:r>
        <w:rPr>
          <w:sz w:val="17"/>
        </w:rPr>
        <w:t xml:space="preserve"> </w:t>
      </w:r>
      <w:r>
        <w:rPr>
          <w:rFonts w:ascii="inherit" w:hAnsi="inherit"/>
          <w:sz w:val="17"/>
        </w:rPr>
        <w:t>in the third quarter of 2014</w:t>
      </w:r>
      <w:r>
        <w:rPr>
          <w:sz w:val="17"/>
        </w:rPr>
        <w:t xml:space="preserve"> </w:t>
      </w:r>
      <w:r>
        <w:rPr>
          <w:rFonts w:ascii="inherit" w:hAnsi="inherit"/>
          <w:sz w:val="17"/>
        </w:rPr>
        <w:t>as compared to $6.4 million</w:t>
      </w:r>
      <w:r>
        <w:rPr>
          <w:sz w:val="17"/>
        </w:rPr>
        <w:t xml:space="preserve"> </w:t>
      </w:r>
      <w:r>
        <w:rPr>
          <w:rFonts w:ascii="inherit" w:hAnsi="inherit"/>
          <w:sz w:val="17"/>
        </w:rPr>
        <w:t xml:space="preserve">in the third quarter of 2013. The increase was mainly attributable to incremental general and administrative expenses incurred by the Partnership subsequent to the IPO as a result of being a separate publicly-traded partnership, coupled with higher allocations from Westlake due to Westlake’s increased cost associated with consulting and professional fees and other operating costs such as maintenance and services fees. This increase in selling, general and administrative expenses was partially offset by a decrease in the allocation from Westlake of labor costs mainly attributable to the Predecessor’s operations retained by Westlake after the closing of the IPO. </w:t>
      </w:r>
    </w:p>
    <w:p>
      <w:pPr>
        <w:pStyle w:val="TextBody"/>
        <w:spacing w:lineRule="auto" w:line="288" w:before="0" w:after="0"/>
        <w:ind w:left="0" w:right="0" w:firstLine="480"/>
        <w:jc w:val="left"/>
        <w:rPr>
          <w:sz w:val="17"/>
        </w:rPr>
      </w:pPr>
      <w:r>
        <w:rPr>
          <w:rFonts w:ascii="inherit" w:hAnsi="inherit"/>
          <w:i/>
          <w:sz w:val="17"/>
        </w:rPr>
        <w:t>Interest Expense.</w:t>
      </w:r>
      <w:r>
        <w:rPr>
          <w:sz w:val="17"/>
        </w:rPr>
        <w:t> </w:t>
      </w:r>
      <w:r>
        <w:rPr>
          <w:rFonts w:ascii="inherit" w:hAnsi="inherit"/>
          <w:sz w:val="17"/>
        </w:rPr>
        <w:t>Interest expense decreased by $0.2 million</w:t>
      </w:r>
      <w:r>
        <w:rPr>
          <w:sz w:val="17"/>
        </w:rPr>
        <w:t xml:space="preserve"> </w:t>
      </w:r>
      <w:r>
        <w:rPr>
          <w:rFonts w:ascii="inherit" w:hAnsi="inherit"/>
          <w:sz w:val="17"/>
        </w:rPr>
        <w:t>to $2.1 million</w:t>
      </w:r>
      <w:r>
        <w:rPr>
          <w:sz w:val="17"/>
        </w:rPr>
        <w:t xml:space="preserve"> </w:t>
      </w:r>
      <w:r>
        <w:rPr>
          <w:rFonts w:ascii="inherit" w:hAnsi="inherit"/>
          <w:sz w:val="17"/>
        </w:rPr>
        <w:t>in the third quarter of 2014</w:t>
      </w:r>
      <w:r>
        <w:rPr>
          <w:sz w:val="17"/>
        </w:rPr>
        <w:t xml:space="preserve"> </w:t>
      </w:r>
      <w:r>
        <w:rPr>
          <w:rFonts w:ascii="inherit" w:hAnsi="inherit"/>
          <w:sz w:val="17"/>
        </w:rPr>
        <w:t>from $2.3 million</w:t>
      </w:r>
      <w:r>
        <w:rPr>
          <w:sz w:val="17"/>
        </w:rPr>
        <w:t xml:space="preserve"> </w:t>
      </w:r>
      <w:r>
        <w:rPr>
          <w:rFonts w:ascii="inherit" w:hAnsi="inherit"/>
          <w:sz w:val="17"/>
        </w:rPr>
        <w:t>in the third quarter of 2013, primarily due to the lower average debt balance in the third quarter of 2014</w:t>
      </w:r>
      <w:r>
        <w:rPr>
          <w:sz w:val="17"/>
        </w:rPr>
        <w:t xml:space="preserve"> </w:t>
      </w:r>
      <w:r>
        <w:rPr>
          <w:rFonts w:ascii="inherit" w:hAnsi="inherit"/>
          <w:sz w:val="17"/>
        </w:rPr>
        <w:t>as compared to the prior year period.</w:t>
      </w:r>
    </w:p>
    <w:p>
      <w:pPr>
        <w:pStyle w:val="TextBody"/>
        <w:spacing w:lineRule="auto" w:line="288" w:before="0" w:after="0"/>
        <w:ind w:left="0" w:right="0" w:firstLine="480"/>
        <w:jc w:val="left"/>
        <w:rPr>
          <w:sz w:val="17"/>
        </w:rPr>
      </w:pPr>
      <w:r>
        <w:rPr>
          <w:rFonts w:ascii="inherit" w:hAnsi="inherit"/>
          <w:i/>
          <w:sz w:val="17"/>
        </w:rPr>
        <w:t xml:space="preserve">Other Income, Net. </w:t>
      </w:r>
      <w:r>
        <w:rPr>
          <w:rFonts w:ascii="inherit" w:hAnsi="inherit"/>
          <w:sz w:val="17"/>
        </w:rPr>
        <w:t>Other income, net decreased by $0.7 million</w:t>
      </w:r>
      <w:r>
        <w:rPr>
          <w:sz w:val="17"/>
        </w:rPr>
        <w:t xml:space="preserve"> </w:t>
      </w:r>
      <w:r>
        <w:rPr>
          <w:rFonts w:ascii="inherit" w:hAnsi="inherit"/>
          <w:sz w:val="17"/>
        </w:rPr>
        <w:t>to $0.5 million</w:t>
      </w:r>
      <w:r>
        <w:rPr>
          <w:sz w:val="17"/>
        </w:rPr>
        <w:t xml:space="preserve"> </w:t>
      </w:r>
      <w:r>
        <w:rPr>
          <w:rFonts w:ascii="inherit" w:hAnsi="inherit"/>
          <w:sz w:val="17"/>
        </w:rPr>
        <w:t>in the third quarter of 2014</w:t>
      </w:r>
      <w:r>
        <w:rPr>
          <w:sz w:val="17"/>
        </w:rPr>
        <w:t xml:space="preserve"> </w:t>
      </w:r>
      <w:r>
        <w:rPr>
          <w:rFonts w:ascii="inherit" w:hAnsi="inherit"/>
          <w:sz w:val="17"/>
        </w:rPr>
        <w:t>from $1.2 million</w:t>
      </w:r>
      <w:r>
        <w:rPr>
          <w:sz w:val="17"/>
        </w:rPr>
        <w:t xml:space="preserve"> </w:t>
      </w:r>
      <w:r>
        <w:rPr>
          <w:rFonts w:ascii="inherit" w:hAnsi="inherit"/>
          <w:sz w:val="17"/>
        </w:rPr>
        <w:t>in the third quarter of 2013, primarily due to a decrease in income attributable to the Predecessor’s equity stake in an natural gas liquids pipeline joint venture that was not contributed to us in connection with the IPO.</w:t>
      </w:r>
    </w:p>
    <w:p>
      <w:pPr>
        <w:pStyle w:val="TextBody"/>
        <w:spacing w:lineRule="auto" w:line="288" w:before="0" w:after="0"/>
        <w:ind w:left="0" w:right="0" w:firstLine="480"/>
        <w:jc w:val="left"/>
        <w:rPr>
          <w:sz w:val="17"/>
        </w:rPr>
      </w:pPr>
      <w:r>
        <w:rPr>
          <w:rFonts w:ascii="inherit" w:hAnsi="inherit"/>
          <w:i/>
          <w:sz w:val="17"/>
        </w:rPr>
        <w:t>Income Taxes.</w:t>
      </w:r>
      <w:r>
        <w:rPr>
          <w:sz w:val="17"/>
        </w:rPr>
        <w:t> </w:t>
      </w:r>
      <w:r>
        <w:rPr>
          <w:rFonts w:ascii="inherit" w:hAnsi="inherit"/>
          <w:sz w:val="17"/>
        </w:rPr>
        <w:t>The effective income tax rate was 23.5%</w:t>
      </w:r>
      <w:r>
        <w:rPr>
          <w:sz w:val="17"/>
        </w:rPr>
        <w:t xml:space="preserve"> </w:t>
      </w:r>
      <w:r>
        <w:rPr>
          <w:rFonts w:ascii="inherit" w:hAnsi="inherit"/>
          <w:sz w:val="17"/>
        </w:rPr>
        <w:t>for the third quarter of 2014. The effective income tax rate for the third quarter of 2014</w:t>
      </w:r>
      <w:r>
        <w:rPr>
          <w:sz w:val="17"/>
        </w:rPr>
        <w:t xml:space="preserve"> </w:t>
      </w:r>
      <w:r>
        <w:rPr>
          <w:rFonts w:ascii="inherit" w:hAnsi="inherit"/>
          <w:sz w:val="17"/>
        </w:rPr>
        <w:t>is not comparable to the effective income tax rate for the prior year period as the Partnership is not subject to federal income taxes subsequent to the IPO. The effective income tax rate was 35.5%</w:t>
      </w:r>
      <w:r>
        <w:rPr>
          <w:sz w:val="17"/>
        </w:rPr>
        <w:t xml:space="preserve"> </w:t>
      </w:r>
      <w:r>
        <w:rPr>
          <w:rFonts w:ascii="inherit" w:hAnsi="inherit"/>
          <w:sz w:val="17"/>
        </w:rPr>
        <w:t>for the third quarter of 2013. The effective income tax rates for the third quarter of 2013</w:t>
      </w:r>
      <w:r>
        <w:rPr>
          <w:sz w:val="17"/>
        </w:rPr>
        <w:t xml:space="preserve"> </w:t>
      </w:r>
      <w:r>
        <w:rPr>
          <w:rFonts w:ascii="inherit" w:hAnsi="inherit"/>
          <w:sz w:val="17"/>
        </w:rPr>
        <w:t>were above the U.S. federal statutory rate of 35.0%</w:t>
      </w:r>
      <w:r>
        <w:rPr>
          <w:sz w:val="17"/>
        </w:rPr>
        <w:t xml:space="preserve"> </w:t>
      </w:r>
      <w:r>
        <w:rPr>
          <w:rFonts w:ascii="inherit" w:hAnsi="inherit"/>
          <w:sz w:val="17"/>
        </w:rPr>
        <w:t>primarily due to state income taxes, mostly offset by the domestic manufacturing deduction and state income tax credits.</w:t>
      </w:r>
    </w:p>
    <w:p>
      <w:pPr>
        <w:pStyle w:val="TextBody"/>
        <w:spacing w:lineRule="auto" w:line="288" w:before="0" w:after="0"/>
        <w:jc w:val="left"/>
        <w:rPr>
          <w:sz w:val="17"/>
        </w:rPr>
      </w:pPr>
      <w:r>
        <w:rPr>
          <w:rFonts w:ascii="inherit" w:hAnsi="inherit"/>
          <w:b/>
          <w:i/>
          <w:sz w:val="17"/>
        </w:rPr>
        <w:t>Nine Months Ended September 30, 2014</w:t>
      </w:r>
      <w:r>
        <w:rPr>
          <w:sz w:val="17"/>
        </w:rPr>
        <w:t xml:space="preserve"> </w:t>
      </w:r>
      <w:r>
        <w:rPr>
          <w:rFonts w:ascii="inherit" w:hAnsi="inherit"/>
          <w:b/>
          <w:i/>
          <w:sz w:val="17"/>
        </w:rPr>
        <w:t>Compared with Nine Months Ended September 30, 2013</w:t>
      </w:r>
    </w:p>
    <w:p>
      <w:pPr>
        <w:pStyle w:val="TextBody"/>
        <w:spacing w:lineRule="auto" w:line="288" w:before="0" w:after="0"/>
        <w:ind w:left="0" w:right="0" w:firstLine="450"/>
        <w:jc w:val="left"/>
        <w:rPr>
          <w:sz w:val="17"/>
        </w:rPr>
      </w:pPr>
      <w:r>
        <w:rPr>
          <w:rFonts w:ascii="inherit" w:hAnsi="inherit"/>
          <w:i/>
          <w:sz w:val="17"/>
        </w:rPr>
        <w:t>Net Sales</w:t>
      </w:r>
      <w:r>
        <w:rPr>
          <w:rFonts w:ascii="inherit" w:hAnsi="inherit"/>
          <w:sz w:val="17"/>
        </w:rPr>
        <w:t>. Net sales decreased by $89.6 million, or 5.7%, to $1,476.2 million</w:t>
      </w:r>
      <w:r>
        <w:rPr>
          <w:sz w:val="17"/>
        </w:rPr>
        <w:t xml:space="preserve"> </w:t>
      </w:r>
      <w:r>
        <w:rPr>
          <w:rFonts w:ascii="inherit" w:hAnsi="inherit"/>
          <w:sz w:val="17"/>
        </w:rPr>
        <w:t>for the nine months ended September 30, 2014</w:t>
      </w:r>
      <w:r>
        <w:rPr>
          <w:sz w:val="17"/>
        </w:rPr>
        <w:t xml:space="preserve"> </w:t>
      </w:r>
      <w:r>
        <w:rPr>
          <w:rFonts w:ascii="inherit" w:hAnsi="inherit"/>
          <w:sz w:val="17"/>
        </w:rPr>
        <w:t>from $1,565.8 million</w:t>
      </w:r>
      <w:r>
        <w:rPr>
          <w:sz w:val="17"/>
        </w:rPr>
        <w:t xml:space="preserve"> </w:t>
      </w:r>
      <w:r>
        <w:rPr>
          <w:rFonts w:ascii="inherit" w:hAnsi="inherit"/>
          <w:sz w:val="17"/>
        </w:rPr>
        <w:t>for the nine months ended September 30, 2013, primarily attributable to lower average sales prices and sales volumes of ethylene sold to Westlake resulting from the execution of the Ethylene Sales Agreement, as well as the retention by Westlake of the Predecessors’ ethylene procurement and reselling activities in connection with the closing of the IPO. The decrease in net sales was partially offset by an increase in sales volumes and average sales prices for ethylene and feedstock sold to third parties. Average sales prices for the nine months ended September 30, 2014</w:t>
      </w:r>
      <w:r>
        <w:rPr>
          <w:sz w:val="17"/>
        </w:rPr>
        <w:t xml:space="preserve"> </w:t>
      </w:r>
      <w:r>
        <w:rPr>
          <w:rFonts w:ascii="inherit" w:hAnsi="inherit"/>
          <w:sz w:val="17"/>
        </w:rPr>
        <w:t>decreased by 5.2%</w:t>
      </w:r>
      <w:r>
        <w:rPr>
          <w:sz w:val="17"/>
        </w:rPr>
        <w:t xml:space="preserve"> </w:t>
      </w:r>
      <w:r>
        <w:rPr>
          <w:rFonts w:ascii="inherit" w:hAnsi="inherit"/>
          <w:sz w:val="17"/>
        </w:rPr>
        <w:t>as compared to the nine months ended September 30, 2013. Overall sales volumes for the nine months ended September 30, 2014</w:t>
      </w:r>
      <w:r>
        <w:rPr>
          <w:sz w:val="17"/>
        </w:rPr>
        <w:t xml:space="preserve"> </w:t>
      </w:r>
      <w:r>
        <w:rPr>
          <w:rFonts w:ascii="inherit" w:hAnsi="inherit"/>
          <w:sz w:val="17"/>
        </w:rPr>
        <w:t>decreased by 0.6%</w:t>
      </w:r>
      <w:r>
        <w:rPr>
          <w:sz w:val="17"/>
        </w:rPr>
        <w:t xml:space="preserve"> </w:t>
      </w:r>
      <w:r>
        <w:rPr>
          <w:rFonts w:ascii="inherit" w:hAnsi="inherit"/>
          <w:sz w:val="17"/>
        </w:rPr>
        <w:t>as compared to the nine months ended September 30, 2013.</w:t>
      </w:r>
    </w:p>
    <w:p>
      <w:pPr>
        <w:pStyle w:val="TextBody"/>
        <w:spacing w:lineRule="auto" w:line="288" w:before="0" w:after="0"/>
        <w:ind w:left="0" w:right="0" w:firstLine="450"/>
        <w:jc w:val="left"/>
        <w:rPr>
          <w:sz w:val="17"/>
        </w:rPr>
      </w:pPr>
      <w:r>
        <w:rPr>
          <w:rFonts w:ascii="inherit" w:hAnsi="inherit"/>
          <w:i/>
          <w:sz w:val="17"/>
        </w:rPr>
        <w:t>Gross Profit</w:t>
      </w:r>
      <w:r>
        <w:rPr>
          <w:rFonts w:ascii="inherit" w:hAnsi="inherit"/>
          <w:sz w:val="17"/>
        </w:rPr>
        <w:t>. Gross profit margin percentage of 43.6%</w:t>
      </w:r>
      <w:r>
        <w:rPr>
          <w:sz w:val="17"/>
        </w:rPr>
        <w:t xml:space="preserve"> </w:t>
      </w:r>
      <w:r>
        <w:rPr>
          <w:rFonts w:ascii="inherit" w:hAnsi="inherit"/>
          <w:sz w:val="17"/>
        </w:rPr>
        <w:t>for the nine months ended September 30, 2014</w:t>
      </w:r>
      <w:r>
        <w:rPr>
          <w:sz w:val="17"/>
        </w:rPr>
        <w:t xml:space="preserve"> </w:t>
      </w:r>
      <w:r>
        <w:rPr>
          <w:rFonts w:ascii="inherit" w:hAnsi="inherit"/>
          <w:sz w:val="17"/>
        </w:rPr>
        <w:t>increased from 40.9%</w:t>
      </w:r>
      <w:r>
        <w:rPr>
          <w:sz w:val="17"/>
        </w:rPr>
        <w:t xml:space="preserve"> </w:t>
      </w:r>
      <w:r>
        <w:rPr>
          <w:rFonts w:ascii="inherit" w:hAnsi="inherit"/>
          <w:sz w:val="17"/>
        </w:rPr>
        <w:t xml:space="preserve">for the nine months ended September 30, 2013. The improvement in gross profit margin percentage was predominantly due to lower feedstock costs attributable to an overall reduced dependency on the more expensive propane as a result of the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25</w:t>
      </w:r>
      <w:r>
        <w:br w:type="page"/>
      </w:r>
    </w:p>
    <w:p>
      <w:pPr>
        <w:pStyle w:val="TextBody"/>
        <w:spacing w:lineRule="auto" w:line="288" w:before="0" w:after="0"/>
        <w:rPr/>
      </w:pPr>
      <w:hyperlink w:anchor="s7D21BC485A80E1C3273666ECEC2365C6">
        <w:bookmarkStart w:id="40" w:name="s9C2546C56352668CD99F66ECE9F30F6A7"/>
        <w:bookmarkEnd w:id="40"/>
        <w:r>
          <w:rPr>
            <w:rStyle w:val="InternetLink"/>
            <w:rFonts w:ascii="inherit" w:hAnsi="inherit"/>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sz w:val="17"/>
        </w:rPr>
      </w:pPr>
      <w:r>
        <w:rPr>
          <w:rFonts w:ascii="inherit" w:hAnsi="inherit"/>
          <w:sz w:val="17"/>
        </w:rPr>
        <w:t>completion of the feedstock conversion project at Calvert City Olefins, partially offset by an increase in ethane and energy costs. In addition, gross profit percentage for the nine months ended September 30, 2014</w:t>
      </w:r>
      <w:r>
        <w:rPr>
          <w:sz w:val="17"/>
        </w:rPr>
        <w:t xml:space="preserve"> </w:t>
      </w:r>
      <w:r>
        <w:rPr>
          <w:rFonts w:ascii="inherit" w:hAnsi="inherit"/>
          <w:sz w:val="17"/>
        </w:rPr>
        <w:t>was negatively impacted by the lower margins earned on ethylene sold to Westlake as a result of the execution of the Ethylene Sales Agreement at the closing of the IPO, as well as the costs and lost production associated with the Calvert City Olefins maintenance turnaround, conversion and expansion activities that took place during the first and second quarters of 2014.</w:t>
      </w:r>
    </w:p>
    <w:p>
      <w:pPr>
        <w:pStyle w:val="TextBody"/>
        <w:spacing w:lineRule="auto" w:line="288" w:before="0" w:after="0"/>
        <w:ind w:left="0" w:right="0" w:firstLine="450"/>
        <w:jc w:val="left"/>
        <w:rPr>
          <w:sz w:val="17"/>
        </w:rPr>
      </w:pPr>
      <w:r>
        <w:rPr>
          <w:rFonts w:ascii="inherit" w:hAnsi="inherit"/>
          <w:i/>
          <w:sz w:val="17"/>
        </w:rPr>
        <w:t>Selling, General and Administrative Expenses</w:t>
      </w:r>
      <w:r>
        <w:rPr>
          <w:rFonts w:ascii="inherit" w:hAnsi="inherit"/>
          <w:sz w:val="17"/>
        </w:rPr>
        <w:t>. Selling, general and administrative expenses increased by $3.5 million, or 18.1%, to $22.8 million</w:t>
      </w:r>
      <w:r>
        <w:rPr>
          <w:sz w:val="17"/>
        </w:rPr>
        <w:t xml:space="preserve"> </w:t>
      </w:r>
      <w:r>
        <w:rPr>
          <w:rFonts w:ascii="inherit" w:hAnsi="inherit"/>
          <w:sz w:val="17"/>
        </w:rPr>
        <w:t>for the nine months ended September 30, 2014</w:t>
      </w:r>
      <w:r>
        <w:rPr>
          <w:sz w:val="17"/>
        </w:rPr>
        <w:t xml:space="preserve"> </w:t>
      </w:r>
      <w:r>
        <w:rPr>
          <w:rFonts w:ascii="inherit" w:hAnsi="inherit"/>
          <w:sz w:val="17"/>
        </w:rPr>
        <w:t>as compared to $19.3 million</w:t>
      </w:r>
      <w:r>
        <w:rPr>
          <w:sz w:val="17"/>
        </w:rPr>
        <w:t xml:space="preserve"> </w:t>
      </w:r>
      <w:r>
        <w:rPr>
          <w:rFonts w:ascii="inherit" w:hAnsi="inherit"/>
          <w:sz w:val="17"/>
        </w:rPr>
        <w:t xml:space="preserve">for the nine months ended September 30, 2013. The increase was mainly attributable to incremental general and administrative expenses incurred by the Partnership subsequent to the IPO as a result of being a separate publicly-traded partnership, as well as higher allocations from Westlake due to Westlake’s increased cost associated with consulting and professional fees, and other operating costs such as maintenance and services fees. The increase in selling, general and administrative expenses was partially offset by a lower allocation from Westlake associated with labor costs resulting from Westlake retaining certain operations of the Predecessor subsequent to the closing of the IPO. </w:t>
      </w:r>
    </w:p>
    <w:p>
      <w:pPr>
        <w:pStyle w:val="TextBody"/>
        <w:spacing w:lineRule="auto" w:line="288" w:before="0" w:after="0"/>
        <w:ind w:left="0" w:right="0" w:firstLine="450"/>
        <w:jc w:val="left"/>
        <w:rPr>
          <w:sz w:val="17"/>
        </w:rPr>
      </w:pPr>
      <w:r>
        <w:rPr>
          <w:rFonts w:ascii="inherit" w:hAnsi="inherit"/>
          <w:i/>
          <w:sz w:val="17"/>
        </w:rPr>
        <w:t>Interest Expense</w:t>
      </w:r>
      <w:r>
        <w:rPr>
          <w:rFonts w:ascii="inherit" w:hAnsi="inherit"/>
          <w:sz w:val="17"/>
        </w:rPr>
        <w:t>. Interest expense increased by $4.9 million</w:t>
      </w:r>
      <w:r>
        <w:rPr>
          <w:sz w:val="17"/>
        </w:rPr>
        <w:t xml:space="preserve"> </w:t>
      </w:r>
      <w:r>
        <w:rPr>
          <w:rFonts w:ascii="inherit" w:hAnsi="inherit"/>
          <w:sz w:val="17"/>
        </w:rPr>
        <w:t>to $9.8 million</w:t>
      </w:r>
      <w:r>
        <w:rPr>
          <w:sz w:val="17"/>
        </w:rPr>
        <w:t xml:space="preserve"> </w:t>
      </w:r>
      <w:r>
        <w:rPr>
          <w:rFonts w:ascii="inherit" w:hAnsi="inherit"/>
          <w:sz w:val="17"/>
        </w:rPr>
        <w:t>for the nine months ended September 30, 2014</w:t>
      </w:r>
      <w:r>
        <w:rPr>
          <w:sz w:val="17"/>
        </w:rPr>
        <w:t xml:space="preserve"> </w:t>
      </w:r>
      <w:r>
        <w:rPr>
          <w:rFonts w:ascii="inherit" w:hAnsi="inherit"/>
          <w:sz w:val="17"/>
        </w:rPr>
        <w:t>from $4.9 million</w:t>
      </w:r>
      <w:r>
        <w:rPr>
          <w:sz w:val="17"/>
        </w:rPr>
        <w:t xml:space="preserve"> </w:t>
      </w:r>
      <w:r>
        <w:rPr>
          <w:rFonts w:ascii="inherit" w:hAnsi="inherit"/>
          <w:sz w:val="17"/>
        </w:rPr>
        <w:t>for the nine months ended September 30, 2013, primarily due to the higher average debt balance for the nine months ended September 30, 2014</w:t>
      </w:r>
      <w:r>
        <w:rPr>
          <w:sz w:val="17"/>
        </w:rPr>
        <w:t xml:space="preserve"> </w:t>
      </w:r>
      <w:r>
        <w:rPr>
          <w:rFonts w:ascii="inherit" w:hAnsi="inherit"/>
          <w:sz w:val="17"/>
        </w:rPr>
        <w:t>as compared to the prior year period.</w:t>
      </w:r>
    </w:p>
    <w:p>
      <w:pPr>
        <w:pStyle w:val="TextBody"/>
        <w:spacing w:lineRule="auto" w:line="288" w:before="0" w:after="0"/>
        <w:ind w:left="0" w:right="0" w:firstLine="450"/>
        <w:jc w:val="left"/>
        <w:rPr>
          <w:sz w:val="17"/>
        </w:rPr>
      </w:pPr>
      <w:r>
        <w:rPr>
          <w:rFonts w:ascii="inherit" w:hAnsi="inherit"/>
          <w:i/>
          <w:sz w:val="17"/>
        </w:rPr>
        <w:t>Other Income, Net</w:t>
      </w:r>
      <w:r>
        <w:rPr>
          <w:rFonts w:ascii="inherit" w:hAnsi="inherit"/>
          <w:sz w:val="17"/>
        </w:rPr>
        <w:t>. Other income, net decreased by $3.3 million</w:t>
      </w:r>
      <w:r>
        <w:rPr>
          <w:sz w:val="17"/>
        </w:rPr>
        <w:t xml:space="preserve"> </w:t>
      </w:r>
      <w:r>
        <w:rPr>
          <w:rFonts w:ascii="inherit" w:hAnsi="inherit"/>
          <w:sz w:val="17"/>
        </w:rPr>
        <w:t>to $3.1 million</w:t>
      </w:r>
      <w:r>
        <w:rPr>
          <w:sz w:val="17"/>
        </w:rPr>
        <w:t xml:space="preserve"> </w:t>
      </w:r>
      <w:r>
        <w:rPr>
          <w:rFonts w:ascii="inherit" w:hAnsi="inherit"/>
          <w:sz w:val="17"/>
        </w:rPr>
        <w:t>for the nine months ended September 30, 2014</w:t>
      </w:r>
      <w:r>
        <w:rPr>
          <w:sz w:val="17"/>
        </w:rPr>
        <w:t xml:space="preserve"> </w:t>
      </w:r>
      <w:r>
        <w:rPr>
          <w:rFonts w:ascii="inherit" w:hAnsi="inherit"/>
          <w:sz w:val="17"/>
        </w:rPr>
        <w:t>from $6.4 million</w:t>
      </w:r>
      <w:r>
        <w:rPr>
          <w:sz w:val="17"/>
        </w:rPr>
        <w:t xml:space="preserve"> </w:t>
      </w:r>
      <w:r>
        <w:rPr>
          <w:rFonts w:ascii="inherit" w:hAnsi="inherit"/>
          <w:sz w:val="17"/>
        </w:rPr>
        <w:t>for the nine months ended September 30, 2013. The decrease was mainly due to a claim settlement in the first quarter of 2013, which did not recur in the current year period and to a decrease in income attributable to the Predecessor’s equity stake in a natural gas liquids pipeline joint venture that was not be contributed to us in connection with the IPO.</w:t>
      </w:r>
    </w:p>
    <w:p>
      <w:pPr>
        <w:pStyle w:val="TextBody"/>
        <w:spacing w:lineRule="auto" w:line="288" w:before="0" w:after="0"/>
        <w:ind w:left="0" w:right="0" w:firstLine="450"/>
        <w:jc w:val="left"/>
        <w:rPr>
          <w:sz w:val="17"/>
        </w:rPr>
      </w:pPr>
      <w:r>
        <w:rPr>
          <w:rFonts w:ascii="inherit" w:hAnsi="inherit"/>
          <w:i/>
          <w:sz w:val="17"/>
        </w:rPr>
        <w:t xml:space="preserve">Income Taxes. </w:t>
      </w:r>
      <w:r>
        <w:rPr>
          <w:rFonts w:ascii="inherit" w:hAnsi="inherit"/>
          <w:sz w:val="17"/>
        </w:rPr>
        <w:t>The effective income tax rate was 32.3%</w:t>
      </w:r>
      <w:r>
        <w:rPr>
          <w:sz w:val="17"/>
        </w:rPr>
        <w:t xml:space="preserve"> </w:t>
      </w:r>
      <w:r>
        <w:rPr>
          <w:rFonts w:ascii="inherit" w:hAnsi="inherit"/>
          <w:sz w:val="17"/>
        </w:rPr>
        <w:t>for the nine months ended September 30, 2014. The effective income tax rate for the nine months ended September 30, 2014</w:t>
      </w:r>
      <w:r>
        <w:rPr>
          <w:sz w:val="17"/>
        </w:rPr>
        <w:t xml:space="preserve"> </w:t>
      </w:r>
      <w:r>
        <w:rPr>
          <w:rFonts w:ascii="inherit" w:hAnsi="inherit"/>
          <w:sz w:val="17"/>
        </w:rPr>
        <w:t>is not comparable to the effective income tax rate for the prior year period as the Partnership is not subject to federal or state income taxes subsequent to the IPO. The effective income tax rate was 35.5%</w:t>
      </w:r>
      <w:r>
        <w:rPr>
          <w:sz w:val="17"/>
        </w:rPr>
        <w:t xml:space="preserve"> </w:t>
      </w:r>
      <w:r>
        <w:rPr>
          <w:rFonts w:ascii="inherit" w:hAnsi="inherit"/>
          <w:sz w:val="17"/>
        </w:rPr>
        <w:t>for the nine months ended September 30, 2013. The effective income tax rates for the 2013</w:t>
      </w:r>
      <w:r>
        <w:rPr>
          <w:sz w:val="17"/>
        </w:rPr>
        <w:t xml:space="preserve"> </w:t>
      </w:r>
      <w:r>
        <w:rPr>
          <w:rFonts w:ascii="inherit" w:hAnsi="inherit"/>
          <w:sz w:val="17"/>
        </w:rPr>
        <w:t>period was above the U.S. federal statutory rate of 35.0%</w:t>
      </w:r>
      <w:r>
        <w:rPr>
          <w:sz w:val="17"/>
        </w:rPr>
        <w:t xml:space="preserve"> </w:t>
      </w:r>
      <w:r>
        <w:rPr>
          <w:rFonts w:ascii="inherit" w:hAnsi="inherit"/>
          <w:sz w:val="17"/>
        </w:rPr>
        <w:t>primarily due to state income taxes, mostly offset by the domestic manufacturing deduction and state income tax credits.</w:t>
      </w:r>
    </w:p>
    <w:p>
      <w:pPr>
        <w:pStyle w:val="TextBody"/>
        <w:spacing w:lineRule="auto" w:line="288" w:before="0" w:after="0"/>
        <w:jc w:val="left"/>
        <w:rPr>
          <w:rFonts w:ascii="inherit" w:hAnsi="inherit"/>
          <w:b/>
          <w:sz w:val="17"/>
        </w:rPr>
      </w:pPr>
      <w:r>
        <w:rPr>
          <w:rFonts w:ascii="inherit" w:hAnsi="inherit"/>
          <w:b/>
          <w:sz w:val="17"/>
        </w:rPr>
        <w:t>CASH FLOW DISCUSSION FOR THE NINE MONTHS ENDED SEPTEMBER 30, 2014 AND 2013</w:t>
      </w:r>
    </w:p>
    <w:p>
      <w:pPr>
        <w:pStyle w:val="TextBody"/>
        <w:spacing w:lineRule="auto" w:line="288" w:before="0" w:after="0"/>
        <w:rPr>
          <w:rFonts w:ascii="inherit" w:hAnsi="inherit"/>
          <w:b/>
          <w:i/>
          <w:sz w:val="17"/>
        </w:rPr>
      </w:pPr>
      <w:r>
        <w:rPr>
          <w:rFonts w:ascii="inherit" w:hAnsi="inherit"/>
          <w:b/>
          <w:i/>
          <w:sz w:val="17"/>
        </w:rPr>
        <w:t>Operating Activities</w:t>
      </w:r>
    </w:p>
    <w:p>
      <w:pPr>
        <w:pStyle w:val="TextBody"/>
        <w:spacing w:lineRule="auto" w:line="288" w:before="0" w:after="0"/>
        <w:ind w:left="0" w:right="0" w:firstLine="480"/>
        <w:jc w:val="left"/>
        <w:rPr>
          <w:sz w:val="17"/>
        </w:rPr>
      </w:pPr>
      <w:r>
        <w:rPr>
          <w:rFonts w:ascii="inherit" w:hAnsi="inherit"/>
          <w:sz w:val="17"/>
        </w:rPr>
        <w:t>Operating activities provided cash of $486.0 million</w:t>
      </w:r>
      <w:r>
        <w:rPr>
          <w:sz w:val="17"/>
        </w:rPr>
        <w:t xml:space="preserve"> </w:t>
      </w:r>
      <w:r>
        <w:rPr>
          <w:rFonts w:ascii="inherit" w:hAnsi="inherit"/>
          <w:sz w:val="17"/>
        </w:rPr>
        <w:t>in the first nine months of 2014</w:t>
      </w:r>
      <w:r>
        <w:rPr>
          <w:sz w:val="17"/>
        </w:rPr>
        <w:t xml:space="preserve"> </w:t>
      </w:r>
      <w:r>
        <w:rPr>
          <w:rFonts w:ascii="inherit" w:hAnsi="inherit"/>
          <w:sz w:val="17"/>
        </w:rPr>
        <w:t>compared to cash provided of $415.5 million</w:t>
      </w:r>
      <w:r>
        <w:rPr>
          <w:sz w:val="17"/>
        </w:rPr>
        <w:t xml:space="preserve"> </w:t>
      </w:r>
      <w:r>
        <w:rPr>
          <w:rFonts w:ascii="inherit" w:hAnsi="inherit"/>
          <w:sz w:val="17"/>
        </w:rPr>
        <w:t>in the first nine months of 2013. The $70.5 million</w:t>
      </w:r>
      <w:r>
        <w:rPr>
          <w:sz w:val="17"/>
        </w:rPr>
        <w:t xml:space="preserve"> </w:t>
      </w:r>
      <w:r>
        <w:rPr>
          <w:rFonts w:ascii="inherit" w:hAnsi="inherit"/>
          <w:sz w:val="17"/>
        </w:rPr>
        <w:t>increase in cash flows from operating activities was mainly due to a decrease in the use of cash for working capital purposes and a decrease in income from operations. Cash flows from operating activities for the first six months of 2013 was negatively impacted by deferred turnaround costs related to the Petro 2 turnaround at Lake Charles Olefins.</w:t>
      </w:r>
    </w:p>
    <w:p>
      <w:pPr>
        <w:pStyle w:val="TextBody"/>
        <w:spacing w:lineRule="auto" w:line="288" w:before="0" w:after="0"/>
        <w:jc w:val="left"/>
        <w:rPr>
          <w:rFonts w:ascii="inherit" w:hAnsi="inherit"/>
          <w:b/>
          <w:i/>
          <w:sz w:val="17"/>
        </w:rPr>
      </w:pPr>
      <w:r>
        <w:rPr>
          <w:rFonts w:ascii="inherit" w:hAnsi="inherit"/>
          <w:b/>
          <w:i/>
          <w:sz w:val="17"/>
        </w:rPr>
        <w:t>Investing Activities</w:t>
      </w:r>
    </w:p>
    <w:p>
      <w:pPr>
        <w:pStyle w:val="TextBody"/>
        <w:spacing w:lineRule="auto" w:line="288" w:before="0" w:after="0"/>
        <w:ind w:left="0" w:right="0" w:firstLine="480"/>
        <w:jc w:val="left"/>
        <w:rPr>
          <w:sz w:val="17"/>
        </w:rPr>
      </w:pPr>
      <w:r>
        <w:rPr>
          <w:rFonts w:ascii="inherit" w:hAnsi="inherit"/>
          <w:sz w:val="17"/>
        </w:rPr>
        <w:t>Net cash used for investing activities during the first nine months of 2014</w:t>
      </w:r>
      <w:r>
        <w:rPr>
          <w:sz w:val="17"/>
        </w:rPr>
        <w:t xml:space="preserve"> </w:t>
      </w:r>
      <w:r>
        <w:rPr>
          <w:rFonts w:ascii="inherit" w:hAnsi="inherit"/>
          <w:sz w:val="17"/>
        </w:rPr>
        <w:t>was $144.5 million</w:t>
      </w:r>
      <w:r>
        <w:rPr>
          <w:sz w:val="17"/>
        </w:rPr>
        <w:t xml:space="preserve"> </w:t>
      </w:r>
      <w:r>
        <w:rPr>
          <w:rFonts w:ascii="inherit" w:hAnsi="inherit"/>
          <w:sz w:val="17"/>
        </w:rPr>
        <w:t>as compared to net cash used for investing activities of $161.2 million</w:t>
      </w:r>
      <w:r>
        <w:rPr>
          <w:sz w:val="17"/>
        </w:rPr>
        <w:t xml:space="preserve"> </w:t>
      </w:r>
      <w:r>
        <w:rPr>
          <w:rFonts w:ascii="inherit" w:hAnsi="inherit"/>
          <w:sz w:val="17"/>
        </w:rPr>
        <w:t>in the first nine months of 2013. Capital expenditures were $144.3 million</w:t>
      </w:r>
      <w:r>
        <w:rPr>
          <w:sz w:val="17"/>
        </w:rPr>
        <w:t xml:space="preserve"> </w:t>
      </w:r>
      <w:r>
        <w:rPr>
          <w:rFonts w:ascii="inherit" w:hAnsi="inherit"/>
          <w:sz w:val="17"/>
        </w:rPr>
        <w:t>in the first nine months of 2014</w:t>
      </w:r>
      <w:r>
        <w:rPr>
          <w:sz w:val="17"/>
        </w:rPr>
        <w:t xml:space="preserve"> </w:t>
      </w:r>
      <w:r>
        <w:rPr>
          <w:rFonts w:ascii="inherit" w:hAnsi="inherit"/>
          <w:sz w:val="17"/>
        </w:rPr>
        <w:t>compared to $158.9 million</w:t>
      </w:r>
      <w:r>
        <w:rPr>
          <w:sz w:val="17"/>
        </w:rPr>
        <w:t xml:space="preserve"> </w:t>
      </w:r>
      <w:r>
        <w:rPr>
          <w:rFonts w:ascii="inherit" w:hAnsi="inherit"/>
          <w:sz w:val="17"/>
        </w:rPr>
        <w:t>in the first nine months of 2013. Capital expenditures in the first nine months of 2014</w:t>
      </w:r>
      <w:r>
        <w:rPr>
          <w:sz w:val="17"/>
        </w:rPr>
        <w:t xml:space="preserve"> </w:t>
      </w:r>
      <w:r>
        <w:rPr>
          <w:rFonts w:ascii="inherit" w:hAnsi="inherit"/>
          <w:sz w:val="17"/>
        </w:rPr>
        <w:t>were mainly incurred on the feedstock conversion and ethylene expansion project at Calvert City Olefins and the planned upgrade and expansion of Petro 1 at Lake Charles Olefins. Capital expenditures in the first nine months of 2013</w:t>
      </w:r>
      <w:r>
        <w:rPr>
          <w:sz w:val="17"/>
        </w:rPr>
        <w:t xml:space="preserve"> </w:t>
      </w:r>
      <w:r>
        <w:rPr>
          <w:rFonts w:ascii="inherit" w:hAnsi="inherit"/>
          <w:sz w:val="17"/>
        </w:rPr>
        <w:t>were mainly incurred on the expansion of Petro 2 at Lake Charles Olefins and the conversion and expansion of Calvert City Olefins.</w:t>
      </w:r>
    </w:p>
    <w:p>
      <w:pPr>
        <w:pStyle w:val="TextBody"/>
        <w:spacing w:lineRule="auto" w:line="288" w:before="0" w:after="0"/>
        <w:jc w:val="left"/>
        <w:rPr>
          <w:rFonts w:ascii="inherit" w:hAnsi="inherit"/>
          <w:b/>
          <w:i/>
          <w:sz w:val="17"/>
        </w:rPr>
      </w:pPr>
      <w:r>
        <w:rPr>
          <w:rFonts w:ascii="inherit" w:hAnsi="inherit"/>
          <w:b/>
          <w:i/>
          <w:sz w:val="17"/>
        </w:rPr>
        <w:t>Financing Activities</w:t>
      </w:r>
    </w:p>
    <w:p>
      <w:pPr>
        <w:pStyle w:val="TextBody"/>
        <w:spacing w:lineRule="auto" w:line="288" w:before="0" w:after="0"/>
        <w:ind w:left="0" w:right="0" w:firstLine="480"/>
        <w:jc w:val="left"/>
        <w:rPr>
          <w:sz w:val="17"/>
        </w:rPr>
      </w:pPr>
      <w:r>
        <w:rPr>
          <w:rFonts w:ascii="inherit" w:hAnsi="inherit"/>
          <w:sz w:val="17"/>
        </w:rPr>
        <w:t>Net cash used for financing activities during the first nine months of 2014</w:t>
      </w:r>
      <w:r>
        <w:rPr>
          <w:sz w:val="17"/>
        </w:rPr>
        <w:t xml:space="preserve"> </w:t>
      </w:r>
      <w:r>
        <w:rPr>
          <w:rFonts w:ascii="inherit" w:hAnsi="inherit"/>
          <w:sz w:val="17"/>
        </w:rPr>
        <w:t>was $251.5 million</w:t>
      </w:r>
      <w:r>
        <w:rPr>
          <w:sz w:val="17"/>
        </w:rPr>
        <w:t xml:space="preserve"> </w:t>
      </w:r>
      <w:r>
        <w:rPr>
          <w:rFonts w:ascii="inherit" w:hAnsi="inherit"/>
          <w:sz w:val="17"/>
        </w:rPr>
        <w:t>as compared to net cash used of $254.4 million</w:t>
      </w:r>
      <w:r>
        <w:rPr>
          <w:sz w:val="17"/>
        </w:rPr>
        <w:t xml:space="preserve"> </w:t>
      </w:r>
      <w:r>
        <w:rPr>
          <w:rFonts w:ascii="inherit" w:hAnsi="inherit"/>
          <w:sz w:val="17"/>
        </w:rPr>
        <w:t>in the first nine months of 2013. The activity during the period from January 1, 2014 through August 3, 2014 was primarily related to the Predecessor’s $448.1 million</w:t>
      </w:r>
      <w:r>
        <w:rPr>
          <w:sz w:val="17"/>
        </w:rPr>
        <w:t xml:space="preserve"> </w:t>
      </w:r>
      <w:r>
        <w:rPr>
          <w:rFonts w:ascii="inherit" w:hAnsi="inherit"/>
          <w:sz w:val="17"/>
        </w:rPr>
        <w:t>distribution to Westlake, partially offset by borrowings of $119.8 million</w:t>
      </w:r>
      <w:r>
        <w:rPr>
          <w:sz w:val="17"/>
        </w:rPr>
        <w:t xml:space="preserve"> </w:t>
      </w:r>
      <w:r>
        <w:rPr>
          <w:rFonts w:ascii="inherit" w:hAnsi="inherit"/>
          <w:sz w:val="17"/>
        </w:rPr>
        <w:t>under the Predecessor’s unsecured promissory note agreements with Westlake. The activity during the period from August 4, 2014 through September 30, 2014 was primarily related to the Partnership raising $286.1 million</w:t>
      </w:r>
      <w:r>
        <w:rPr>
          <w:sz w:val="17"/>
        </w:rPr>
        <w:t xml:space="preserve"> </w:t>
      </w:r>
      <w:r>
        <w:rPr>
          <w:rFonts w:ascii="inherit" w:hAnsi="inherit"/>
          <w:sz w:val="17"/>
        </w:rPr>
        <w:t>in net proceeds from the IPO of 12,937,500 of its common units as well as borrowings of $21.4 million</w:t>
      </w:r>
      <w:r>
        <w:rPr>
          <w:sz w:val="17"/>
        </w:rPr>
        <w:t xml:space="preserve"> </w:t>
      </w:r>
      <w:r>
        <w:rPr>
          <w:rFonts w:ascii="inherit" w:hAnsi="inherit"/>
          <w:sz w:val="17"/>
        </w:rPr>
        <w:t xml:space="preserve">under our intercompany credit facility with Westlake, partially offset by a $151.7 million distribution to Westlake for pre-formation capital expenditures and a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26</w:t>
      </w:r>
      <w:r>
        <w:br w:type="page"/>
      </w:r>
    </w:p>
    <w:p>
      <w:pPr>
        <w:pStyle w:val="TextBody"/>
        <w:spacing w:lineRule="auto" w:line="288" w:before="0" w:after="0"/>
        <w:rPr/>
      </w:pPr>
      <w:hyperlink w:anchor="s7D21BC485A80E1C3273666ECEC2365C6">
        <w:bookmarkStart w:id="41" w:name="s9C2546C56352668CD99F66ECE9F30F6A8"/>
        <w:bookmarkEnd w:id="41"/>
        <w:r>
          <w:rPr>
            <w:rStyle w:val="InternetLink"/>
            <w:rFonts w:ascii="inherit" w:hAnsi="inherit"/>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sz w:val="17"/>
        </w:rPr>
      </w:pPr>
      <w:r>
        <w:rPr>
          <w:rFonts w:ascii="inherit" w:hAnsi="inherit"/>
          <w:sz w:val="17"/>
        </w:rPr>
        <w:t>$78.9 million repayment of borrowings outstanding under the unsecured promissory note agreements assumed by OpCo at the closing of the IPO. The activity during the first nine months of 2013</w:t>
      </w:r>
      <w:r>
        <w:rPr>
          <w:sz w:val="17"/>
        </w:rPr>
        <w:t xml:space="preserve"> </w:t>
      </w:r>
      <w:r>
        <w:rPr>
          <w:rFonts w:ascii="inherit" w:hAnsi="inherit"/>
          <w:sz w:val="17"/>
        </w:rPr>
        <w:t>was mainly related to the Predecessor’s $422.0 million</w:t>
      </w:r>
      <w:r>
        <w:rPr>
          <w:sz w:val="17"/>
        </w:rPr>
        <w:t xml:space="preserve"> </w:t>
      </w:r>
      <w:r>
        <w:rPr>
          <w:rFonts w:ascii="inherit" w:hAnsi="inherit"/>
          <w:sz w:val="17"/>
        </w:rPr>
        <w:t>distribution to Westlake, partially offset by borrowings of $167.6 million.</w:t>
      </w:r>
    </w:p>
    <w:p>
      <w:pPr>
        <w:pStyle w:val="TextBody"/>
        <w:spacing w:lineRule="auto" w:line="288" w:before="0" w:after="0"/>
        <w:jc w:val="left"/>
        <w:rPr>
          <w:rFonts w:ascii="inherit" w:hAnsi="inherit"/>
          <w:b/>
          <w:sz w:val="17"/>
        </w:rPr>
      </w:pPr>
      <w:r>
        <w:rPr>
          <w:rFonts w:ascii="inherit" w:hAnsi="inherit"/>
          <w:b/>
          <w:sz w:val="17"/>
        </w:rPr>
        <w:t>LIQUIDITY AND CAPITAL RESOURCES</w:t>
      </w:r>
    </w:p>
    <w:p>
      <w:pPr>
        <w:pStyle w:val="TextBody"/>
        <w:spacing w:lineRule="auto" w:line="288" w:before="0" w:after="0"/>
        <w:jc w:val="left"/>
        <w:rPr>
          <w:rFonts w:ascii="inherit" w:hAnsi="inherit"/>
          <w:b/>
          <w:i/>
          <w:sz w:val="17"/>
        </w:rPr>
      </w:pPr>
      <w:r>
        <w:rPr>
          <w:rFonts w:ascii="inherit" w:hAnsi="inherit"/>
          <w:b/>
          <w:i/>
          <w:sz w:val="17"/>
        </w:rPr>
        <w:t>Liquidity and Financing Arrangements</w:t>
      </w:r>
    </w:p>
    <w:p>
      <w:pPr>
        <w:pStyle w:val="TextBody"/>
        <w:spacing w:lineRule="auto" w:line="288" w:before="0" w:after="0"/>
        <w:ind w:left="0" w:right="0" w:firstLine="480"/>
        <w:jc w:val="left"/>
        <w:rPr>
          <w:rFonts w:ascii="inherit" w:hAnsi="inherit"/>
          <w:sz w:val="17"/>
        </w:rPr>
      </w:pPr>
      <w:r>
        <w:rPr>
          <w:rFonts w:ascii="inherit" w:hAnsi="inherit"/>
          <w:sz w:val="17"/>
        </w:rPr>
        <w:t>Historically, the Predecessor's principal sources of liquidity have been cash from operations and funding from Westlake. As a participant in Westlake’s centralized cash management system, the Predecessor's cash receipts were deposited in Westlake’s or its affiliates’ bank accounts and cash disbursements were made from those accounts. Accordingly, the Predecessor's combined financial statements have reflected no cash balances as any cash flow generated from the Predecessor's operations was deemed to have been distributed to Westlake and is reflected as a net distribution to Westlake in the Predecessor’s combined statements of cash flows.</w:t>
      </w:r>
    </w:p>
    <w:p>
      <w:pPr>
        <w:pStyle w:val="TextBody"/>
        <w:spacing w:lineRule="auto" w:line="288" w:before="0" w:after="0"/>
        <w:ind w:left="0" w:right="0" w:firstLine="480"/>
        <w:jc w:val="left"/>
        <w:rPr>
          <w:rFonts w:ascii="inherit" w:hAnsi="inherit"/>
          <w:sz w:val="17"/>
        </w:rPr>
      </w:pPr>
      <w:r>
        <w:rPr>
          <w:rFonts w:ascii="inherit" w:hAnsi="inherit"/>
          <w:sz w:val="17"/>
        </w:rPr>
        <w:t>In addition to the cash generated by its operations, the Predecessor also entered into certain financing arrangements with Westlake to satisfy its capital and operating expenditure requirements. The Predecessor separately recorded costs associated with financing its operations resulting from financing arrangements entered into with Westlake. 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and debt interests.</w:t>
      </w:r>
    </w:p>
    <w:p>
      <w:pPr>
        <w:pStyle w:val="TextBody"/>
        <w:spacing w:lineRule="auto" w:line="288" w:before="0" w:after="0"/>
        <w:ind w:left="0" w:right="0" w:firstLine="480"/>
        <w:jc w:val="left"/>
        <w:rPr>
          <w:rFonts w:ascii="inherit" w:hAnsi="inherit"/>
          <w:sz w:val="17"/>
        </w:rPr>
      </w:pPr>
      <w:r>
        <w:rPr>
          <w:rFonts w:ascii="inherit" w:hAnsi="inherit"/>
          <w:sz w:val="17"/>
        </w:rPr>
        <w:t>In connection with the IPO, we established separate bank accounts, but Westlake continues to provide treasury services on our behalf under the services and secondment agreement. Our sources of liquidity following the IPO include cash generated from operations and, if necessary, the issuance of additional equity or debt interests. We believe that cash generated from these sources will be sufficient to meet our short-term working capital requirements and long-term capital expenditure requirements and to make quarterly cash distributions. Westlake may also provide direct and indirect financing to us from time to time.</w:t>
      </w:r>
    </w:p>
    <w:p>
      <w:pPr>
        <w:pStyle w:val="TextBody"/>
        <w:spacing w:lineRule="auto" w:line="288" w:before="0" w:after="0"/>
        <w:ind w:left="0" w:right="0" w:firstLine="480"/>
        <w:jc w:val="left"/>
        <w:rPr>
          <w:rFonts w:ascii="inherit" w:hAnsi="inherit"/>
          <w:sz w:val="17"/>
        </w:rPr>
      </w:pPr>
      <w:r>
        <w:rPr>
          <w:rFonts w:ascii="inherit" w:hAnsi="inherit"/>
          <w:sz w:val="17"/>
        </w:rPr>
        <w:t>In order to fund non-annual turnaround expenditures, we caused OpCo to use $55.4 million from the net proceeds of the IPO to fund its initial balance for turnaround activities. Subsequent to the IPO, we intend to cause OpCo to reserve approximately $29.3 million during each twelve month period. Each of OpCo’s ethylene production facilities requires turnaround maintenance approximately every five years. By creating an initial balance and reserving additional cash annually, we intend to reduce the variability in OpCo’s cash flow. The initial balance of turnaround reserve will account for the period that the ethylene production facilities were under Westlake’s ownership following the last major turnaround and prior to the entry into the Ethylene Sales Agreement. Westlake’s purchase price for ethylene purchased under the Ethylene Sales Agreement includes a component (adjusted annually) designed to cover, over the long term, substantially all of OpCo’s turnaround expenditures.</w:t>
      </w:r>
    </w:p>
    <w:p>
      <w:pPr>
        <w:pStyle w:val="TextBody"/>
        <w:spacing w:lineRule="auto" w:line="288" w:before="0" w:after="0"/>
        <w:ind w:left="0" w:right="0" w:firstLine="480"/>
        <w:jc w:val="left"/>
        <w:rPr>
          <w:rFonts w:ascii="inherit" w:hAnsi="inherit"/>
          <w:sz w:val="17"/>
        </w:rPr>
      </w:pPr>
      <w:r>
        <w:rPr>
          <w:rFonts w:ascii="inherit" w:hAnsi="inherit"/>
          <w:sz w:val="17"/>
        </w:rPr>
        <w:t xml:space="preserve">Subsequent to the IPO, all of our cash is generated from cash distributions from OpCo. OpCo is a restricted subsidiary and guarantor under Westlake’s credit facility and the indentures governing its senior notes. The indentures governing Westlake’s senior notes prevent OpCo from making distributions to us if any default or event of default (as defined in the indentures) exists. Westlake’s credit facility does not prevent OpCo from making distributions to us. </w:t>
      </w:r>
    </w:p>
    <w:p>
      <w:pPr>
        <w:pStyle w:val="TextBody"/>
        <w:spacing w:lineRule="auto" w:line="288" w:before="0" w:after="0"/>
        <w:ind w:left="0" w:right="0" w:firstLine="480"/>
        <w:jc w:val="left"/>
        <w:rPr>
          <w:rFonts w:ascii="inherit" w:hAnsi="inherit"/>
          <w:sz w:val="17"/>
        </w:rPr>
      </w:pPr>
      <w:r>
        <w:rPr>
          <w:rFonts w:ascii="inherit" w:hAnsi="inherit"/>
          <w:sz w:val="17"/>
        </w:rPr>
        <w:t>We intend to pay a minimum quarterly distribution of $0.2750 per unit per quarter, which equates to approximately $7.4 million per quarter, or approximately $29.8 million per year in the aggregate, based on the number of common and subordinated units outstanding after completion of the IPO. We do not have a legal or contractual obligation to pay distributions quarterly or on any other basis at our minimum quarterly distribution rate or at any other rate.</w:t>
      </w:r>
    </w:p>
    <w:p>
      <w:pPr>
        <w:pStyle w:val="TextBody"/>
        <w:spacing w:lineRule="auto" w:line="288" w:before="0" w:after="0"/>
        <w:jc w:val="left"/>
        <w:rPr>
          <w:rFonts w:ascii="inherit" w:hAnsi="inherit"/>
          <w:b/>
          <w:i/>
          <w:sz w:val="17"/>
        </w:rPr>
      </w:pPr>
      <w:r>
        <w:rPr>
          <w:rFonts w:ascii="inherit" w:hAnsi="inherit"/>
          <w:b/>
          <w:i/>
          <w:sz w:val="17"/>
        </w:rPr>
        <w:t>Capital Expenditures</w:t>
      </w:r>
    </w:p>
    <w:p>
      <w:pPr>
        <w:pStyle w:val="TextBody"/>
        <w:spacing w:lineRule="auto" w:line="288" w:before="0" w:after="0"/>
        <w:ind w:left="0" w:right="0" w:firstLine="480"/>
        <w:jc w:val="left"/>
        <w:rPr>
          <w:rFonts w:ascii="inherit" w:hAnsi="inherit"/>
          <w:sz w:val="17"/>
        </w:rPr>
      </w:pPr>
      <w:r>
        <w:rPr>
          <w:rFonts w:ascii="inherit" w:hAnsi="inherit"/>
          <w:sz w:val="17"/>
        </w:rPr>
        <w:t>In April 2011, Westlake announced an expansion program to increase the ethylene production capacity of both Petro 1 and Petro 2. The expansion of Petro 2 was completed in the first quarter of 2013 and increased ethylene production capacity by approximately 240 million pounds annually. We currently plan to upgrade and expand the capacity of Petro 1 in the late 2015 to early 2016 time frame. This project is currently estimated to cost in the range of $250.0 million to $310.0 million and will add approximately 250 million pounds of ethylene capacity annually.</w:t>
      </w:r>
    </w:p>
    <w:p>
      <w:pPr>
        <w:pStyle w:val="TextBody"/>
        <w:spacing w:lineRule="auto" w:line="288" w:before="0" w:after="0"/>
        <w:ind w:left="0" w:right="0" w:firstLine="480"/>
        <w:jc w:val="left"/>
        <w:rPr>
          <w:rFonts w:ascii="inherit" w:hAnsi="inherit"/>
          <w:sz w:val="17"/>
        </w:rPr>
      </w:pPr>
      <w:r>
        <w:rPr>
          <w:rFonts w:ascii="inherit" w:hAnsi="inherit"/>
          <w:sz w:val="17"/>
        </w:rPr>
        <w:t>In April 2014, the Predecessor completed the feedstock conversion and ethylene expansion project at Calvert City Olefins that resulted in an approximately 180 million pounds annual capacity expansion and also provided OpCo with 100% ethane feedstock capability at the facility.</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27</w:t>
      </w:r>
      <w:r>
        <w:br w:type="page"/>
      </w:r>
    </w:p>
    <w:p>
      <w:pPr>
        <w:pStyle w:val="TextBody"/>
        <w:spacing w:lineRule="auto" w:line="288" w:before="0" w:after="0"/>
        <w:rPr/>
      </w:pPr>
      <w:hyperlink w:anchor="s7D21BC485A80E1C3273666ECEC2365C6">
        <w:bookmarkStart w:id="42" w:name="s9C2546C56352668CD99F66ECE9F30F6A9"/>
        <w:bookmarkEnd w:id="42"/>
        <w:r>
          <w:rPr>
            <w:rStyle w:val="InternetLink"/>
            <w:rFonts w:ascii="inherit" w:hAnsi="inherit"/>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480"/>
        <w:jc w:val="left"/>
        <w:rPr>
          <w:sz w:val="17"/>
        </w:rPr>
      </w:pPr>
      <w:r>
        <w:rPr>
          <w:rFonts w:ascii="inherit" w:hAnsi="inherit"/>
          <w:sz w:val="17"/>
        </w:rPr>
        <w:t>Westlake has historically funded capital expenditures related to Lake Charles Olefins and Calvert City Olefins. During the period from January 1, 2014 through August 3, 2014, Westlake loaned the Predecessor a principal amount of approximately $119.8 million, all of which was used for capital expenditures. During the period from August 4, 2014 through September 30, 2014, Westlake loaned us $21.4 million, all of which was used for capital expenditures. Capital expenditures for 2014 are expected to be approximately $199.4 million, of which $144.3 million</w:t>
      </w:r>
      <w:r>
        <w:rPr>
          <w:sz w:val="17"/>
        </w:rPr>
        <w:t xml:space="preserve"> </w:t>
      </w:r>
      <w:r>
        <w:rPr>
          <w:rFonts w:ascii="inherit" w:hAnsi="inherit"/>
          <w:sz w:val="17"/>
        </w:rPr>
        <w:t>was spent during the nine months ended September 30, 2014. We expect that</w:t>
      </w:r>
      <w:r>
        <w:rPr>
          <w:sz w:val="17"/>
        </w:rPr>
        <w:t xml:space="preserve"> </w:t>
      </w:r>
      <w:r>
        <w:rPr>
          <w:rFonts w:ascii="inherit" w:hAnsi="inherit"/>
          <w:sz w:val="17"/>
        </w:rPr>
        <w:t>Westlake will loan additional cash to OpCo to fund its expansion capital expenditures in the future, but Westlake is under no obligation to do so.</w:t>
      </w:r>
    </w:p>
    <w:p>
      <w:pPr>
        <w:pStyle w:val="TextBody"/>
        <w:spacing w:lineRule="auto" w:line="288" w:before="0" w:after="0"/>
        <w:jc w:val="left"/>
        <w:rPr>
          <w:rFonts w:ascii="inherit" w:hAnsi="inherit"/>
          <w:b/>
          <w:i/>
          <w:sz w:val="17"/>
        </w:rPr>
      </w:pPr>
      <w:r>
        <w:rPr>
          <w:rFonts w:ascii="inherit" w:hAnsi="inherit"/>
          <w:b/>
          <w:i/>
          <w:sz w:val="17"/>
        </w:rPr>
        <w:t>Indebtedness</w:t>
      </w:r>
    </w:p>
    <w:p>
      <w:pPr>
        <w:pStyle w:val="TextBody"/>
        <w:spacing w:lineRule="auto" w:line="288" w:before="0" w:after="0"/>
        <w:ind w:left="0" w:right="0" w:firstLine="480"/>
        <w:jc w:val="left"/>
        <w:rPr>
          <w:rFonts w:ascii="inherit" w:hAnsi="inherit"/>
          <w:sz w:val="17"/>
        </w:rPr>
      </w:pPr>
      <w:r>
        <w:rPr>
          <w:rFonts w:ascii="inherit" w:hAnsi="inherit"/>
          <w:sz w:val="17"/>
        </w:rPr>
        <w:t xml:space="preserve">OpCo assumed $246.1 million of indebtedness under the August 2013 Promissory Notes in connection with the closing of the IPO. Using proceeds from the IPO, OpCo repaid $78.9 million of the outstanding balance in the August 2013 Promissory Notes. As of September 30, 2014, $168.4 million of indebtedness was outstanding under the August 2013 Promissory Notes. Each of the promissory notes has a ten-year term beginning on the date the Predecessor entered into the agreement. Outstanding borrowings under the promissory notes bear interest at the prime rate plus a 1.5% margin, which is accrued in arrears quarterly. OpCo has the right at any time to prepay the August 2013 Promissory Notes, in whole or in part, without any premium or penalty. </w:t>
      </w:r>
    </w:p>
    <w:p>
      <w:pPr>
        <w:pStyle w:val="TextBody"/>
        <w:spacing w:lineRule="auto" w:line="288" w:before="0" w:after="0"/>
        <w:ind w:left="0" w:right="0" w:firstLine="480"/>
        <w:jc w:val="left"/>
        <w:rPr>
          <w:rFonts w:ascii="inherit" w:hAnsi="inherit"/>
          <w:sz w:val="17"/>
        </w:rPr>
      </w:pPr>
      <w:r>
        <w:rPr>
          <w:rFonts w:ascii="inherit" w:hAnsi="inherit"/>
          <w:sz w:val="17"/>
        </w:rPr>
        <w:t xml:space="preserve">Additionally, at the closing of the IPO, OpCo entered into a $600.0 million intercompany credit facility with Westlake that may be used to fund growth projects and working capital needs. As of September 30, 2014, outstanding borrowings, including accrued interest, under the intercompany credit facility with Westlake totaled $20.1 million and bear interest at the LIBOR rate plus 3.0%, which is accrued in arrears quarterly. </w:t>
      </w:r>
    </w:p>
    <w:p>
      <w:pPr>
        <w:pStyle w:val="TextBody"/>
        <w:spacing w:lineRule="auto" w:line="288" w:before="0" w:after="0"/>
        <w:jc w:val="left"/>
        <w:rPr>
          <w:rFonts w:ascii="inherit" w:hAnsi="inherit"/>
          <w:b/>
          <w:i/>
          <w:sz w:val="17"/>
        </w:rPr>
      </w:pPr>
      <w:r>
        <w:rPr>
          <w:rFonts w:ascii="inherit" w:hAnsi="inherit"/>
          <w:b/>
          <w:i/>
          <w:sz w:val="17"/>
        </w:rPr>
        <w:t>Off-Balance Sheet Arrangements</w:t>
      </w:r>
    </w:p>
    <w:p>
      <w:pPr>
        <w:pStyle w:val="TextBody"/>
        <w:spacing w:lineRule="auto" w:line="288" w:before="0" w:after="0"/>
        <w:ind w:left="0" w:right="0" w:firstLine="480"/>
        <w:jc w:val="left"/>
        <w:rPr>
          <w:rFonts w:ascii="inherit" w:hAnsi="inherit"/>
          <w:sz w:val="17"/>
        </w:rPr>
      </w:pPr>
      <w:r>
        <w:rPr>
          <w:rFonts w:ascii="inherit" w:hAnsi="inherit"/>
          <w:sz w:val="17"/>
        </w:rPr>
        <w:t>None.</w:t>
      </w:r>
    </w:p>
    <w:p>
      <w:pPr>
        <w:pStyle w:val="TextBody"/>
        <w:spacing w:lineRule="auto" w:line="288" w:before="0" w:after="0"/>
        <w:jc w:val="left"/>
        <w:rPr>
          <w:rFonts w:ascii="inherit" w:hAnsi="inherit"/>
          <w:b/>
          <w:sz w:val="17"/>
        </w:rPr>
      </w:pPr>
      <w:r>
        <w:rPr>
          <w:rFonts w:ascii="inherit" w:hAnsi="inherit"/>
          <w:b/>
          <w:sz w:val="17"/>
        </w:rPr>
        <w:t>FORWARD-LOOKING STATEMENTS</w:t>
      </w:r>
    </w:p>
    <w:p>
      <w:pPr>
        <w:pStyle w:val="TextBody"/>
        <w:spacing w:lineRule="auto" w:line="288" w:before="0" w:after="0"/>
        <w:ind w:left="0" w:right="0" w:firstLine="450"/>
        <w:jc w:val="left"/>
        <w:rPr>
          <w:rFonts w:ascii="inherit" w:hAnsi="inherit"/>
          <w:sz w:val="17"/>
        </w:rPr>
      </w:pPr>
      <w:r>
        <w:rPr>
          <w:rFonts w:ascii="inherit" w:hAnsi="inherit"/>
          <w:sz w:val="17"/>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 "expects,"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the amount of ethane that we are able to process, which could be adversely affected by, among other things, operating difficulties; </w:t>
            </w:r>
          </w:p>
        </w:tc>
      </w:tr>
    </w:tbl>
    <w:tbl>
      <w:tblPr>
        <w:tblW w:w="4495" w:type="dxa"/>
        <w:jc w:val="left"/>
        <w:tblInd w:w="0" w:type="dxa"/>
        <w:tblCellMar>
          <w:top w:w="0" w:type="dxa"/>
          <w:left w:w="0" w:type="dxa"/>
          <w:bottom w:w="0" w:type="dxa"/>
          <w:right w:w="0" w:type="dxa"/>
        </w:tblCellMar>
      </w:tblPr>
      <w:tblGrid>
        <w:gridCol w:w="485"/>
        <w:gridCol w:w="4010"/>
      </w:tblGrid>
      <w:tr>
        <w:trPr/>
        <w:tc>
          <w:tcPr>
            <w:tcW w:w="485" w:type="dxa"/>
            <w:tcBorders/>
            <w:shd w:fill="auto" w:val="clear"/>
            <w:vAlign w:val="center"/>
          </w:tcPr>
          <w:p>
            <w:pPr>
              <w:pStyle w:val="TableContents"/>
              <w:spacing w:before="0" w:after="283"/>
              <w:rPr>
                <w:sz w:val="4"/>
                <w:szCs w:val="4"/>
              </w:rPr>
            </w:pPr>
            <w:r>
              <w:rPr>
                <w:sz w:val="4"/>
                <w:szCs w:val="4"/>
              </w:rPr>
            </w:r>
          </w:p>
        </w:tc>
        <w:tc>
          <w:tcPr>
            <w:tcW w:w="401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401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the volume of ethylene that we are able to sell; </w:t>
            </w:r>
          </w:p>
        </w:tc>
      </w:tr>
    </w:tbl>
    <w:tbl>
      <w:tblPr>
        <w:tblW w:w="4435" w:type="dxa"/>
        <w:jc w:val="left"/>
        <w:tblInd w:w="0" w:type="dxa"/>
        <w:tblCellMar>
          <w:top w:w="0" w:type="dxa"/>
          <w:left w:w="0" w:type="dxa"/>
          <w:bottom w:w="0" w:type="dxa"/>
          <w:right w:w="0" w:type="dxa"/>
        </w:tblCellMar>
      </w:tblPr>
      <w:tblGrid>
        <w:gridCol w:w="485"/>
        <w:gridCol w:w="3950"/>
      </w:tblGrid>
      <w:tr>
        <w:trPr/>
        <w:tc>
          <w:tcPr>
            <w:tcW w:w="485"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9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the price at which we are able to sell ethylene; </w:t>
            </w:r>
          </w:p>
        </w:tc>
      </w:tr>
    </w:tbl>
    <w:tbl>
      <w:tblPr>
        <w:tblW w:w="4705" w:type="dxa"/>
        <w:jc w:val="left"/>
        <w:tblInd w:w="0" w:type="dxa"/>
        <w:tblCellMar>
          <w:top w:w="0" w:type="dxa"/>
          <w:left w:w="0" w:type="dxa"/>
          <w:bottom w:w="0" w:type="dxa"/>
          <w:right w:w="0" w:type="dxa"/>
        </w:tblCellMar>
      </w:tblPr>
      <w:tblGrid>
        <w:gridCol w:w="485"/>
        <w:gridCol w:w="4220"/>
      </w:tblGrid>
      <w:tr>
        <w:trPr/>
        <w:tc>
          <w:tcPr>
            <w:tcW w:w="485" w:type="dxa"/>
            <w:tcBorders/>
            <w:shd w:fill="auto" w:val="clear"/>
            <w:vAlign w:val="center"/>
          </w:tcPr>
          <w:p>
            <w:pPr>
              <w:pStyle w:val="TableContents"/>
              <w:spacing w:before="0" w:after="283"/>
              <w:rPr>
                <w:sz w:val="4"/>
                <w:szCs w:val="4"/>
              </w:rPr>
            </w:pPr>
            <w:r>
              <w:rPr>
                <w:sz w:val="4"/>
                <w:szCs w:val="4"/>
              </w:rPr>
            </w:r>
          </w:p>
        </w:tc>
        <w:tc>
          <w:tcPr>
            <w:tcW w:w="42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42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changes in the price and availability of electricity; </w:t>
            </w:r>
          </w:p>
        </w:tc>
      </w:tr>
    </w:tbl>
    <w:tbl>
      <w:tblPr>
        <w:tblW w:w="4165" w:type="dxa"/>
        <w:jc w:val="left"/>
        <w:tblInd w:w="0" w:type="dxa"/>
        <w:tblCellMar>
          <w:top w:w="0" w:type="dxa"/>
          <w:left w:w="0" w:type="dxa"/>
          <w:bottom w:w="0" w:type="dxa"/>
          <w:right w:w="0" w:type="dxa"/>
        </w:tblCellMar>
      </w:tblPr>
      <w:tblGrid>
        <w:gridCol w:w="485"/>
        <w:gridCol w:w="3680"/>
      </w:tblGrid>
      <w:tr>
        <w:trPr/>
        <w:tc>
          <w:tcPr>
            <w:tcW w:w="485" w:type="dxa"/>
            <w:tcBorders/>
            <w:shd w:fill="auto" w:val="clear"/>
            <w:vAlign w:val="center"/>
          </w:tcPr>
          <w:p>
            <w:pPr>
              <w:pStyle w:val="TableContents"/>
              <w:spacing w:before="0" w:after="283"/>
              <w:rPr>
                <w:sz w:val="4"/>
                <w:szCs w:val="4"/>
              </w:rPr>
            </w:pPr>
            <w:r>
              <w:rPr>
                <w:sz w:val="4"/>
                <w:szCs w:val="4"/>
              </w:rPr>
            </w:r>
          </w:p>
        </w:tc>
        <w:tc>
          <w:tcPr>
            <w:tcW w:w="368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68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changes in prevailing economic conditions; </w:t>
            </w:r>
          </w:p>
        </w:tc>
      </w:tr>
    </w:tbl>
    <w:tbl>
      <w:tblPr>
        <w:tblW w:w="4645" w:type="dxa"/>
        <w:jc w:val="left"/>
        <w:tblInd w:w="0" w:type="dxa"/>
        <w:tblCellMar>
          <w:top w:w="0" w:type="dxa"/>
          <w:left w:w="0" w:type="dxa"/>
          <w:bottom w:w="0" w:type="dxa"/>
          <w:right w:w="0" w:type="dxa"/>
        </w:tblCellMar>
      </w:tblPr>
      <w:tblGrid>
        <w:gridCol w:w="485"/>
        <w:gridCol w:w="4160"/>
      </w:tblGrid>
      <w:tr>
        <w:trPr/>
        <w:tc>
          <w:tcPr>
            <w:tcW w:w="485" w:type="dxa"/>
            <w:tcBorders/>
            <w:shd w:fill="auto" w:val="clear"/>
            <w:vAlign w:val="center"/>
          </w:tcPr>
          <w:p>
            <w:pPr>
              <w:pStyle w:val="TableContents"/>
              <w:spacing w:before="0" w:after="283"/>
              <w:rPr>
                <w:sz w:val="4"/>
                <w:szCs w:val="4"/>
              </w:rPr>
            </w:pPr>
            <w:r>
              <w:rPr>
                <w:sz w:val="4"/>
                <w:szCs w:val="4"/>
              </w:rPr>
            </w:r>
          </w:p>
        </w:tc>
        <w:tc>
          <w:tcPr>
            <w:tcW w:w="416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416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unanticipated ground, grade or water conditions; </w:t>
            </w:r>
          </w:p>
        </w:tc>
      </w:tr>
    </w:tbl>
    <w:tbl>
      <w:tblPr>
        <w:tblW w:w="9490" w:type="dxa"/>
        <w:jc w:val="left"/>
        <w:tblInd w:w="0" w:type="dxa"/>
        <w:tblCellMar>
          <w:top w:w="0" w:type="dxa"/>
          <w:left w:w="0" w:type="dxa"/>
          <w:bottom w:w="0" w:type="dxa"/>
          <w:right w:w="0" w:type="dxa"/>
        </w:tblCellMar>
      </w:tblPr>
      <w:tblGrid>
        <w:gridCol w:w="485"/>
        <w:gridCol w:w="9005"/>
      </w:tblGrid>
      <w:tr>
        <w:trPr/>
        <w:tc>
          <w:tcPr>
            <w:tcW w:w="485" w:type="dxa"/>
            <w:tcBorders/>
            <w:shd w:fill="auto" w:val="clear"/>
            <w:vAlign w:val="center"/>
          </w:tcPr>
          <w:p>
            <w:pPr>
              <w:pStyle w:val="TableContents"/>
              <w:spacing w:before="0" w:after="283"/>
              <w:rPr>
                <w:sz w:val="4"/>
                <w:szCs w:val="4"/>
              </w:rPr>
            </w:pPr>
            <w:r>
              <w:rPr>
                <w:sz w:val="4"/>
                <w:szCs w:val="4"/>
              </w:rPr>
            </w:r>
          </w:p>
        </w:tc>
        <w:tc>
          <w:tcPr>
            <w:tcW w:w="900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00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inclement or hazardous weather conditions, including flooding, and the physical impacts of climate change; </w:t>
            </w:r>
          </w:p>
        </w:tc>
      </w:tr>
    </w:tbl>
    <w:tbl>
      <w:tblPr>
        <w:tblW w:w="2575" w:type="dxa"/>
        <w:jc w:val="left"/>
        <w:tblInd w:w="0" w:type="dxa"/>
        <w:tblCellMar>
          <w:top w:w="0" w:type="dxa"/>
          <w:left w:w="0" w:type="dxa"/>
          <w:bottom w:w="0" w:type="dxa"/>
          <w:right w:w="0" w:type="dxa"/>
        </w:tblCellMar>
      </w:tblPr>
      <w:tblGrid>
        <w:gridCol w:w="485"/>
        <w:gridCol w:w="2090"/>
      </w:tblGrid>
      <w:tr>
        <w:trPr/>
        <w:tc>
          <w:tcPr>
            <w:tcW w:w="485" w:type="dxa"/>
            <w:tcBorders/>
            <w:shd w:fill="auto" w:val="clear"/>
            <w:vAlign w:val="center"/>
          </w:tcPr>
          <w:p>
            <w:pPr>
              <w:pStyle w:val="TableContents"/>
              <w:spacing w:before="0" w:after="283"/>
              <w:rPr>
                <w:sz w:val="4"/>
                <w:szCs w:val="4"/>
              </w:rPr>
            </w:pPr>
            <w:r>
              <w:rPr>
                <w:sz w:val="4"/>
                <w:szCs w:val="4"/>
              </w:rPr>
            </w:r>
          </w:p>
        </w:tc>
        <w:tc>
          <w:tcPr>
            <w:tcW w:w="209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209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environmental hazards; </w:t>
            </w:r>
          </w:p>
        </w:tc>
      </w:tr>
    </w:tbl>
    <w:tbl>
      <w:tblPr>
        <w:tblW w:w="2245" w:type="dxa"/>
        <w:jc w:val="left"/>
        <w:tblInd w:w="0" w:type="dxa"/>
        <w:tblCellMar>
          <w:top w:w="0" w:type="dxa"/>
          <w:left w:w="0" w:type="dxa"/>
          <w:bottom w:w="0" w:type="dxa"/>
          <w:right w:w="0" w:type="dxa"/>
        </w:tblCellMar>
      </w:tblPr>
      <w:tblGrid>
        <w:gridCol w:w="485"/>
        <w:gridCol w:w="1760"/>
      </w:tblGrid>
      <w:tr>
        <w:trPr/>
        <w:tc>
          <w:tcPr>
            <w:tcW w:w="485" w:type="dxa"/>
            <w:tcBorders/>
            <w:shd w:fill="auto" w:val="clear"/>
            <w:vAlign w:val="center"/>
          </w:tcPr>
          <w:p>
            <w:pPr>
              <w:pStyle w:val="TableContents"/>
              <w:spacing w:before="0" w:after="283"/>
              <w:rPr>
                <w:sz w:val="4"/>
                <w:szCs w:val="4"/>
              </w:rPr>
            </w:pPr>
            <w:r>
              <w:rPr>
                <w:sz w:val="4"/>
                <w:szCs w:val="4"/>
              </w:rPr>
            </w:r>
          </w:p>
        </w:tc>
        <w:tc>
          <w:tcPr>
            <w:tcW w:w="176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176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industrial accidents; </w:t>
            </w:r>
          </w:p>
        </w:tc>
      </w:tr>
    </w:tbl>
    <w:tbl>
      <w:tblPr>
        <w:tblW w:w="5770" w:type="dxa"/>
        <w:jc w:val="left"/>
        <w:tblInd w:w="0" w:type="dxa"/>
        <w:tblCellMar>
          <w:top w:w="0" w:type="dxa"/>
          <w:left w:w="0" w:type="dxa"/>
          <w:bottom w:w="0" w:type="dxa"/>
          <w:right w:w="0" w:type="dxa"/>
        </w:tblCellMar>
      </w:tblPr>
      <w:tblGrid>
        <w:gridCol w:w="485"/>
        <w:gridCol w:w="5285"/>
      </w:tblGrid>
      <w:tr>
        <w:trPr/>
        <w:tc>
          <w:tcPr>
            <w:tcW w:w="485" w:type="dxa"/>
            <w:tcBorders/>
            <w:shd w:fill="auto" w:val="clear"/>
            <w:vAlign w:val="center"/>
          </w:tcPr>
          <w:p>
            <w:pPr>
              <w:pStyle w:val="TableContents"/>
              <w:spacing w:before="0" w:after="283"/>
              <w:rPr>
                <w:sz w:val="4"/>
                <w:szCs w:val="4"/>
              </w:rPr>
            </w:pPr>
            <w:r>
              <w:rPr>
                <w:sz w:val="4"/>
                <w:szCs w:val="4"/>
              </w:rPr>
            </w:r>
          </w:p>
        </w:tc>
        <w:tc>
          <w:tcPr>
            <w:tcW w:w="528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528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laws and regulations (or the interpretation thereof);</w:t>
            </w:r>
          </w:p>
        </w:tc>
      </w:tr>
    </w:tbl>
    <w:tbl>
      <w:tblPr>
        <w:tblW w:w="4780" w:type="dxa"/>
        <w:jc w:val="left"/>
        <w:tblInd w:w="0" w:type="dxa"/>
        <w:tblCellMar>
          <w:top w:w="0" w:type="dxa"/>
          <w:left w:w="0" w:type="dxa"/>
          <w:bottom w:w="0" w:type="dxa"/>
          <w:right w:w="0" w:type="dxa"/>
        </w:tblCellMar>
      </w:tblPr>
      <w:tblGrid>
        <w:gridCol w:w="485"/>
        <w:gridCol w:w="4295"/>
      </w:tblGrid>
      <w:tr>
        <w:trPr/>
        <w:tc>
          <w:tcPr>
            <w:tcW w:w="485" w:type="dxa"/>
            <w:tcBorders/>
            <w:shd w:fill="auto" w:val="clear"/>
            <w:vAlign w:val="center"/>
          </w:tcPr>
          <w:p>
            <w:pPr>
              <w:pStyle w:val="TableContents"/>
              <w:spacing w:before="0" w:after="283"/>
              <w:rPr>
                <w:sz w:val="4"/>
                <w:szCs w:val="4"/>
              </w:rPr>
            </w:pPr>
            <w:r>
              <w:rPr>
                <w:sz w:val="4"/>
                <w:szCs w:val="4"/>
              </w:rPr>
            </w:r>
          </w:p>
        </w:tc>
        <w:tc>
          <w:tcPr>
            <w:tcW w:w="429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429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inability to acquire or maintain necessary permits; </w:t>
            </w:r>
          </w:p>
        </w:tc>
      </w:tr>
    </w:tbl>
    <w:tbl>
      <w:tblPr>
        <w:tblW w:w="6685" w:type="dxa"/>
        <w:jc w:val="left"/>
        <w:tblInd w:w="0" w:type="dxa"/>
        <w:tblCellMar>
          <w:top w:w="0" w:type="dxa"/>
          <w:left w:w="0" w:type="dxa"/>
          <w:bottom w:w="0" w:type="dxa"/>
          <w:right w:w="0" w:type="dxa"/>
        </w:tblCellMar>
      </w:tblPr>
      <w:tblGrid>
        <w:gridCol w:w="485"/>
        <w:gridCol w:w="6200"/>
      </w:tblGrid>
      <w:tr>
        <w:trPr/>
        <w:tc>
          <w:tcPr>
            <w:tcW w:w="485" w:type="dxa"/>
            <w:tcBorders/>
            <w:shd w:fill="auto" w:val="clear"/>
            <w:vAlign w:val="center"/>
          </w:tcPr>
          <w:p>
            <w:pPr>
              <w:pStyle w:val="TableContents"/>
              <w:spacing w:before="0" w:after="283"/>
              <w:rPr>
                <w:sz w:val="4"/>
                <w:szCs w:val="4"/>
              </w:rPr>
            </w:pPr>
            <w:r>
              <w:rPr>
                <w:sz w:val="4"/>
                <w:szCs w:val="4"/>
              </w:rPr>
            </w:r>
          </w:p>
        </w:tc>
        <w:tc>
          <w:tcPr>
            <w:tcW w:w="620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62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inability to obtain necessary production equipment or replacement parts; </w:t>
            </w:r>
          </w:p>
        </w:tc>
      </w:tr>
    </w:tbl>
    <w:tbl>
      <w:tblPr>
        <w:tblW w:w="3130" w:type="dxa"/>
        <w:jc w:val="left"/>
        <w:tblInd w:w="0" w:type="dxa"/>
        <w:tblCellMar>
          <w:top w:w="0" w:type="dxa"/>
          <w:left w:w="0" w:type="dxa"/>
          <w:bottom w:w="0" w:type="dxa"/>
          <w:right w:w="0" w:type="dxa"/>
        </w:tblCellMar>
      </w:tblPr>
      <w:tblGrid>
        <w:gridCol w:w="485"/>
        <w:gridCol w:w="2645"/>
      </w:tblGrid>
      <w:tr>
        <w:trPr/>
        <w:tc>
          <w:tcPr>
            <w:tcW w:w="485" w:type="dxa"/>
            <w:tcBorders/>
            <w:shd w:fill="auto" w:val="clear"/>
            <w:vAlign w:val="center"/>
          </w:tcPr>
          <w:p>
            <w:pPr>
              <w:pStyle w:val="TableContents"/>
              <w:spacing w:before="0" w:after="283"/>
              <w:rPr>
                <w:sz w:val="4"/>
                <w:szCs w:val="4"/>
              </w:rPr>
            </w:pPr>
            <w:r>
              <w:rPr>
                <w:sz w:val="4"/>
                <w:szCs w:val="4"/>
              </w:rPr>
            </w:r>
          </w:p>
        </w:tc>
        <w:tc>
          <w:tcPr>
            <w:tcW w:w="264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264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technical difficulties or failures;</w:t>
            </w:r>
          </w:p>
        </w:tc>
      </w:tr>
    </w:tbl>
    <w:tbl>
      <w:tblPr>
        <w:tblW w:w="1765" w:type="dxa"/>
        <w:jc w:val="left"/>
        <w:tblInd w:w="0" w:type="dxa"/>
        <w:tblCellMar>
          <w:top w:w="0" w:type="dxa"/>
          <w:left w:w="0" w:type="dxa"/>
          <w:bottom w:w="0" w:type="dxa"/>
          <w:right w:w="0" w:type="dxa"/>
        </w:tblCellMar>
      </w:tblPr>
      <w:tblGrid>
        <w:gridCol w:w="485"/>
        <w:gridCol w:w="1280"/>
      </w:tblGrid>
      <w:tr>
        <w:trPr/>
        <w:tc>
          <w:tcPr>
            <w:tcW w:w="485"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128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labor disputes;</w:t>
            </w:r>
          </w:p>
        </w:tc>
      </w:tr>
    </w:tbl>
    <w:tbl>
      <w:tblPr>
        <w:tblW w:w="3040" w:type="dxa"/>
        <w:jc w:val="left"/>
        <w:tblInd w:w="0" w:type="dxa"/>
        <w:tblCellMar>
          <w:top w:w="0" w:type="dxa"/>
          <w:left w:w="0" w:type="dxa"/>
          <w:bottom w:w="0" w:type="dxa"/>
          <w:right w:w="0" w:type="dxa"/>
        </w:tblCellMar>
      </w:tblPr>
      <w:tblGrid>
        <w:gridCol w:w="485"/>
        <w:gridCol w:w="2555"/>
      </w:tblGrid>
      <w:tr>
        <w:trPr/>
        <w:tc>
          <w:tcPr>
            <w:tcW w:w="485" w:type="dxa"/>
            <w:tcBorders/>
            <w:shd w:fill="auto" w:val="clear"/>
            <w:vAlign w:val="center"/>
          </w:tcPr>
          <w:p>
            <w:pPr>
              <w:pStyle w:val="TableContents"/>
              <w:spacing w:before="0" w:after="283"/>
              <w:rPr>
                <w:sz w:val="4"/>
                <w:szCs w:val="4"/>
              </w:rPr>
            </w:pPr>
            <w:r>
              <w:rPr>
                <w:sz w:val="4"/>
                <w:szCs w:val="4"/>
              </w:rPr>
            </w:r>
          </w:p>
        </w:tc>
        <w:tc>
          <w:tcPr>
            <w:tcW w:w="255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255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late delivery of raw materials;</w:t>
            </w:r>
          </w:p>
        </w:tc>
      </w:tr>
    </w:tbl>
    <w:tbl>
      <w:tblPr>
        <w:tblW w:w="3160" w:type="dxa"/>
        <w:jc w:val="left"/>
        <w:tblInd w:w="0" w:type="dxa"/>
        <w:tblCellMar>
          <w:top w:w="0" w:type="dxa"/>
          <w:left w:w="0" w:type="dxa"/>
          <w:bottom w:w="0" w:type="dxa"/>
          <w:right w:w="0" w:type="dxa"/>
        </w:tblCellMar>
      </w:tblPr>
      <w:tblGrid>
        <w:gridCol w:w="485"/>
        <w:gridCol w:w="2675"/>
      </w:tblGrid>
      <w:tr>
        <w:trPr/>
        <w:tc>
          <w:tcPr>
            <w:tcW w:w="485" w:type="dxa"/>
            <w:tcBorders/>
            <w:shd w:fill="auto" w:val="clear"/>
            <w:vAlign w:val="center"/>
          </w:tcPr>
          <w:p>
            <w:pPr>
              <w:pStyle w:val="TableContents"/>
              <w:spacing w:before="0" w:after="283"/>
              <w:rPr>
                <w:sz w:val="4"/>
                <w:szCs w:val="4"/>
              </w:rPr>
            </w:pPr>
            <w:r>
              <w:rPr>
                <w:sz w:val="4"/>
                <w:szCs w:val="4"/>
              </w:rPr>
            </w:r>
          </w:p>
        </w:tc>
        <w:tc>
          <w:tcPr>
            <w:tcW w:w="267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267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difficulty collecting receivables;</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28</w:t>
      </w:r>
      <w:r>
        <w:br w:type="page"/>
      </w:r>
    </w:p>
    <w:p>
      <w:pPr>
        <w:pStyle w:val="TextBody"/>
        <w:spacing w:lineRule="auto" w:line="288" w:before="0" w:after="0"/>
        <w:rPr/>
      </w:pPr>
      <w:hyperlink w:anchor="s7D21BC485A80E1C3273666ECEC2365C6">
        <w:bookmarkStart w:id="43" w:name="s9C2546C56352668CD99F66ECE9F30F6A10"/>
        <w:bookmarkEnd w:id="43"/>
        <w:r>
          <w:rPr>
            <w:rStyle w:val="InternetLink"/>
            <w:rFonts w:ascii="inherit" w:hAnsi="inherit"/>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tbl>
      <w:tblPr>
        <w:tblW w:w="4060" w:type="dxa"/>
        <w:jc w:val="left"/>
        <w:tblInd w:w="0" w:type="dxa"/>
        <w:tblCellMar>
          <w:top w:w="0" w:type="dxa"/>
          <w:left w:w="0" w:type="dxa"/>
          <w:bottom w:w="0" w:type="dxa"/>
          <w:right w:w="0" w:type="dxa"/>
        </w:tblCellMar>
      </w:tblPr>
      <w:tblGrid>
        <w:gridCol w:w="485"/>
        <w:gridCol w:w="3575"/>
      </w:tblGrid>
      <w:tr>
        <w:trPr/>
        <w:tc>
          <w:tcPr>
            <w:tcW w:w="485" w:type="dxa"/>
            <w:tcBorders/>
            <w:shd w:fill="auto" w:val="clear"/>
            <w:vAlign w:val="center"/>
          </w:tcPr>
          <w:p>
            <w:pPr>
              <w:pStyle w:val="TableContents"/>
              <w:spacing w:before="0" w:after="283"/>
              <w:rPr>
                <w:sz w:val="4"/>
                <w:szCs w:val="4"/>
              </w:rPr>
            </w:pPr>
            <w:r>
              <w:rPr>
                <w:sz w:val="4"/>
                <w:szCs w:val="4"/>
              </w:rPr>
            </w:r>
          </w:p>
        </w:tc>
        <w:tc>
          <w:tcPr>
            <w:tcW w:w="357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57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inability of our customers to take delivery;</w:t>
            </w:r>
          </w:p>
        </w:tc>
      </w:tr>
    </w:tbl>
    <w:tbl>
      <w:tblPr>
        <w:tblW w:w="5035" w:type="dxa"/>
        <w:jc w:val="left"/>
        <w:tblInd w:w="0" w:type="dxa"/>
        <w:tblCellMar>
          <w:top w:w="0" w:type="dxa"/>
          <w:left w:w="0" w:type="dxa"/>
          <w:bottom w:w="0" w:type="dxa"/>
          <w:right w:w="0" w:type="dxa"/>
        </w:tblCellMar>
      </w:tblPr>
      <w:tblGrid>
        <w:gridCol w:w="485"/>
        <w:gridCol w:w="4550"/>
      </w:tblGrid>
      <w:tr>
        <w:trPr/>
        <w:tc>
          <w:tcPr>
            <w:tcW w:w="485"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45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the price and availability of transportation;</w:t>
            </w:r>
          </w:p>
        </w:tc>
      </w:tr>
    </w:tbl>
    <w:tbl>
      <w:tblPr>
        <w:tblW w:w="3505" w:type="dxa"/>
        <w:jc w:val="left"/>
        <w:tblInd w:w="0" w:type="dxa"/>
        <w:tblCellMar>
          <w:top w:w="0" w:type="dxa"/>
          <w:left w:w="0" w:type="dxa"/>
          <w:bottom w:w="0" w:type="dxa"/>
          <w:right w:w="0" w:type="dxa"/>
        </w:tblCellMar>
      </w:tblPr>
      <w:tblGrid>
        <w:gridCol w:w="485"/>
        <w:gridCol w:w="3020"/>
      </w:tblGrid>
      <w:tr>
        <w:trPr/>
        <w:tc>
          <w:tcPr>
            <w:tcW w:w="485" w:type="dxa"/>
            <w:tcBorders/>
            <w:shd w:fill="auto" w:val="clear"/>
            <w:vAlign w:val="center"/>
          </w:tcPr>
          <w:p>
            <w:pPr>
              <w:pStyle w:val="TableContents"/>
              <w:spacing w:before="0" w:after="283"/>
              <w:rPr>
                <w:sz w:val="4"/>
                <w:szCs w:val="4"/>
              </w:rPr>
            </w:pPr>
            <w:r>
              <w:rPr>
                <w:sz w:val="4"/>
                <w:szCs w:val="4"/>
              </w:rPr>
            </w:r>
          </w:p>
        </w:tc>
        <w:tc>
          <w:tcPr>
            <w:tcW w:w="30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0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fires, explosions or other accidents;</w:t>
            </w:r>
          </w:p>
        </w:tc>
      </w:tr>
    </w:tbl>
    <w:tbl>
      <w:tblPr>
        <w:tblW w:w="5455" w:type="dxa"/>
        <w:jc w:val="left"/>
        <w:tblInd w:w="0" w:type="dxa"/>
        <w:tblCellMar>
          <w:top w:w="0" w:type="dxa"/>
          <w:left w:w="0" w:type="dxa"/>
          <w:bottom w:w="0" w:type="dxa"/>
          <w:right w:w="0" w:type="dxa"/>
        </w:tblCellMar>
      </w:tblPr>
      <w:tblGrid>
        <w:gridCol w:w="485"/>
        <w:gridCol w:w="4970"/>
      </w:tblGrid>
      <w:tr>
        <w:trPr/>
        <w:tc>
          <w:tcPr>
            <w:tcW w:w="485" w:type="dxa"/>
            <w:tcBorders/>
            <w:shd w:fill="auto" w:val="clear"/>
            <w:vAlign w:val="center"/>
          </w:tcPr>
          <w:p>
            <w:pPr>
              <w:pStyle w:val="TableContents"/>
              <w:spacing w:before="0" w:after="283"/>
              <w:rPr>
                <w:sz w:val="4"/>
                <w:szCs w:val="4"/>
              </w:rPr>
            </w:pPr>
            <w:r>
              <w:rPr>
                <w:sz w:val="4"/>
                <w:szCs w:val="4"/>
              </w:rPr>
            </w:r>
          </w:p>
        </w:tc>
        <w:tc>
          <w:tcPr>
            <w:tcW w:w="497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497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our ability to borrow funds and access capital markets; and</w:t>
            </w:r>
          </w:p>
        </w:tc>
      </w:tr>
    </w:tbl>
    <w:tbl>
      <w:tblPr>
        <w:tblW w:w="4675" w:type="dxa"/>
        <w:jc w:val="left"/>
        <w:tblInd w:w="0" w:type="dxa"/>
        <w:tblCellMar>
          <w:top w:w="0" w:type="dxa"/>
          <w:left w:w="0" w:type="dxa"/>
          <w:bottom w:w="0" w:type="dxa"/>
          <w:right w:w="0" w:type="dxa"/>
        </w:tblCellMar>
      </w:tblPr>
      <w:tblGrid>
        <w:gridCol w:w="485"/>
        <w:gridCol w:w="4190"/>
      </w:tblGrid>
      <w:tr>
        <w:trPr/>
        <w:tc>
          <w:tcPr>
            <w:tcW w:w="485" w:type="dxa"/>
            <w:tcBorders/>
            <w:shd w:fill="auto" w:val="clear"/>
            <w:vAlign w:val="center"/>
          </w:tcPr>
          <w:p>
            <w:pPr>
              <w:pStyle w:val="TableContents"/>
              <w:spacing w:before="0" w:after="283"/>
              <w:rPr>
                <w:sz w:val="4"/>
                <w:szCs w:val="4"/>
              </w:rPr>
            </w:pPr>
            <w:r>
              <w:rPr>
                <w:sz w:val="4"/>
                <w:szCs w:val="4"/>
              </w:rPr>
            </w:r>
          </w:p>
        </w:tc>
        <w:tc>
          <w:tcPr>
            <w:tcW w:w="419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419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certain factors discussed elsewhere in this report.</w:t>
            </w:r>
          </w:p>
        </w:tc>
      </w:tr>
    </w:tbl>
    <w:p>
      <w:pPr>
        <w:pStyle w:val="TextBody"/>
        <w:spacing w:lineRule="auto" w:line="288" w:before="0" w:after="0"/>
        <w:ind w:left="0" w:right="0" w:firstLine="480"/>
        <w:jc w:val="left"/>
        <w:rPr>
          <w:rFonts w:ascii="inherit" w:hAnsi="inherit"/>
          <w:sz w:val="17"/>
        </w:rPr>
      </w:pPr>
      <w:r>
        <w:rPr>
          <w:rFonts w:ascii="inherit" w:hAnsi="inherit"/>
          <w:sz w:val="17"/>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in "Risk Factors" in the WLKP Prospectus.</w:t>
      </w:r>
    </w:p>
    <w:p>
      <w:pPr>
        <w:pStyle w:val="TextBody"/>
        <w:spacing w:lineRule="auto" w:line="288" w:before="0" w:after="0"/>
        <w:ind w:left="0" w:right="0" w:firstLine="480"/>
        <w:jc w:val="left"/>
        <w:rPr>
          <w:rFonts w:ascii="inherit" w:hAnsi="inherit"/>
          <w:sz w:val="17"/>
        </w:rPr>
      </w:pPr>
      <w:r>
        <w:rPr>
          <w:rFonts w:ascii="inherit" w:hAnsi="inherit"/>
          <w:sz w:val="17"/>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pStyle w:val="TextBody"/>
        <w:spacing w:lineRule="auto" w:line="288" w:before="0" w:after="0"/>
        <w:ind w:left="0" w:right="0" w:firstLine="480"/>
        <w:jc w:val="left"/>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bookmarkStart w:id="44" w:name="s904C6E180600031C67BA66ECF06F366D"/>
      <w:bookmarkEnd w:id="44"/>
      <w:r>
        <w:rPr>
          <w:rFonts w:ascii="inherit" w:hAnsi="inherit"/>
          <w:b/>
          <w:sz w:val="17"/>
        </w:rPr>
        <w:t xml:space="preserve">Item 3. Quantitative and Qualitative Disclosures about Market Risk </w:t>
      </w:r>
    </w:p>
    <w:p>
      <w:pPr>
        <w:pStyle w:val="TextBody"/>
        <w:spacing w:lineRule="auto" w:line="288" w:before="0" w:after="0"/>
        <w:jc w:val="left"/>
        <w:rPr>
          <w:rFonts w:ascii="inherit" w:hAnsi="inherit"/>
          <w:b/>
          <w:i/>
          <w:sz w:val="17"/>
        </w:rPr>
      </w:pPr>
      <w:r>
        <w:rPr>
          <w:rFonts w:ascii="inherit" w:hAnsi="inherit"/>
          <w:b/>
          <w:i/>
          <w:sz w:val="17"/>
        </w:rPr>
        <w:t xml:space="preserve">Commodity Price Risk </w:t>
      </w:r>
    </w:p>
    <w:p>
      <w:pPr>
        <w:pStyle w:val="TextBody"/>
        <w:spacing w:lineRule="auto" w:line="288" w:before="0" w:after="0"/>
        <w:ind w:left="0" w:right="0" w:firstLine="480"/>
        <w:jc w:val="left"/>
        <w:rPr>
          <w:rFonts w:ascii="inherit" w:hAnsi="inherit"/>
          <w:sz w:val="17"/>
        </w:rPr>
      </w:pPr>
      <w:r>
        <w:rPr>
          <w:rFonts w:ascii="inherit" w:hAnsi="inherit"/>
          <w:sz w:val="17"/>
        </w:rPr>
        <w:t xml:space="preserve">A substantial portion of the Predecessor’s and the Partnership's products and raw materials are commodities whose prices fluctuate as market supply and demand fundamentals change. Accordingly, the Predecessor’s and our product margins and level of profitability tend to fluctuate with changes in the business cycle. The Predecessor tried to protect against such instability through various business strategies. These strategies included ethylene feedstock flexibility and the use of derivative instruments in certain instances to reduce price volatility risk on feedstocks. In connection with the closing of the IPO, Westlake retained the Predecessor's open derivative positions, and as of September 30, 2014, we had no open derivative positions. Additional information concerning derivative commodity instruments appears in Notes 11 and 12 to the combined and consolidated financial statements within this Quarterly Report on Form 10-Q. </w:t>
      </w:r>
    </w:p>
    <w:p>
      <w:pPr>
        <w:pStyle w:val="TextBody"/>
        <w:spacing w:lineRule="auto" w:line="288" w:before="0" w:after="0"/>
        <w:jc w:val="left"/>
        <w:rPr>
          <w:rFonts w:ascii="inherit" w:hAnsi="inherit"/>
          <w:b/>
          <w:i/>
          <w:sz w:val="17"/>
        </w:rPr>
      </w:pPr>
      <w:r>
        <w:rPr>
          <w:rFonts w:ascii="inherit" w:hAnsi="inherit"/>
          <w:b/>
          <w:i/>
          <w:sz w:val="17"/>
        </w:rPr>
        <w:t xml:space="preserve">Interest Rate Risk </w:t>
      </w:r>
    </w:p>
    <w:p>
      <w:pPr>
        <w:pStyle w:val="TextBody"/>
        <w:spacing w:lineRule="auto" w:line="288" w:before="0" w:after="0"/>
        <w:ind w:left="0" w:right="0" w:firstLine="480"/>
        <w:jc w:val="left"/>
        <w:rPr>
          <w:sz w:val="17"/>
        </w:rPr>
      </w:pPr>
      <w:r>
        <w:rPr>
          <w:rFonts w:ascii="inherit" w:hAnsi="inherit"/>
          <w:sz w:val="17"/>
        </w:rPr>
        <w:t>We are exposed to interest rate risk with respect to our variable rate debt. At September 30, 2014, we had variable rate debt of $188.5 million</w:t>
      </w:r>
      <w:r>
        <w:rPr>
          <w:sz w:val="17"/>
        </w:rPr>
        <w:t xml:space="preserve"> </w:t>
      </w:r>
      <w:r>
        <w:rPr>
          <w:rFonts w:ascii="inherit" w:hAnsi="inherit"/>
          <w:sz w:val="17"/>
        </w:rPr>
        <w:t>outstanding, all of which was owed to a wholly owned subsidiary of Westlake, $20.1 million</w:t>
      </w:r>
      <w:r>
        <w:rPr>
          <w:sz w:val="17"/>
        </w:rPr>
        <w:t xml:space="preserve"> </w:t>
      </w:r>
      <w:r>
        <w:rPr>
          <w:rFonts w:ascii="inherit" w:hAnsi="inherit"/>
          <w:sz w:val="17"/>
        </w:rPr>
        <w:t>of which accrued interest at a variable rate of LIBOR plus 300 basis point, with the remaining $168.4 million</w:t>
      </w:r>
      <w:r>
        <w:rPr>
          <w:sz w:val="17"/>
        </w:rPr>
        <w:t xml:space="preserve"> </w:t>
      </w:r>
      <w:r>
        <w:rPr>
          <w:rFonts w:ascii="inherit" w:hAnsi="inherit"/>
          <w:sz w:val="17"/>
        </w:rPr>
        <w:t>accruing interest at a variable rate of prime plus 150 basis points. Historically, neither the Partnership nor the Predecessor engaged in hedging of variable rate debt. The weighted average variable interest rate of our variable rate debt of $188.5 million</w:t>
      </w:r>
      <w:r>
        <w:rPr>
          <w:sz w:val="17"/>
        </w:rPr>
        <w:t xml:space="preserve"> </w:t>
      </w:r>
      <w:r>
        <w:rPr>
          <w:rFonts w:ascii="inherit" w:hAnsi="inherit"/>
          <w:sz w:val="17"/>
        </w:rPr>
        <w:t>as of September 30, 2014</w:t>
      </w:r>
      <w:r>
        <w:rPr>
          <w:sz w:val="17"/>
        </w:rPr>
        <w:t xml:space="preserve"> </w:t>
      </w:r>
      <w:r>
        <w:rPr>
          <w:rFonts w:ascii="inherit" w:hAnsi="inherit"/>
          <w:sz w:val="17"/>
        </w:rPr>
        <w:t>was 4.60%. A hypothetical 100 basis point increase in the average interest rate on our variable rate debt would have increased our annual interest expense by approximately $0.6 million.</w:t>
      </w:r>
    </w:p>
    <w:p>
      <w:pPr>
        <w:pStyle w:val="TextBody"/>
        <w:spacing w:lineRule="auto" w:line="288" w:before="0" w:after="0"/>
        <w:ind w:left="0" w:right="0" w:firstLine="480"/>
        <w:jc w:val="left"/>
        <w:rPr>
          <w:sz w:val="17"/>
        </w:rPr>
      </w:pPr>
      <w:r>
        <w:rPr>
          <w:rFonts w:ascii="inherit" w:hAnsi="inherit"/>
          <w:sz w:val="17"/>
        </w:rPr>
        <w:t>We will continue to be subject to interest rate risk with respect to our remaining variable rate debt as well as the risk of higher interest cost if and when this debt is refinanced. If interest rates are 1% higher at the time of refinancing, our annual interest expense would increase by approximately $1.9 million, based on the September 30, 2014</w:t>
      </w:r>
      <w:r>
        <w:rPr>
          <w:sz w:val="17"/>
        </w:rPr>
        <w:t xml:space="preserve"> </w:t>
      </w:r>
      <w:r>
        <w:rPr>
          <w:rFonts w:ascii="inherit" w:hAnsi="inherit"/>
          <w:sz w:val="17"/>
        </w:rPr>
        <w:t>variable rate debt balance.</w:t>
      </w:r>
    </w:p>
    <w:p>
      <w:pPr>
        <w:pStyle w:val="TextBody"/>
        <w:spacing w:lineRule="auto" w:line="288" w:before="0" w:after="0"/>
        <w:ind w:left="0" w:right="0" w:firstLine="48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29</w:t>
      </w:r>
      <w:r>
        <w:br w:type="page"/>
      </w:r>
    </w:p>
    <w:p>
      <w:pPr>
        <w:pStyle w:val="TextBody"/>
        <w:spacing w:lineRule="auto" w:line="288" w:before="0" w:after="0"/>
        <w:rPr/>
      </w:pPr>
      <w:hyperlink w:anchor="s7D21BC485A80E1C3273666ECEC2365C6">
        <w:bookmarkStart w:id="45" w:name="s7B0104DA923701FB127866ECF079C5A5"/>
        <w:bookmarkEnd w:id="45"/>
        <w:r>
          <w:rPr>
            <w:rStyle w:val="InternetLink"/>
            <w:rFonts w:ascii="inherit" w:hAnsi="inherit"/>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 xml:space="preserve">Item 4. Controls and Procedures </w:t>
      </w:r>
    </w:p>
    <w:p>
      <w:pPr>
        <w:pStyle w:val="TextBody"/>
        <w:spacing w:lineRule="auto" w:line="288" w:before="0" w:after="0"/>
        <w:ind w:left="0" w:right="0" w:firstLine="450"/>
        <w:jc w:val="left"/>
        <w:rPr>
          <w:rFonts w:ascii="inherit" w:hAnsi="inherit"/>
          <w:sz w:val="17"/>
        </w:rPr>
      </w:pPr>
      <w:r>
        <w:rPr>
          <w:rFonts w:ascii="inherit" w:hAnsi="inherit"/>
          <w:sz w:val="17"/>
        </w:rPr>
        <w:t>We carried out an evaluation, under the supervision and with the participation of our management, including our President and Chief Executive Officer and our Senior Vice President and Chief Financial Officer, of the effectiveness of our disclosure controls and procedures pursuant to Rules 13a-15 or 15d-15 under the Securities Exchange Act of 1934, as amended (the "Exchange Act"), as of the end of the period covered by this report. Based upon that evaluation, our President and Chief Executive Officer and our Senior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pStyle w:val="TextBody"/>
        <w:spacing w:lineRule="auto" w:line="288" w:before="0" w:after="0"/>
        <w:jc w:val="left"/>
        <w:rPr>
          <w:rFonts w:ascii="inherit" w:hAnsi="inherit"/>
          <w:b/>
          <w:i/>
          <w:sz w:val="17"/>
        </w:rPr>
      </w:pPr>
      <w:r>
        <w:rPr>
          <w:rFonts w:ascii="inherit" w:hAnsi="inherit"/>
          <w:b/>
          <w:i/>
          <w:sz w:val="17"/>
        </w:rPr>
        <w:t>Internal Control Over Financial Reporting and Changes in Internal Control Over Financial Reporting</w:t>
      </w:r>
    </w:p>
    <w:p>
      <w:pPr>
        <w:pStyle w:val="TextBody"/>
        <w:spacing w:lineRule="auto" w:line="288" w:before="0" w:after="0"/>
        <w:ind w:left="0" w:right="0" w:firstLine="450"/>
        <w:jc w:val="left"/>
        <w:rPr>
          <w:sz w:val="17"/>
        </w:rPr>
      </w:pPr>
      <w:r>
        <w:rPr>
          <w:rFonts w:ascii="inherit" w:hAnsi="inherit"/>
          <w:sz w:val="17"/>
        </w:rPr>
        <w:t>The SEC, as required by Section 404 of the Sarbanes-Oxley Act, adopted rules that generally require every registrant that files reports with the SEC to include a management report on such registrant’s internal control over financial reporting in its annual report. In addition, our independent registered public accounting firm must attest to our internal control over financial reporting. Our first Annual Report on Form 10-K will not include a report of management’s assessment regarding internal control over financial reporting or an attestation report of our independent registered public accounting firm due to a transition period established by SEC rules applicable to new public companies. We are required to provide an assessment of the effectiveness of our internal control over financial reporting and comply with the auditor attestation requirement of Section 404 of the Sarbanes Oxley-Act as of December 31, 2015. There were no changes in our internal control over financial reporting that occurred during the three months ended September 30, 2014</w:t>
      </w:r>
      <w:r>
        <w:rPr>
          <w:sz w:val="17"/>
        </w:rPr>
        <w:t xml:space="preserve"> </w:t>
      </w:r>
      <w:r>
        <w:rPr>
          <w:rFonts w:ascii="inherit" w:hAnsi="inherit"/>
          <w:sz w:val="17"/>
        </w:rPr>
        <w:t>that have materially affected, or are reasonably likely to materially affect, our internal control over financial reporting.</w:t>
      </w:r>
    </w:p>
    <w:p>
      <w:pPr>
        <w:pStyle w:val="TextBody"/>
        <w:spacing w:lineRule="auto" w:line="288" w:before="0" w:after="0"/>
        <w:ind w:left="0" w:right="0" w:firstLine="495"/>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30</w:t>
      </w:r>
      <w:r>
        <w:br w:type="page"/>
      </w:r>
    </w:p>
    <w:p>
      <w:pPr>
        <w:pStyle w:val="TextBody"/>
        <w:spacing w:lineRule="auto" w:line="288" w:before="0" w:after="0"/>
        <w:rPr/>
      </w:pPr>
      <w:hyperlink w:anchor="s7D21BC485A80E1C3273666ECEC2365C6">
        <w:bookmarkStart w:id="46" w:name="sBBF7E23B665DDC30B95F66ECF0AB4DB5"/>
        <w:bookmarkEnd w:id="46"/>
        <w:r>
          <w:rPr>
            <w:rStyle w:val="InternetLink"/>
            <w:rFonts w:ascii="inherit" w:hAnsi="inherit"/>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PART II. OTHER INFORMATION</w:t>
      </w:r>
    </w:p>
    <w:p>
      <w:pPr>
        <w:pStyle w:val="Normal"/>
        <w:spacing w:before="0" w:after="0"/>
        <w:ind w:left="0" w:right="0" w:hanging="0"/>
        <w:rPr>
          <w:sz w:val="4"/>
          <w:szCs w:val="4"/>
        </w:rPr>
      </w:pPr>
      <w:r>
        <w:rPr>
          <w:sz w:val="4"/>
          <w:szCs w:val="4"/>
        </w:rPr>
      </w:r>
      <w:bookmarkStart w:id="47" w:name="s963BDF4A3422D6DC8F2966ECF0D3A0F0"/>
      <w:bookmarkStart w:id="48" w:name="s963BDF4A3422D6DC8F2966ECF0D3A0F0"/>
      <w:bookmarkEnd w:id="48"/>
    </w:p>
    <w:tbl>
      <w:tblPr>
        <w:tblW w:w="7220" w:type="dxa"/>
        <w:jc w:val="left"/>
        <w:tblInd w:w="0" w:type="dxa"/>
        <w:tblCellMar>
          <w:top w:w="0" w:type="dxa"/>
          <w:left w:w="0" w:type="dxa"/>
          <w:bottom w:w="0" w:type="dxa"/>
          <w:right w:w="0" w:type="dxa"/>
        </w:tblCellMar>
      </w:tblPr>
      <w:tblGrid>
        <w:gridCol w:w="722"/>
        <w:gridCol w:w="6498"/>
      </w:tblGrid>
      <w:tr>
        <w:trPr/>
        <w:tc>
          <w:tcPr>
            <w:tcW w:w="7220" w:type="dxa"/>
            <w:gridSpan w:val="2"/>
            <w:tcBorders/>
            <w:shd w:fill="auto" w:val="clear"/>
            <w:vAlign w:val="center"/>
          </w:tcPr>
          <w:p>
            <w:pPr>
              <w:pStyle w:val="TableContents"/>
              <w:spacing w:before="0" w:after="283"/>
              <w:rPr>
                <w:sz w:val="4"/>
                <w:szCs w:val="4"/>
              </w:rPr>
            </w:pPr>
            <w:r>
              <w:rPr>
                <w:sz w:val="4"/>
                <w:szCs w:val="4"/>
              </w:rPr>
            </w:r>
          </w:p>
        </w:tc>
      </w:tr>
      <w:tr>
        <w:trPr/>
        <w:tc>
          <w:tcPr>
            <w:tcW w:w="722" w:type="dxa"/>
            <w:tcBorders/>
            <w:shd w:fill="auto" w:val="clear"/>
            <w:vAlign w:val="center"/>
          </w:tcPr>
          <w:p>
            <w:pPr>
              <w:pStyle w:val="TableContents"/>
              <w:spacing w:before="0" w:after="283"/>
              <w:rPr>
                <w:sz w:val="4"/>
                <w:szCs w:val="4"/>
              </w:rPr>
            </w:pPr>
            <w:r>
              <w:rPr>
                <w:sz w:val="4"/>
                <w:szCs w:val="4"/>
              </w:rPr>
            </w:r>
          </w:p>
        </w:tc>
        <w:tc>
          <w:tcPr>
            <w:tcW w:w="649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22"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Item 1.</w:t>
            </w:r>
          </w:p>
        </w:tc>
        <w:tc>
          <w:tcPr>
            <w:tcW w:w="6498" w:type="dxa"/>
            <w:tcBorders/>
            <w:shd w:fill="auto" w:val="clear"/>
            <w:vAlign w:val="center"/>
          </w:tcPr>
          <w:p>
            <w:pPr>
              <w:pStyle w:val="TableContents"/>
              <w:spacing w:before="0" w:after="0"/>
              <w:jc w:val="left"/>
              <w:rPr>
                <w:rFonts w:ascii="inherit" w:hAnsi="inherit"/>
                <w:b/>
                <w:sz w:val="17"/>
              </w:rPr>
            </w:pPr>
            <w:r>
              <w:rPr>
                <w:rFonts w:ascii="inherit" w:hAnsi="inherit"/>
                <w:b/>
                <w:sz w:val="17"/>
              </w:rPr>
              <w:t>Legal Proceedings</w:t>
            </w:r>
          </w:p>
        </w:tc>
      </w:tr>
    </w:tbl>
    <w:p>
      <w:pPr>
        <w:pStyle w:val="TextBody"/>
        <w:spacing w:lineRule="auto" w:line="288" w:before="0" w:after="0"/>
        <w:ind w:left="0" w:right="0" w:firstLine="450"/>
        <w:rPr>
          <w:sz w:val="17"/>
        </w:rPr>
      </w:pPr>
      <w:r>
        <w:rPr>
          <w:rFonts w:ascii="inherit" w:hAnsi="inherit"/>
          <w:sz w:val="17"/>
        </w:rPr>
        <w:t xml:space="preserve">In the ordinary conduct of our business, we and Westlake and our and Westlake's subsidiaries, including OpCo, are subject to periodic lawsuits, investigations and claims, including environmental claims and employee related matters. Although we cannot predict with certainty the ultimate resolution of lawsuits, investigations and claims asserted against us, we do not believe that any </w:t>
      </w:r>
      <w:r>
        <w:rPr>
          <w:rFonts w:ascii="inherit" w:hAnsi="inherit"/>
          <w:color w:val="231F20"/>
          <w:sz w:val="17"/>
        </w:rPr>
        <w:t xml:space="preserve">currently pending legal proceeding or proceedings to which we or Westlake or any of our or Westlake's subsidiaries, including OpCo, are a party will have a material adverse effect on our business, results of operations, cash flows or financial condition. </w:t>
      </w:r>
      <w:r>
        <w:rPr>
          <w:rFonts w:ascii="inherit" w:hAnsi="inherit"/>
          <w:sz w:val="17"/>
        </w:rPr>
        <w:t>In addition, under the omnibus agreement, Westlake has agreed to indemnify OpCo for certain environmental and other liabilities relating to OpCo’s ethylene production facilities and related assets.</w:t>
      </w:r>
    </w:p>
    <w:p>
      <w:pPr>
        <w:pStyle w:val="TextBody"/>
        <w:spacing w:lineRule="auto" w:line="288" w:before="0" w:after="0"/>
        <w:ind w:left="0" w:right="0" w:firstLine="450"/>
        <w:rPr>
          <w:rFonts w:ascii="inherit" w:hAnsi="inherit"/>
          <w:sz w:val="17"/>
        </w:rPr>
      </w:pPr>
      <w:r>
        <w:rPr>
          <w:rFonts w:ascii="inherit" w:hAnsi="inherit"/>
          <w:sz w:val="17"/>
        </w:rPr>
      </w:r>
    </w:p>
    <w:p>
      <w:pPr>
        <w:pStyle w:val="Normal"/>
        <w:spacing w:before="0" w:after="0"/>
        <w:ind w:left="0" w:right="0" w:hanging="0"/>
        <w:rPr>
          <w:sz w:val="4"/>
          <w:szCs w:val="4"/>
        </w:rPr>
      </w:pPr>
      <w:r>
        <w:rPr>
          <w:sz w:val="4"/>
          <w:szCs w:val="4"/>
        </w:rPr>
      </w:r>
      <w:bookmarkStart w:id="49" w:name="s48259A4E929578BCEC3966ECF1059910"/>
      <w:bookmarkStart w:id="50" w:name="s48259A4E929578BCEC3966ECF1059910"/>
      <w:bookmarkEnd w:id="50"/>
    </w:p>
    <w:tbl>
      <w:tblPr>
        <w:tblW w:w="8478" w:type="dxa"/>
        <w:jc w:val="left"/>
        <w:tblInd w:w="0" w:type="dxa"/>
        <w:tblCellMar>
          <w:top w:w="0" w:type="dxa"/>
          <w:left w:w="0" w:type="dxa"/>
          <w:bottom w:w="0" w:type="dxa"/>
          <w:right w:w="0" w:type="dxa"/>
        </w:tblCellMar>
      </w:tblPr>
      <w:tblGrid>
        <w:gridCol w:w="847"/>
        <w:gridCol w:w="7631"/>
      </w:tblGrid>
      <w:tr>
        <w:trPr/>
        <w:tc>
          <w:tcPr>
            <w:tcW w:w="8478" w:type="dxa"/>
            <w:gridSpan w:val="2"/>
            <w:tcBorders/>
            <w:shd w:fill="auto" w:val="clear"/>
            <w:vAlign w:val="center"/>
          </w:tcPr>
          <w:p>
            <w:pPr>
              <w:pStyle w:val="TableContents"/>
              <w:spacing w:before="0" w:after="283"/>
              <w:rPr>
                <w:sz w:val="4"/>
                <w:szCs w:val="4"/>
              </w:rPr>
            </w:pPr>
            <w:r>
              <w:rPr>
                <w:sz w:val="4"/>
                <w:szCs w:val="4"/>
              </w:rPr>
            </w:r>
          </w:p>
        </w:tc>
      </w:tr>
      <w:tr>
        <w:trPr/>
        <w:tc>
          <w:tcPr>
            <w:tcW w:w="847" w:type="dxa"/>
            <w:tcBorders/>
            <w:shd w:fill="auto" w:val="clear"/>
            <w:vAlign w:val="center"/>
          </w:tcPr>
          <w:p>
            <w:pPr>
              <w:pStyle w:val="TableContents"/>
              <w:spacing w:before="0" w:after="283"/>
              <w:rPr>
                <w:sz w:val="4"/>
                <w:szCs w:val="4"/>
              </w:rPr>
            </w:pPr>
            <w:r>
              <w:rPr>
                <w:sz w:val="4"/>
                <w:szCs w:val="4"/>
              </w:rPr>
            </w:r>
          </w:p>
        </w:tc>
        <w:tc>
          <w:tcPr>
            <w:tcW w:w="763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847"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Item 1A.</w:t>
            </w:r>
          </w:p>
        </w:tc>
        <w:tc>
          <w:tcPr>
            <w:tcW w:w="7631" w:type="dxa"/>
            <w:tcBorders/>
            <w:shd w:fill="auto" w:val="clear"/>
            <w:vAlign w:val="center"/>
          </w:tcPr>
          <w:p>
            <w:pPr>
              <w:pStyle w:val="TableContents"/>
              <w:spacing w:before="0" w:after="0"/>
              <w:jc w:val="left"/>
              <w:rPr>
                <w:rFonts w:ascii="inherit" w:hAnsi="inherit"/>
                <w:b/>
                <w:sz w:val="17"/>
              </w:rPr>
            </w:pPr>
            <w:r>
              <w:rPr>
                <w:rFonts w:ascii="inherit" w:hAnsi="inherit"/>
                <w:b/>
                <w:sz w:val="17"/>
              </w:rPr>
              <w:t>Risk Factors</w:t>
            </w:r>
          </w:p>
        </w:tc>
      </w:tr>
    </w:tbl>
    <w:p>
      <w:pPr>
        <w:pStyle w:val="TextBody"/>
        <w:spacing w:lineRule="auto" w:line="288" w:before="0" w:after="0"/>
        <w:ind w:left="0" w:right="0" w:firstLine="450"/>
        <w:rPr>
          <w:rFonts w:ascii="inherit" w:hAnsi="inherit"/>
          <w:sz w:val="17"/>
        </w:rPr>
      </w:pPr>
      <w:r>
        <w:rPr>
          <w:rFonts w:ascii="inherit" w:hAnsi="inherit"/>
          <w:sz w:val="17"/>
        </w:rPr>
        <w:t>We are subject to various risks and uncertainties in the course of our business. The discussion of such risks and uncertainties may be found under "Risk Factors" in the WLKP Prospectus.</w:t>
      </w:r>
    </w:p>
    <w:p>
      <w:pPr>
        <w:pStyle w:val="TextBody"/>
        <w:spacing w:lineRule="auto" w:line="288" w:before="0" w:after="0"/>
        <w:ind w:left="0" w:right="0" w:firstLine="450"/>
        <w:rPr>
          <w:rFonts w:ascii="inherit" w:hAnsi="inherit"/>
          <w:sz w:val="17"/>
        </w:rPr>
      </w:pPr>
      <w:r>
        <w:rPr>
          <w:rFonts w:ascii="inherit" w:hAnsi="inherit"/>
          <w:sz w:val="17"/>
        </w:rPr>
      </w:r>
    </w:p>
    <w:p>
      <w:pPr>
        <w:pStyle w:val="Normal"/>
        <w:spacing w:before="0" w:after="0"/>
        <w:ind w:left="0" w:right="0" w:hanging="0"/>
        <w:rPr>
          <w:sz w:val="4"/>
          <w:szCs w:val="4"/>
        </w:rPr>
      </w:pPr>
      <w:r>
        <w:rPr>
          <w:sz w:val="4"/>
          <w:szCs w:val="4"/>
        </w:rPr>
      </w:r>
      <w:bookmarkStart w:id="51" w:name="sBB828432019A8EBBB91466ECF15538BB"/>
      <w:bookmarkStart w:id="52" w:name="sBB828432019A8EBBB91466ECF15538BB"/>
      <w:bookmarkEnd w:id="52"/>
    </w:p>
    <w:tbl>
      <w:tblPr>
        <w:tblW w:w="7347" w:type="dxa"/>
        <w:jc w:val="left"/>
        <w:tblInd w:w="0" w:type="dxa"/>
        <w:tblCellMar>
          <w:top w:w="0" w:type="dxa"/>
          <w:left w:w="0" w:type="dxa"/>
          <w:bottom w:w="0" w:type="dxa"/>
          <w:right w:w="0" w:type="dxa"/>
        </w:tblCellMar>
      </w:tblPr>
      <w:tblGrid>
        <w:gridCol w:w="734"/>
        <w:gridCol w:w="6613"/>
      </w:tblGrid>
      <w:tr>
        <w:trPr/>
        <w:tc>
          <w:tcPr>
            <w:tcW w:w="7347" w:type="dxa"/>
            <w:gridSpan w:val="2"/>
            <w:tcBorders/>
            <w:shd w:fill="auto" w:val="clear"/>
            <w:vAlign w:val="center"/>
          </w:tcPr>
          <w:p>
            <w:pPr>
              <w:pStyle w:val="TableContents"/>
              <w:spacing w:before="0" w:after="283"/>
              <w:rPr>
                <w:sz w:val="4"/>
                <w:szCs w:val="4"/>
              </w:rPr>
            </w:pPr>
            <w:r>
              <w:rPr>
                <w:sz w:val="4"/>
                <w:szCs w:val="4"/>
              </w:rPr>
            </w:r>
          </w:p>
        </w:tc>
      </w:tr>
      <w:tr>
        <w:trPr/>
        <w:tc>
          <w:tcPr>
            <w:tcW w:w="734" w:type="dxa"/>
            <w:tcBorders/>
            <w:shd w:fill="auto" w:val="clear"/>
            <w:vAlign w:val="center"/>
          </w:tcPr>
          <w:p>
            <w:pPr>
              <w:pStyle w:val="TableContents"/>
              <w:spacing w:before="0" w:after="283"/>
              <w:rPr>
                <w:sz w:val="4"/>
                <w:szCs w:val="4"/>
              </w:rPr>
            </w:pPr>
            <w:r>
              <w:rPr>
                <w:sz w:val="4"/>
                <w:szCs w:val="4"/>
              </w:rPr>
            </w:r>
          </w:p>
        </w:tc>
        <w:tc>
          <w:tcPr>
            <w:tcW w:w="661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34"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Item 6.</w:t>
            </w:r>
          </w:p>
        </w:tc>
        <w:tc>
          <w:tcPr>
            <w:tcW w:w="6613" w:type="dxa"/>
            <w:tcBorders/>
            <w:shd w:fill="auto" w:val="clear"/>
            <w:vAlign w:val="center"/>
          </w:tcPr>
          <w:p>
            <w:pPr>
              <w:pStyle w:val="TableContents"/>
              <w:spacing w:before="0" w:after="0"/>
              <w:ind w:left="0" w:right="0" w:firstLine="180"/>
              <w:jc w:val="left"/>
              <w:rPr>
                <w:rFonts w:ascii="inherit" w:hAnsi="inherit"/>
                <w:b/>
                <w:sz w:val="17"/>
              </w:rPr>
            </w:pPr>
            <w:r>
              <w:rPr>
                <w:rFonts w:ascii="inherit" w:hAnsi="inherit"/>
                <w:b/>
                <w:sz w:val="17"/>
              </w:rPr>
              <w:t>Exhibits</w:t>
            </w:r>
          </w:p>
        </w:tc>
      </w:tr>
    </w:tbl>
    <w:tbl>
      <w:tblPr>
        <w:tblW w:w="10205" w:type="dxa"/>
        <w:jc w:val="left"/>
        <w:tblInd w:w="0" w:type="dxa"/>
        <w:tblCellMar>
          <w:top w:w="0" w:type="dxa"/>
          <w:left w:w="0" w:type="dxa"/>
          <w:bottom w:w="0" w:type="dxa"/>
          <w:right w:w="0" w:type="dxa"/>
        </w:tblCellMar>
      </w:tblPr>
      <w:tblGrid>
        <w:gridCol w:w="1431"/>
        <w:gridCol w:w="232"/>
        <w:gridCol w:w="8542"/>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431"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854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431" w:type="dxa"/>
            <w:tcBorders/>
            <w:shd w:fill="auto" w:val="clear"/>
            <w:vAlign w:val="center"/>
          </w:tcPr>
          <w:p>
            <w:pPr>
              <w:pStyle w:val="TableContents"/>
              <w:spacing w:before="0" w:after="0"/>
              <w:ind w:left="0" w:right="0" w:firstLine="30"/>
              <w:jc w:val="left"/>
              <w:rPr>
                <w:rFonts w:ascii="inherit" w:hAnsi="inherit"/>
                <w:b/>
                <w:sz w:val="13"/>
                <w:u w:val="single"/>
              </w:rPr>
            </w:pPr>
            <w:r>
              <w:rPr>
                <w:rFonts w:ascii="inherit" w:hAnsi="inherit"/>
                <w:b/>
                <w:sz w:val="13"/>
                <w:u w:val="single"/>
              </w:rPr>
              <w:t>Exhibit No.</w:t>
            </w:r>
          </w:p>
        </w:tc>
        <w:tc>
          <w:tcPr>
            <w:tcW w:w="232" w:type="dxa"/>
            <w:tcBorders/>
            <w:shd w:fill="auto" w:val="clear"/>
            <w:vAlign w:val="center"/>
          </w:tcPr>
          <w:p>
            <w:pPr>
              <w:pStyle w:val="TableContents"/>
              <w:spacing w:before="0" w:after="0"/>
              <w:ind w:left="0" w:right="0" w:firstLine="30"/>
              <w:rPr/>
            </w:pPr>
            <w:r>
              <w:rPr/>
              <w:t> </w:t>
            </w:r>
          </w:p>
        </w:tc>
        <w:tc>
          <w:tcPr>
            <w:tcW w:w="8542" w:type="dxa"/>
            <w:tcBorders/>
            <w:shd w:fill="auto" w:val="clear"/>
            <w:vAlign w:val="center"/>
          </w:tcPr>
          <w:p>
            <w:pPr>
              <w:pStyle w:val="TableContents"/>
              <w:spacing w:before="0" w:after="0"/>
              <w:ind w:left="0" w:right="0" w:firstLine="30"/>
              <w:jc w:val="left"/>
              <w:rPr>
                <w:rFonts w:ascii="inherit" w:hAnsi="inherit"/>
                <w:b/>
                <w:sz w:val="13"/>
                <w:u w:val="single"/>
              </w:rPr>
            </w:pPr>
            <w:r>
              <w:rPr>
                <w:rFonts w:ascii="inherit" w:hAnsi="inherit"/>
                <w:b/>
                <w:sz w:val="13"/>
                <w:u w:val="single"/>
              </w:rPr>
              <w:t>Exhibit</w:t>
            </w:r>
          </w:p>
        </w:tc>
      </w:tr>
      <w:tr>
        <w:trPr/>
        <w:tc>
          <w:tcPr>
            <w:tcW w:w="1431" w:type="dxa"/>
            <w:tcBorders/>
            <w:shd w:fill="auto" w:val="clear"/>
            <w:vAlign w:val="center"/>
          </w:tcPr>
          <w:p>
            <w:pPr>
              <w:pStyle w:val="TableContents"/>
              <w:spacing w:before="0" w:after="0"/>
              <w:ind w:left="0" w:right="0" w:firstLine="30"/>
              <w:rPr/>
            </w:pPr>
            <w:r>
              <w:rPr/>
              <w:t> </w:t>
            </w:r>
          </w:p>
        </w:tc>
        <w:tc>
          <w:tcPr>
            <w:tcW w:w="232" w:type="dxa"/>
            <w:tcBorders/>
            <w:shd w:fill="auto" w:val="clear"/>
            <w:vAlign w:val="center"/>
          </w:tcPr>
          <w:p>
            <w:pPr>
              <w:pStyle w:val="TableContents"/>
              <w:spacing w:before="0" w:after="0"/>
              <w:ind w:left="0" w:right="0" w:firstLine="30"/>
              <w:rPr/>
            </w:pPr>
            <w:r>
              <w:rPr/>
              <w:t> </w:t>
            </w:r>
          </w:p>
        </w:tc>
        <w:tc>
          <w:tcPr>
            <w:tcW w:w="8542" w:type="dxa"/>
            <w:tcBorders/>
            <w:shd w:fill="auto" w:val="clear"/>
            <w:vAlign w:val="center"/>
          </w:tcPr>
          <w:p>
            <w:pPr>
              <w:pStyle w:val="TableContents"/>
              <w:spacing w:before="0" w:after="0"/>
              <w:ind w:left="0" w:right="0" w:firstLine="30"/>
              <w:rPr/>
            </w:pPr>
            <w:r>
              <w:rPr/>
              <w:t> </w:t>
            </w:r>
          </w:p>
        </w:tc>
      </w:tr>
      <w:tr>
        <w:trPr/>
        <w:tc>
          <w:tcPr>
            <w:tcW w:w="14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3.1</w:t>
            </w:r>
          </w:p>
        </w:tc>
        <w:tc>
          <w:tcPr>
            <w:tcW w:w="232" w:type="dxa"/>
            <w:tcBorders/>
            <w:shd w:fill="auto" w:val="clear"/>
            <w:vAlign w:val="center"/>
          </w:tcPr>
          <w:p>
            <w:pPr>
              <w:pStyle w:val="TableContents"/>
              <w:spacing w:before="0" w:after="0"/>
              <w:ind w:left="0" w:right="0" w:firstLine="30"/>
              <w:rPr/>
            </w:pPr>
            <w:r>
              <w:rPr/>
              <w:t> </w:t>
            </w:r>
          </w:p>
        </w:tc>
        <w:tc>
          <w:tcPr>
            <w:tcW w:w="85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First Amended and Restated Agreement of Limited Partnership of Westlake Chemical Partners LP (incorporated by reference to Exhibit 3.1 to Westlake Chemical Partners LP’s Current Report on Form 8-K (File No. 001-36567) filed on August 8, 2014) </w:t>
            </w:r>
          </w:p>
        </w:tc>
      </w:tr>
      <w:tr>
        <w:trPr/>
        <w:tc>
          <w:tcPr>
            <w:tcW w:w="1431" w:type="dxa"/>
            <w:tcBorders/>
            <w:shd w:fill="auto" w:val="clear"/>
            <w:vAlign w:val="center"/>
          </w:tcPr>
          <w:p>
            <w:pPr>
              <w:pStyle w:val="TableContents"/>
              <w:spacing w:before="0" w:after="0"/>
              <w:ind w:left="0" w:right="0" w:firstLine="30"/>
              <w:rPr/>
            </w:pPr>
            <w:r>
              <w:rPr/>
              <w:t> </w:t>
            </w:r>
          </w:p>
        </w:tc>
        <w:tc>
          <w:tcPr>
            <w:tcW w:w="232" w:type="dxa"/>
            <w:tcBorders/>
            <w:shd w:fill="auto" w:val="clear"/>
            <w:vAlign w:val="center"/>
          </w:tcPr>
          <w:p>
            <w:pPr>
              <w:pStyle w:val="TableContents"/>
              <w:spacing w:before="0" w:after="0"/>
              <w:ind w:left="0" w:right="0" w:firstLine="30"/>
              <w:rPr/>
            </w:pPr>
            <w:r>
              <w:rPr/>
              <w:t> </w:t>
            </w:r>
          </w:p>
        </w:tc>
        <w:tc>
          <w:tcPr>
            <w:tcW w:w="8542" w:type="dxa"/>
            <w:tcBorders/>
            <w:shd w:fill="auto" w:val="clear"/>
            <w:vAlign w:val="center"/>
          </w:tcPr>
          <w:p>
            <w:pPr>
              <w:pStyle w:val="TableContents"/>
              <w:spacing w:before="0" w:after="0"/>
              <w:ind w:left="0" w:right="0" w:firstLine="30"/>
              <w:rPr/>
            </w:pPr>
            <w:r>
              <w:rPr/>
              <w:t> </w:t>
            </w:r>
          </w:p>
        </w:tc>
      </w:tr>
      <w:tr>
        <w:trPr/>
        <w:tc>
          <w:tcPr>
            <w:tcW w:w="14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31.1†</w:t>
            </w:r>
          </w:p>
        </w:tc>
        <w:tc>
          <w:tcPr>
            <w:tcW w:w="232" w:type="dxa"/>
            <w:tcBorders/>
            <w:shd w:fill="auto" w:val="clear"/>
            <w:vAlign w:val="center"/>
          </w:tcPr>
          <w:p>
            <w:pPr>
              <w:pStyle w:val="TableContents"/>
              <w:spacing w:before="0" w:after="0"/>
              <w:ind w:left="0" w:right="0" w:firstLine="30"/>
              <w:rPr/>
            </w:pPr>
            <w:r>
              <w:rPr/>
              <w:t> </w:t>
            </w:r>
          </w:p>
        </w:tc>
        <w:tc>
          <w:tcPr>
            <w:tcW w:w="85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Rule 13a – 14(a) / 15d – 14(a) Certification (Principal Executive Officer)</w:t>
            </w:r>
          </w:p>
        </w:tc>
      </w:tr>
      <w:tr>
        <w:trPr/>
        <w:tc>
          <w:tcPr>
            <w:tcW w:w="1431" w:type="dxa"/>
            <w:tcBorders/>
            <w:shd w:fill="auto" w:val="clear"/>
            <w:vAlign w:val="center"/>
          </w:tcPr>
          <w:p>
            <w:pPr>
              <w:pStyle w:val="TableContents"/>
              <w:spacing w:before="0" w:after="0"/>
              <w:ind w:left="0" w:right="0" w:firstLine="30"/>
              <w:rPr/>
            </w:pPr>
            <w:r>
              <w:rPr/>
              <w:t> </w:t>
            </w:r>
          </w:p>
        </w:tc>
        <w:tc>
          <w:tcPr>
            <w:tcW w:w="232" w:type="dxa"/>
            <w:tcBorders/>
            <w:shd w:fill="auto" w:val="clear"/>
            <w:vAlign w:val="center"/>
          </w:tcPr>
          <w:p>
            <w:pPr>
              <w:pStyle w:val="TableContents"/>
              <w:spacing w:before="0" w:after="0"/>
              <w:ind w:left="0" w:right="0" w:firstLine="30"/>
              <w:rPr/>
            </w:pPr>
            <w:r>
              <w:rPr/>
              <w:t> </w:t>
            </w:r>
          </w:p>
        </w:tc>
        <w:tc>
          <w:tcPr>
            <w:tcW w:w="8542" w:type="dxa"/>
            <w:tcBorders/>
            <w:shd w:fill="auto" w:val="clear"/>
            <w:vAlign w:val="center"/>
          </w:tcPr>
          <w:p>
            <w:pPr>
              <w:pStyle w:val="TableContents"/>
              <w:spacing w:before="0" w:after="0"/>
              <w:ind w:left="0" w:right="0" w:firstLine="30"/>
              <w:rPr/>
            </w:pPr>
            <w:r>
              <w:rPr/>
              <w:t> </w:t>
            </w:r>
          </w:p>
        </w:tc>
      </w:tr>
      <w:tr>
        <w:trPr/>
        <w:tc>
          <w:tcPr>
            <w:tcW w:w="14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31.2†</w:t>
            </w:r>
          </w:p>
        </w:tc>
        <w:tc>
          <w:tcPr>
            <w:tcW w:w="232" w:type="dxa"/>
            <w:tcBorders/>
            <w:shd w:fill="auto" w:val="clear"/>
            <w:vAlign w:val="center"/>
          </w:tcPr>
          <w:p>
            <w:pPr>
              <w:pStyle w:val="TableContents"/>
              <w:spacing w:before="0" w:after="0"/>
              <w:ind w:left="0" w:right="0" w:firstLine="30"/>
              <w:rPr/>
            </w:pPr>
            <w:r>
              <w:rPr/>
              <w:t> </w:t>
            </w:r>
          </w:p>
        </w:tc>
        <w:tc>
          <w:tcPr>
            <w:tcW w:w="85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Rule 13a – 14(a) / 15d – 14(a) Certification (Principal Financial Officer)</w:t>
            </w:r>
          </w:p>
        </w:tc>
      </w:tr>
      <w:tr>
        <w:trPr/>
        <w:tc>
          <w:tcPr>
            <w:tcW w:w="1431" w:type="dxa"/>
            <w:tcBorders/>
            <w:shd w:fill="auto" w:val="clear"/>
            <w:vAlign w:val="center"/>
          </w:tcPr>
          <w:p>
            <w:pPr>
              <w:pStyle w:val="TableContents"/>
              <w:spacing w:before="0" w:after="0"/>
              <w:ind w:left="0" w:right="0" w:firstLine="30"/>
              <w:rPr/>
            </w:pPr>
            <w:r>
              <w:rPr/>
              <w:t> </w:t>
            </w:r>
          </w:p>
        </w:tc>
        <w:tc>
          <w:tcPr>
            <w:tcW w:w="232" w:type="dxa"/>
            <w:tcBorders/>
            <w:shd w:fill="auto" w:val="clear"/>
            <w:vAlign w:val="center"/>
          </w:tcPr>
          <w:p>
            <w:pPr>
              <w:pStyle w:val="TableContents"/>
              <w:spacing w:before="0" w:after="0"/>
              <w:ind w:left="0" w:right="0" w:firstLine="30"/>
              <w:rPr/>
            </w:pPr>
            <w:r>
              <w:rPr/>
              <w:t> </w:t>
            </w:r>
          </w:p>
        </w:tc>
        <w:tc>
          <w:tcPr>
            <w:tcW w:w="8542" w:type="dxa"/>
            <w:tcBorders/>
            <w:shd w:fill="auto" w:val="clear"/>
            <w:vAlign w:val="center"/>
          </w:tcPr>
          <w:p>
            <w:pPr>
              <w:pStyle w:val="TableContents"/>
              <w:spacing w:before="0" w:after="0"/>
              <w:ind w:left="0" w:right="0" w:firstLine="30"/>
              <w:rPr/>
            </w:pPr>
            <w:r>
              <w:rPr/>
              <w:t> </w:t>
            </w:r>
          </w:p>
        </w:tc>
      </w:tr>
      <w:tr>
        <w:trPr/>
        <w:tc>
          <w:tcPr>
            <w:tcW w:w="14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32.1#</w:t>
            </w:r>
          </w:p>
        </w:tc>
        <w:tc>
          <w:tcPr>
            <w:tcW w:w="232" w:type="dxa"/>
            <w:tcBorders/>
            <w:shd w:fill="auto" w:val="clear"/>
            <w:vAlign w:val="center"/>
          </w:tcPr>
          <w:p>
            <w:pPr>
              <w:pStyle w:val="TableContents"/>
              <w:spacing w:before="0" w:after="0"/>
              <w:ind w:left="0" w:right="0" w:firstLine="30"/>
              <w:rPr/>
            </w:pPr>
            <w:r>
              <w:rPr/>
              <w:t> </w:t>
            </w:r>
          </w:p>
        </w:tc>
        <w:tc>
          <w:tcPr>
            <w:tcW w:w="85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Section 1350 Certification (Principal Executive Officer and Principal Financial Officer)</w:t>
            </w:r>
          </w:p>
        </w:tc>
      </w:tr>
      <w:tr>
        <w:trPr/>
        <w:tc>
          <w:tcPr>
            <w:tcW w:w="1431" w:type="dxa"/>
            <w:tcBorders/>
            <w:shd w:fill="auto" w:val="clear"/>
            <w:vAlign w:val="center"/>
          </w:tcPr>
          <w:p>
            <w:pPr>
              <w:pStyle w:val="TableContents"/>
              <w:spacing w:before="0" w:after="0"/>
              <w:ind w:left="0" w:right="0" w:firstLine="30"/>
              <w:rPr/>
            </w:pPr>
            <w:r>
              <w:rPr/>
              <w:t> </w:t>
            </w:r>
          </w:p>
        </w:tc>
        <w:tc>
          <w:tcPr>
            <w:tcW w:w="232" w:type="dxa"/>
            <w:tcBorders/>
            <w:shd w:fill="auto" w:val="clear"/>
            <w:vAlign w:val="center"/>
          </w:tcPr>
          <w:p>
            <w:pPr>
              <w:pStyle w:val="TableContents"/>
              <w:spacing w:before="0" w:after="0"/>
              <w:ind w:left="0" w:right="0" w:firstLine="30"/>
              <w:rPr/>
            </w:pPr>
            <w:r>
              <w:rPr/>
              <w:t> </w:t>
            </w:r>
          </w:p>
        </w:tc>
        <w:tc>
          <w:tcPr>
            <w:tcW w:w="8542" w:type="dxa"/>
            <w:tcBorders/>
            <w:shd w:fill="auto" w:val="clear"/>
            <w:vAlign w:val="center"/>
          </w:tcPr>
          <w:p>
            <w:pPr>
              <w:pStyle w:val="TableContents"/>
              <w:spacing w:before="0" w:after="0"/>
              <w:ind w:left="0" w:right="0" w:firstLine="30"/>
              <w:rPr/>
            </w:pPr>
            <w:r>
              <w:rPr/>
              <w:t> </w:t>
            </w:r>
          </w:p>
        </w:tc>
      </w:tr>
      <w:tr>
        <w:trPr/>
        <w:tc>
          <w:tcPr>
            <w:tcW w:w="14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101.INS#</w:t>
            </w:r>
          </w:p>
        </w:tc>
        <w:tc>
          <w:tcPr>
            <w:tcW w:w="232" w:type="dxa"/>
            <w:tcBorders/>
            <w:shd w:fill="auto" w:val="clear"/>
            <w:vAlign w:val="center"/>
          </w:tcPr>
          <w:p>
            <w:pPr>
              <w:pStyle w:val="TableContents"/>
              <w:spacing w:before="0" w:after="0"/>
              <w:ind w:left="0" w:right="0" w:firstLine="30"/>
              <w:rPr/>
            </w:pPr>
            <w:r>
              <w:rPr/>
              <w:t> </w:t>
            </w:r>
          </w:p>
        </w:tc>
        <w:tc>
          <w:tcPr>
            <w:tcW w:w="85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Instance Document</w:t>
            </w:r>
          </w:p>
        </w:tc>
      </w:tr>
      <w:tr>
        <w:trPr/>
        <w:tc>
          <w:tcPr>
            <w:tcW w:w="1431" w:type="dxa"/>
            <w:tcBorders/>
            <w:shd w:fill="auto" w:val="clear"/>
            <w:vAlign w:val="center"/>
          </w:tcPr>
          <w:p>
            <w:pPr>
              <w:pStyle w:val="TableContents"/>
              <w:spacing w:before="0" w:after="0"/>
              <w:ind w:left="0" w:right="0" w:firstLine="30"/>
              <w:rPr/>
            </w:pPr>
            <w:r>
              <w:rPr/>
              <w:t> </w:t>
            </w:r>
          </w:p>
        </w:tc>
        <w:tc>
          <w:tcPr>
            <w:tcW w:w="232" w:type="dxa"/>
            <w:tcBorders/>
            <w:shd w:fill="auto" w:val="clear"/>
            <w:vAlign w:val="center"/>
          </w:tcPr>
          <w:p>
            <w:pPr>
              <w:pStyle w:val="TableContents"/>
              <w:spacing w:before="0" w:after="0"/>
              <w:ind w:left="0" w:right="0" w:firstLine="30"/>
              <w:rPr/>
            </w:pPr>
            <w:r>
              <w:rPr/>
              <w:t> </w:t>
            </w:r>
          </w:p>
        </w:tc>
        <w:tc>
          <w:tcPr>
            <w:tcW w:w="8542" w:type="dxa"/>
            <w:tcBorders/>
            <w:shd w:fill="auto" w:val="clear"/>
            <w:vAlign w:val="center"/>
          </w:tcPr>
          <w:p>
            <w:pPr>
              <w:pStyle w:val="TableContents"/>
              <w:spacing w:before="0" w:after="0"/>
              <w:ind w:left="0" w:right="0" w:firstLine="30"/>
              <w:rPr/>
            </w:pPr>
            <w:r>
              <w:rPr/>
              <w:t> </w:t>
            </w:r>
          </w:p>
        </w:tc>
      </w:tr>
      <w:tr>
        <w:trPr/>
        <w:tc>
          <w:tcPr>
            <w:tcW w:w="14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101.SCH#</w:t>
            </w:r>
          </w:p>
        </w:tc>
        <w:tc>
          <w:tcPr>
            <w:tcW w:w="232" w:type="dxa"/>
            <w:tcBorders/>
            <w:shd w:fill="auto" w:val="clear"/>
            <w:vAlign w:val="center"/>
          </w:tcPr>
          <w:p>
            <w:pPr>
              <w:pStyle w:val="TableContents"/>
              <w:spacing w:before="0" w:after="0"/>
              <w:ind w:left="0" w:right="0" w:firstLine="30"/>
              <w:rPr/>
            </w:pPr>
            <w:r>
              <w:rPr/>
              <w:t> </w:t>
            </w:r>
          </w:p>
        </w:tc>
        <w:tc>
          <w:tcPr>
            <w:tcW w:w="85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Schema Document</w:t>
            </w:r>
          </w:p>
        </w:tc>
      </w:tr>
      <w:tr>
        <w:trPr/>
        <w:tc>
          <w:tcPr>
            <w:tcW w:w="1431" w:type="dxa"/>
            <w:tcBorders/>
            <w:shd w:fill="auto" w:val="clear"/>
            <w:vAlign w:val="center"/>
          </w:tcPr>
          <w:p>
            <w:pPr>
              <w:pStyle w:val="TableContents"/>
              <w:spacing w:before="0" w:after="0"/>
              <w:ind w:left="0" w:right="0" w:firstLine="30"/>
              <w:rPr/>
            </w:pPr>
            <w:r>
              <w:rPr/>
              <w:t> </w:t>
            </w:r>
          </w:p>
        </w:tc>
        <w:tc>
          <w:tcPr>
            <w:tcW w:w="232" w:type="dxa"/>
            <w:tcBorders/>
            <w:shd w:fill="auto" w:val="clear"/>
            <w:vAlign w:val="center"/>
          </w:tcPr>
          <w:p>
            <w:pPr>
              <w:pStyle w:val="TableContents"/>
              <w:spacing w:before="0" w:after="0"/>
              <w:ind w:left="0" w:right="0" w:firstLine="30"/>
              <w:rPr/>
            </w:pPr>
            <w:r>
              <w:rPr/>
              <w:t> </w:t>
            </w:r>
          </w:p>
        </w:tc>
        <w:tc>
          <w:tcPr>
            <w:tcW w:w="8542" w:type="dxa"/>
            <w:tcBorders/>
            <w:shd w:fill="auto" w:val="clear"/>
            <w:vAlign w:val="center"/>
          </w:tcPr>
          <w:p>
            <w:pPr>
              <w:pStyle w:val="TableContents"/>
              <w:spacing w:before="0" w:after="0"/>
              <w:ind w:left="0" w:right="0" w:firstLine="30"/>
              <w:rPr/>
            </w:pPr>
            <w:r>
              <w:rPr/>
              <w:t> </w:t>
            </w:r>
          </w:p>
        </w:tc>
      </w:tr>
      <w:tr>
        <w:trPr/>
        <w:tc>
          <w:tcPr>
            <w:tcW w:w="14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101.CAL#</w:t>
            </w:r>
          </w:p>
        </w:tc>
        <w:tc>
          <w:tcPr>
            <w:tcW w:w="232" w:type="dxa"/>
            <w:tcBorders/>
            <w:shd w:fill="auto" w:val="clear"/>
            <w:vAlign w:val="center"/>
          </w:tcPr>
          <w:p>
            <w:pPr>
              <w:pStyle w:val="TableContents"/>
              <w:spacing w:before="0" w:after="0"/>
              <w:ind w:left="0" w:right="0" w:firstLine="30"/>
              <w:rPr/>
            </w:pPr>
            <w:r>
              <w:rPr/>
              <w:t> </w:t>
            </w:r>
          </w:p>
        </w:tc>
        <w:tc>
          <w:tcPr>
            <w:tcW w:w="85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Calculation Linkbase Document</w:t>
            </w:r>
          </w:p>
        </w:tc>
      </w:tr>
      <w:tr>
        <w:trPr/>
        <w:tc>
          <w:tcPr>
            <w:tcW w:w="1431" w:type="dxa"/>
            <w:tcBorders/>
            <w:shd w:fill="auto" w:val="clear"/>
            <w:vAlign w:val="center"/>
          </w:tcPr>
          <w:p>
            <w:pPr>
              <w:pStyle w:val="TableContents"/>
              <w:spacing w:before="0" w:after="0"/>
              <w:ind w:left="0" w:right="0" w:firstLine="30"/>
              <w:rPr/>
            </w:pPr>
            <w:r>
              <w:rPr/>
              <w:t> </w:t>
            </w:r>
          </w:p>
        </w:tc>
        <w:tc>
          <w:tcPr>
            <w:tcW w:w="232" w:type="dxa"/>
            <w:tcBorders/>
            <w:shd w:fill="auto" w:val="clear"/>
            <w:vAlign w:val="center"/>
          </w:tcPr>
          <w:p>
            <w:pPr>
              <w:pStyle w:val="TableContents"/>
              <w:spacing w:before="0" w:after="0"/>
              <w:ind w:left="0" w:right="0" w:firstLine="30"/>
              <w:rPr/>
            </w:pPr>
            <w:r>
              <w:rPr/>
              <w:t> </w:t>
            </w:r>
          </w:p>
        </w:tc>
        <w:tc>
          <w:tcPr>
            <w:tcW w:w="8542" w:type="dxa"/>
            <w:tcBorders/>
            <w:shd w:fill="auto" w:val="clear"/>
            <w:vAlign w:val="center"/>
          </w:tcPr>
          <w:p>
            <w:pPr>
              <w:pStyle w:val="TableContents"/>
              <w:spacing w:before="0" w:after="0"/>
              <w:ind w:left="0" w:right="0" w:firstLine="30"/>
              <w:rPr/>
            </w:pPr>
            <w:r>
              <w:rPr/>
              <w:t> </w:t>
            </w:r>
          </w:p>
        </w:tc>
      </w:tr>
      <w:tr>
        <w:trPr/>
        <w:tc>
          <w:tcPr>
            <w:tcW w:w="14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101.DEF#</w:t>
            </w:r>
          </w:p>
        </w:tc>
        <w:tc>
          <w:tcPr>
            <w:tcW w:w="232" w:type="dxa"/>
            <w:tcBorders/>
            <w:shd w:fill="auto" w:val="clear"/>
            <w:vAlign w:val="center"/>
          </w:tcPr>
          <w:p>
            <w:pPr>
              <w:pStyle w:val="TableContents"/>
              <w:spacing w:before="0" w:after="0"/>
              <w:ind w:left="0" w:right="0" w:firstLine="30"/>
              <w:rPr/>
            </w:pPr>
            <w:r>
              <w:rPr/>
              <w:t> </w:t>
            </w:r>
          </w:p>
        </w:tc>
        <w:tc>
          <w:tcPr>
            <w:tcW w:w="85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Definition Linkbase Document</w:t>
            </w:r>
          </w:p>
        </w:tc>
      </w:tr>
      <w:tr>
        <w:trPr/>
        <w:tc>
          <w:tcPr>
            <w:tcW w:w="1431" w:type="dxa"/>
            <w:tcBorders/>
            <w:shd w:fill="auto" w:val="clear"/>
            <w:vAlign w:val="center"/>
          </w:tcPr>
          <w:p>
            <w:pPr>
              <w:pStyle w:val="TableContents"/>
              <w:spacing w:before="0" w:after="0"/>
              <w:ind w:left="0" w:right="0" w:firstLine="30"/>
              <w:rPr/>
            </w:pPr>
            <w:r>
              <w:rPr/>
              <w:t> </w:t>
            </w:r>
          </w:p>
        </w:tc>
        <w:tc>
          <w:tcPr>
            <w:tcW w:w="232" w:type="dxa"/>
            <w:tcBorders/>
            <w:shd w:fill="auto" w:val="clear"/>
            <w:vAlign w:val="center"/>
          </w:tcPr>
          <w:p>
            <w:pPr>
              <w:pStyle w:val="TableContents"/>
              <w:spacing w:before="0" w:after="0"/>
              <w:ind w:left="0" w:right="0" w:firstLine="30"/>
              <w:rPr/>
            </w:pPr>
            <w:r>
              <w:rPr/>
              <w:t> </w:t>
            </w:r>
          </w:p>
        </w:tc>
        <w:tc>
          <w:tcPr>
            <w:tcW w:w="8542" w:type="dxa"/>
            <w:tcBorders/>
            <w:shd w:fill="auto" w:val="clear"/>
            <w:vAlign w:val="center"/>
          </w:tcPr>
          <w:p>
            <w:pPr>
              <w:pStyle w:val="TableContents"/>
              <w:spacing w:before="0" w:after="0"/>
              <w:ind w:left="0" w:right="0" w:firstLine="30"/>
              <w:rPr/>
            </w:pPr>
            <w:r>
              <w:rPr/>
              <w:t> </w:t>
            </w:r>
          </w:p>
        </w:tc>
      </w:tr>
      <w:tr>
        <w:trPr/>
        <w:tc>
          <w:tcPr>
            <w:tcW w:w="14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101.LAB#</w:t>
            </w:r>
          </w:p>
        </w:tc>
        <w:tc>
          <w:tcPr>
            <w:tcW w:w="232" w:type="dxa"/>
            <w:tcBorders/>
            <w:shd w:fill="auto" w:val="clear"/>
            <w:vAlign w:val="center"/>
          </w:tcPr>
          <w:p>
            <w:pPr>
              <w:pStyle w:val="TableContents"/>
              <w:spacing w:before="0" w:after="0"/>
              <w:ind w:left="0" w:right="0" w:firstLine="30"/>
              <w:rPr/>
            </w:pPr>
            <w:r>
              <w:rPr/>
              <w:t> </w:t>
            </w:r>
          </w:p>
        </w:tc>
        <w:tc>
          <w:tcPr>
            <w:tcW w:w="85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Label Linkbase Document</w:t>
            </w:r>
          </w:p>
        </w:tc>
      </w:tr>
      <w:tr>
        <w:trPr/>
        <w:tc>
          <w:tcPr>
            <w:tcW w:w="1431" w:type="dxa"/>
            <w:tcBorders/>
            <w:shd w:fill="auto" w:val="clear"/>
            <w:vAlign w:val="center"/>
          </w:tcPr>
          <w:p>
            <w:pPr>
              <w:pStyle w:val="TableContents"/>
              <w:spacing w:before="0" w:after="0"/>
              <w:ind w:left="0" w:right="0" w:firstLine="30"/>
              <w:rPr/>
            </w:pPr>
            <w:r>
              <w:rPr/>
              <w:t> </w:t>
            </w:r>
          </w:p>
        </w:tc>
        <w:tc>
          <w:tcPr>
            <w:tcW w:w="232" w:type="dxa"/>
            <w:tcBorders/>
            <w:shd w:fill="auto" w:val="clear"/>
            <w:vAlign w:val="center"/>
          </w:tcPr>
          <w:p>
            <w:pPr>
              <w:pStyle w:val="TableContents"/>
              <w:spacing w:before="0" w:after="0"/>
              <w:ind w:left="0" w:right="0" w:firstLine="30"/>
              <w:rPr/>
            </w:pPr>
            <w:r>
              <w:rPr/>
              <w:t> </w:t>
            </w:r>
          </w:p>
        </w:tc>
        <w:tc>
          <w:tcPr>
            <w:tcW w:w="8542" w:type="dxa"/>
            <w:tcBorders/>
            <w:shd w:fill="auto" w:val="clear"/>
            <w:vAlign w:val="center"/>
          </w:tcPr>
          <w:p>
            <w:pPr>
              <w:pStyle w:val="TableContents"/>
              <w:spacing w:before="0" w:after="0"/>
              <w:ind w:left="0" w:right="0" w:firstLine="30"/>
              <w:rPr/>
            </w:pPr>
            <w:r>
              <w:rPr/>
              <w:t> </w:t>
            </w:r>
          </w:p>
        </w:tc>
      </w:tr>
      <w:tr>
        <w:trPr/>
        <w:tc>
          <w:tcPr>
            <w:tcW w:w="14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101.PRE#</w:t>
            </w:r>
          </w:p>
        </w:tc>
        <w:tc>
          <w:tcPr>
            <w:tcW w:w="232" w:type="dxa"/>
            <w:tcBorders/>
            <w:shd w:fill="auto" w:val="clear"/>
            <w:vAlign w:val="center"/>
          </w:tcPr>
          <w:p>
            <w:pPr>
              <w:pStyle w:val="TableContents"/>
              <w:spacing w:before="0" w:after="0"/>
              <w:ind w:left="0" w:right="0" w:firstLine="30"/>
              <w:rPr/>
            </w:pPr>
            <w:r>
              <w:rPr/>
              <w:t> </w:t>
            </w:r>
          </w:p>
        </w:tc>
        <w:tc>
          <w:tcPr>
            <w:tcW w:w="8542" w:type="dxa"/>
            <w:tcBorders/>
            <w:shd w:fill="auto" w:val="clear"/>
            <w:vAlign w:val="center"/>
          </w:tcPr>
          <w:p>
            <w:pPr>
              <w:pStyle w:val="TableContents"/>
              <w:spacing w:before="0" w:after="0"/>
              <w:jc w:val="left"/>
              <w:rPr>
                <w:rFonts w:ascii="inherit" w:hAnsi="inherit"/>
                <w:sz w:val="17"/>
              </w:rPr>
            </w:pPr>
            <w:r>
              <w:rPr>
                <w:rFonts w:ascii="inherit" w:hAnsi="inherit"/>
                <w:sz w:val="17"/>
              </w:rPr>
              <w:t>XBRL Taxonomy Extension Presentation Linkbase Document</w:t>
            </w:r>
          </w:p>
        </w:tc>
      </w:tr>
    </w:tbl>
    <w:p>
      <w:pPr>
        <w:pStyle w:val="TextBody"/>
        <w:spacing w:lineRule="auto" w:line="288" w:before="0" w:after="0"/>
        <w:jc w:val="left"/>
        <w:rPr>
          <w:rFonts w:ascii="inherit" w:hAnsi="inherit"/>
          <w:sz w:val="17"/>
        </w:rPr>
      </w:pPr>
      <w:r>
        <w:rPr>
          <w:rFonts w:ascii="inherit" w:hAnsi="inherit"/>
          <w:sz w:val="17"/>
        </w:rPr>
        <w:t>_____________</w:t>
      </w:r>
    </w:p>
    <w:tbl>
      <w:tblPr>
        <w:tblW w:w="1405" w:type="dxa"/>
        <w:jc w:val="left"/>
        <w:tblInd w:w="0" w:type="dxa"/>
        <w:tblCellMar>
          <w:top w:w="0" w:type="dxa"/>
          <w:left w:w="0" w:type="dxa"/>
          <w:bottom w:w="0" w:type="dxa"/>
          <w:right w:w="0" w:type="dxa"/>
        </w:tblCellMar>
      </w:tblPr>
      <w:tblGrid>
        <w:gridCol w:w="155"/>
        <w:gridCol w:w="1250"/>
      </w:tblGrid>
      <w:tr>
        <w:trPr/>
        <w:tc>
          <w:tcPr>
            <w:tcW w:w="155"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r>
      <w:tr>
        <w:trPr/>
        <w:tc>
          <w:tcPr>
            <w:tcW w:w="155" w:type="dxa"/>
            <w:tcBorders/>
            <w:shd w:fill="auto" w:val="clear"/>
            <w:vAlign w:val="center"/>
          </w:tcPr>
          <w:p>
            <w:pPr>
              <w:pStyle w:val="TableContents"/>
              <w:spacing w:lineRule="auto" w:line="288" w:before="0" w:after="0"/>
              <w:ind w:left="0" w:right="0" w:hanging="0"/>
              <w:rPr/>
            </w:pPr>
            <w:r>
              <w:rPr/>
              <w:t>†</w:t>
            </w:r>
          </w:p>
        </w:tc>
        <w:tc>
          <w:tcPr>
            <w:tcW w:w="1250" w:type="dxa"/>
            <w:tcBorders/>
            <w:shd w:fill="auto" w:val="clear"/>
            <w:vAlign w:val="center"/>
          </w:tcPr>
          <w:p>
            <w:pPr>
              <w:pStyle w:val="TableContents"/>
              <w:spacing w:lineRule="auto" w:line="288" w:before="0" w:after="0"/>
              <w:rPr>
                <w:rFonts w:ascii="inherit" w:hAnsi="inherit"/>
                <w:sz w:val="17"/>
              </w:rPr>
            </w:pPr>
            <w:r>
              <w:rPr>
                <w:rFonts w:ascii="inherit" w:hAnsi="inherit"/>
                <w:sz w:val="17"/>
              </w:rPr>
              <w:t>Filed herewith.</w:t>
            </w:r>
          </w:p>
        </w:tc>
      </w:tr>
    </w:tbl>
    <w:tbl>
      <w:tblPr>
        <w:tblW w:w="1855" w:type="dxa"/>
        <w:jc w:val="left"/>
        <w:tblInd w:w="0" w:type="dxa"/>
        <w:tblCellMar>
          <w:top w:w="0" w:type="dxa"/>
          <w:left w:w="0" w:type="dxa"/>
          <w:bottom w:w="0" w:type="dxa"/>
          <w:right w:w="0" w:type="dxa"/>
        </w:tblCellMar>
      </w:tblPr>
      <w:tblGrid>
        <w:gridCol w:w="170"/>
        <w:gridCol w:w="1685"/>
      </w:tblGrid>
      <w:tr>
        <w:trPr/>
        <w:tc>
          <w:tcPr>
            <w:tcW w:w="170" w:type="dxa"/>
            <w:tcBorders/>
            <w:shd w:fill="auto" w:val="clear"/>
            <w:vAlign w:val="center"/>
          </w:tcPr>
          <w:p>
            <w:pPr>
              <w:pStyle w:val="TableContents"/>
              <w:spacing w:before="0" w:after="283"/>
              <w:rPr>
                <w:sz w:val="4"/>
                <w:szCs w:val="4"/>
              </w:rPr>
            </w:pPr>
            <w:r>
              <w:rPr>
                <w:sz w:val="4"/>
                <w:szCs w:val="4"/>
              </w:rPr>
            </w:r>
          </w:p>
        </w:tc>
        <w:tc>
          <w:tcPr>
            <w:tcW w:w="1685" w:type="dxa"/>
            <w:tcBorders/>
            <w:shd w:fill="auto" w:val="clear"/>
            <w:vAlign w:val="center"/>
          </w:tcPr>
          <w:p>
            <w:pPr>
              <w:pStyle w:val="TableContents"/>
              <w:spacing w:before="0" w:after="283"/>
              <w:rPr>
                <w:sz w:val="4"/>
                <w:szCs w:val="4"/>
              </w:rPr>
            </w:pPr>
            <w:r>
              <w:rPr>
                <w:sz w:val="4"/>
                <w:szCs w:val="4"/>
              </w:rPr>
            </w:r>
          </w:p>
        </w:tc>
      </w:tr>
      <w:tr>
        <w:trPr/>
        <w:tc>
          <w:tcPr>
            <w:tcW w:w="17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w:t>
            </w:r>
          </w:p>
        </w:tc>
        <w:tc>
          <w:tcPr>
            <w:tcW w:w="168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Furnished herewith.</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31</w:t>
      </w:r>
      <w:r>
        <w:br w:type="page"/>
      </w:r>
    </w:p>
    <w:p>
      <w:pPr>
        <w:pStyle w:val="TextBody"/>
        <w:spacing w:lineRule="auto" w:line="288" w:before="0" w:after="0"/>
        <w:rPr/>
      </w:pPr>
      <w:hyperlink w:anchor="s7D21BC485A80E1C3273666ECEC2365C6">
        <w:bookmarkStart w:id="53" w:name="sAA4C0E5542CBC2DCB03766ECF173ED84"/>
        <w:bookmarkEnd w:id="53"/>
        <w:r>
          <w:rPr>
            <w:rStyle w:val="InternetLink"/>
            <w:rFonts w:ascii="inherit" w:hAnsi="inherit"/>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600"/>
        <w:jc w:val="left"/>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SIGNATURES</w:t>
      </w:r>
    </w:p>
    <w:p>
      <w:pPr>
        <w:pStyle w:val="TextBody"/>
        <w:spacing w:lineRule="auto" w:line="288" w:before="0" w:after="0"/>
        <w:ind w:left="0" w:right="0" w:firstLine="480"/>
        <w:rPr>
          <w:rFonts w:ascii="inherit" w:hAnsi="inherit"/>
          <w:sz w:val="17"/>
        </w:rPr>
      </w:pPr>
      <w:r>
        <w:rPr>
          <w:rFonts w:ascii="inherit" w:hAnsi="inherit"/>
          <w:sz w:val="17"/>
        </w:rPr>
        <w:t>Pursuant to the requirements of the Securities Exchange Act of 1934, the registrant has duly caused this report to be signed on its behalf by the undersigned thereunto duly authorized.</w:t>
      </w:r>
    </w:p>
    <w:p>
      <w:pPr>
        <w:pStyle w:val="TextBody"/>
        <w:spacing w:lineRule="auto" w:line="288" w:before="0" w:after="0"/>
        <w:rPr>
          <w:rFonts w:ascii="inherit" w:hAnsi="inherit"/>
          <w:sz w:val="15"/>
        </w:rPr>
      </w:pPr>
      <w:r>
        <w:rPr>
          <w:rFonts w:ascii="inherit" w:hAnsi="inherit"/>
          <w:sz w:val="15"/>
        </w:rPr>
      </w:r>
    </w:p>
    <w:p>
      <w:pPr>
        <w:pStyle w:val="TextBody"/>
        <w:spacing w:lineRule="auto" w:line="288" w:before="0" w:after="0"/>
        <w:rPr>
          <w:rFonts w:ascii="inherit" w:hAnsi="inherit"/>
          <w:sz w:val="15"/>
        </w:rPr>
      </w:pPr>
      <w:r>
        <w:rPr>
          <w:rFonts w:ascii="inherit" w:hAnsi="inherit"/>
          <w:sz w:val="15"/>
        </w:rPr>
      </w:r>
    </w:p>
    <w:tbl>
      <w:tblPr>
        <w:tblW w:w="10205" w:type="dxa"/>
        <w:jc w:val="left"/>
        <w:tblInd w:w="0" w:type="dxa"/>
        <w:tblCellMar>
          <w:top w:w="0" w:type="dxa"/>
          <w:left w:w="0" w:type="dxa"/>
          <w:bottom w:w="0" w:type="dxa"/>
          <w:right w:w="0" w:type="dxa"/>
        </w:tblCellMar>
      </w:tblPr>
      <w:tblGrid>
        <w:gridCol w:w="528"/>
        <w:gridCol w:w="3258"/>
        <w:gridCol w:w="502"/>
        <w:gridCol w:w="1197"/>
        <w:gridCol w:w="515"/>
        <w:gridCol w:w="502"/>
        <w:gridCol w:w="3703"/>
      </w:tblGrid>
      <w:tr>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528" w:type="dxa"/>
            <w:tcBorders/>
            <w:shd w:fill="auto" w:val="clear"/>
            <w:vAlign w:val="center"/>
          </w:tcPr>
          <w:p>
            <w:pPr>
              <w:pStyle w:val="TableContents"/>
              <w:spacing w:before="0" w:after="283"/>
              <w:rPr>
                <w:sz w:val="4"/>
                <w:szCs w:val="4"/>
              </w:rPr>
            </w:pPr>
            <w:r>
              <w:rPr>
                <w:sz w:val="4"/>
                <w:szCs w:val="4"/>
              </w:rPr>
            </w:r>
          </w:p>
        </w:tc>
        <w:tc>
          <w:tcPr>
            <w:tcW w:w="3258"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1197"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370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28" w:type="dxa"/>
            <w:tcBorders/>
            <w:shd w:fill="auto" w:val="clear"/>
            <w:vAlign w:val="center"/>
          </w:tcPr>
          <w:p>
            <w:pPr>
              <w:pStyle w:val="TableContents"/>
              <w:spacing w:before="0" w:after="0"/>
              <w:ind w:left="0" w:right="0" w:firstLine="30"/>
              <w:rPr/>
            </w:pPr>
            <w:r>
              <w:rPr/>
              <w:t> </w:t>
            </w:r>
          </w:p>
        </w:tc>
        <w:tc>
          <w:tcPr>
            <w:tcW w:w="3258" w:type="dxa"/>
            <w:tcBorders/>
            <w:shd w:fill="auto" w:val="clear"/>
            <w:vAlign w:val="center"/>
          </w:tcPr>
          <w:p>
            <w:pPr>
              <w:pStyle w:val="TableContents"/>
              <w:spacing w:before="0" w:after="0"/>
              <w:ind w:left="0" w:right="0" w:firstLine="30"/>
              <w:rPr/>
            </w:pPr>
            <w:r>
              <w:rPr/>
              <w:t> </w:t>
            </w:r>
          </w:p>
        </w:tc>
        <w:tc>
          <w:tcPr>
            <w:tcW w:w="502" w:type="dxa"/>
            <w:tcBorders/>
            <w:shd w:fill="auto" w:val="clear"/>
            <w:vAlign w:val="center"/>
          </w:tcPr>
          <w:p>
            <w:pPr>
              <w:pStyle w:val="TableContents"/>
              <w:spacing w:before="0" w:after="0"/>
              <w:ind w:left="0" w:right="0" w:firstLine="30"/>
              <w:rPr/>
            </w:pPr>
            <w:r>
              <w:rPr/>
              <w:t> </w:t>
            </w:r>
          </w:p>
        </w:tc>
        <w:tc>
          <w:tcPr>
            <w:tcW w:w="1197" w:type="dxa"/>
            <w:tcBorders/>
            <w:shd w:fill="auto" w:val="clear"/>
            <w:vAlign w:val="center"/>
          </w:tcPr>
          <w:p>
            <w:pPr>
              <w:pStyle w:val="TableContents"/>
              <w:spacing w:before="0" w:after="0"/>
              <w:ind w:left="0" w:right="0" w:firstLine="30"/>
              <w:rPr/>
            </w:pPr>
            <w:r>
              <w:rPr/>
              <w:t> </w:t>
            </w:r>
          </w:p>
        </w:tc>
        <w:tc>
          <w:tcPr>
            <w:tcW w:w="4720" w:type="dxa"/>
            <w:gridSpan w:val="3"/>
            <w:tcBorders/>
            <w:shd w:fill="auto" w:val="clear"/>
            <w:vAlign w:val="center"/>
          </w:tcPr>
          <w:p>
            <w:pPr>
              <w:pStyle w:val="TableContents"/>
              <w:spacing w:before="0" w:after="0"/>
              <w:rPr>
                <w:rFonts w:ascii="inherit" w:hAnsi="inherit"/>
                <w:b/>
                <w:sz w:val="17"/>
              </w:rPr>
            </w:pPr>
            <w:r>
              <w:rPr>
                <w:rFonts w:ascii="inherit" w:hAnsi="inherit"/>
                <w:b/>
                <w:sz w:val="17"/>
              </w:rPr>
              <w:t>WESTLAKE CHEMICAL PARTNERS LP</w:t>
            </w:r>
          </w:p>
          <w:p>
            <w:pPr>
              <w:pStyle w:val="TableContents"/>
              <w:spacing w:before="0" w:after="0"/>
              <w:ind w:left="0" w:right="0" w:firstLine="30"/>
              <w:rPr>
                <w:rFonts w:ascii="inherit" w:hAnsi="inherit"/>
                <w:b/>
                <w:sz w:val="17"/>
              </w:rPr>
            </w:pPr>
            <w:r>
              <w:rPr>
                <w:rFonts w:ascii="inherit" w:hAnsi="inherit"/>
                <w:b/>
                <w:sz w:val="17"/>
              </w:rPr>
              <w:t>BY: WESTLAKE CHEMICAL PARTNERS GP LLC</w:t>
            </w:r>
          </w:p>
        </w:tc>
      </w:tr>
      <w:tr>
        <w:trPr/>
        <w:tc>
          <w:tcPr>
            <w:tcW w:w="528" w:type="dxa"/>
            <w:tcBorders/>
            <w:shd w:fill="auto" w:val="clear"/>
            <w:vAlign w:val="center"/>
          </w:tcPr>
          <w:p>
            <w:pPr>
              <w:pStyle w:val="TableContents"/>
              <w:spacing w:before="0" w:after="0"/>
              <w:ind w:left="0" w:right="0" w:firstLine="30"/>
              <w:rPr/>
            </w:pPr>
            <w:r>
              <w:rPr/>
              <w:t> </w:t>
            </w:r>
          </w:p>
        </w:tc>
        <w:tc>
          <w:tcPr>
            <w:tcW w:w="3760" w:type="dxa"/>
            <w:gridSpan w:val="2"/>
            <w:tcBorders/>
            <w:shd w:fill="auto" w:val="clear"/>
            <w:vAlign w:val="center"/>
          </w:tcPr>
          <w:p>
            <w:pPr>
              <w:pStyle w:val="TableContents"/>
              <w:spacing w:before="0" w:after="0"/>
              <w:ind w:left="0" w:right="0" w:firstLine="30"/>
              <w:rPr/>
            </w:pPr>
            <w:r>
              <w:rPr/>
              <w:t> </w:t>
            </w:r>
          </w:p>
        </w:tc>
        <w:tc>
          <w:tcPr>
            <w:tcW w:w="1712" w:type="dxa"/>
            <w:gridSpan w:val="2"/>
            <w:tcBorders/>
            <w:shd w:fill="auto" w:val="clear"/>
            <w:vAlign w:val="center"/>
          </w:tcPr>
          <w:p>
            <w:pPr>
              <w:pStyle w:val="TableContents"/>
              <w:spacing w:before="0" w:after="0"/>
              <w:ind w:left="0" w:right="0" w:firstLine="30"/>
              <w:rPr/>
            </w:pPr>
            <w:r>
              <w:rPr/>
              <w:t> </w:t>
            </w:r>
          </w:p>
        </w:tc>
        <w:tc>
          <w:tcPr>
            <w:tcW w:w="4205" w:type="dxa"/>
            <w:gridSpan w:val="2"/>
            <w:tcBorders/>
            <w:shd w:fill="auto" w:val="clear"/>
            <w:vAlign w:val="center"/>
          </w:tcPr>
          <w:p>
            <w:pPr>
              <w:pStyle w:val="TableContents"/>
              <w:spacing w:before="0" w:after="0"/>
              <w:ind w:left="0" w:right="0" w:firstLine="30"/>
              <w:rPr/>
            </w:pPr>
            <w:r>
              <w:rPr/>
              <w:t> </w:t>
            </w:r>
          </w:p>
        </w:tc>
      </w:tr>
      <w:tr>
        <w:trPr/>
        <w:tc>
          <w:tcPr>
            <w:tcW w:w="5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Date:</w:t>
            </w:r>
          </w:p>
        </w:tc>
        <w:tc>
          <w:tcPr>
            <w:tcW w:w="32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November 7, 2014</w:t>
            </w:r>
          </w:p>
        </w:tc>
        <w:tc>
          <w:tcPr>
            <w:tcW w:w="502" w:type="dxa"/>
            <w:tcBorders/>
            <w:shd w:fill="auto" w:val="clear"/>
            <w:vAlign w:val="center"/>
          </w:tcPr>
          <w:p>
            <w:pPr>
              <w:pStyle w:val="TableContents"/>
              <w:spacing w:before="0" w:after="0"/>
              <w:ind w:left="0" w:right="0" w:firstLine="30"/>
              <w:rPr/>
            </w:pPr>
            <w:r>
              <w:rPr/>
              <w:t> </w:t>
            </w:r>
          </w:p>
        </w:tc>
        <w:tc>
          <w:tcPr>
            <w:tcW w:w="1197" w:type="dxa"/>
            <w:tcBorders/>
            <w:shd w:fill="auto" w:val="clear"/>
            <w:vAlign w:val="center"/>
          </w:tcPr>
          <w:p>
            <w:pPr>
              <w:pStyle w:val="TableContents"/>
              <w:spacing w:before="0" w:after="0"/>
              <w:ind w:left="0" w:right="0" w:firstLine="30"/>
              <w:rPr/>
            </w:pPr>
            <w:r>
              <w:rPr/>
              <w:t> </w:t>
            </w:r>
          </w:p>
        </w:tc>
        <w:tc>
          <w:tcPr>
            <w:tcW w:w="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502"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3703" w:type="dxa"/>
            <w:tcBorders>
              <w:bottom w:val="single" w:sz="2" w:space="0" w:color="000000"/>
            </w:tcBorders>
            <w:shd w:fill="auto" w:val="clear"/>
            <w:tcMar>
              <w:bottom w:w="30" w:type="dxa"/>
            </w:tcMar>
            <w:vAlign w:val="center"/>
          </w:tcPr>
          <w:p>
            <w:pPr>
              <w:pStyle w:val="TableContents"/>
              <w:spacing w:before="0" w:after="0"/>
              <w:ind w:left="0" w:right="0" w:firstLine="30"/>
              <w:jc w:val="center"/>
              <w:rPr>
                <w:sz w:val="17"/>
              </w:rPr>
            </w:pPr>
            <w:r>
              <w:rPr>
                <w:rFonts w:ascii="inherit" w:hAnsi="inherit"/>
                <w:sz w:val="17"/>
              </w:rPr>
              <w:t>/</w:t>
            </w:r>
            <w:r>
              <w:rPr>
                <w:rFonts w:ascii="inherit" w:hAnsi="inherit"/>
                <w:sz w:val="13"/>
              </w:rPr>
              <w:t>S</w:t>
            </w:r>
            <w:r>
              <w:rPr>
                <w:rFonts w:ascii="inherit" w:hAnsi="inherit"/>
                <w:sz w:val="17"/>
              </w:rPr>
              <w:t>/    A</w:t>
            </w:r>
            <w:r>
              <w:rPr>
                <w:rFonts w:ascii="inherit" w:hAnsi="inherit"/>
                <w:sz w:val="13"/>
              </w:rPr>
              <w:t>LBERT</w:t>
            </w:r>
            <w:r>
              <w:rPr>
                <w:sz w:val="17"/>
              </w:rPr>
              <w:t> </w:t>
            </w:r>
            <w:r>
              <w:rPr>
                <w:rFonts w:ascii="inherit" w:hAnsi="inherit"/>
                <w:sz w:val="17"/>
              </w:rPr>
              <w:t>C</w:t>
            </w:r>
            <w:r>
              <w:rPr>
                <w:rFonts w:ascii="inherit" w:hAnsi="inherit"/>
                <w:sz w:val="13"/>
              </w:rPr>
              <w:t>HAO        </w:t>
            </w:r>
          </w:p>
        </w:tc>
      </w:tr>
      <w:tr>
        <w:trPr/>
        <w:tc>
          <w:tcPr>
            <w:tcW w:w="528" w:type="dxa"/>
            <w:tcBorders/>
            <w:shd w:fill="auto" w:val="clear"/>
            <w:vAlign w:val="center"/>
          </w:tcPr>
          <w:p>
            <w:pPr>
              <w:pStyle w:val="TableContents"/>
              <w:spacing w:before="0" w:after="0"/>
              <w:ind w:left="0" w:right="0" w:firstLine="30"/>
              <w:rPr/>
            </w:pPr>
            <w:r>
              <w:rPr/>
              <w:t> </w:t>
            </w:r>
          </w:p>
        </w:tc>
        <w:tc>
          <w:tcPr>
            <w:tcW w:w="3258" w:type="dxa"/>
            <w:tcBorders/>
            <w:shd w:fill="auto" w:val="clear"/>
            <w:vAlign w:val="center"/>
          </w:tcPr>
          <w:p>
            <w:pPr>
              <w:pStyle w:val="TableContents"/>
              <w:spacing w:before="0" w:after="0"/>
              <w:ind w:left="0" w:right="0" w:firstLine="30"/>
              <w:rPr/>
            </w:pPr>
            <w:r>
              <w:rPr/>
              <w:t> </w:t>
            </w:r>
          </w:p>
        </w:tc>
        <w:tc>
          <w:tcPr>
            <w:tcW w:w="502" w:type="dxa"/>
            <w:tcBorders/>
            <w:shd w:fill="auto" w:val="clear"/>
            <w:vAlign w:val="center"/>
          </w:tcPr>
          <w:p>
            <w:pPr>
              <w:pStyle w:val="TableContents"/>
              <w:spacing w:before="0" w:after="0"/>
              <w:ind w:left="0" w:right="0" w:firstLine="30"/>
              <w:rPr/>
            </w:pPr>
            <w:r>
              <w:rPr/>
              <w:t> </w:t>
            </w:r>
          </w:p>
        </w:tc>
        <w:tc>
          <w:tcPr>
            <w:tcW w:w="1197" w:type="dxa"/>
            <w:tcBorders/>
            <w:shd w:fill="auto" w:val="clear"/>
            <w:vAlign w:val="center"/>
          </w:tcPr>
          <w:p>
            <w:pPr>
              <w:pStyle w:val="TableContents"/>
              <w:spacing w:before="0" w:after="0"/>
              <w:ind w:left="0" w:right="0" w:firstLine="30"/>
              <w:rPr/>
            </w:pPr>
            <w:r>
              <w:rPr/>
              <w:t> </w:t>
            </w:r>
          </w:p>
        </w:tc>
        <w:tc>
          <w:tcPr>
            <w:tcW w:w="515" w:type="dxa"/>
            <w:tcBorders/>
            <w:shd w:fill="auto" w:val="clear"/>
            <w:vAlign w:val="center"/>
          </w:tcPr>
          <w:p>
            <w:pPr>
              <w:pStyle w:val="TableContents"/>
              <w:spacing w:before="0" w:after="0"/>
              <w:ind w:left="0" w:right="0" w:firstLine="30"/>
              <w:rPr/>
            </w:pPr>
            <w:r>
              <w:rPr/>
              <w:t> </w:t>
            </w:r>
          </w:p>
        </w:tc>
        <w:tc>
          <w:tcPr>
            <w:tcW w:w="502" w:type="dxa"/>
            <w:tcBorders/>
            <w:shd w:fill="auto" w:val="clear"/>
            <w:vAlign w:val="center"/>
          </w:tcPr>
          <w:p>
            <w:pPr>
              <w:pStyle w:val="TableContents"/>
              <w:spacing w:before="0" w:after="0"/>
              <w:ind w:left="0" w:right="0" w:firstLine="30"/>
              <w:rPr/>
            </w:pPr>
            <w:r>
              <w:rPr/>
              <w:t> </w:t>
            </w:r>
          </w:p>
        </w:tc>
        <w:tc>
          <w:tcPr>
            <w:tcW w:w="3703"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Albert Chao</w:t>
            </w:r>
          </w:p>
        </w:tc>
      </w:tr>
      <w:tr>
        <w:trPr/>
        <w:tc>
          <w:tcPr>
            <w:tcW w:w="528" w:type="dxa"/>
            <w:tcBorders/>
            <w:shd w:fill="auto" w:val="clear"/>
            <w:vAlign w:val="center"/>
          </w:tcPr>
          <w:p>
            <w:pPr>
              <w:pStyle w:val="TableContents"/>
              <w:spacing w:before="0" w:after="0"/>
              <w:ind w:left="0" w:right="0" w:firstLine="30"/>
              <w:rPr/>
            </w:pPr>
            <w:r>
              <w:rPr/>
              <w:t> </w:t>
            </w:r>
          </w:p>
        </w:tc>
        <w:tc>
          <w:tcPr>
            <w:tcW w:w="3258" w:type="dxa"/>
            <w:tcBorders/>
            <w:shd w:fill="auto" w:val="clear"/>
            <w:vAlign w:val="center"/>
          </w:tcPr>
          <w:p>
            <w:pPr>
              <w:pStyle w:val="TableContents"/>
              <w:spacing w:before="0" w:after="0"/>
              <w:ind w:left="0" w:right="0" w:firstLine="30"/>
              <w:rPr/>
            </w:pPr>
            <w:r>
              <w:rPr/>
              <w:t> </w:t>
            </w:r>
          </w:p>
        </w:tc>
        <w:tc>
          <w:tcPr>
            <w:tcW w:w="502" w:type="dxa"/>
            <w:tcBorders/>
            <w:shd w:fill="auto" w:val="clear"/>
            <w:vAlign w:val="center"/>
          </w:tcPr>
          <w:p>
            <w:pPr>
              <w:pStyle w:val="TableContents"/>
              <w:spacing w:before="0" w:after="0"/>
              <w:ind w:left="0" w:right="0" w:firstLine="30"/>
              <w:rPr/>
            </w:pPr>
            <w:r>
              <w:rPr/>
              <w:t> </w:t>
            </w:r>
          </w:p>
        </w:tc>
        <w:tc>
          <w:tcPr>
            <w:tcW w:w="1197" w:type="dxa"/>
            <w:tcBorders/>
            <w:shd w:fill="auto" w:val="clear"/>
            <w:vAlign w:val="center"/>
          </w:tcPr>
          <w:p>
            <w:pPr>
              <w:pStyle w:val="TableContents"/>
              <w:spacing w:before="0" w:after="0"/>
              <w:ind w:left="0" w:right="0" w:firstLine="30"/>
              <w:rPr/>
            </w:pPr>
            <w:r>
              <w:rPr/>
              <w:t> </w:t>
            </w:r>
          </w:p>
        </w:tc>
        <w:tc>
          <w:tcPr>
            <w:tcW w:w="515" w:type="dxa"/>
            <w:tcBorders/>
            <w:shd w:fill="auto" w:val="clear"/>
            <w:vAlign w:val="center"/>
          </w:tcPr>
          <w:p>
            <w:pPr>
              <w:pStyle w:val="TableContents"/>
              <w:spacing w:before="0" w:after="0"/>
              <w:ind w:left="0" w:right="0" w:firstLine="30"/>
              <w:rPr/>
            </w:pPr>
            <w:r>
              <w:rPr/>
              <w:t> </w:t>
            </w:r>
          </w:p>
        </w:tc>
        <w:tc>
          <w:tcPr>
            <w:tcW w:w="502" w:type="dxa"/>
            <w:tcBorders/>
            <w:shd w:fill="auto" w:val="clear"/>
            <w:vAlign w:val="center"/>
          </w:tcPr>
          <w:p>
            <w:pPr>
              <w:pStyle w:val="TableContents"/>
              <w:spacing w:before="0" w:after="0"/>
              <w:ind w:left="0" w:right="0" w:firstLine="30"/>
              <w:rPr/>
            </w:pPr>
            <w:r>
              <w:rPr/>
              <w:t> </w:t>
            </w:r>
          </w:p>
        </w:tc>
        <w:tc>
          <w:tcPr>
            <w:tcW w:w="3703" w:type="dxa"/>
            <w:tcBorders/>
            <w:shd w:fill="auto" w:val="clear"/>
            <w:vAlign w:val="center"/>
          </w:tcPr>
          <w:p>
            <w:pPr>
              <w:pStyle w:val="TableContents"/>
              <w:spacing w:before="0" w:after="0"/>
              <w:jc w:val="center"/>
              <w:rPr>
                <w:rFonts w:ascii="inherit" w:hAnsi="inherit"/>
                <w:b/>
                <w:sz w:val="13"/>
              </w:rPr>
            </w:pPr>
            <w:r>
              <w:rPr>
                <w:rFonts w:ascii="inherit" w:hAnsi="inherit"/>
                <w:b/>
                <w:sz w:val="13"/>
              </w:rPr>
              <w:t>President and Chief Executive Officer</w:t>
            </w:r>
          </w:p>
          <w:p>
            <w:pPr>
              <w:pStyle w:val="TableContents"/>
              <w:spacing w:before="0" w:after="0"/>
              <w:ind w:left="0" w:right="0" w:firstLine="30"/>
              <w:jc w:val="center"/>
              <w:rPr>
                <w:rFonts w:ascii="inherit" w:hAnsi="inherit"/>
                <w:b/>
                <w:sz w:val="13"/>
              </w:rPr>
            </w:pPr>
            <w:r>
              <w:rPr>
                <w:rFonts w:ascii="inherit" w:hAnsi="inherit"/>
                <w:b/>
                <w:sz w:val="13"/>
              </w:rPr>
              <w:t>(Principal Executive Officer)</w:t>
            </w:r>
          </w:p>
        </w:tc>
      </w:tr>
      <w:tr>
        <w:trPr/>
        <w:tc>
          <w:tcPr>
            <w:tcW w:w="528" w:type="dxa"/>
            <w:tcBorders/>
            <w:shd w:fill="auto" w:val="clear"/>
            <w:vAlign w:val="center"/>
          </w:tcPr>
          <w:p>
            <w:pPr>
              <w:pStyle w:val="TableContents"/>
              <w:spacing w:before="0" w:after="0"/>
              <w:ind w:left="0" w:right="0" w:firstLine="30"/>
              <w:rPr/>
            </w:pPr>
            <w:r>
              <w:rPr/>
              <w:t> </w:t>
            </w:r>
          </w:p>
        </w:tc>
        <w:tc>
          <w:tcPr>
            <w:tcW w:w="3760" w:type="dxa"/>
            <w:gridSpan w:val="2"/>
            <w:tcBorders/>
            <w:shd w:fill="auto" w:val="clear"/>
            <w:vAlign w:val="center"/>
          </w:tcPr>
          <w:p>
            <w:pPr>
              <w:pStyle w:val="TableContents"/>
              <w:spacing w:before="0" w:after="0"/>
              <w:ind w:left="0" w:right="0" w:firstLine="30"/>
              <w:rPr/>
            </w:pPr>
            <w:r>
              <w:rPr/>
              <w:t> </w:t>
            </w:r>
          </w:p>
        </w:tc>
        <w:tc>
          <w:tcPr>
            <w:tcW w:w="1712" w:type="dxa"/>
            <w:gridSpan w:val="2"/>
            <w:tcBorders/>
            <w:shd w:fill="auto" w:val="clear"/>
            <w:vAlign w:val="center"/>
          </w:tcPr>
          <w:p>
            <w:pPr>
              <w:pStyle w:val="TableContents"/>
              <w:spacing w:before="0" w:after="0"/>
              <w:ind w:left="0" w:right="0" w:firstLine="30"/>
              <w:rPr/>
            </w:pPr>
            <w:r>
              <w:rPr/>
              <w:t> </w:t>
            </w:r>
          </w:p>
        </w:tc>
        <w:tc>
          <w:tcPr>
            <w:tcW w:w="4205" w:type="dxa"/>
            <w:gridSpan w:val="2"/>
            <w:tcBorders/>
            <w:shd w:fill="auto" w:val="clear"/>
            <w:vAlign w:val="center"/>
          </w:tcPr>
          <w:p>
            <w:pPr>
              <w:pStyle w:val="TableContents"/>
              <w:spacing w:before="0" w:after="0"/>
              <w:ind w:left="0" w:right="0" w:firstLine="30"/>
              <w:rPr/>
            </w:pPr>
            <w:r>
              <w:rPr/>
              <w:t> </w:t>
            </w:r>
          </w:p>
        </w:tc>
      </w:tr>
      <w:tr>
        <w:trPr/>
        <w:tc>
          <w:tcPr>
            <w:tcW w:w="5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Date:</w:t>
            </w:r>
          </w:p>
        </w:tc>
        <w:tc>
          <w:tcPr>
            <w:tcW w:w="32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November 7, 2014</w:t>
            </w:r>
          </w:p>
        </w:tc>
        <w:tc>
          <w:tcPr>
            <w:tcW w:w="502" w:type="dxa"/>
            <w:tcBorders/>
            <w:shd w:fill="auto" w:val="clear"/>
            <w:vAlign w:val="center"/>
          </w:tcPr>
          <w:p>
            <w:pPr>
              <w:pStyle w:val="TableContents"/>
              <w:spacing w:before="0" w:after="0"/>
              <w:ind w:left="0" w:right="0" w:firstLine="30"/>
              <w:rPr/>
            </w:pPr>
            <w:r>
              <w:rPr/>
              <w:t> </w:t>
            </w:r>
          </w:p>
        </w:tc>
        <w:tc>
          <w:tcPr>
            <w:tcW w:w="1197" w:type="dxa"/>
            <w:tcBorders/>
            <w:shd w:fill="auto" w:val="clear"/>
            <w:vAlign w:val="center"/>
          </w:tcPr>
          <w:p>
            <w:pPr>
              <w:pStyle w:val="TableContents"/>
              <w:spacing w:before="0" w:after="0"/>
              <w:ind w:left="0" w:right="0" w:firstLine="30"/>
              <w:rPr/>
            </w:pPr>
            <w:r>
              <w:rPr/>
              <w:t> </w:t>
            </w:r>
          </w:p>
        </w:tc>
        <w:tc>
          <w:tcPr>
            <w:tcW w:w="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502"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3703" w:type="dxa"/>
            <w:tcBorders>
              <w:bottom w:val="single" w:sz="2" w:space="0" w:color="000000"/>
            </w:tcBorders>
            <w:shd w:fill="auto" w:val="clear"/>
            <w:tcMar>
              <w:bottom w:w="30" w:type="dxa"/>
            </w:tcMar>
            <w:vAlign w:val="center"/>
          </w:tcPr>
          <w:p>
            <w:pPr>
              <w:pStyle w:val="TableContents"/>
              <w:spacing w:before="0" w:after="0"/>
              <w:ind w:left="0" w:right="0" w:firstLine="30"/>
              <w:jc w:val="center"/>
              <w:rPr>
                <w:sz w:val="17"/>
              </w:rPr>
            </w:pPr>
            <w:r>
              <w:rPr>
                <w:rFonts w:ascii="inherit" w:hAnsi="inherit"/>
                <w:sz w:val="17"/>
              </w:rPr>
              <w:t>/</w:t>
            </w:r>
            <w:r>
              <w:rPr>
                <w:rFonts w:ascii="inherit" w:hAnsi="inherit"/>
                <w:sz w:val="13"/>
              </w:rPr>
              <w:t>S</w:t>
            </w:r>
            <w:r>
              <w:rPr>
                <w:rFonts w:ascii="inherit" w:hAnsi="inherit"/>
                <w:sz w:val="17"/>
              </w:rPr>
              <w:t>/    M. S</w:t>
            </w:r>
            <w:r>
              <w:rPr>
                <w:rFonts w:ascii="inherit" w:hAnsi="inherit"/>
                <w:sz w:val="13"/>
              </w:rPr>
              <w:t>TEVEN</w:t>
            </w:r>
            <w:r>
              <w:rPr>
                <w:sz w:val="17"/>
              </w:rPr>
              <w:t> </w:t>
            </w:r>
            <w:r>
              <w:rPr>
                <w:rFonts w:ascii="inherit" w:hAnsi="inherit"/>
                <w:sz w:val="17"/>
              </w:rPr>
              <w:t>B</w:t>
            </w:r>
            <w:r>
              <w:rPr>
                <w:rFonts w:ascii="inherit" w:hAnsi="inherit"/>
                <w:sz w:val="13"/>
              </w:rPr>
              <w:t>ENDER        </w:t>
            </w:r>
          </w:p>
        </w:tc>
      </w:tr>
      <w:tr>
        <w:trPr/>
        <w:tc>
          <w:tcPr>
            <w:tcW w:w="528" w:type="dxa"/>
            <w:tcBorders/>
            <w:shd w:fill="auto" w:val="clear"/>
            <w:vAlign w:val="center"/>
          </w:tcPr>
          <w:p>
            <w:pPr>
              <w:pStyle w:val="TableContents"/>
              <w:spacing w:before="0" w:after="0"/>
              <w:ind w:left="0" w:right="0" w:firstLine="30"/>
              <w:rPr/>
            </w:pPr>
            <w:r>
              <w:rPr/>
              <w:t> </w:t>
            </w:r>
          </w:p>
        </w:tc>
        <w:tc>
          <w:tcPr>
            <w:tcW w:w="3258" w:type="dxa"/>
            <w:tcBorders/>
            <w:shd w:fill="auto" w:val="clear"/>
            <w:vAlign w:val="center"/>
          </w:tcPr>
          <w:p>
            <w:pPr>
              <w:pStyle w:val="TableContents"/>
              <w:spacing w:before="0" w:after="0"/>
              <w:ind w:left="0" w:right="0" w:firstLine="30"/>
              <w:rPr/>
            </w:pPr>
            <w:r>
              <w:rPr/>
              <w:t> </w:t>
            </w:r>
          </w:p>
        </w:tc>
        <w:tc>
          <w:tcPr>
            <w:tcW w:w="502" w:type="dxa"/>
            <w:tcBorders/>
            <w:shd w:fill="auto" w:val="clear"/>
            <w:vAlign w:val="center"/>
          </w:tcPr>
          <w:p>
            <w:pPr>
              <w:pStyle w:val="TableContents"/>
              <w:spacing w:before="0" w:after="0"/>
              <w:ind w:left="0" w:right="0" w:firstLine="30"/>
              <w:rPr/>
            </w:pPr>
            <w:r>
              <w:rPr/>
              <w:t> </w:t>
            </w:r>
          </w:p>
        </w:tc>
        <w:tc>
          <w:tcPr>
            <w:tcW w:w="1197" w:type="dxa"/>
            <w:tcBorders/>
            <w:shd w:fill="auto" w:val="clear"/>
            <w:vAlign w:val="center"/>
          </w:tcPr>
          <w:p>
            <w:pPr>
              <w:pStyle w:val="TableContents"/>
              <w:spacing w:before="0" w:after="0"/>
              <w:ind w:left="0" w:right="0" w:firstLine="30"/>
              <w:rPr/>
            </w:pPr>
            <w:r>
              <w:rPr/>
              <w:t> </w:t>
            </w:r>
          </w:p>
        </w:tc>
        <w:tc>
          <w:tcPr>
            <w:tcW w:w="515" w:type="dxa"/>
            <w:tcBorders/>
            <w:shd w:fill="auto" w:val="clear"/>
            <w:vAlign w:val="center"/>
          </w:tcPr>
          <w:p>
            <w:pPr>
              <w:pStyle w:val="TableContents"/>
              <w:spacing w:before="0" w:after="0"/>
              <w:ind w:left="0" w:right="0" w:firstLine="30"/>
              <w:rPr/>
            </w:pPr>
            <w:r>
              <w:rPr/>
              <w:t> </w:t>
            </w:r>
          </w:p>
        </w:tc>
        <w:tc>
          <w:tcPr>
            <w:tcW w:w="502" w:type="dxa"/>
            <w:tcBorders/>
            <w:shd w:fill="auto" w:val="clear"/>
            <w:vAlign w:val="center"/>
          </w:tcPr>
          <w:p>
            <w:pPr>
              <w:pStyle w:val="TableContents"/>
              <w:spacing w:before="0" w:after="0"/>
              <w:ind w:left="0" w:right="0" w:firstLine="30"/>
              <w:rPr/>
            </w:pPr>
            <w:r>
              <w:rPr/>
              <w:t> </w:t>
            </w:r>
          </w:p>
        </w:tc>
        <w:tc>
          <w:tcPr>
            <w:tcW w:w="3703"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M. Steven Bender</w:t>
            </w:r>
          </w:p>
        </w:tc>
      </w:tr>
      <w:tr>
        <w:trPr/>
        <w:tc>
          <w:tcPr>
            <w:tcW w:w="528" w:type="dxa"/>
            <w:tcBorders/>
            <w:shd w:fill="auto" w:val="clear"/>
            <w:vAlign w:val="center"/>
          </w:tcPr>
          <w:p>
            <w:pPr>
              <w:pStyle w:val="TableContents"/>
              <w:spacing w:before="0" w:after="0"/>
              <w:ind w:left="0" w:right="0" w:firstLine="30"/>
              <w:rPr/>
            </w:pPr>
            <w:r>
              <w:rPr/>
              <w:t> </w:t>
            </w:r>
          </w:p>
        </w:tc>
        <w:tc>
          <w:tcPr>
            <w:tcW w:w="3258" w:type="dxa"/>
            <w:tcBorders/>
            <w:shd w:fill="auto" w:val="clear"/>
            <w:vAlign w:val="center"/>
          </w:tcPr>
          <w:p>
            <w:pPr>
              <w:pStyle w:val="TableContents"/>
              <w:spacing w:before="0" w:after="0"/>
              <w:ind w:left="0" w:right="0" w:firstLine="30"/>
              <w:rPr/>
            </w:pPr>
            <w:r>
              <w:rPr/>
              <w:t> </w:t>
            </w:r>
          </w:p>
        </w:tc>
        <w:tc>
          <w:tcPr>
            <w:tcW w:w="502" w:type="dxa"/>
            <w:tcBorders/>
            <w:shd w:fill="auto" w:val="clear"/>
            <w:vAlign w:val="center"/>
          </w:tcPr>
          <w:p>
            <w:pPr>
              <w:pStyle w:val="TableContents"/>
              <w:spacing w:before="0" w:after="0"/>
              <w:ind w:left="0" w:right="0" w:firstLine="30"/>
              <w:rPr/>
            </w:pPr>
            <w:r>
              <w:rPr/>
              <w:t> </w:t>
            </w:r>
          </w:p>
        </w:tc>
        <w:tc>
          <w:tcPr>
            <w:tcW w:w="1197" w:type="dxa"/>
            <w:tcBorders/>
            <w:shd w:fill="auto" w:val="clear"/>
            <w:vAlign w:val="center"/>
          </w:tcPr>
          <w:p>
            <w:pPr>
              <w:pStyle w:val="TableContents"/>
              <w:spacing w:before="0" w:after="0"/>
              <w:ind w:left="0" w:right="0" w:firstLine="30"/>
              <w:rPr/>
            </w:pPr>
            <w:r>
              <w:rPr/>
              <w:t> </w:t>
            </w:r>
          </w:p>
        </w:tc>
        <w:tc>
          <w:tcPr>
            <w:tcW w:w="515" w:type="dxa"/>
            <w:tcBorders/>
            <w:shd w:fill="auto" w:val="clear"/>
            <w:vAlign w:val="center"/>
          </w:tcPr>
          <w:p>
            <w:pPr>
              <w:pStyle w:val="TableContents"/>
              <w:spacing w:before="0" w:after="0"/>
              <w:ind w:left="0" w:right="0" w:firstLine="30"/>
              <w:rPr/>
            </w:pPr>
            <w:r>
              <w:rPr/>
              <w:t> </w:t>
            </w:r>
          </w:p>
        </w:tc>
        <w:tc>
          <w:tcPr>
            <w:tcW w:w="502" w:type="dxa"/>
            <w:tcBorders/>
            <w:shd w:fill="auto" w:val="clear"/>
            <w:vAlign w:val="center"/>
          </w:tcPr>
          <w:p>
            <w:pPr>
              <w:pStyle w:val="TableContents"/>
              <w:spacing w:before="0" w:after="0"/>
              <w:ind w:left="0" w:right="0" w:firstLine="30"/>
              <w:rPr/>
            </w:pPr>
            <w:r>
              <w:rPr/>
              <w:t> </w:t>
            </w:r>
          </w:p>
        </w:tc>
        <w:tc>
          <w:tcPr>
            <w:tcW w:w="3703" w:type="dxa"/>
            <w:tcBorders/>
            <w:shd w:fill="auto" w:val="clear"/>
            <w:vAlign w:val="center"/>
          </w:tcPr>
          <w:p>
            <w:pPr>
              <w:pStyle w:val="TableContents"/>
              <w:spacing w:before="0" w:after="0"/>
              <w:jc w:val="center"/>
              <w:rPr>
                <w:rFonts w:ascii="inherit" w:hAnsi="inherit"/>
                <w:b/>
                <w:sz w:val="13"/>
              </w:rPr>
            </w:pPr>
            <w:r>
              <w:rPr>
                <w:rFonts w:ascii="inherit" w:hAnsi="inherit"/>
                <w:b/>
                <w:sz w:val="13"/>
              </w:rPr>
              <w:t xml:space="preserve">Senior Vice President and Chief Financial Officer </w:t>
            </w:r>
          </w:p>
          <w:p>
            <w:pPr>
              <w:pStyle w:val="TableContents"/>
              <w:spacing w:before="0" w:after="0"/>
              <w:jc w:val="center"/>
              <w:rPr>
                <w:rFonts w:ascii="inherit" w:hAnsi="inherit"/>
                <w:b/>
                <w:sz w:val="13"/>
              </w:rPr>
            </w:pPr>
            <w:r>
              <w:rPr>
                <w:rFonts w:ascii="inherit" w:hAnsi="inherit"/>
                <w:b/>
                <w:sz w:val="13"/>
              </w:rPr>
              <w:t>(Principal Financial Officer)</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32</w:t>
      </w:r>
      <w:r>
        <w:br w:type="page"/>
      </w:r>
    </w:p>
    <w:p>
      <w:pPr>
        <w:pStyle w:val="TextBody"/>
        <w:spacing w:lineRule="auto" w:line="288" w:before="0" w:after="0"/>
        <w:rPr/>
      </w:pPr>
      <w:hyperlink w:anchor="s7D21BC485A80E1C3273666ECEC2365C6">
        <w:bookmarkStart w:id="54" w:name="s8648E4D7588AC948417166ECF1A5C1FD"/>
        <w:bookmarkEnd w:id="54"/>
        <w:r>
          <w:rPr>
            <w:rStyle w:val="InternetLink"/>
            <w:rFonts w:ascii="inherit" w:hAnsi="inherit"/>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600"/>
        <w:jc w:val="left"/>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EXHIBIT INDEX</w:t>
      </w:r>
    </w:p>
    <w:tbl>
      <w:tblPr>
        <w:tblW w:w="10205" w:type="dxa"/>
        <w:jc w:val="left"/>
        <w:tblInd w:w="0" w:type="dxa"/>
        <w:tblCellMar>
          <w:top w:w="0" w:type="dxa"/>
          <w:left w:w="0" w:type="dxa"/>
          <w:bottom w:w="0" w:type="dxa"/>
          <w:right w:w="0" w:type="dxa"/>
        </w:tblCellMar>
      </w:tblPr>
      <w:tblGrid>
        <w:gridCol w:w="1431"/>
        <w:gridCol w:w="232"/>
        <w:gridCol w:w="8542"/>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431"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854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431" w:type="dxa"/>
            <w:tcBorders/>
            <w:shd w:fill="auto" w:val="clear"/>
            <w:vAlign w:val="center"/>
          </w:tcPr>
          <w:p>
            <w:pPr>
              <w:pStyle w:val="TableContents"/>
              <w:spacing w:before="0" w:after="0"/>
              <w:ind w:left="0" w:right="0" w:firstLine="30"/>
              <w:jc w:val="left"/>
              <w:rPr>
                <w:rFonts w:ascii="inherit" w:hAnsi="inherit"/>
                <w:b/>
                <w:sz w:val="13"/>
                <w:u w:val="single"/>
              </w:rPr>
            </w:pPr>
            <w:r>
              <w:rPr>
                <w:rFonts w:ascii="inherit" w:hAnsi="inherit"/>
                <w:b/>
                <w:sz w:val="13"/>
                <w:u w:val="single"/>
              </w:rPr>
              <w:t>Exhibit No.</w:t>
            </w:r>
          </w:p>
        </w:tc>
        <w:tc>
          <w:tcPr>
            <w:tcW w:w="232" w:type="dxa"/>
            <w:tcBorders/>
            <w:shd w:fill="auto" w:val="clear"/>
            <w:vAlign w:val="center"/>
          </w:tcPr>
          <w:p>
            <w:pPr>
              <w:pStyle w:val="TableContents"/>
              <w:spacing w:before="0" w:after="0"/>
              <w:ind w:left="0" w:right="0" w:firstLine="30"/>
              <w:rPr/>
            </w:pPr>
            <w:r>
              <w:rPr/>
              <w:t> </w:t>
            </w:r>
          </w:p>
        </w:tc>
        <w:tc>
          <w:tcPr>
            <w:tcW w:w="8542" w:type="dxa"/>
            <w:tcBorders/>
            <w:shd w:fill="auto" w:val="clear"/>
            <w:vAlign w:val="center"/>
          </w:tcPr>
          <w:p>
            <w:pPr>
              <w:pStyle w:val="TableContents"/>
              <w:spacing w:before="0" w:after="0"/>
              <w:ind w:left="0" w:right="0" w:firstLine="30"/>
              <w:jc w:val="left"/>
              <w:rPr>
                <w:rFonts w:ascii="inherit" w:hAnsi="inherit"/>
                <w:b/>
                <w:sz w:val="13"/>
                <w:u w:val="single"/>
              </w:rPr>
            </w:pPr>
            <w:r>
              <w:rPr>
                <w:rFonts w:ascii="inherit" w:hAnsi="inherit"/>
                <w:b/>
                <w:sz w:val="13"/>
                <w:u w:val="single"/>
              </w:rPr>
              <w:t>Exhibit</w:t>
            </w:r>
          </w:p>
        </w:tc>
      </w:tr>
      <w:tr>
        <w:trPr/>
        <w:tc>
          <w:tcPr>
            <w:tcW w:w="1431" w:type="dxa"/>
            <w:tcBorders/>
            <w:shd w:fill="auto" w:val="clear"/>
            <w:vAlign w:val="center"/>
          </w:tcPr>
          <w:p>
            <w:pPr>
              <w:pStyle w:val="TableContents"/>
              <w:spacing w:before="0" w:after="0"/>
              <w:ind w:left="0" w:right="0" w:firstLine="30"/>
              <w:rPr/>
            </w:pPr>
            <w:r>
              <w:rPr/>
              <w:t> </w:t>
            </w:r>
          </w:p>
        </w:tc>
        <w:tc>
          <w:tcPr>
            <w:tcW w:w="232" w:type="dxa"/>
            <w:tcBorders/>
            <w:shd w:fill="auto" w:val="clear"/>
            <w:vAlign w:val="center"/>
          </w:tcPr>
          <w:p>
            <w:pPr>
              <w:pStyle w:val="TableContents"/>
              <w:spacing w:before="0" w:after="0"/>
              <w:ind w:left="0" w:right="0" w:firstLine="30"/>
              <w:rPr/>
            </w:pPr>
            <w:r>
              <w:rPr/>
              <w:t> </w:t>
            </w:r>
          </w:p>
        </w:tc>
        <w:tc>
          <w:tcPr>
            <w:tcW w:w="8542" w:type="dxa"/>
            <w:tcBorders/>
            <w:shd w:fill="auto" w:val="clear"/>
            <w:vAlign w:val="center"/>
          </w:tcPr>
          <w:p>
            <w:pPr>
              <w:pStyle w:val="TableContents"/>
              <w:spacing w:before="0" w:after="0"/>
              <w:ind w:left="0" w:right="0" w:firstLine="30"/>
              <w:rPr/>
            </w:pPr>
            <w:r>
              <w:rPr/>
              <w:t> </w:t>
            </w:r>
          </w:p>
        </w:tc>
      </w:tr>
      <w:tr>
        <w:trPr/>
        <w:tc>
          <w:tcPr>
            <w:tcW w:w="14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3.1</w:t>
            </w:r>
          </w:p>
        </w:tc>
        <w:tc>
          <w:tcPr>
            <w:tcW w:w="232" w:type="dxa"/>
            <w:tcBorders/>
            <w:shd w:fill="auto" w:val="clear"/>
            <w:vAlign w:val="center"/>
          </w:tcPr>
          <w:p>
            <w:pPr>
              <w:pStyle w:val="TableContents"/>
              <w:spacing w:before="0" w:after="0"/>
              <w:ind w:left="0" w:right="0" w:firstLine="30"/>
              <w:rPr/>
            </w:pPr>
            <w:r>
              <w:rPr/>
              <w:t> </w:t>
            </w:r>
          </w:p>
        </w:tc>
        <w:tc>
          <w:tcPr>
            <w:tcW w:w="85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First Amended and Restated Agreement of Limited Partnership of Westlake Chemical Partners LP (incorporated by reference to Exhibit 3.1 to Westlake Chemical Partners LP’s Current Report on Form 8-K (File No. 001-36567) filed on August 8, 2014) </w:t>
            </w:r>
          </w:p>
        </w:tc>
      </w:tr>
      <w:tr>
        <w:trPr/>
        <w:tc>
          <w:tcPr>
            <w:tcW w:w="1431" w:type="dxa"/>
            <w:tcBorders/>
            <w:shd w:fill="auto" w:val="clear"/>
            <w:vAlign w:val="center"/>
          </w:tcPr>
          <w:p>
            <w:pPr>
              <w:pStyle w:val="TableContents"/>
              <w:spacing w:before="0" w:after="0"/>
              <w:ind w:left="0" w:right="0" w:firstLine="30"/>
              <w:rPr/>
            </w:pPr>
            <w:r>
              <w:rPr/>
              <w:t> </w:t>
            </w:r>
          </w:p>
        </w:tc>
        <w:tc>
          <w:tcPr>
            <w:tcW w:w="232" w:type="dxa"/>
            <w:tcBorders/>
            <w:shd w:fill="auto" w:val="clear"/>
            <w:vAlign w:val="center"/>
          </w:tcPr>
          <w:p>
            <w:pPr>
              <w:pStyle w:val="TableContents"/>
              <w:spacing w:before="0" w:after="0"/>
              <w:ind w:left="0" w:right="0" w:firstLine="30"/>
              <w:rPr/>
            </w:pPr>
            <w:r>
              <w:rPr/>
              <w:t> </w:t>
            </w:r>
          </w:p>
        </w:tc>
        <w:tc>
          <w:tcPr>
            <w:tcW w:w="8542" w:type="dxa"/>
            <w:tcBorders/>
            <w:shd w:fill="auto" w:val="clear"/>
            <w:vAlign w:val="center"/>
          </w:tcPr>
          <w:p>
            <w:pPr>
              <w:pStyle w:val="TableContents"/>
              <w:spacing w:before="0" w:after="0"/>
              <w:ind w:left="0" w:right="0" w:firstLine="30"/>
              <w:rPr/>
            </w:pPr>
            <w:r>
              <w:rPr/>
              <w:t> </w:t>
            </w:r>
          </w:p>
        </w:tc>
      </w:tr>
      <w:tr>
        <w:trPr/>
        <w:tc>
          <w:tcPr>
            <w:tcW w:w="14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31.1†</w:t>
            </w:r>
          </w:p>
        </w:tc>
        <w:tc>
          <w:tcPr>
            <w:tcW w:w="232" w:type="dxa"/>
            <w:tcBorders/>
            <w:shd w:fill="auto" w:val="clear"/>
            <w:vAlign w:val="center"/>
          </w:tcPr>
          <w:p>
            <w:pPr>
              <w:pStyle w:val="TableContents"/>
              <w:spacing w:before="0" w:after="0"/>
              <w:ind w:left="0" w:right="0" w:firstLine="30"/>
              <w:rPr/>
            </w:pPr>
            <w:r>
              <w:rPr/>
              <w:t> </w:t>
            </w:r>
          </w:p>
        </w:tc>
        <w:tc>
          <w:tcPr>
            <w:tcW w:w="85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Rule 13a – 14(a) / 15d – 14(a) Certification (Principal Executive Officer)</w:t>
            </w:r>
          </w:p>
        </w:tc>
      </w:tr>
      <w:tr>
        <w:trPr/>
        <w:tc>
          <w:tcPr>
            <w:tcW w:w="1431" w:type="dxa"/>
            <w:tcBorders/>
            <w:shd w:fill="auto" w:val="clear"/>
            <w:vAlign w:val="center"/>
          </w:tcPr>
          <w:p>
            <w:pPr>
              <w:pStyle w:val="TableContents"/>
              <w:spacing w:before="0" w:after="0"/>
              <w:ind w:left="0" w:right="0" w:firstLine="30"/>
              <w:rPr/>
            </w:pPr>
            <w:r>
              <w:rPr/>
              <w:t> </w:t>
            </w:r>
          </w:p>
        </w:tc>
        <w:tc>
          <w:tcPr>
            <w:tcW w:w="232" w:type="dxa"/>
            <w:tcBorders/>
            <w:shd w:fill="auto" w:val="clear"/>
            <w:vAlign w:val="center"/>
          </w:tcPr>
          <w:p>
            <w:pPr>
              <w:pStyle w:val="TableContents"/>
              <w:spacing w:before="0" w:after="0"/>
              <w:ind w:left="0" w:right="0" w:firstLine="30"/>
              <w:rPr/>
            </w:pPr>
            <w:r>
              <w:rPr/>
              <w:t> </w:t>
            </w:r>
          </w:p>
        </w:tc>
        <w:tc>
          <w:tcPr>
            <w:tcW w:w="8542" w:type="dxa"/>
            <w:tcBorders/>
            <w:shd w:fill="auto" w:val="clear"/>
            <w:vAlign w:val="center"/>
          </w:tcPr>
          <w:p>
            <w:pPr>
              <w:pStyle w:val="TableContents"/>
              <w:spacing w:before="0" w:after="0"/>
              <w:ind w:left="0" w:right="0" w:firstLine="30"/>
              <w:rPr/>
            </w:pPr>
            <w:r>
              <w:rPr/>
              <w:t> </w:t>
            </w:r>
          </w:p>
        </w:tc>
      </w:tr>
      <w:tr>
        <w:trPr/>
        <w:tc>
          <w:tcPr>
            <w:tcW w:w="14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31.2†</w:t>
            </w:r>
          </w:p>
        </w:tc>
        <w:tc>
          <w:tcPr>
            <w:tcW w:w="232" w:type="dxa"/>
            <w:tcBorders/>
            <w:shd w:fill="auto" w:val="clear"/>
            <w:vAlign w:val="center"/>
          </w:tcPr>
          <w:p>
            <w:pPr>
              <w:pStyle w:val="TableContents"/>
              <w:spacing w:before="0" w:after="0"/>
              <w:ind w:left="0" w:right="0" w:firstLine="30"/>
              <w:rPr/>
            </w:pPr>
            <w:r>
              <w:rPr/>
              <w:t> </w:t>
            </w:r>
          </w:p>
        </w:tc>
        <w:tc>
          <w:tcPr>
            <w:tcW w:w="85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Rule 13a – 14(a) / 15d – 14(a) Certification (Principal Financial Officer)</w:t>
            </w:r>
          </w:p>
        </w:tc>
      </w:tr>
      <w:tr>
        <w:trPr/>
        <w:tc>
          <w:tcPr>
            <w:tcW w:w="1431" w:type="dxa"/>
            <w:tcBorders/>
            <w:shd w:fill="auto" w:val="clear"/>
            <w:vAlign w:val="center"/>
          </w:tcPr>
          <w:p>
            <w:pPr>
              <w:pStyle w:val="TableContents"/>
              <w:spacing w:before="0" w:after="0"/>
              <w:ind w:left="0" w:right="0" w:firstLine="30"/>
              <w:rPr/>
            </w:pPr>
            <w:r>
              <w:rPr/>
              <w:t> </w:t>
            </w:r>
          </w:p>
        </w:tc>
        <w:tc>
          <w:tcPr>
            <w:tcW w:w="232" w:type="dxa"/>
            <w:tcBorders/>
            <w:shd w:fill="auto" w:val="clear"/>
            <w:vAlign w:val="center"/>
          </w:tcPr>
          <w:p>
            <w:pPr>
              <w:pStyle w:val="TableContents"/>
              <w:spacing w:before="0" w:after="0"/>
              <w:ind w:left="0" w:right="0" w:firstLine="30"/>
              <w:rPr/>
            </w:pPr>
            <w:r>
              <w:rPr/>
              <w:t> </w:t>
            </w:r>
          </w:p>
        </w:tc>
        <w:tc>
          <w:tcPr>
            <w:tcW w:w="8542" w:type="dxa"/>
            <w:tcBorders/>
            <w:shd w:fill="auto" w:val="clear"/>
            <w:vAlign w:val="center"/>
          </w:tcPr>
          <w:p>
            <w:pPr>
              <w:pStyle w:val="TableContents"/>
              <w:spacing w:before="0" w:after="0"/>
              <w:ind w:left="0" w:right="0" w:firstLine="30"/>
              <w:rPr/>
            </w:pPr>
            <w:r>
              <w:rPr/>
              <w:t> </w:t>
            </w:r>
          </w:p>
        </w:tc>
      </w:tr>
      <w:tr>
        <w:trPr/>
        <w:tc>
          <w:tcPr>
            <w:tcW w:w="14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32.1#</w:t>
            </w:r>
          </w:p>
        </w:tc>
        <w:tc>
          <w:tcPr>
            <w:tcW w:w="232" w:type="dxa"/>
            <w:tcBorders/>
            <w:shd w:fill="auto" w:val="clear"/>
            <w:vAlign w:val="center"/>
          </w:tcPr>
          <w:p>
            <w:pPr>
              <w:pStyle w:val="TableContents"/>
              <w:spacing w:before="0" w:after="0"/>
              <w:ind w:left="0" w:right="0" w:firstLine="30"/>
              <w:rPr/>
            </w:pPr>
            <w:r>
              <w:rPr/>
              <w:t> </w:t>
            </w:r>
          </w:p>
        </w:tc>
        <w:tc>
          <w:tcPr>
            <w:tcW w:w="85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Section 1350 Certification (Principal Executive Officer and Principal Financial Officer)</w:t>
            </w:r>
          </w:p>
        </w:tc>
      </w:tr>
      <w:tr>
        <w:trPr/>
        <w:tc>
          <w:tcPr>
            <w:tcW w:w="1431" w:type="dxa"/>
            <w:tcBorders/>
            <w:shd w:fill="auto" w:val="clear"/>
            <w:vAlign w:val="center"/>
          </w:tcPr>
          <w:p>
            <w:pPr>
              <w:pStyle w:val="TableContents"/>
              <w:spacing w:before="0" w:after="0"/>
              <w:ind w:left="0" w:right="0" w:firstLine="30"/>
              <w:rPr/>
            </w:pPr>
            <w:r>
              <w:rPr/>
              <w:t> </w:t>
            </w:r>
          </w:p>
        </w:tc>
        <w:tc>
          <w:tcPr>
            <w:tcW w:w="232" w:type="dxa"/>
            <w:tcBorders/>
            <w:shd w:fill="auto" w:val="clear"/>
            <w:vAlign w:val="center"/>
          </w:tcPr>
          <w:p>
            <w:pPr>
              <w:pStyle w:val="TableContents"/>
              <w:spacing w:before="0" w:after="0"/>
              <w:ind w:left="0" w:right="0" w:firstLine="30"/>
              <w:rPr/>
            </w:pPr>
            <w:r>
              <w:rPr/>
              <w:t> </w:t>
            </w:r>
          </w:p>
        </w:tc>
        <w:tc>
          <w:tcPr>
            <w:tcW w:w="8542" w:type="dxa"/>
            <w:tcBorders/>
            <w:shd w:fill="auto" w:val="clear"/>
            <w:vAlign w:val="center"/>
          </w:tcPr>
          <w:p>
            <w:pPr>
              <w:pStyle w:val="TableContents"/>
              <w:spacing w:before="0" w:after="0"/>
              <w:ind w:left="0" w:right="0" w:firstLine="30"/>
              <w:rPr/>
            </w:pPr>
            <w:r>
              <w:rPr/>
              <w:t> </w:t>
            </w:r>
          </w:p>
        </w:tc>
      </w:tr>
      <w:tr>
        <w:trPr/>
        <w:tc>
          <w:tcPr>
            <w:tcW w:w="14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101.INS#</w:t>
            </w:r>
          </w:p>
        </w:tc>
        <w:tc>
          <w:tcPr>
            <w:tcW w:w="232" w:type="dxa"/>
            <w:tcBorders/>
            <w:shd w:fill="auto" w:val="clear"/>
            <w:vAlign w:val="center"/>
          </w:tcPr>
          <w:p>
            <w:pPr>
              <w:pStyle w:val="TableContents"/>
              <w:spacing w:before="0" w:after="0"/>
              <w:ind w:left="0" w:right="0" w:firstLine="30"/>
              <w:rPr/>
            </w:pPr>
            <w:r>
              <w:rPr/>
              <w:t> </w:t>
            </w:r>
          </w:p>
        </w:tc>
        <w:tc>
          <w:tcPr>
            <w:tcW w:w="85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Instance Document</w:t>
            </w:r>
          </w:p>
        </w:tc>
      </w:tr>
      <w:tr>
        <w:trPr/>
        <w:tc>
          <w:tcPr>
            <w:tcW w:w="1431" w:type="dxa"/>
            <w:tcBorders/>
            <w:shd w:fill="auto" w:val="clear"/>
            <w:vAlign w:val="center"/>
          </w:tcPr>
          <w:p>
            <w:pPr>
              <w:pStyle w:val="TableContents"/>
              <w:spacing w:before="0" w:after="0"/>
              <w:ind w:left="0" w:right="0" w:firstLine="30"/>
              <w:rPr/>
            </w:pPr>
            <w:r>
              <w:rPr/>
              <w:t> </w:t>
            </w:r>
          </w:p>
        </w:tc>
        <w:tc>
          <w:tcPr>
            <w:tcW w:w="232" w:type="dxa"/>
            <w:tcBorders/>
            <w:shd w:fill="auto" w:val="clear"/>
            <w:vAlign w:val="center"/>
          </w:tcPr>
          <w:p>
            <w:pPr>
              <w:pStyle w:val="TableContents"/>
              <w:spacing w:before="0" w:after="0"/>
              <w:ind w:left="0" w:right="0" w:firstLine="30"/>
              <w:rPr/>
            </w:pPr>
            <w:r>
              <w:rPr/>
              <w:t> </w:t>
            </w:r>
          </w:p>
        </w:tc>
        <w:tc>
          <w:tcPr>
            <w:tcW w:w="8542" w:type="dxa"/>
            <w:tcBorders/>
            <w:shd w:fill="auto" w:val="clear"/>
            <w:vAlign w:val="center"/>
          </w:tcPr>
          <w:p>
            <w:pPr>
              <w:pStyle w:val="TableContents"/>
              <w:spacing w:before="0" w:after="0"/>
              <w:ind w:left="0" w:right="0" w:firstLine="30"/>
              <w:rPr/>
            </w:pPr>
            <w:r>
              <w:rPr/>
              <w:t> </w:t>
            </w:r>
          </w:p>
        </w:tc>
      </w:tr>
      <w:tr>
        <w:trPr/>
        <w:tc>
          <w:tcPr>
            <w:tcW w:w="14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101.SCH#</w:t>
            </w:r>
          </w:p>
        </w:tc>
        <w:tc>
          <w:tcPr>
            <w:tcW w:w="232" w:type="dxa"/>
            <w:tcBorders/>
            <w:shd w:fill="auto" w:val="clear"/>
            <w:vAlign w:val="center"/>
          </w:tcPr>
          <w:p>
            <w:pPr>
              <w:pStyle w:val="TableContents"/>
              <w:spacing w:before="0" w:after="0"/>
              <w:ind w:left="0" w:right="0" w:firstLine="30"/>
              <w:rPr/>
            </w:pPr>
            <w:r>
              <w:rPr/>
              <w:t> </w:t>
            </w:r>
          </w:p>
        </w:tc>
        <w:tc>
          <w:tcPr>
            <w:tcW w:w="85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Schema Document</w:t>
            </w:r>
          </w:p>
        </w:tc>
      </w:tr>
      <w:tr>
        <w:trPr/>
        <w:tc>
          <w:tcPr>
            <w:tcW w:w="1431" w:type="dxa"/>
            <w:tcBorders/>
            <w:shd w:fill="auto" w:val="clear"/>
            <w:vAlign w:val="center"/>
          </w:tcPr>
          <w:p>
            <w:pPr>
              <w:pStyle w:val="TableContents"/>
              <w:spacing w:before="0" w:after="0"/>
              <w:ind w:left="0" w:right="0" w:firstLine="30"/>
              <w:rPr/>
            </w:pPr>
            <w:r>
              <w:rPr/>
              <w:t> </w:t>
            </w:r>
          </w:p>
        </w:tc>
        <w:tc>
          <w:tcPr>
            <w:tcW w:w="232" w:type="dxa"/>
            <w:tcBorders/>
            <w:shd w:fill="auto" w:val="clear"/>
            <w:vAlign w:val="center"/>
          </w:tcPr>
          <w:p>
            <w:pPr>
              <w:pStyle w:val="TableContents"/>
              <w:spacing w:before="0" w:after="0"/>
              <w:ind w:left="0" w:right="0" w:firstLine="30"/>
              <w:rPr/>
            </w:pPr>
            <w:r>
              <w:rPr/>
              <w:t> </w:t>
            </w:r>
          </w:p>
        </w:tc>
        <w:tc>
          <w:tcPr>
            <w:tcW w:w="8542" w:type="dxa"/>
            <w:tcBorders/>
            <w:shd w:fill="auto" w:val="clear"/>
            <w:vAlign w:val="center"/>
          </w:tcPr>
          <w:p>
            <w:pPr>
              <w:pStyle w:val="TableContents"/>
              <w:spacing w:before="0" w:after="0"/>
              <w:ind w:left="0" w:right="0" w:firstLine="30"/>
              <w:rPr/>
            </w:pPr>
            <w:r>
              <w:rPr/>
              <w:t> </w:t>
            </w:r>
          </w:p>
        </w:tc>
      </w:tr>
      <w:tr>
        <w:trPr/>
        <w:tc>
          <w:tcPr>
            <w:tcW w:w="14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101.CAL#</w:t>
            </w:r>
          </w:p>
        </w:tc>
        <w:tc>
          <w:tcPr>
            <w:tcW w:w="232" w:type="dxa"/>
            <w:tcBorders/>
            <w:shd w:fill="auto" w:val="clear"/>
            <w:vAlign w:val="center"/>
          </w:tcPr>
          <w:p>
            <w:pPr>
              <w:pStyle w:val="TableContents"/>
              <w:spacing w:before="0" w:after="0"/>
              <w:ind w:left="0" w:right="0" w:firstLine="30"/>
              <w:rPr/>
            </w:pPr>
            <w:r>
              <w:rPr/>
              <w:t> </w:t>
            </w:r>
          </w:p>
        </w:tc>
        <w:tc>
          <w:tcPr>
            <w:tcW w:w="85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Calculation Linkbase Document</w:t>
            </w:r>
          </w:p>
        </w:tc>
      </w:tr>
      <w:tr>
        <w:trPr/>
        <w:tc>
          <w:tcPr>
            <w:tcW w:w="1431" w:type="dxa"/>
            <w:tcBorders/>
            <w:shd w:fill="auto" w:val="clear"/>
            <w:vAlign w:val="center"/>
          </w:tcPr>
          <w:p>
            <w:pPr>
              <w:pStyle w:val="TableContents"/>
              <w:spacing w:before="0" w:after="0"/>
              <w:ind w:left="0" w:right="0" w:firstLine="30"/>
              <w:rPr/>
            </w:pPr>
            <w:r>
              <w:rPr/>
              <w:t> </w:t>
            </w:r>
          </w:p>
        </w:tc>
        <w:tc>
          <w:tcPr>
            <w:tcW w:w="232" w:type="dxa"/>
            <w:tcBorders/>
            <w:shd w:fill="auto" w:val="clear"/>
            <w:vAlign w:val="center"/>
          </w:tcPr>
          <w:p>
            <w:pPr>
              <w:pStyle w:val="TableContents"/>
              <w:spacing w:before="0" w:after="0"/>
              <w:ind w:left="0" w:right="0" w:firstLine="30"/>
              <w:rPr/>
            </w:pPr>
            <w:r>
              <w:rPr/>
              <w:t> </w:t>
            </w:r>
          </w:p>
        </w:tc>
        <w:tc>
          <w:tcPr>
            <w:tcW w:w="8542" w:type="dxa"/>
            <w:tcBorders/>
            <w:shd w:fill="auto" w:val="clear"/>
            <w:vAlign w:val="center"/>
          </w:tcPr>
          <w:p>
            <w:pPr>
              <w:pStyle w:val="TableContents"/>
              <w:spacing w:before="0" w:after="0"/>
              <w:ind w:left="0" w:right="0" w:firstLine="30"/>
              <w:rPr/>
            </w:pPr>
            <w:r>
              <w:rPr/>
              <w:t> </w:t>
            </w:r>
          </w:p>
        </w:tc>
      </w:tr>
      <w:tr>
        <w:trPr/>
        <w:tc>
          <w:tcPr>
            <w:tcW w:w="14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101.DEF#</w:t>
            </w:r>
          </w:p>
        </w:tc>
        <w:tc>
          <w:tcPr>
            <w:tcW w:w="232" w:type="dxa"/>
            <w:tcBorders/>
            <w:shd w:fill="auto" w:val="clear"/>
            <w:vAlign w:val="center"/>
          </w:tcPr>
          <w:p>
            <w:pPr>
              <w:pStyle w:val="TableContents"/>
              <w:spacing w:before="0" w:after="0"/>
              <w:ind w:left="0" w:right="0" w:firstLine="30"/>
              <w:rPr/>
            </w:pPr>
            <w:r>
              <w:rPr/>
              <w:t> </w:t>
            </w:r>
          </w:p>
        </w:tc>
        <w:tc>
          <w:tcPr>
            <w:tcW w:w="85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Definition Linkbase Document</w:t>
            </w:r>
          </w:p>
        </w:tc>
      </w:tr>
      <w:tr>
        <w:trPr/>
        <w:tc>
          <w:tcPr>
            <w:tcW w:w="1431" w:type="dxa"/>
            <w:tcBorders/>
            <w:shd w:fill="auto" w:val="clear"/>
            <w:vAlign w:val="center"/>
          </w:tcPr>
          <w:p>
            <w:pPr>
              <w:pStyle w:val="TableContents"/>
              <w:spacing w:before="0" w:after="0"/>
              <w:ind w:left="0" w:right="0" w:firstLine="30"/>
              <w:rPr/>
            </w:pPr>
            <w:r>
              <w:rPr/>
              <w:t> </w:t>
            </w:r>
          </w:p>
        </w:tc>
        <w:tc>
          <w:tcPr>
            <w:tcW w:w="232" w:type="dxa"/>
            <w:tcBorders/>
            <w:shd w:fill="auto" w:val="clear"/>
            <w:vAlign w:val="center"/>
          </w:tcPr>
          <w:p>
            <w:pPr>
              <w:pStyle w:val="TableContents"/>
              <w:spacing w:before="0" w:after="0"/>
              <w:ind w:left="0" w:right="0" w:firstLine="30"/>
              <w:rPr/>
            </w:pPr>
            <w:r>
              <w:rPr/>
              <w:t> </w:t>
            </w:r>
          </w:p>
        </w:tc>
        <w:tc>
          <w:tcPr>
            <w:tcW w:w="8542" w:type="dxa"/>
            <w:tcBorders/>
            <w:shd w:fill="auto" w:val="clear"/>
            <w:vAlign w:val="center"/>
          </w:tcPr>
          <w:p>
            <w:pPr>
              <w:pStyle w:val="TableContents"/>
              <w:spacing w:before="0" w:after="0"/>
              <w:ind w:left="0" w:right="0" w:firstLine="30"/>
              <w:rPr/>
            </w:pPr>
            <w:r>
              <w:rPr/>
              <w:t> </w:t>
            </w:r>
          </w:p>
        </w:tc>
      </w:tr>
      <w:tr>
        <w:trPr/>
        <w:tc>
          <w:tcPr>
            <w:tcW w:w="14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101.LAB#</w:t>
            </w:r>
          </w:p>
        </w:tc>
        <w:tc>
          <w:tcPr>
            <w:tcW w:w="232" w:type="dxa"/>
            <w:tcBorders/>
            <w:shd w:fill="auto" w:val="clear"/>
            <w:vAlign w:val="center"/>
          </w:tcPr>
          <w:p>
            <w:pPr>
              <w:pStyle w:val="TableContents"/>
              <w:spacing w:before="0" w:after="0"/>
              <w:ind w:left="0" w:right="0" w:firstLine="30"/>
              <w:rPr/>
            </w:pPr>
            <w:r>
              <w:rPr/>
              <w:t> </w:t>
            </w:r>
          </w:p>
        </w:tc>
        <w:tc>
          <w:tcPr>
            <w:tcW w:w="85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Label Linkbase Document</w:t>
            </w:r>
          </w:p>
        </w:tc>
      </w:tr>
      <w:tr>
        <w:trPr/>
        <w:tc>
          <w:tcPr>
            <w:tcW w:w="1431" w:type="dxa"/>
            <w:tcBorders/>
            <w:shd w:fill="auto" w:val="clear"/>
            <w:vAlign w:val="center"/>
          </w:tcPr>
          <w:p>
            <w:pPr>
              <w:pStyle w:val="TableContents"/>
              <w:spacing w:before="0" w:after="0"/>
              <w:ind w:left="0" w:right="0" w:firstLine="30"/>
              <w:rPr/>
            </w:pPr>
            <w:r>
              <w:rPr/>
              <w:t> </w:t>
            </w:r>
          </w:p>
        </w:tc>
        <w:tc>
          <w:tcPr>
            <w:tcW w:w="232" w:type="dxa"/>
            <w:tcBorders/>
            <w:shd w:fill="auto" w:val="clear"/>
            <w:vAlign w:val="center"/>
          </w:tcPr>
          <w:p>
            <w:pPr>
              <w:pStyle w:val="TableContents"/>
              <w:spacing w:before="0" w:after="0"/>
              <w:ind w:left="0" w:right="0" w:firstLine="30"/>
              <w:rPr/>
            </w:pPr>
            <w:r>
              <w:rPr/>
              <w:t> </w:t>
            </w:r>
          </w:p>
        </w:tc>
        <w:tc>
          <w:tcPr>
            <w:tcW w:w="8542" w:type="dxa"/>
            <w:tcBorders/>
            <w:shd w:fill="auto" w:val="clear"/>
            <w:vAlign w:val="center"/>
          </w:tcPr>
          <w:p>
            <w:pPr>
              <w:pStyle w:val="TableContents"/>
              <w:spacing w:before="0" w:after="0"/>
              <w:ind w:left="0" w:right="0" w:firstLine="30"/>
              <w:rPr/>
            </w:pPr>
            <w:r>
              <w:rPr/>
              <w:t> </w:t>
            </w:r>
          </w:p>
        </w:tc>
      </w:tr>
      <w:tr>
        <w:trPr/>
        <w:tc>
          <w:tcPr>
            <w:tcW w:w="14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101.PRE#</w:t>
            </w:r>
          </w:p>
        </w:tc>
        <w:tc>
          <w:tcPr>
            <w:tcW w:w="232" w:type="dxa"/>
            <w:tcBorders/>
            <w:shd w:fill="auto" w:val="clear"/>
            <w:vAlign w:val="center"/>
          </w:tcPr>
          <w:p>
            <w:pPr>
              <w:pStyle w:val="TableContents"/>
              <w:spacing w:before="0" w:after="0"/>
              <w:ind w:left="0" w:right="0" w:firstLine="30"/>
              <w:rPr/>
            </w:pPr>
            <w:r>
              <w:rPr/>
              <w:t> </w:t>
            </w:r>
          </w:p>
        </w:tc>
        <w:tc>
          <w:tcPr>
            <w:tcW w:w="8542" w:type="dxa"/>
            <w:tcBorders/>
            <w:shd w:fill="auto" w:val="clear"/>
            <w:vAlign w:val="center"/>
          </w:tcPr>
          <w:p>
            <w:pPr>
              <w:pStyle w:val="TableContents"/>
              <w:spacing w:before="0" w:after="0"/>
              <w:jc w:val="left"/>
              <w:rPr>
                <w:rFonts w:ascii="inherit" w:hAnsi="inherit"/>
                <w:sz w:val="17"/>
              </w:rPr>
            </w:pPr>
            <w:r>
              <w:rPr>
                <w:rFonts w:ascii="inherit" w:hAnsi="inherit"/>
                <w:sz w:val="17"/>
              </w:rPr>
              <w:t>XBRL Taxonomy Extension Presentation Linkbase Document</w:t>
            </w:r>
          </w:p>
        </w:tc>
      </w:tr>
    </w:tbl>
    <w:p>
      <w:pPr>
        <w:pStyle w:val="TextBody"/>
        <w:spacing w:lineRule="auto" w:line="288" w:before="0" w:after="0"/>
        <w:jc w:val="left"/>
        <w:rPr>
          <w:rFonts w:ascii="inherit" w:hAnsi="inherit"/>
          <w:sz w:val="17"/>
        </w:rPr>
      </w:pPr>
      <w:r>
        <w:rPr>
          <w:rFonts w:ascii="inherit" w:hAnsi="inherit"/>
          <w:sz w:val="17"/>
        </w:rPr>
        <w:t>_____________</w:t>
      </w:r>
    </w:p>
    <w:tbl>
      <w:tblPr>
        <w:tblW w:w="1405" w:type="dxa"/>
        <w:jc w:val="left"/>
        <w:tblInd w:w="0" w:type="dxa"/>
        <w:tblCellMar>
          <w:top w:w="0" w:type="dxa"/>
          <w:left w:w="0" w:type="dxa"/>
          <w:bottom w:w="0" w:type="dxa"/>
          <w:right w:w="0" w:type="dxa"/>
        </w:tblCellMar>
      </w:tblPr>
      <w:tblGrid>
        <w:gridCol w:w="155"/>
        <w:gridCol w:w="1250"/>
      </w:tblGrid>
      <w:tr>
        <w:trPr/>
        <w:tc>
          <w:tcPr>
            <w:tcW w:w="155"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r>
      <w:tr>
        <w:trPr/>
        <w:tc>
          <w:tcPr>
            <w:tcW w:w="155" w:type="dxa"/>
            <w:tcBorders/>
            <w:shd w:fill="auto" w:val="clear"/>
            <w:vAlign w:val="center"/>
          </w:tcPr>
          <w:p>
            <w:pPr>
              <w:pStyle w:val="TableContents"/>
              <w:spacing w:lineRule="auto" w:line="288" w:before="0" w:after="0"/>
              <w:ind w:left="0" w:right="0" w:hanging="0"/>
              <w:rPr/>
            </w:pPr>
            <w:r>
              <w:rPr/>
              <w:t>†</w:t>
            </w:r>
          </w:p>
        </w:tc>
        <w:tc>
          <w:tcPr>
            <w:tcW w:w="1250" w:type="dxa"/>
            <w:tcBorders/>
            <w:shd w:fill="auto" w:val="clear"/>
            <w:vAlign w:val="center"/>
          </w:tcPr>
          <w:p>
            <w:pPr>
              <w:pStyle w:val="TableContents"/>
              <w:spacing w:lineRule="auto" w:line="288" w:before="0" w:after="0"/>
              <w:rPr>
                <w:rFonts w:ascii="inherit" w:hAnsi="inherit"/>
                <w:sz w:val="17"/>
              </w:rPr>
            </w:pPr>
            <w:r>
              <w:rPr>
                <w:rFonts w:ascii="inherit" w:hAnsi="inherit"/>
                <w:sz w:val="17"/>
              </w:rPr>
              <w:t>Filed herewith.</w:t>
            </w:r>
          </w:p>
        </w:tc>
      </w:tr>
    </w:tbl>
    <w:tbl>
      <w:tblPr>
        <w:tblW w:w="1855" w:type="dxa"/>
        <w:jc w:val="left"/>
        <w:tblInd w:w="0" w:type="dxa"/>
        <w:tblCellMar>
          <w:top w:w="0" w:type="dxa"/>
          <w:left w:w="0" w:type="dxa"/>
          <w:bottom w:w="0" w:type="dxa"/>
          <w:right w:w="0" w:type="dxa"/>
        </w:tblCellMar>
      </w:tblPr>
      <w:tblGrid>
        <w:gridCol w:w="170"/>
        <w:gridCol w:w="1685"/>
      </w:tblGrid>
      <w:tr>
        <w:trPr/>
        <w:tc>
          <w:tcPr>
            <w:tcW w:w="170" w:type="dxa"/>
            <w:tcBorders/>
            <w:shd w:fill="auto" w:val="clear"/>
            <w:vAlign w:val="center"/>
          </w:tcPr>
          <w:p>
            <w:pPr>
              <w:pStyle w:val="TableContents"/>
              <w:spacing w:before="0" w:after="283"/>
              <w:rPr>
                <w:sz w:val="4"/>
                <w:szCs w:val="4"/>
              </w:rPr>
            </w:pPr>
            <w:r>
              <w:rPr>
                <w:sz w:val="4"/>
                <w:szCs w:val="4"/>
              </w:rPr>
            </w:r>
          </w:p>
        </w:tc>
        <w:tc>
          <w:tcPr>
            <w:tcW w:w="1685" w:type="dxa"/>
            <w:tcBorders/>
            <w:shd w:fill="auto" w:val="clear"/>
            <w:vAlign w:val="center"/>
          </w:tcPr>
          <w:p>
            <w:pPr>
              <w:pStyle w:val="TableContents"/>
              <w:spacing w:before="0" w:after="283"/>
              <w:rPr>
                <w:sz w:val="4"/>
                <w:szCs w:val="4"/>
              </w:rPr>
            </w:pPr>
            <w:r>
              <w:rPr>
                <w:sz w:val="4"/>
                <w:szCs w:val="4"/>
              </w:rPr>
            </w:r>
          </w:p>
        </w:tc>
      </w:tr>
      <w:tr>
        <w:trPr/>
        <w:tc>
          <w:tcPr>
            <w:tcW w:w="17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w:t>
            </w:r>
          </w:p>
        </w:tc>
        <w:tc>
          <w:tcPr>
            <w:tcW w:w="168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Furnished herewith.</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33</w:t>
      </w:r>
      <w:r>
        <w:br w:type="page"/>
      </w:r>
    </w:p>
    <w:p>
      <w:pPr>
        <w:pStyle w:val="TextBody"/>
        <w:spacing w:lineRule="auto" w:line="288" w:before="0" w:after="0"/>
        <w:rPr>
          <w:rFonts w:ascii="inherit" w:hAnsi="inherit"/>
          <w:sz w:val="17"/>
        </w:rPr>
      </w:pPr>
      <w:r>
        <w:rPr>
          <w:rFonts w:ascii="inherit" w:hAnsi="inherit"/>
          <w:sz w:val="17"/>
        </w:rPr>
      </w:r>
      <w:bookmarkStart w:id="55" w:name="sB7E067DA3F48C0ED524066ED00F54B94"/>
      <w:bookmarkStart w:id="56" w:name="exhibit311_20140930.htm"/>
      <w:bookmarkStart w:id="57" w:name="ksexhibit311_20140930"/>
      <w:bookmarkStart w:id="58" w:name="sB7E067DA3F48C0ED524066ED00F54B94"/>
      <w:bookmarkStart w:id="59" w:name="exhibit311_20140930.htm"/>
      <w:bookmarkStart w:id="60" w:name="ksexhibit311_20140930"/>
      <w:bookmarkEnd w:id="58"/>
      <w:bookmarkEnd w:id="59"/>
      <w:bookmarkEnd w:id="60"/>
    </w:p>
    <w:p>
      <w:pPr>
        <w:pStyle w:val="TextBody"/>
        <w:spacing w:before="0" w:after="0"/>
        <w:rPr/>
      </w:pPr>
      <w:r>
        <w:rPr/>
      </w:r>
    </w:p>
    <w:p>
      <w:pPr>
        <w:pStyle w:val="TextBody"/>
        <w:spacing w:lineRule="auto" w:line="288" w:before="0" w:after="0"/>
        <w:jc w:val="right"/>
        <w:rPr>
          <w:rFonts w:ascii="inherit" w:hAnsi="inherit"/>
          <w:b/>
          <w:i/>
          <w:sz w:val="17"/>
        </w:rPr>
      </w:pPr>
      <w:r>
        <w:rPr>
          <w:rFonts w:ascii="inherit" w:hAnsi="inherit"/>
          <w:b/>
          <w:i/>
          <w:sz w:val="17"/>
        </w:rPr>
        <w:t>Exhibit 31.1</w:t>
      </w:r>
    </w:p>
    <w:p>
      <w:pPr>
        <w:pStyle w:val="TextBody"/>
        <w:spacing w:lineRule="auto" w:line="288" w:before="0" w:after="0"/>
        <w:jc w:val="center"/>
        <w:rPr>
          <w:rFonts w:ascii="inherit" w:hAnsi="inherit"/>
          <w:b/>
          <w:sz w:val="17"/>
        </w:rPr>
      </w:pPr>
      <w:r>
        <w:rPr>
          <w:rFonts w:ascii="inherit" w:hAnsi="inherit"/>
          <w:b/>
          <w:sz w:val="17"/>
        </w:rPr>
        <w:t>CERTIFICATIONS</w:t>
      </w:r>
    </w:p>
    <w:p>
      <w:pPr>
        <w:pStyle w:val="TextBody"/>
        <w:spacing w:lineRule="auto" w:line="288" w:before="0" w:after="0"/>
        <w:rPr>
          <w:rFonts w:ascii="inherit" w:hAnsi="inherit"/>
          <w:sz w:val="17"/>
        </w:rPr>
      </w:pPr>
      <w:r>
        <w:rPr>
          <w:rFonts w:ascii="inherit" w:hAnsi="inherit"/>
          <w:sz w:val="17"/>
        </w:rPr>
        <w:t>I, Albert Chao, certify that:</w:t>
      </w:r>
    </w:p>
    <w:tbl>
      <w:tblPr>
        <w:tblW w:w="7806" w:type="dxa"/>
        <w:jc w:val="left"/>
        <w:tblInd w:w="0" w:type="dxa"/>
        <w:tblCellMar>
          <w:top w:w="0" w:type="dxa"/>
          <w:left w:w="0" w:type="dxa"/>
          <w:bottom w:w="0" w:type="dxa"/>
          <w:right w:w="0" w:type="dxa"/>
        </w:tblCellMar>
      </w:tblPr>
      <w:tblGrid>
        <w:gridCol w:w="468"/>
        <w:gridCol w:w="7338"/>
      </w:tblGrid>
      <w:tr>
        <w:trPr/>
        <w:tc>
          <w:tcPr>
            <w:tcW w:w="7806" w:type="dxa"/>
            <w:gridSpan w:val="2"/>
            <w:tcBorders/>
            <w:shd w:fill="auto" w:val="clear"/>
            <w:vAlign w:val="center"/>
          </w:tcPr>
          <w:p>
            <w:pPr>
              <w:pStyle w:val="TableContents"/>
              <w:spacing w:before="0" w:after="283"/>
              <w:rPr>
                <w:sz w:val="4"/>
                <w:szCs w:val="4"/>
              </w:rPr>
            </w:pPr>
            <w:r>
              <w:rPr>
                <w:sz w:val="4"/>
                <w:szCs w:val="4"/>
              </w:rPr>
            </w:r>
          </w:p>
        </w:tc>
      </w:tr>
      <w:tr>
        <w:trPr/>
        <w:tc>
          <w:tcPr>
            <w:tcW w:w="468" w:type="dxa"/>
            <w:tcBorders/>
            <w:shd w:fill="auto" w:val="clear"/>
            <w:vAlign w:val="center"/>
          </w:tcPr>
          <w:p>
            <w:pPr>
              <w:pStyle w:val="TableContents"/>
              <w:spacing w:before="0" w:after="283"/>
              <w:rPr>
                <w:sz w:val="4"/>
                <w:szCs w:val="4"/>
              </w:rPr>
            </w:pPr>
            <w:r>
              <w:rPr>
                <w:sz w:val="4"/>
                <w:szCs w:val="4"/>
              </w:rPr>
            </w:r>
          </w:p>
        </w:tc>
        <w:tc>
          <w:tcPr>
            <w:tcW w:w="733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w:t>
            </w:r>
          </w:p>
        </w:tc>
        <w:tc>
          <w:tcPr>
            <w:tcW w:w="7338" w:type="dxa"/>
            <w:tcBorders/>
            <w:shd w:fill="auto" w:val="clear"/>
            <w:vAlign w:val="center"/>
          </w:tcPr>
          <w:p>
            <w:pPr>
              <w:pStyle w:val="TableContents"/>
              <w:spacing w:before="0" w:after="0"/>
              <w:jc w:val="left"/>
              <w:rPr>
                <w:rFonts w:ascii="inherit" w:hAnsi="inherit"/>
                <w:sz w:val="17"/>
              </w:rPr>
            </w:pPr>
            <w:r>
              <w:rPr>
                <w:rFonts w:ascii="inherit" w:hAnsi="inherit"/>
                <w:sz w:val="17"/>
              </w:rPr>
              <w:t>I have reviewed this Quarterly Report on Form 10-Q of Westlake Chemical Partners LP;</w:t>
            </w:r>
          </w:p>
        </w:tc>
      </w:tr>
    </w:tbl>
    <w:tbl>
      <w:tblPr>
        <w:tblW w:w="10205" w:type="dxa"/>
        <w:jc w:val="left"/>
        <w:tblInd w:w="0" w:type="dxa"/>
        <w:tblCellMar>
          <w:top w:w="0" w:type="dxa"/>
          <w:left w:w="0" w:type="dxa"/>
          <w:bottom w:w="0" w:type="dxa"/>
          <w:right w:w="0" w:type="dxa"/>
        </w:tblCellMar>
      </w:tblPr>
      <w:tblGrid>
        <w:gridCol w:w="667"/>
        <w:gridCol w:w="9538"/>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667" w:type="dxa"/>
            <w:tcBorders/>
            <w:shd w:fill="auto" w:val="clear"/>
            <w:vAlign w:val="center"/>
          </w:tcPr>
          <w:p>
            <w:pPr>
              <w:pStyle w:val="TableContents"/>
              <w:spacing w:before="0" w:after="283"/>
              <w:rPr>
                <w:sz w:val="4"/>
                <w:szCs w:val="4"/>
              </w:rPr>
            </w:pPr>
            <w:r>
              <w:rPr>
                <w:sz w:val="4"/>
                <w:szCs w:val="4"/>
              </w:rPr>
            </w:r>
          </w:p>
        </w:tc>
        <w:tc>
          <w:tcPr>
            <w:tcW w:w="953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w:t>
            </w:r>
          </w:p>
        </w:tc>
        <w:tc>
          <w:tcPr>
            <w:tcW w:w="9538" w:type="dxa"/>
            <w:tcBorders/>
            <w:shd w:fill="auto" w:val="clear"/>
            <w:vAlign w:val="center"/>
          </w:tcPr>
          <w:p>
            <w:pPr>
              <w:pStyle w:val="TableContents"/>
              <w:spacing w:before="0" w:after="0"/>
              <w:jc w:val="left"/>
              <w:rPr>
                <w:rFonts w:ascii="inherit" w:hAnsi="inherit"/>
                <w:sz w:val="17"/>
              </w:rPr>
            </w:pPr>
            <w:r>
              <w:rPr>
                <w:rFonts w:ascii="inherit" w:hAnsi="inherit"/>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671"/>
        <w:gridCol w:w="9534"/>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671" w:type="dxa"/>
            <w:tcBorders/>
            <w:shd w:fill="auto" w:val="clear"/>
            <w:vAlign w:val="center"/>
          </w:tcPr>
          <w:p>
            <w:pPr>
              <w:pStyle w:val="TableContents"/>
              <w:spacing w:before="0" w:after="283"/>
              <w:rPr>
                <w:sz w:val="4"/>
                <w:szCs w:val="4"/>
              </w:rPr>
            </w:pPr>
            <w:r>
              <w:rPr>
                <w:sz w:val="4"/>
                <w:szCs w:val="4"/>
              </w:rPr>
            </w:r>
          </w:p>
        </w:tc>
        <w:tc>
          <w:tcPr>
            <w:tcW w:w="953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3.</w:t>
            </w:r>
          </w:p>
        </w:tc>
        <w:tc>
          <w:tcPr>
            <w:tcW w:w="9534" w:type="dxa"/>
            <w:tcBorders/>
            <w:shd w:fill="auto" w:val="clear"/>
            <w:vAlign w:val="center"/>
          </w:tcPr>
          <w:p>
            <w:pPr>
              <w:pStyle w:val="TableContents"/>
              <w:spacing w:before="0" w:after="0"/>
              <w:jc w:val="left"/>
              <w:rPr>
                <w:rFonts w:ascii="inherit" w:hAnsi="inherit"/>
                <w:sz w:val="17"/>
              </w:rPr>
            </w:pPr>
            <w:r>
              <w:rPr>
                <w:rFonts w:ascii="inherit" w:hAnsi="inherit"/>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661"/>
        <w:gridCol w:w="9544"/>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661" w:type="dxa"/>
            <w:tcBorders/>
            <w:shd w:fill="auto" w:val="clear"/>
            <w:vAlign w:val="center"/>
          </w:tcPr>
          <w:p>
            <w:pPr>
              <w:pStyle w:val="TableContents"/>
              <w:spacing w:before="0" w:after="283"/>
              <w:rPr>
                <w:sz w:val="4"/>
                <w:szCs w:val="4"/>
              </w:rPr>
            </w:pPr>
            <w:r>
              <w:rPr>
                <w:sz w:val="4"/>
                <w:szCs w:val="4"/>
              </w:rPr>
            </w:r>
          </w:p>
        </w:tc>
        <w:tc>
          <w:tcPr>
            <w:tcW w:w="954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w:t>
            </w:r>
          </w:p>
        </w:tc>
        <w:tc>
          <w:tcPr>
            <w:tcW w:w="9544" w:type="dxa"/>
            <w:tcBorders/>
            <w:shd w:fill="auto" w:val="clear"/>
            <w:vAlign w:val="center"/>
          </w:tcPr>
          <w:p>
            <w:pPr>
              <w:pStyle w:val="TableContents"/>
              <w:spacing w:before="0" w:after="0"/>
              <w:jc w:val="left"/>
              <w:rPr>
                <w:rFonts w:ascii="inherit" w:hAnsi="inherit"/>
                <w:sz w:val="17"/>
              </w:rPr>
            </w:pPr>
            <w:r>
              <w:rPr>
                <w:rFonts w:ascii="inherit" w:hAnsi="inherit"/>
                <w:sz w:val="17"/>
              </w:rPr>
              <w:t>The registrant's other certifying officer and I are responsible for establishing and maintaining disclosure controls and procedures (as defined in Exchange Act Rules 13a-15(e) and 15d-15(e)) for the registrant and have:</w:t>
            </w:r>
          </w:p>
        </w:tc>
      </w:tr>
    </w:tbl>
    <w:tbl>
      <w:tblPr>
        <w:tblW w:w="10205" w:type="dxa"/>
        <w:jc w:val="left"/>
        <w:tblInd w:w="0" w:type="dxa"/>
        <w:tblCellMar>
          <w:top w:w="0" w:type="dxa"/>
          <w:left w:w="0" w:type="dxa"/>
          <w:bottom w:w="0" w:type="dxa"/>
          <w:right w:w="0" w:type="dxa"/>
        </w:tblCellMar>
      </w:tblPr>
      <w:tblGrid>
        <w:gridCol w:w="629"/>
        <w:gridCol w:w="665"/>
        <w:gridCol w:w="8911"/>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629"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891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29" w:type="dxa"/>
            <w:tcBorders/>
            <w:shd w:fill="auto" w:val="clear"/>
            <w:vAlign w:val="center"/>
          </w:tcPr>
          <w:p>
            <w:pPr>
              <w:pStyle w:val="TableContents"/>
              <w:spacing w:before="0" w:after="0"/>
              <w:ind w:left="0" w:right="0" w:firstLine="30"/>
              <w:jc w:val="left"/>
              <w:rPr/>
            </w:pPr>
            <w:r>
              <w:rPr/>
              <w:t> </w:t>
            </w:r>
          </w:p>
        </w:tc>
        <w:tc>
          <w:tcPr>
            <w:tcW w:w="6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w:t>
            </w:r>
          </w:p>
        </w:tc>
        <w:tc>
          <w:tcPr>
            <w:tcW w:w="8911" w:type="dxa"/>
            <w:tcBorders/>
            <w:shd w:fill="auto" w:val="clear"/>
            <w:vAlign w:val="center"/>
          </w:tcPr>
          <w:p>
            <w:pPr>
              <w:pStyle w:val="TableContents"/>
              <w:spacing w:before="0" w:after="0"/>
              <w:jc w:val="left"/>
              <w:rPr>
                <w:rFonts w:ascii="inherit" w:hAnsi="inherit"/>
                <w:sz w:val="17"/>
              </w:rPr>
            </w:pPr>
            <w:r>
              <w:rPr>
                <w:rFonts w:ascii="inherit" w:hAnsi="inherit"/>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625"/>
        <w:gridCol w:w="657"/>
        <w:gridCol w:w="8923"/>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625"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892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25" w:type="dxa"/>
            <w:tcBorders/>
            <w:shd w:fill="auto" w:val="clear"/>
            <w:vAlign w:val="center"/>
          </w:tcPr>
          <w:p>
            <w:pPr>
              <w:pStyle w:val="TableContents"/>
              <w:spacing w:before="0" w:after="0"/>
              <w:ind w:left="0" w:right="0" w:firstLine="30"/>
              <w:jc w:val="left"/>
              <w:rPr/>
            </w:pPr>
            <w:r>
              <w:rPr/>
              <w:t> </w:t>
            </w:r>
          </w:p>
        </w:tc>
        <w:tc>
          <w:tcPr>
            <w:tcW w:w="6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w:t>
            </w:r>
          </w:p>
        </w:tc>
        <w:tc>
          <w:tcPr>
            <w:tcW w:w="8923" w:type="dxa"/>
            <w:tcBorders/>
            <w:shd w:fill="auto" w:val="clear"/>
            <w:vAlign w:val="center"/>
          </w:tcPr>
          <w:p>
            <w:pPr>
              <w:pStyle w:val="TableContents"/>
              <w:spacing w:before="0" w:after="0"/>
              <w:jc w:val="left"/>
              <w:rPr>
                <w:rFonts w:ascii="inherit" w:hAnsi="inherit"/>
                <w:sz w:val="17"/>
              </w:rPr>
            </w:pPr>
            <w:r>
              <w:rPr>
                <w:rFonts w:ascii="inherit" w:hAnsi="inherit"/>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634"/>
        <w:gridCol w:w="660"/>
        <w:gridCol w:w="8911"/>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634"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891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34" w:type="dxa"/>
            <w:tcBorders/>
            <w:shd w:fill="auto" w:val="clear"/>
            <w:vAlign w:val="center"/>
          </w:tcPr>
          <w:p>
            <w:pPr>
              <w:pStyle w:val="TableContents"/>
              <w:spacing w:before="0" w:after="0"/>
              <w:ind w:left="0" w:right="0" w:firstLine="30"/>
              <w:jc w:val="left"/>
              <w:rPr/>
            </w:pPr>
            <w:r>
              <w:rPr/>
              <w:t> </w:t>
            </w:r>
          </w:p>
        </w:tc>
        <w:tc>
          <w:tcPr>
            <w:tcW w:w="6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w:t>
            </w:r>
          </w:p>
        </w:tc>
        <w:tc>
          <w:tcPr>
            <w:tcW w:w="8911" w:type="dxa"/>
            <w:tcBorders/>
            <w:shd w:fill="auto" w:val="clear"/>
            <w:vAlign w:val="center"/>
          </w:tcPr>
          <w:p>
            <w:pPr>
              <w:pStyle w:val="TableContents"/>
              <w:spacing w:before="0" w:after="0"/>
              <w:jc w:val="left"/>
              <w:rPr>
                <w:rFonts w:ascii="inherit" w:hAnsi="inherit"/>
                <w:sz w:val="17"/>
              </w:rPr>
            </w:pPr>
            <w:r>
              <w:rPr>
                <w:rFonts w:ascii="inherit" w:hAnsi="inherit"/>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674"/>
        <w:gridCol w:w="9531"/>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674" w:type="dxa"/>
            <w:tcBorders/>
            <w:shd w:fill="auto" w:val="clear"/>
            <w:vAlign w:val="center"/>
          </w:tcPr>
          <w:p>
            <w:pPr>
              <w:pStyle w:val="TableContents"/>
              <w:spacing w:before="0" w:after="283"/>
              <w:rPr>
                <w:sz w:val="4"/>
                <w:szCs w:val="4"/>
              </w:rPr>
            </w:pPr>
            <w:r>
              <w:rPr>
                <w:sz w:val="4"/>
                <w:szCs w:val="4"/>
              </w:rPr>
            </w:r>
          </w:p>
        </w:tc>
        <w:tc>
          <w:tcPr>
            <w:tcW w:w="953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5.</w:t>
            </w:r>
          </w:p>
        </w:tc>
        <w:tc>
          <w:tcPr>
            <w:tcW w:w="9531" w:type="dxa"/>
            <w:tcBorders/>
            <w:shd w:fill="auto" w:val="clear"/>
            <w:vAlign w:val="center"/>
          </w:tcPr>
          <w:p>
            <w:pPr>
              <w:pStyle w:val="TableContents"/>
              <w:spacing w:before="0" w:after="0"/>
              <w:jc w:val="left"/>
              <w:rPr>
                <w:rFonts w:ascii="inherit" w:hAnsi="inherit"/>
                <w:sz w:val="17"/>
              </w:rPr>
            </w:pPr>
            <w:r>
              <w:rPr>
                <w:rFonts w:ascii="inherit" w:hAnsi="inherit"/>
                <w:sz w:val="17"/>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627"/>
        <w:gridCol w:w="658"/>
        <w:gridCol w:w="8920"/>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627"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892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27" w:type="dxa"/>
            <w:tcBorders/>
            <w:shd w:fill="auto" w:val="clear"/>
            <w:vAlign w:val="center"/>
          </w:tcPr>
          <w:p>
            <w:pPr>
              <w:pStyle w:val="TableContents"/>
              <w:spacing w:before="0" w:after="0"/>
              <w:ind w:left="0" w:right="0" w:firstLine="30"/>
              <w:jc w:val="left"/>
              <w:rPr/>
            </w:pPr>
            <w:r>
              <w:rPr/>
              <w:t> </w:t>
            </w:r>
          </w:p>
        </w:tc>
        <w:tc>
          <w:tcPr>
            <w:tcW w:w="6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w:t>
            </w:r>
          </w:p>
        </w:tc>
        <w:tc>
          <w:tcPr>
            <w:tcW w:w="8920" w:type="dxa"/>
            <w:tcBorders/>
            <w:shd w:fill="auto" w:val="clear"/>
            <w:vAlign w:val="center"/>
          </w:tcPr>
          <w:p>
            <w:pPr>
              <w:pStyle w:val="TableContents"/>
              <w:spacing w:before="0" w:after="0"/>
              <w:jc w:val="left"/>
              <w:rPr>
                <w:rFonts w:ascii="inherit" w:hAnsi="inherit"/>
                <w:sz w:val="17"/>
              </w:rPr>
            </w:pPr>
            <w:r>
              <w:rPr>
                <w:rFonts w:ascii="inherit" w:hAnsi="inherit"/>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620"/>
        <w:gridCol w:w="640"/>
        <w:gridCol w:w="8945"/>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620"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89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20" w:type="dxa"/>
            <w:tcBorders/>
            <w:shd w:fill="auto" w:val="clear"/>
            <w:vAlign w:val="center"/>
          </w:tcPr>
          <w:p>
            <w:pPr>
              <w:pStyle w:val="TableContents"/>
              <w:spacing w:before="0" w:after="0"/>
              <w:ind w:left="0" w:right="0" w:firstLine="30"/>
              <w:jc w:val="left"/>
              <w:rPr/>
            </w:pPr>
            <w:r>
              <w:rPr/>
              <w:t> </w:t>
            </w:r>
          </w:p>
        </w:tc>
        <w:tc>
          <w:tcPr>
            <w:tcW w:w="6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w:t>
            </w:r>
          </w:p>
        </w:tc>
        <w:tc>
          <w:tcPr>
            <w:tcW w:w="8945" w:type="dxa"/>
            <w:tcBorders/>
            <w:shd w:fill="auto" w:val="clear"/>
            <w:vAlign w:val="center"/>
          </w:tcPr>
          <w:p>
            <w:pPr>
              <w:pStyle w:val="TableContents"/>
              <w:spacing w:before="0" w:after="0"/>
              <w:jc w:val="left"/>
              <w:rPr>
                <w:rFonts w:ascii="inherit" w:hAnsi="inherit"/>
                <w:sz w:val="17"/>
              </w:rPr>
            </w:pPr>
            <w:r>
              <w:rPr>
                <w:rFonts w:ascii="inherit" w:hAnsi="inherit"/>
                <w:sz w:val="17"/>
              </w:rPr>
              <w:t>any fraud, whether or not material, that involves management or other employees who have a significant role in the registrant's internal control over financial reporting.</w:t>
            </w:r>
          </w:p>
        </w:tc>
      </w:tr>
    </w:tbl>
    <w:p>
      <w:pPr>
        <w:pStyle w:val="TextBody"/>
        <w:spacing w:lineRule="auto" w:line="288" w:before="0" w:after="0"/>
        <w:rPr/>
      </w:pPr>
      <w:r>
        <w:rPr/>
        <w:t> </w:t>
      </w:r>
    </w:p>
    <w:tbl>
      <w:tblPr>
        <w:tblW w:w="9470" w:type="dxa"/>
        <w:jc w:val="left"/>
        <w:tblInd w:w="0" w:type="dxa"/>
        <w:tblCellMar>
          <w:top w:w="0" w:type="dxa"/>
          <w:left w:w="0" w:type="dxa"/>
          <w:bottom w:w="0" w:type="dxa"/>
          <w:right w:w="0" w:type="dxa"/>
        </w:tblCellMar>
      </w:tblPr>
      <w:tblGrid>
        <w:gridCol w:w="568"/>
        <w:gridCol w:w="2557"/>
        <w:gridCol w:w="189"/>
        <w:gridCol w:w="378"/>
        <w:gridCol w:w="1042"/>
        <w:gridCol w:w="1042"/>
        <w:gridCol w:w="189"/>
        <w:gridCol w:w="3505"/>
      </w:tblGrid>
      <w:tr>
        <w:trPr/>
        <w:tc>
          <w:tcPr>
            <w:tcW w:w="9470" w:type="dxa"/>
            <w:gridSpan w:val="8"/>
            <w:tcBorders/>
            <w:shd w:fill="auto" w:val="clear"/>
            <w:vAlign w:val="center"/>
          </w:tcPr>
          <w:p>
            <w:pPr>
              <w:pStyle w:val="TableContents"/>
              <w:spacing w:before="0" w:after="283"/>
              <w:rPr>
                <w:sz w:val="4"/>
                <w:szCs w:val="4"/>
              </w:rPr>
            </w:pPr>
            <w:r>
              <w:rPr>
                <w:sz w:val="4"/>
                <w:szCs w:val="4"/>
              </w:rPr>
            </w:r>
          </w:p>
        </w:tc>
      </w:tr>
      <w:tr>
        <w:trPr/>
        <w:tc>
          <w:tcPr>
            <w:tcW w:w="568" w:type="dxa"/>
            <w:tcBorders/>
            <w:shd w:fill="auto" w:val="clear"/>
            <w:vAlign w:val="center"/>
          </w:tcPr>
          <w:p>
            <w:pPr>
              <w:pStyle w:val="TableContents"/>
              <w:spacing w:before="0" w:after="283"/>
              <w:rPr>
                <w:sz w:val="4"/>
                <w:szCs w:val="4"/>
              </w:rPr>
            </w:pPr>
            <w:r>
              <w:rPr>
                <w:sz w:val="4"/>
                <w:szCs w:val="4"/>
              </w:rPr>
            </w:r>
          </w:p>
        </w:tc>
        <w:tc>
          <w:tcPr>
            <w:tcW w:w="2557"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35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Date: </w:t>
            </w:r>
          </w:p>
        </w:tc>
        <w:tc>
          <w:tcPr>
            <w:tcW w:w="25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November 7, 2014</w:t>
            </w:r>
          </w:p>
        </w:tc>
        <w:tc>
          <w:tcPr>
            <w:tcW w:w="189" w:type="dxa"/>
            <w:tcBorders/>
            <w:shd w:fill="auto" w:val="clear"/>
            <w:vAlign w:val="center"/>
          </w:tcPr>
          <w:p>
            <w:pPr>
              <w:pStyle w:val="TableContents"/>
              <w:spacing w:before="0" w:after="0"/>
              <w:ind w:left="0" w:right="0" w:firstLine="30"/>
              <w:jc w:val="left"/>
              <w:rPr/>
            </w:pPr>
            <w:r>
              <w:rPr/>
              <w:t> </w:t>
            </w:r>
          </w:p>
        </w:tc>
        <w:tc>
          <w:tcPr>
            <w:tcW w:w="378" w:type="dxa"/>
            <w:tcBorders/>
            <w:shd w:fill="auto" w:val="clear"/>
            <w:vAlign w:val="center"/>
          </w:tcPr>
          <w:p>
            <w:pPr>
              <w:pStyle w:val="TableContents"/>
              <w:spacing w:before="0" w:after="0"/>
              <w:ind w:left="0" w:right="0" w:firstLine="30"/>
              <w:rPr/>
            </w:pPr>
            <w:r>
              <w:rPr/>
              <w:t> </w:t>
            </w:r>
          </w:p>
        </w:tc>
        <w:tc>
          <w:tcPr>
            <w:tcW w:w="1042" w:type="dxa"/>
            <w:tcBorders/>
            <w:shd w:fill="auto" w:val="clear"/>
            <w:vAlign w:val="center"/>
          </w:tcPr>
          <w:p>
            <w:pPr>
              <w:pStyle w:val="TableContents"/>
              <w:spacing w:before="0" w:after="0"/>
              <w:ind w:left="0" w:right="0" w:firstLine="30"/>
              <w:jc w:val="left"/>
              <w:rPr/>
            </w:pPr>
            <w:r>
              <w:rPr/>
              <w:t> </w:t>
            </w:r>
          </w:p>
        </w:tc>
        <w:tc>
          <w:tcPr>
            <w:tcW w:w="1042" w:type="dxa"/>
            <w:tcBorders/>
            <w:shd w:fill="auto" w:val="clear"/>
            <w:vAlign w:val="center"/>
          </w:tcPr>
          <w:p>
            <w:pPr>
              <w:pStyle w:val="TableContents"/>
              <w:spacing w:before="0" w:after="0"/>
              <w:ind w:left="0" w:right="0" w:firstLine="30"/>
              <w:rPr/>
            </w:pPr>
            <w:r>
              <w:rPr/>
              <w:t> </w:t>
            </w:r>
          </w:p>
        </w:tc>
        <w:tc>
          <w:tcPr>
            <w:tcW w:w="189" w:type="dxa"/>
            <w:tcBorders>
              <w:bottom w:val="single" w:sz="2" w:space="0" w:color="000000"/>
            </w:tcBorders>
            <w:shd w:fill="auto" w:val="clear"/>
            <w:tcMar>
              <w:bottom w:w="30" w:type="dxa"/>
            </w:tcMar>
            <w:vAlign w:val="center"/>
          </w:tcPr>
          <w:p>
            <w:pPr>
              <w:pStyle w:val="TableContents"/>
              <w:spacing w:before="0" w:after="0"/>
              <w:ind w:left="0" w:right="0" w:firstLine="30"/>
              <w:jc w:val="left"/>
              <w:rPr/>
            </w:pPr>
            <w:r>
              <w:rPr/>
              <w:t> </w:t>
            </w:r>
          </w:p>
        </w:tc>
        <w:tc>
          <w:tcPr>
            <w:tcW w:w="3505" w:type="dxa"/>
            <w:tcBorders>
              <w:bottom w:val="single" w:sz="2" w:space="0" w:color="000000"/>
            </w:tcBorders>
            <w:shd w:fill="auto" w:val="clear"/>
            <w:tcMar>
              <w:bottom w:w="30" w:type="dxa"/>
            </w:tcMar>
            <w:vAlign w:val="center"/>
          </w:tcPr>
          <w:p>
            <w:pPr>
              <w:pStyle w:val="TableContents"/>
              <w:spacing w:before="0" w:after="0"/>
              <w:ind w:left="0" w:right="0" w:firstLine="30"/>
              <w:jc w:val="center"/>
              <w:rPr>
                <w:sz w:val="17"/>
              </w:rPr>
            </w:pPr>
            <w:r>
              <w:rPr>
                <w:rFonts w:ascii="inherit" w:hAnsi="inherit"/>
                <w:sz w:val="17"/>
              </w:rPr>
              <w:t>/</w:t>
            </w:r>
            <w:r>
              <w:rPr>
                <w:rFonts w:ascii="inherit" w:hAnsi="inherit"/>
                <w:sz w:val="13"/>
              </w:rPr>
              <w:t>S</w:t>
            </w:r>
            <w:r>
              <w:rPr>
                <w:rFonts w:ascii="inherit" w:hAnsi="inherit"/>
                <w:sz w:val="17"/>
              </w:rPr>
              <w:t>/    A</w:t>
            </w:r>
            <w:r>
              <w:rPr>
                <w:rFonts w:ascii="inherit" w:hAnsi="inherit"/>
                <w:sz w:val="13"/>
              </w:rPr>
              <w:t>LBERT</w:t>
            </w:r>
            <w:r>
              <w:rPr>
                <w:sz w:val="17"/>
              </w:rPr>
              <w:t> </w:t>
            </w:r>
            <w:r>
              <w:rPr>
                <w:rFonts w:ascii="inherit" w:hAnsi="inherit"/>
                <w:sz w:val="17"/>
              </w:rPr>
              <w:t>C</w:t>
            </w:r>
            <w:r>
              <w:rPr>
                <w:rFonts w:ascii="inherit" w:hAnsi="inherit"/>
                <w:sz w:val="13"/>
              </w:rPr>
              <w:t>HAO        </w:t>
            </w:r>
          </w:p>
        </w:tc>
      </w:tr>
      <w:tr>
        <w:trPr/>
        <w:tc>
          <w:tcPr>
            <w:tcW w:w="568" w:type="dxa"/>
            <w:tcBorders/>
            <w:shd w:fill="auto" w:val="clear"/>
            <w:vAlign w:val="center"/>
          </w:tcPr>
          <w:p>
            <w:pPr>
              <w:pStyle w:val="TableContents"/>
              <w:spacing w:before="0" w:after="0"/>
              <w:ind w:left="0" w:right="0" w:firstLine="30"/>
              <w:rPr/>
            </w:pPr>
            <w:r>
              <w:rPr/>
              <w:t> </w:t>
            </w:r>
          </w:p>
        </w:tc>
        <w:tc>
          <w:tcPr>
            <w:tcW w:w="2557" w:type="dxa"/>
            <w:tcBorders/>
            <w:shd w:fill="auto" w:val="clear"/>
            <w:vAlign w:val="center"/>
          </w:tcPr>
          <w:p>
            <w:pPr>
              <w:pStyle w:val="TableContents"/>
              <w:spacing w:before="0" w:after="0"/>
              <w:ind w:left="0" w:right="0" w:firstLine="30"/>
              <w:rPr/>
            </w:pPr>
            <w:r>
              <w:rPr/>
              <w:t> </w:t>
            </w:r>
          </w:p>
        </w:tc>
        <w:tc>
          <w:tcPr>
            <w:tcW w:w="189" w:type="dxa"/>
            <w:tcBorders/>
            <w:shd w:fill="auto" w:val="clear"/>
            <w:vAlign w:val="center"/>
          </w:tcPr>
          <w:p>
            <w:pPr>
              <w:pStyle w:val="TableContents"/>
              <w:spacing w:before="0" w:after="0"/>
              <w:ind w:left="0" w:right="0" w:firstLine="30"/>
              <w:jc w:val="left"/>
              <w:rPr/>
            </w:pPr>
            <w:r>
              <w:rPr/>
              <w:t> </w:t>
            </w:r>
          </w:p>
        </w:tc>
        <w:tc>
          <w:tcPr>
            <w:tcW w:w="378" w:type="dxa"/>
            <w:tcBorders/>
            <w:shd w:fill="auto" w:val="clear"/>
            <w:vAlign w:val="center"/>
          </w:tcPr>
          <w:p>
            <w:pPr>
              <w:pStyle w:val="TableContents"/>
              <w:spacing w:before="0" w:after="0"/>
              <w:ind w:left="0" w:right="0" w:firstLine="30"/>
              <w:rPr/>
            </w:pPr>
            <w:r>
              <w:rPr/>
              <w:t> </w:t>
            </w:r>
          </w:p>
        </w:tc>
        <w:tc>
          <w:tcPr>
            <w:tcW w:w="1042" w:type="dxa"/>
            <w:tcBorders/>
            <w:shd w:fill="auto" w:val="clear"/>
            <w:vAlign w:val="center"/>
          </w:tcPr>
          <w:p>
            <w:pPr>
              <w:pStyle w:val="TableContents"/>
              <w:spacing w:before="0" w:after="0"/>
              <w:ind w:left="0" w:right="0" w:firstLine="30"/>
              <w:jc w:val="left"/>
              <w:rPr/>
            </w:pPr>
            <w:r>
              <w:rPr/>
              <w:t> </w:t>
            </w:r>
          </w:p>
        </w:tc>
        <w:tc>
          <w:tcPr>
            <w:tcW w:w="1042" w:type="dxa"/>
            <w:tcBorders/>
            <w:shd w:fill="auto" w:val="clear"/>
            <w:vAlign w:val="center"/>
          </w:tcPr>
          <w:p>
            <w:pPr>
              <w:pStyle w:val="TableContents"/>
              <w:spacing w:before="0" w:after="0"/>
              <w:ind w:left="0" w:right="0" w:firstLine="30"/>
              <w:rPr/>
            </w:pPr>
            <w:r>
              <w:rPr/>
              <w:t> </w:t>
            </w:r>
          </w:p>
        </w:tc>
        <w:tc>
          <w:tcPr>
            <w:tcW w:w="189" w:type="dxa"/>
            <w:tcBorders/>
            <w:shd w:fill="auto" w:val="clear"/>
            <w:vAlign w:val="center"/>
          </w:tcPr>
          <w:p>
            <w:pPr>
              <w:pStyle w:val="TableContents"/>
              <w:spacing w:before="0" w:after="0"/>
              <w:ind w:left="0" w:right="0" w:firstLine="30"/>
              <w:jc w:val="left"/>
              <w:rPr/>
            </w:pPr>
            <w:r>
              <w:rPr/>
              <w:t> </w:t>
            </w:r>
          </w:p>
        </w:tc>
        <w:tc>
          <w:tcPr>
            <w:tcW w:w="3505"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Albert Chao</w:t>
            </w:r>
          </w:p>
        </w:tc>
      </w:tr>
      <w:tr>
        <w:trPr/>
        <w:tc>
          <w:tcPr>
            <w:tcW w:w="568" w:type="dxa"/>
            <w:tcBorders/>
            <w:shd w:fill="auto" w:val="clear"/>
            <w:vAlign w:val="center"/>
          </w:tcPr>
          <w:p>
            <w:pPr>
              <w:pStyle w:val="TableContents"/>
              <w:spacing w:before="0" w:after="0"/>
              <w:ind w:left="0" w:right="0" w:firstLine="30"/>
              <w:rPr/>
            </w:pPr>
            <w:r>
              <w:rPr/>
              <w:t> </w:t>
            </w:r>
          </w:p>
        </w:tc>
        <w:tc>
          <w:tcPr>
            <w:tcW w:w="2557" w:type="dxa"/>
            <w:tcBorders/>
            <w:shd w:fill="auto" w:val="clear"/>
            <w:vAlign w:val="center"/>
          </w:tcPr>
          <w:p>
            <w:pPr>
              <w:pStyle w:val="TableContents"/>
              <w:spacing w:before="0" w:after="0"/>
              <w:ind w:left="0" w:right="0" w:firstLine="30"/>
              <w:rPr/>
            </w:pPr>
            <w:r>
              <w:rPr/>
              <w:t> </w:t>
            </w:r>
          </w:p>
        </w:tc>
        <w:tc>
          <w:tcPr>
            <w:tcW w:w="189" w:type="dxa"/>
            <w:tcBorders/>
            <w:shd w:fill="auto" w:val="clear"/>
            <w:vAlign w:val="center"/>
          </w:tcPr>
          <w:p>
            <w:pPr>
              <w:pStyle w:val="TableContents"/>
              <w:spacing w:before="0" w:after="0"/>
              <w:ind w:left="0" w:right="0" w:firstLine="30"/>
              <w:jc w:val="left"/>
              <w:rPr/>
            </w:pPr>
            <w:r>
              <w:rPr/>
              <w:t> </w:t>
            </w:r>
          </w:p>
        </w:tc>
        <w:tc>
          <w:tcPr>
            <w:tcW w:w="378" w:type="dxa"/>
            <w:tcBorders/>
            <w:shd w:fill="auto" w:val="clear"/>
            <w:vAlign w:val="center"/>
          </w:tcPr>
          <w:p>
            <w:pPr>
              <w:pStyle w:val="TableContents"/>
              <w:spacing w:before="0" w:after="0"/>
              <w:ind w:left="0" w:right="0" w:firstLine="30"/>
              <w:rPr/>
            </w:pPr>
            <w:r>
              <w:rPr/>
              <w:t> </w:t>
            </w:r>
          </w:p>
        </w:tc>
        <w:tc>
          <w:tcPr>
            <w:tcW w:w="1042" w:type="dxa"/>
            <w:tcBorders/>
            <w:shd w:fill="auto" w:val="clear"/>
            <w:vAlign w:val="center"/>
          </w:tcPr>
          <w:p>
            <w:pPr>
              <w:pStyle w:val="TableContents"/>
              <w:spacing w:before="0" w:after="0"/>
              <w:ind w:left="0" w:right="0" w:firstLine="30"/>
              <w:jc w:val="left"/>
              <w:rPr/>
            </w:pPr>
            <w:r>
              <w:rPr/>
              <w:t> </w:t>
            </w:r>
          </w:p>
        </w:tc>
        <w:tc>
          <w:tcPr>
            <w:tcW w:w="1042" w:type="dxa"/>
            <w:tcBorders/>
            <w:shd w:fill="auto" w:val="clear"/>
            <w:vAlign w:val="center"/>
          </w:tcPr>
          <w:p>
            <w:pPr>
              <w:pStyle w:val="TableContents"/>
              <w:spacing w:before="0" w:after="0"/>
              <w:ind w:left="0" w:right="0" w:firstLine="30"/>
              <w:rPr/>
            </w:pPr>
            <w:r>
              <w:rPr/>
              <w:t> </w:t>
            </w:r>
          </w:p>
        </w:tc>
        <w:tc>
          <w:tcPr>
            <w:tcW w:w="189" w:type="dxa"/>
            <w:tcBorders/>
            <w:shd w:fill="auto" w:val="clear"/>
            <w:vAlign w:val="center"/>
          </w:tcPr>
          <w:p>
            <w:pPr>
              <w:pStyle w:val="TableContents"/>
              <w:spacing w:before="0" w:after="0"/>
              <w:ind w:left="0" w:right="0" w:firstLine="30"/>
              <w:jc w:val="left"/>
              <w:rPr/>
            </w:pPr>
            <w:r>
              <w:rPr/>
              <w:t> </w:t>
            </w:r>
          </w:p>
        </w:tc>
        <w:tc>
          <w:tcPr>
            <w:tcW w:w="3505" w:type="dxa"/>
            <w:tcBorders/>
            <w:shd w:fill="auto" w:val="clear"/>
            <w:vAlign w:val="center"/>
          </w:tcPr>
          <w:p>
            <w:pPr>
              <w:pStyle w:val="TableContents"/>
              <w:spacing w:before="0" w:after="0"/>
              <w:jc w:val="center"/>
              <w:rPr>
                <w:rFonts w:ascii="inherit" w:hAnsi="inherit"/>
                <w:b/>
                <w:sz w:val="13"/>
              </w:rPr>
            </w:pPr>
            <w:r>
              <w:rPr>
                <w:rFonts w:ascii="inherit" w:hAnsi="inherit"/>
                <w:b/>
                <w:sz w:val="13"/>
              </w:rPr>
              <w:t>President and Chief Executive Officer</w:t>
            </w:r>
          </w:p>
          <w:p>
            <w:pPr>
              <w:pStyle w:val="TableContents"/>
              <w:spacing w:before="0" w:after="0"/>
              <w:jc w:val="center"/>
              <w:rPr>
                <w:rFonts w:ascii="inherit" w:hAnsi="inherit"/>
                <w:b/>
                <w:sz w:val="13"/>
              </w:rPr>
            </w:pPr>
            <w:r>
              <w:rPr>
                <w:rFonts w:ascii="inherit" w:hAnsi="inherit"/>
                <w:b/>
                <w:sz w:val="13"/>
              </w:rPr>
              <w:t>(Principal Executive Officer)</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61" w:name="s881BC9DCA5C7BC609A4566ED02B7399B"/>
      <w:bookmarkStart w:id="62" w:name="exhibit312_20140930.htm"/>
      <w:bookmarkStart w:id="63" w:name="ksexhibit312_20140930"/>
      <w:bookmarkStart w:id="64" w:name="s881BC9DCA5C7BC609A4566ED02B7399B"/>
      <w:bookmarkStart w:id="65" w:name="exhibit312_20140930.htm"/>
      <w:bookmarkStart w:id="66" w:name="ksexhibit312_20140930"/>
      <w:bookmarkEnd w:id="64"/>
      <w:bookmarkEnd w:id="65"/>
      <w:bookmarkEnd w:id="66"/>
    </w:p>
    <w:p>
      <w:pPr>
        <w:pStyle w:val="TextBody"/>
        <w:spacing w:before="0" w:after="0"/>
        <w:rPr/>
      </w:pPr>
      <w:r>
        <w:rPr/>
      </w:r>
    </w:p>
    <w:p>
      <w:pPr>
        <w:pStyle w:val="TextBody"/>
        <w:spacing w:lineRule="auto" w:line="288" w:before="0" w:after="0"/>
        <w:jc w:val="right"/>
        <w:rPr>
          <w:rFonts w:ascii="inherit" w:hAnsi="inherit"/>
          <w:b/>
          <w:i/>
          <w:sz w:val="17"/>
        </w:rPr>
      </w:pPr>
      <w:r>
        <w:rPr>
          <w:rFonts w:ascii="inherit" w:hAnsi="inherit"/>
          <w:b/>
          <w:i/>
          <w:sz w:val="17"/>
        </w:rPr>
        <w:t>Exhibit 31.2</w:t>
      </w:r>
    </w:p>
    <w:p>
      <w:pPr>
        <w:pStyle w:val="TextBody"/>
        <w:spacing w:lineRule="auto" w:line="288" w:before="0" w:after="0"/>
        <w:jc w:val="center"/>
        <w:rPr>
          <w:rFonts w:ascii="inherit" w:hAnsi="inherit"/>
          <w:b/>
          <w:sz w:val="17"/>
        </w:rPr>
      </w:pPr>
      <w:r>
        <w:rPr>
          <w:rFonts w:ascii="inherit" w:hAnsi="inherit"/>
          <w:b/>
          <w:sz w:val="17"/>
        </w:rPr>
        <w:t>CERTIFICATIONS</w:t>
      </w:r>
    </w:p>
    <w:p>
      <w:pPr>
        <w:pStyle w:val="TextBody"/>
        <w:spacing w:lineRule="auto" w:line="288" w:before="0" w:after="0"/>
        <w:rPr>
          <w:rFonts w:ascii="inherit" w:hAnsi="inherit"/>
          <w:sz w:val="17"/>
        </w:rPr>
      </w:pPr>
      <w:r>
        <w:rPr>
          <w:rFonts w:ascii="inherit" w:hAnsi="inherit"/>
          <w:sz w:val="17"/>
        </w:rPr>
        <w:t>I, M. Steven Bender, certify that:</w:t>
      </w:r>
    </w:p>
    <w:tbl>
      <w:tblPr>
        <w:tblW w:w="7806" w:type="dxa"/>
        <w:jc w:val="left"/>
        <w:tblInd w:w="0" w:type="dxa"/>
        <w:tblCellMar>
          <w:top w:w="0" w:type="dxa"/>
          <w:left w:w="0" w:type="dxa"/>
          <w:bottom w:w="0" w:type="dxa"/>
          <w:right w:w="0" w:type="dxa"/>
        </w:tblCellMar>
      </w:tblPr>
      <w:tblGrid>
        <w:gridCol w:w="468"/>
        <w:gridCol w:w="7338"/>
      </w:tblGrid>
      <w:tr>
        <w:trPr/>
        <w:tc>
          <w:tcPr>
            <w:tcW w:w="7806" w:type="dxa"/>
            <w:gridSpan w:val="2"/>
            <w:tcBorders/>
            <w:shd w:fill="auto" w:val="clear"/>
            <w:vAlign w:val="center"/>
          </w:tcPr>
          <w:p>
            <w:pPr>
              <w:pStyle w:val="TableContents"/>
              <w:spacing w:before="0" w:after="283"/>
              <w:rPr>
                <w:sz w:val="4"/>
                <w:szCs w:val="4"/>
              </w:rPr>
            </w:pPr>
            <w:r>
              <w:rPr>
                <w:sz w:val="4"/>
                <w:szCs w:val="4"/>
              </w:rPr>
            </w:r>
          </w:p>
        </w:tc>
      </w:tr>
      <w:tr>
        <w:trPr/>
        <w:tc>
          <w:tcPr>
            <w:tcW w:w="468" w:type="dxa"/>
            <w:tcBorders/>
            <w:shd w:fill="auto" w:val="clear"/>
            <w:vAlign w:val="center"/>
          </w:tcPr>
          <w:p>
            <w:pPr>
              <w:pStyle w:val="TableContents"/>
              <w:spacing w:before="0" w:after="283"/>
              <w:rPr>
                <w:sz w:val="4"/>
                <w:szCs w:val="4"/>
              </w:rPr>
            </w:pPr>
            <w:r>
              <w:rPr>
                <w:sz w:val="4"/>
                <w:szCs w:val="4"/>
              </w:rPr>
            </w:r>
          </w:p>
        </w:tc>
        <w:tc>
          <w:tcPr>
            <w:tcW w:w="733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w:t>
            </w:r>
          </w:p>
        </w:tc>
        <w:tc>
          <w:tcPr>
            <w:tcW w:w="7338" w:type="dxa"/>
            <w:tcBorders/>
            <w:shd w:fill="auto" w:val="clear"/>
            <w:vAlign w:val="center"/>
          </w:tcPr>
          <w:p>
            <w:pPr>
              <w:pStyle w:val="TableContents"/>
              <w:spacing w:before="0" w:after="0"/>
              <w:jc w:val="left"/>
              <w:rPr>
                <w:rFonts w:ascii="inherit" w:hAnsi="inherit"/>
                <w:sz w:val="17"/>
              </w:rPr>
            </w:pPr>
            <w:r>
              <w:rPr>
                <w:rFonts w:ascii="inherit" w:hAnsi="inherit"/>
                <w:sz w:val="17"/>
              </w:rPr>
              <w:t>I have reviewed this Quarterly Report on Form 10-Q of Westlake Chemical Partners LP;</w:t>
            </w:r>
          </w:p>
        </w:tc>
      </w:tr>
    </w:tbl>
    <w:tbl>
      <w:tblPr>
        <w:tblW w:w="10205" w:type="dxa"/>
        <w:jc w:val="left"/>
        <w:tblInd w:w="0" w:type="dxa"/>
        <w:tblCellMar>
          <w:top w:w="0" w:type="dxa"/>
          <w:left w:w="0" w:type="dxa"/>
          <w:bottom w:w="0" w:type="dxa"/>
          <w:right w:w="0" w:type="dxa"/>
        </w:tblCellMar>
      </w:tblPr>
      <w:tblGrid>
        <w:gridCol w:w="667"/>
        <w:gridCol w:w="9538"/>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667" w:type="dxa"/>
            <w:tcBorders/>
            <w:shd w:fill="auto" w:val="clear"/>
            <w:vAlign w:val="center"/>
          </w:tcPr>
          <w:p>
            <w:pPr>
              <w:pStyle w:val="TableContents"/>
              <w:spacing w:before="0" w:after="283"/>
              <w:rPr>
                <w:sz w:val="4"/>
                <w:szCs w:val="4"/>
              </w:rPr>
            </w:pPr>
            <w:r>
              <w:rPr>
                <w:sz w:val="4"/>
                <w:szCs w:val="4"/>
              </w:rPr>
            </w:r>
          </w:p>
        </w:tc>
        <w:tc>
          <w:tcPr>
            <w:tcW w:w="953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w:t>
            </w:r>
          </w:p>
        </w:tc>
        <w:tc>
          <w:tcPr>
            <w:tcW w:w="9538" w:type="dxa"/>
            <w:tcBorders/>
            <w:shd w:fill="auto" w:val="clear"/>
            <w:vAlign w:val="center"/>
          </w:tcPr>
          <w:p>
            <w:pPr>
              <w:pStyle w:val="TableContents"/>
              <w:spacing w:before="0" w:after="0"/>
              <w:jc w:val="left"/>
              <w:rPr>
                <w:rFonts w:ascii="inherit" w:hAnsi="inherit"/>
                <w:sz w:val="17"/>
              </w:rPr>
            </w:pPr>
            <w:r>
              <w:rPr>
                <w:rFonts w:ascii="inherit" w:hAnsi="inherit"/>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671"/>
        <w:gridCol w:w="9534"/>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671" w:type="dxa"/>
            <w:tcBorders/>
            <w:shd w:fill="auto" w:val="clear"/>
            <w:vAlign w:val="center"/>
          </w:tcPr>
          <w:p>
            <w:pPr>
              <w:pStyle w:val="TableContents"/>
              <w:spacing w:before="0" w:after="283"/>
              <w:rPr>
                <w:sz w:val="4"/>
                <w:szCs w:val="4"/>
              </w:rPr>
            </w:pPr>
            <w:r>
              <w:rPr>
                <w:sz w:val="4"/>
                <w:szCs w:val="4"/>
              </w:rPr>
            </w:r>
          </w:p>
        </w:tc>
        <w:tc>
          <w:tcPr>
            <w:tcW w:w="953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3.</w:t>
            </w:r>
          </w:p>
        </w:tc>
        <w:tc>
          <w:tcPr>
            <w:tcW w:w="9534" w:type="dxa"/>
            <w:tcBorders/>
            <w:shd w:fill="auto" w:val="clear"/>
            <w:vAlign w:val="center"/>
          </w:tcPr>
          <w:p>
            <w:pPr>
              <w:pStyle w:val="TableContents"/>
              <w:spacing w:before="0" w:after="0"/>
              <w:jc w:val="left"/>
              <w:rPr>
                <w:rFonts w:ascii="inherit" w:hAnsi="inherit"/>
                <w:sz w:val="17"/>
              </w:rPr>
            </w:pPr>
            <w:r>
              <w:rPr>
                <w:rFonts w:ascii="inherit" w:hAnsi="inherit"/>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661"/>
        <w:gridCol w:w="9544"/>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661" w:type="dxa"/>
            <w:tcBorders/>
            <w:shd w:fill="auto" w:val="clear"/>
            <w:vAlign w:val="center"/>
          </w:tcPr>
          <w:p>
            <w:pPr>
              <w:pStyle w:val="TableContents"/>
              <w:spacing w:before="0" w:after="283"/>
              <w:rPr>
                <w:sz w:val="4"/>
                <w:szCs w:val="4"/>
              </w:rPr>
            </w:pPr>
            <w:r>
              <w:rPr>
                <w:sz w:val="4"/>
                <w:szCs w:val="4"/>
              </w:rPr>
            </w:r>
          </w:p>
        </w:tc>
        <w:tc>
          <w:tcPr>
            <w:tcW w:w="954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w:t>
            </w:r>
          </w:p>
        </w:tc>
        <w:tc>
          <w:tcPr>
            <w:tcW w:w="9544" w:type="dxa"/>
            <w:tcBorders/>
            <w:shd w:fill="auto" w:val="clear"/>
            <w:vAlign w:val="center"/>
          </w:tcPr>
          <w:p>
            <w:pPr>
              <w:pStyle w:val="TableContents"/>
              <w:spacing w:before="0" w:after="0"/>
              <w:jc w:val="left"/>
              <w:rPr>
                <w:rFonts w:ascii="inherit" w:hAnsi="inherit"/>
                <w:sz w:val="17"/>
              </w:rPr>
            </w:pPr>
            <w:r>
              <w:rPr>
                <w:rFonts w:ascii="inherit" w:hAnsi="inherit"/>
                <w:sz w:val="17"/>
              </w:rPr>
              <w:t>The registrant's other certifying officer and I are responsible for establishing and maintaining disclosure controls and procedures (as defined in Exchange Act Rules 13a-15(e) and 15d-15(e)) for the registrant and have:</w:t>
            </w:r>
          </w:p>
        </w:tc>
      </w:tr>
    </w:tbl>
    <w:tbl>
      <w:tblPr>
        <w:tblW w:w="10205" w:type="dxa"/>
        <w:jc w:val="left"/>
        <w:tblInd w:w="0" w:type="dxa"/>
        <w:tblCellMar>
          <w:top w:w="0" w:type="dxa"/>
          <w:left w:w="0" w:type="dxa"/>
          <w:bottom w:w="0" w:type="dxa"/>
          <w:right w:w="0" w:type="dxa"/>
        </w:tblCellMar>
      </w:tblPr>
      <w:tblGrid>
        <w:gridCol w:w="629"/>
        <w:gridCol w:w="665"/>
        <w:gridCol w:w="8911"/>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629"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891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29" w:type="dxa"/>
            <w:tcBorders/>
            <w:shd w:fill="auto" w:val="clear"/>
            <w:vAlign w:val="center"/>
          </w:tcPr>
          <w:p>
            <w:pPr>
              <w:pStyle w:val="TableContents"/>
              <w:spacing w:before="0" w:after="0"/>
              <w:ind w:left="0" w:right="0" w:firstLine="30"/>
              <w:jc w:val="left"/>
              <w:rPr/>
            </w:pPr>
            <w:r>
              <w:rPr/>
              <w:t> </w:t>
            </w:r>
          </w:p>
        </w:tc>
        <w:tc>
          <w:tcPr>
            <w:tcW w:w="6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w:t>
            </w:r>
          </w:p>
        </w:tc>
        <w:tc>
          <w:tcPr>
            <w:tcW w:w="8911" w:type="dxa"/>
            <w:tcBorders/>
            <w:shd w:fill="auto" w:val="clear"/>
            <w:vAlign w:val="center"/>
          </w:tcPr>
          <w:p>
            <w:pPr>
              <w:pStyle w:val="TableContents"/>
              <w:spacing w:before="0" w:after="0"/>
              <w:jc w:val="left"/>
              <w:rPr>
                <w:rFonts w:ascii="inherit" w:hAnsi="inherit"/>
                <w:sz w:val="17"/>
              </w:rPr>
            </w:pPr>
            <w:r>
              <w:rPr>
                <w:rFonts w:ascii="inherit" w:hAnsi="inherit"/>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625"/>
        <w:gridCol w:w="657"/>
        <w:gridCol w:w="8923"/>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625"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892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25" w:type="dxa"/>
            <w:tcBorders/>
            <w:shd w:fill="auto" w:val="clear"/>
            <w:vAlign w:val="center"/>
          </w:tcPr>
          <w:p>
            <w:pPr>
              <w:pStyle w:val="TableContents"/>
              <w:spacing w:before="0" w:after="0"/>
              <w:ind w:left="0" w:right="0" w:firstLine="30"/>
              <w:jc w:val="left"/>
              <w:rPr/>
            </w:pPr>
            <w:r>
              <w:rPr/>
              <w:t> </w:t>
            </w:r>
          </w:p>
        </w:tc>
        <w:tc>
          <w:tcPr>
            <w:tcW w:w="6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w:t>
            </w:r>
          </w:p>
        </w:tc>
        <w:tc>
          <w:tcPr>
            <w:tcW w:w="8923" w:type="dxa"/>
            <w:tcBorders/>
            <w:shd w:fill="auto" w:val="clear"/>
            <w:vAlign w:val="center"/>
          </w:tcPr>
          <w:p>
            <w:pPr>
              <w:pStyle w:val="TableContents"/>
              <w:spacing w:before="0" w:after="0"/>
              <w:jc w:val="left"/>
              <w:rPr>
                <w:rFonts w:ascii="inherit" w:hAnsi="inherit"/>
                <w:sz w:val="17"/>
              </w:rPr>
            </w:pPr>
            <w:r>
              <w:rPr>
                <w:rFonts w:ascii="inherit" w:hAnsi="inherit"/>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634"/>
        <w:gridCol w:w="660"/>
        <w:gridCol w:w="8911"/>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634"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891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34" w:type="dxa"/>
            <w:tcBorders/>
            <w:shd w:fill="auto" w:val="clear"/>
            <w:vAlign w:val="center"/>
          </w:tcPr>
          <w:p>
            <w:pPr>
              <w:pStyle w:val="TableContents"/>
              <w:spacing w:before="0" w:after="0"/>
              <w:ind w:left="0" w:right="0" w:firstLine="30"/>
              <w:jc w:val="left"/>
              <w:rPr/>
            </w:pPr>
            <w:r>
              <w:rPr/>
              <w:t> </w:t>
            </w:r>
          </w:p>
        </w:tc>
        <w:tc>
          <w:tcPr>
            <w:tcW w:w="6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w:t>
            </w:r>
          </w:p>
        </w:tc>
        <w:tc>
          <w:tcPr>
            <w:tcW w:w="8911" w:type="dxa"/>
            <w:tcBorders/>
            <w:shd w:fill="auto" w:val="clear"/>
            <w:vAlign w:val="center"/>
          </w:tcPr>
          <w:p>
            <w:pPr>
              <w:pStyle w:val="TableContents"/>
              <w:spacing w:before="0" w:after="0"/>
              <w:jc w:val="left"/>
              <w:rPr>
                <w:rFonts w:ascii="inherit" w:hAnsi="inherit"/>
                <w:sz w:val="17"/>
              </w:rPr>
            </w:pPr>
            <w:r>
              <w:rPr>
                <w:rFonts w:ascii="inherit" w:hAnsi="inherit"/>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674"/>
        <w:gridCol w:w="9531"/>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674" w:type="dxa"/>
            <w:tcBorders/>
            <w:shd w:fill="auto" w:val="clear"/>
            <w:vAlign w:val="center"/>
          </w:tcPr>
          <w:p>
            <w:pPr>
              <w:pStyle w:val="TableContents"/>
              <w:spacing w:before="0" w:after="283"/>
              <w:rPr>
                <w:sz w:val="4"/>
                <w:szCs w:val="4"/>
              </w:rPr>
            </w:pPr>
            <w:r>
              <w:rPr>
                <w:sz w:val="4"/>
                <w:szCs w:val="4"/>
              </w:rPr>
            </w:r>
          </w:p>
        </w:tc>
        <w:tc>
          <w:tcPr>
            <w:tcW w:w="953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5.</w:t>
            </w:r>
          </w:p>
        </w:tc>
        <w:tc>
          <w:tcPr>
            <w:tcW w:w="9531" w:type="dxa"/>
            <w:tcBorders/>
            <w:shd w:fill="auto" w:val="clear"/>
            <w:vAlign w:val="center"/>
          </w:tcPr>
          <w:p>
            <w:pPr>
              <w:pStyle w:val="TableContents"/>
              <w:spacing w:before="0" w:after="0"/>
              <w:jc w:val="left"/>
              <w:rPr>
                <w:rFonts w:ascii="inherit" w:hAnsi="inherit"/>
                <w:sz w:val="17"/>
              </w:rPr>
            </w:pPr>
            <w:r>
              <w:rPr>
                <w:rFonts w:ascii="inherit" w:hAnsi="inherit"/>
                <w:sz w:val="17"/>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627"/>
        <w:gridCol w:w="658"/>
        <w:gridCol w:w="8920"/>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627"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892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27" w:type="dxa"/>
            <w:tcBorders/>
            <w:shd w:fill="auto" w:val="clear"/>
            <w:vAlign w:val="center"/>
          </w:tcPr>
          <w:p>
            <w:pPr>
              <w:pStyle w:val="TableContents"/>
              <w:spacing w:before="0" w:after="0"/>
              <w:ind w:left="0" w:right="0" w:firstLine="30"/>
              <w:jc w:val="left"/>
              <w:rPr/>
            </w:pPr>
            <w:r>
              <w:rPr/>
              <w:t> </w:t>
            </w:r>
          </w:p>
        </w:tc>
        <w:tc>
          <w:tcPr>
            <w:tcW w:w="6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w:t>
            </w:r>
          </w:p>
        </w:tc>
        <w:tc>
          <w:tcPr>
            <w:tcW w:w="8920" w:type="dxa"/>
            <w:tcBorders/>
            <w:shd w:fill="auto" w:val="clear"/>
            <w:vAlign w:val="center"/>
          </w:tcPr>
          <w:p>
            <w:pPr>
              <w:pStyle w:val="TableContents"/>
              <w:spacing w:before="0" w:after="0"/>
              <w:jc w:val="left"/>
              <w:rPr>
                <w:rFonts w:ascii="inherit" w:hAnsi="inherit"/>
                <w:sz w:val="17"/>
              </w:rPr>
            </w:pPr>
            <w:r>
              <w:rPr>
                <w:rFonts w:ascii="inherit" w:hAnsi="inherit"/>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620"/>
        <w:gridCol w:w="640"/>
        <w:gridCol w:w="8945"/>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620"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89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20" w:type="dxa"/>
            <w:tcBorders/>
            <w:shd w:fill="auto" w:val="clear"/>
            <w:vAlign w:val="center"/>
          </w:tcPr>
          <w:p>
            <w:pPr>
              <w:pStyle w:val="TableContents"/>
              <w:spacing w:before="0" w:after="0"/>
              <w:ind w:left="0" w:right="0" w:firstLine="30"/>
              <w:jc w:val="left"/>
              <w:rPr/>
            </w:pPr>
            <w:r>
              <w:rPr/>
              <w:t> </w:t>
            </w:r>
          </w:p>
        </w:tc>
        <w:tc>
          <w:tcPr>
            <w:tcW w:w="6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w:t>
            </w:r>
          </w:p>
        </w:tc>
        <w:tc>
          <w:tcPr>
            <w:tcW w:w="8945" w:type="dxa"/>
            <w:tcBorders/>
            <w:shd w:fill="auto" w:val="clear"/>
            <w:vAlign w:val="center"/>
          </w:tcPr>
          <w:p>
            <w:pPr>
              <w:pStyle w:val="TableContents"/>
              <w:spacing w:before="0" w:after="0"/>
              <w:jc w:val="left"/>
              <w:rPr>
                <w:rFonts w:ascii="inherit" w:hAnsi="inherit"/>
                <w:sz w:val="17"/>
              </w:rPr>
            </w:pPr>
            <w:r>
              <w:rPr>
                <w:rFonts w:ascii="inherit" w:hAnsi="inherit"/>
                <w:sz w:val="17"/>
              </w:rPr>
              <w:t>any fraud, whether or not material, that involves management or other employees who have a significant role in the registrant's internal control over financial reporting.</w:t>
            </w:r>
          </w:p>
        </w:tc>
      </w:tr>
    </w:tbl>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515"/>
        <w:gridCol w:w="2760"/>
        <w:gridCol w:w="204"/>
        <w:gridCol w:w="407"/>
        <w:gridCol w:w="1116"/>
        <w:gridCol w:w="1116"/>
        <w:gridCol w:w="204"/>
        <w:gridCol w:w="3883"/>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515" w:type="dxa"/>
            <w:tcBorders/>
            <w:shd w:fill="auto" w:val="clear"/>
            <w:vAlign w:val="center"/>
          </w:tcPr>
          <w:p>
            <w:pPr>
              <w:pStyle w:val="TableContents"/>
              <w:spacing w:before="0" w:after="283"/>
              <w:rPr>
                <w:sz w:val="4"/>
                <w:szCs w:val="4"/>
              </w:rPr>
            </w:pPr>
            <w:r>
              <w:rPr>
                <w:sz w:val="4"/>
                <w:szCs w:val="4"/>
              </w:rPr>
            </w:r>
          </w:p>
        </w:tc>
        <w:tc>
          <w:tcPr>
            <w:tcW w:w="2760"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388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Date:</w:t>
            </w:r>
          </w:p>
        </w:tc>
        <w:tc>
          <w:tcPr>
            <w:tcW w:w="27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November 7, 2014</w:t>
            </w:r>
          </w:p>
        </w:tc>
        <w:tc>
          <w:tcPr>
            <w:tcW w:w="204" w:type="dxa"/>
            <w:tcBorders/>
            <w:shd w:fill="auto" w:val="clear"/>
            <w:vAlign w:val="center"/>
          </w:tcPr>
          <w:p>
            <w:pPr>
              <w:pStyle w:val="TableContents"/>
              <w:spacing w:before="0" w:after="0"/>
              <w:ind w:left="0" w:right="0" w:firstLine="30"/>
              <w:jc w:val="left"/>
              <w:rPr/>
            </w:pPr>
            <w:r>
              <w:rPr/>
              <w:t> </w:t>
            </w:r>
          </w:p>
        </w:tc>
        <w:tc>
          <w:tcPr>
            <w:tcW w:w="407" w:type="dxa"/>
            <w:tcBorders/>
            <w:shd w:fill="auto" w:val="clear"/>
            <w:vAlign w:val="center"/>
          </w:tcPr>
          <w:p>
            <w:pPr>
              <w:pStyle w:val="TableContents"/>
              <w:spacing w:before="0" w:after="0"/>
              <w:ind w:left="0" w:right="0" w:firstLine="30"/>
              <w:rPr/>
            </w:pPr>
            <w:r>
              <w:rPr/>
              <w:t> </w:t>
            </w:r>
          </w:p>
        </w:tc>
        <w:tc>
          <w:tcPr>
            <w:tcW w:w="1116" w:type="dxa"/>
            <w:tcBorders/>
            <w:shd w:fill="auto" w:val="clear"/>
            <w:vAlign w:val="center"/>
          </w:tcPr>
          <w:p>
            <w:pPr>
              <w:pStyle w:val="TableContents"/>
              <w:spacing w:before="0" w:after="0"/>
              <w:ind w:left="0" w:right="0" w:firstLine="30"/>
              <w:jc w:val="left"/>
              <w:rPr/>
            </w:pPr>
            <w:r>
              <w:rPr/>
              <w:t> </w:t>
            </w:r>
          </w:p>
        </w:tc>
        <w:tc>
          <w:tcPr>
            <w:tcW w:w="1116" w:type="dxa"/>
            <w:tcBorders/>
            <w:shd w:fill="auto" w:val="clear"/>
            <w:vAlign w:val="center"/>
          </w:tcPr>
          <w:p>
            <w:pPr>
              <w:pStyle w:val="TableContents"/>
              <w:spacing w:before="0" w:after="0"/>
              <w:ind w:left="0" w:right="0" w:firstLine="30"/>
              <w:rPr/>
            </w:pPr>
            <w:r>
              <w:rPr/>
              <w:t> </w:t>
            </w:r>
          </w:p>
        </w:tc>
        <w:tc>
          <w:tcPr>
            <w:tcW w:w="204" w:type="dxa"/>
            <w:tcBorders>
              <w:bottom w:val="single" w:sz="2" w:space="0" w:color="000000"/>
            </w:tcBorders>
            <w:shd w:fill="auto" w:val="clear"/>
            <w:tcMar>
              <w:bottom w:w="30" w:type="dxa"/>
            </w:tcMar>
            <w:vAlign w:val="center"/>
          </w:tcPr>
          <w:p>
            <w:pPr>
              <w:pStyle w:val="TableContents"/>
              <w:spacing w:before="0" w:after="0"/>
              <w:ind w:left="0" w:right="0" w:firstLine="30"/>
              <w:jc w:val="left"/>
              <w:rPr/>
            </w:pPr>
            <w:r>
              <w:rPr/>
              <w:t> </w:t>
            </w:r>
          </w:p>
        </w:tc>
        <w:tc>
          <w:tcPr>
            <w:tcW w:w="3883" w:type="dxa"/>
            <w:tcBorders>
              <w:bottom w:val="single" w:sz="2" w:space="0" w:color="000000"/>
            </w:tcBorders>
            <w:shd w:fill="auto" w:val="clear"/>
            <w:tcMar>
              <w:bottom w:w="30" w:type="dxa"/>
            </w:tcMar>
            <w:vAlign w:val="center"/>
          </w:tcPr>
          <w:p>
            <w:pPr>
              <w:pStyle w:val="TableContents"/>
              <w:spacing w:before="0" w:after="0"/>
              <w:ind w:left="0" w:right="0" w:firstLine="30"/>
              <w:jc w:val="center"/>
              <w:rPr>
                <w:sz w:val="17"/>
              </w:rPr>
            </w:pPr>
            <w:r>
              <w:rPr>
                <w:rFonts w:ascii="inherit" w:hAnsi="inherit"/>
                <w:sz w:val="17"/>
              </w:rPr>
              <w:t>/</w:t>
            </w:r>
            <w:r>
              <w:rPr>
                <w:rFonts w:ascii="inherit" w:hAnsi="inherit"/>
                <w:sz w:val="13"/>
              </w:rPr>
              <w:t>S</w:t>
            </w:r>
            <w:r>
              <w:rPr>
                <w:rFonts w:ascii="inherit" w:hAnsi="inherit"/>
                <w:sz w:val="17"/>
              </w:rPr>
              <w:t>/ M. S</w:t>
            </w:r>
            <w:r>
              <w:rPr>
                <w:rFonts w:ascii="inherit" w:hAnsi="inherit"/>
                <w:sz w:val="13"/>
              </w:rPr>
              <w:t>TEVEN</w:t>
            </w:r>
            <w:r>
              <w:rPr>
                <w:sz w:val="17"/>
              </w:rPr>
              <w:t> </w:t>
            </w:r>
            <w:r>
              <w:rPr>
                <w:rFonts w:ascii="inherit" w:hAnsi="inherit"/>
                <w:sz w:val="17"/>
              </w:rPr>
              <w:t>B</w:t>
            </w:r>
            <w:r>
              <w:rPr>
                <w:rFonts w:ascii="inherit" w:hAnsi="inherit"/>
                <w:sz w:val="13"/>
              </w:rPr>
              <w:t>ENDER</w:t>
            </w:r>
          </w:p>
        </w:tc>
      </w:tr>
      <w:tr>
        <w:trPr/>
        <w:tc>
          <w:tcPr>
            <w:tcW w:w="515" w:type="dxa"/>
            <w:tcBorders/>
            <w:shd w:fill="auto" w:val="clear"/>
            <w:vAlign w:val="center"/>
          </w:tcPr>
          <w:p>
            <w:pPr>
              <w:pStyle w:val="TableContents"/>
              <w:spacing w:before="0" w:after="0"/>
              <w:ind w:left="0" w:right="0" w:firstLine="30"/>
              <w:rPr/>
            </w:pPr>
            <w:r>
              <w:rPr/>
              <w:t> </w:t>
            </w:r>
          </w:p>
        </w:tc>
        <w:tc>
          <w:tcPr>
            <w:tcW w:w="2760" w:type="dxa"/>
            <w:tcBorders/>
            <w:shd w:fill="auto" w:val="clear"/>
            <w:vAlign w:val="center"/>
          </w:tcPr>
          <w:p>
            <w:pPr>
              <w:pStyle w:val="TableContents"/>
              <w:spacing w:before="0" w:after="0"/>
              <w:ind w:left="0" w:right="0" w:firstLine="30"/>
              <w:rPr/>
            </w:pPr>
            <w:r>
              <w:rPr/>
              <w:t> </w:t>
            </w:r>
          </w:p>
        </w:tc>
        <w:tc>
          <w:tcPr>
            <w:tcW w:w="204" w:type="dxa"/>
            <w:tcBorders/>
            <w:shd w:fill="auto" w:val="clear"/>
            <w:vAlign w:val="center"/>
          </w:tcPr>
          <w:p>
            <w:pPr>
              <w:pStyle w:val="TableContents"/>
              <w:spacing w:before="0" w:after="0"/>
              <w:ind w:left="0" w:right="0" w:firstLine="30"/>
              <w:jc w:val="left"/>
              <w:rPr/>
            </w:pPr>
            <w:r>
              <w:rPr/>
              <w:t> </w:t>
            </w:r>
          </w:p>
        </w:tc>
        <w:tc>
          <w:tcPr>
            <w:tcW w:w="407" w:type="dxa"/>
            <w:tcBorders/>
            <w:shd w:fill="auto" w:val="clear"/>
            <w:vAlign w:val="center"/>
          </w:tcPr>
          <w:p>
            <w:pPr>
              <w:pStyle w:val="TableContents"/>
              <w:spacing w:before="0" w:after="0"/>
              <w:ind w:left="0" w:right="0" w:firstLine="30"/>
              <w:rPr/>
            </w:pPr>
            <w:r>
              <w:rPr/>
              <w:t> </w:t>
            </w:r>
          </w:p>
        </w:tc>
        <w:tc>
          <w:tcPr>
            <w:tcW w:w="1116" w:type="dxa"/>
            <w:tcBorders/>
            <w:shd w:fill="auto" w:val="clear"/>
            <w:vAlign w:val="center"/>
          </w:tcPr>
          <w:p>
            <w:pPr>
              <w:pStyle w:val="TableContents"/>
              <w:spacing w:before="0" w:after="0"/>
              <w:ind w:left="0" w:right="0" w:firstLine="30"/>
              <w:jc w:val="left"/>
              <w:rPr/>
            </w:pPr>
            <w:r>
              <w:rPr/>
              <w:t> </w:t>
            </w:r>
          </w:p>
        </w:tc>
        <w:tc>
          <w:tcPr>
            <w:tcW w:w="1116" w:type="dxa"/>
            <w:tcBorders/>
            <w:shd w:fill="auto" w:val="clear"/>
            <w:vAlign w:val="center"/>
          </w:tcPr>
          <w:p>
            <w:pPr>
              <w:pStyle w:val="TableContents"/>
              <w:spacing w:before="0" w:after="0"/>
              <w:ind w:left="0" w:right="0" w:firstLine="30"/>
              <w:rPr/>
            </w:pPr>
            <w:r>
              <w:rPr/>
              <w:t> </w:t>
            </w:r>
          </w:p>
        </w:tc>
        <w:tc>
          <w:tcPr>
            <w:tcW w:w="204" w:type="dxa"/>
            <w:tcBorders/>
            <w:shd w:fill="auto" w:val="clear"/>
            <w:vAlign w:val="center"/>
          </w:tcPr>
          <w:p>
            <w:pPr>
              <w:pStyle w:val="TableContents"/>
              <w:spacing w:before="0" w:after="0"/>
              <w:ind w:left="0" w:right="0" w:firstLine="30"/>
              <w:jc w:val="left"/>
              <w:rPr/>
            </w:pPr>
            <w:r>
              <w:rPr/>
              <w:t> </w:t>
            </w:r>
          </w:p>
        </w:tc>
        <w:tc>
          <w:tcPr>
            <w:tcW w:w="3883"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M. Steven Bender</w:t>
            </w:r>
          </w:p>
        </w:tc>
      </w:tr>
      <w:tr>
        <w:trPr/>
        <w:tc>
          <w:tcPr>
            <w:tcW w:w="515" w:type="dxa"/>
            <w:tcBorders/>
            <w:shd w:fill="auto" w:val="clear"/>
            <w:vAlign w:val="center"/>
          </w:tcPr>
          <w:p>
            <w:pPr>
              <w:pStyle w:val="TableContents"/>
              <w:spacing w:before="0" w:after="0"/>
              <w:ind w:left="0" w:right="0" w:firstLine="30"/>
              <w:rPr/>
            </w:pPr>
            <w:r>
              <w:rPr/>
              <w:t> </w:t>
            </w:r>
          </w:p>
        </w:tc>
        <w:tc>
          <w:tcPr>
            <w:tcW w:w="2760" w:type="dxa"/>
            <w:tcBorders/>
            <w:shd w:fill="auto" w:val="clear"/>
            <w:vAlign w:val="center"/>
          </w:tcPr>
          <w:p>
            <w:pPr>
              <w:pStyle w:val="TableContents"/>
              <w:spacing w:before="0" w:after="0"/>
              <w:ind w:left="0" w:right="0" w:firstLine="30"/>
              <w:rPr/>
            </w:pPr>
            <w:r>
              <w:rPr/>
              <w:t> </w:t>
            </w:r>
          </w:p>
        </w:tc>
        <w:tc>
          <w:tcPr>
            <w:tcW w:w="204" w:type="dxa"/>
            <w:tcBorders/>
            <w:shd w:fill="auto" w:val="clear"/>
            <w:vAlign w:val="center"/>
          </w:tcPr>
          <w:p>
            <w:pPr>
              <w:pStyle w:val="TableContents"/>
              <w:spacing w:before="0" w:after="0"/>
              <w:ind w:left="0" w:right="0" w:firstLine="30"/>
              <w:jc w:val="left"/>
              <w:rPr/>
            </w:pPr>
            <w:r>
              <w:rPr/>
              <w:t> </w:t>
            </w:r>
          </w:p>
        </w:tc>
        <w:tc>
          <w:tcPr>
            <w:tcW w:w="407" w:type="dxa"/>
            <w:tcBorders/>
            <w:shd w:fill="auto" w:val="clear"/>
            <w:vAlign w:val="center"/>
          </w:tcPr>
          <w:p>
            <w:pPr>
              <w:pStyle w:val="TableContents"/>
              <w:spacing w:before="0" w:after="0"/>
              <w:ind w:left="0" w:right="0" w:firstLine="30"/>
              <w:rPr/>
            </w:pPr>
            <w:r>
              <w:rPr/>
              <w:t> </w:t>
            </w:r>
          </w:p>
        </w:tc>
        <w:tc>
          <w:tcPr>
            <w:tcW w:w="1116" w:type="dxa"/>
            <w:tcBorders/>
            <w:shd w:fill="auto" w:val="clear"/>
            <w:vAlign w:val="center"/>
          </w:tcPr>
          <w:p>
            <w:pPr>
              <w:pStyle w:val="TableContents"/>
              <w:spacing w:before="0" w:after="0"/>
              <w:ind w:left="0" w:right="0" w:firstLine="30"/>
              <w:jc w:val="left"/>
              <w:rPr/>
            </w:pPr>
            <w:r>
              <w:rPr/>
              <w:t> </w:t>
            </w:r>
          </w:p>
        </w:tc>
        <w:tc>
          <w:tcPr>
            <w:tcW w:w="1116" w:type="dxa"/>
            <w:tcBorders/>
            <w:shd w:fill="auto" w:val="clear"/>
            <w:vAlign w:val="center"/>
          </w:tcPr>
          <w:p>
            <w:pPr>
              <w:pStyle w:val="TableContents"/>
              <w:spacing w:before="0" w:after="0"/>
              <w:ind w:left="0" w:right="0" w:firstLine="30"/>
              <w:rPr/>
            </w:pPr>
            <w:r>
              <w:rPr/>
              <w:t> </w:t>
            </w:r>
          </w:p>
        </w:tc>
        <w:tc>
          <w:tcPr>
            <w:tcW w:w="204" w:type="dxa"/>
            <w:tcBorders/>
            <w:shd w:fill="auto" w:val="clear"/>
            <w:vAlign w:val="center"/>
          </w:tcPr>
          <w:p>
            <w:pPr>
              <w:pStyle w:val="TableContents"/>
              <w:spacing w:before="0" w:after="0"/>
              <w:ind w:left="0" w:right="0" w:firstLine="30"/>
              <w:jc w:val="left"/>
              <w:rPr/>
            </w:pPr>
            <w:r>
              <w:rPr/>
              <w:t> </w:t>
            </w:r>
          </w:p>
        </w:tc>
        <w:tc>
          <w:tcPr>
            <w:tcW w:w="3883" w:type="dxa"/>
            <w:tcBorders/>
            <w:shd w:fill="auto" w:val="clear"/>
            <w:vAlign w:val="center"/>
          </w:tcPr>
          <w:p>
            <w:pPr>
              <w:pStyle w:val="TableContents"/>
              <w:spacing w:before="0" w:after="0"/>
              <w:jc w:val="center"/>
              <w:rPr>
                <w:rFonts w:ascii="inherit" w:hAnsi="inherit"/>
                <w:b/>
                <w:sz w:val="13"/>
              </w:rPr>
            </w:pPr>
            <w:r>
              <w:rPr>
                <w:rFonts w:ascii="inherit" w:hAnsi="inherit"/>
                <w:b/>
                <w:sz w:val="13"/>
              </w:rPr>
              <w:t xml:space="preserve">Senior Vice President and Chief Financial Officer </w:t>
            </w:r>
          </w:p>
          <w:p>
            <w:pPr>
              <w:pStyle w:val="TableContents"/>
              <w:spacing w:before="0" w:after="0"/>
              <w:jc w:val="center"/>
              <w:rPr>
                <w:rFonts w:ascii="inherit" w:hAnsi="inherit"/>
                <w:b/>
                <w:sz w:val="13"/>
              </w:rPr>
            </w:pPr>
            <w:r>
              <w:rPr>
                <w:rFonts w:ascii="inherit" w:hAnsi="inherit"/>
                <w:b/>
                <w:sz w:val="13"/>
              </w:rPr>
              <w:t>(Principal Financial Officer)</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67" w:name="sEF8526E51240A7EE21E966ED22F1ECD9"/>
      <w:bookmarkStart w:id="68" w:name="exhibit321_20140930.htm"/>
      <w:bookmarkStart w:id="69" w:name="ksexhibit321_20140930"/>
      <w:bookmarkStart w:id="70" w:name="sEF8526E51240A7EE21E966ED22F1ECD9"/>
      <w:bookmarkStart w:id="71" w:name="exhibit321_20140930.htm"/>
      <w:bookmarkStart w:id="72" w:name="ksexhibit321_20140930"/>
      <w:bookmarkEnd w:id="70"/>
      <w:bookmarkEnd w:id="71"/>
      <w:bookmarkEnd w:id="72"/>
    </w:p>
    <w:p>
      <w:pPr>
        <w:pStyle w:val="TextBody"/>
        <w:spacing w:before="0" w:after="0"/>
        <w:rPr/>
      </w:pPr>
      <w:r>
        <w:rPr/>
      </w:r>
    </w:p>
    <w:p>
      <w:pPr>
        <w:pStyle w:val="TextBody"/>
        <w:spacing w:lineRule="auto" w:line="288" w:before="0" w:after="0"/>
        <w:jc w:val="right"/>
        <w:rPr>
          <w:rFonts w:ascii="inherit" w:hAnsi="inherit"/>
          <w:b/>
          <w:i/>
          <w:sz w:val="17"/>
        </w:rPr>
      </w:pPr>
      <w:r>
        <w:rPr>
          <w:rFonts w:ascii="inherit" w:hAnsi="inherit"/>
          <w:b/>
          <w:i/>
          <w:sz w:val="17"/>
        </w:rPr>
        <w:t>Exhibit 32.1</w:t>
      </w:r>
    </w:p>
    <w:p>
      <w:pPr>
        <w:pStyle w:val="TextBody"/>
        <w:spacing w:lineRule="auto" w:line="288" w:before="0" w:after="0"/>
        <w:jc w:val="center"/>
        <w:rPr>
          <w:rFonts w:ascii="inherit" w:hAnsi="inherit"/>
          <w:b/>
          <w:sz w:val="17"/>
        </w:rPr>
      </w:pPr>
      <w:r>
        <w:rPr>
          <w:rFonts w:ascii="inherit" w:hAnsi="inherit"/>
          <w:b/>
          <w:sz w:val="17"/>
        </w:rPr>
        <w:t>CERTIFICATION PURSUANT TO</w:t>
      </w:r>
    </w:p>
    <w:p>
      <w:pPr>
        <w:pStyle w:val="TextBody"/>
        <w:spacing w:lineRule="auto" w:line="288" w:before="0" w:after="0"/>
        <w:jc w:val="center"/>
        <w:rPr>
          <w:rFonts w:ascii="inherit" w:hAnsi="inherit"/>
          <w:b/>
          <w:sz w:val="17"/>
        </w:rPr>
      </w:pPr>
      <w:r>
        <w:rPr>
          <w:rFonts w:ascii="inherit" w:hAnsi="inherit"/>
          <w:b/>
          <w:sz w:val="17"/>
        </w:rPr>
        <w:t>18 U.S.C. SECTION 1350</w:t>
      </w:r>
    </w:p>
    <w:p>
      <w:pPr>
        <w:pStyle w:val="TextBody"/>
        <w:spacing w:lineRule="auto" w:line="288" w:before="0" w:after="0"/>
        <w:jc w:val="center"/>
        <w:rPr>
          <w:rFonts w:ascii="inherit" w:hAnsi="inherit"/>
          <w:b/>
          <w:sz w:val="17"/>
        </w:rPr>
      </w:pPr>
      <w:r>
        <w:rPr>
          <w:rFonts w:ascii="inherit" w:hAnsi="inherit"/>
          <w:b/>
          <w:sz w:val="17"/>
        </w:rPr>
        <w:t>AS ADOPTED PURSUANT TO</w:t>
      </w:r>
    </w:p>
    <w:p>
      <w:pPr>
        <w:pStyle w:val="TextBody"/>
        <w:spacing w:lineRule="auto" w:line="288" w:before="0" w:after="0"/>
        <w:jc w:val="center"/>
        <w:rPr>
          <w:rFonts w:ascii="inherit" w:hAnsi="inherit"/>
          <w:b/>
          <w:sz w:val="17"/>
        </w:rPr>
      </w:pPr>
      <w:r>
        <w:rPr>
          <w:rFonts w:ascii="inherit" w:hAnsi="inherit"/>
          <w:b/>
          <w:sz w:val="17"/>
        </w:rPr>
        <w:t>SECTION 906 OF THE SARBANES-OXLEY ACT OF 2002</w:t>
      </w:r>
    </w:p>
    <w:p>
      <w:pPr>
        <w:pStyle w:val="TextBody"/>
        <w:spacing w:lineRule="auto" w:line="288" w:before="0" w:after="0"/>
        <w:ind w:left="0" w:right="0" w:firstLine="480"/>
        <w:rPr>
          <w:sz w:val="17"/>
        </w:rPr>
      </w:pPr>
      <w:r>
        <w:rPr>
          <w:rFonts w:ascii="inherit" w:hAnsi="inherit"/>
          <w:sz w:val="17"/>
        </w:rPr>
        <w:t xml:space="preserve">In connection with the Quarterly Report of Westlake Chemical Partners LP (the "Partnership") on Form 10-Q for the fiscal quarter ended </w:t>
      </w:r>
      <w:r>
        <w:rPr>
          <w:rFonts w:ascii="inherit" w:hAnsi="inherit"/>
          <w:strike w:val="false"/>
          <w:dstrike w:val="false"/>
          <w:color w:val="000000"/>
          <w:sz w:val="17"/>
          <w:u w:val="none"/>
          <w:effect w:val="none"/>
        </w:rPr>
        <w:t>September 30, 2014</w:t>
      </w:r>
      <w:r>
        <w:rPr>
          <w:sz w:val="17"/>
        </w:rPr>
        <w:t xml:space="preserve"> </w:t>
      </w:r>
      <w:r>
        <w:rPr>
          <w:rFonts w:ascii="inherit" w:hAnsi="inherit"/>
          <w:sz w:val="17"/>
        </w:rPr>
        <w:t>as filed with the Securities and Exchange Commission on the date hereof (the "Report"), I, Albert Chao, President and Chief Executive Officer of the Partnership, and I, M. Steven Bender, Senior Vice President and Chief Financial Officer of the Partnership, certify, to the best of our knowledge, pursuant to 18 U.S.C. §1350, as adopted pursuant to §906 of the Sarbanes-Oxley Act of 2002, that:</w:t>
      </w:r>
    </w:p>
    <w:tbl>
      <w:tblPr>
        <w:tblW w:w="10205" w:type="dxa"/>
        <w:jc w:val="left"/>
        <w:tblInd w:w="0" w:type="dxa"/>
        <w:tblCellMar>
          <w:top w:w="0" w:type="dxa"/>
          <w:left w:w="0" w:type="dxa"/>
          <w:bottom w:w="0" w:type="dxa"/>
          <w:right w:w="0" w:type="dxa"/>
        </w:tblCellMar>
      </w:tblPr>
      <w:tblGrid>
        <w:gridCol w:w="492"/>
        <w:gridCol w:w="9713"/>
      </w:tblGrid>
      <w:tr>
        <w:trPr/>
        <w:tc>
          <w:tcPr>
            <w:tcW w:w="492" w:type="dxa"/>
            <w:tcBorders/>
            <w:shd w:fill="auto" w:val="clear"/>
            <w:vAlign w:val="center"/>
          </w:tcPr>
          <w:p>
            <w:pPr>
              <w:pStyle w:val="TableContents"/>
              <w:spacing w:before="0" w:after="283"/>
              <w:rPr>
                <w:sz w:val="4"/>
                <w:szCs w:val="4"/>
              </w:rPr>
            </w:pPr>
            <w:r>
              <w:rPr>
                <w:sz w:val="4"/>
                <w:szCs w:val="4"/>
              </w:rPr>
            </w:r>
          </w:p>
        </w:tc>
        <w:tc>
          <w:tcPr>
            <w:tcW w:w="9713" w:type="dxa"/>
            <w:tcBorders/>
            <w:shd w:fill="auto" w:val="clear"/>
            <w:vAlign w:val="center"/>
          </w:tcPr>
          <w:p>
            <w:pPr>
              <w:pStyle w:val="TableContents"/>
              <w:spacing w:before="0" w:after="283"/>
              <w:rPr>
                <w:sz w:val="4"/>
                <w:szCs w:val="4"/>
              </w:rPr>
            </w:pPr>
            <w:r>
              <w:rPr>
                <w:sz w:val="4"/>
                <w:szCs w:val="4"/>
              </w:rPr>
            </w:r>
          </w:p>
        </w:tc>
      </w:tr>
      <w:tr>
        <w:trPr/>
        <w:tc>
          <w:tcPr>
            <w:tcW w:w="492" w:type="dxa"/>
            <w:tcBorders/>
            <w:shd w:fill="auto" w:val="clear"/>
            <w:vAlign w:val="center"/>
          </w:tcPr>
          <w:p>
            <w:pPr>
              <w:pStyle w:val="TableContents"/>
              <w:spacing w:lineRule="auto" w:line="288" w:before="0" w:after="0"/>
              <w:ind w:left="0" w:right="0" w:firstLine="240"/>
              <w:rPr>
                <w:rFonts w:ascii="inherit" w:hAnsi="inherit"/>
                <w:sz w:val="17"/>
              </w:rPr>
            </w:pPr>
            <w:r>
              <w:rPr>
                <w:rFonts w:ascii="inherit" w:hAnsi="inherit"/>
                <w:sz w:val="17"/>
              </w:rPr>
              <w:t>(1)</w:t>
            </w:r>
          </w:p>
        </w:tc>
        <w:tc>
          <w:tcPr>
            <w:tcW w:w="9713"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Report fully complies with the requirements of section 13(a) or 15(d) of the Securities Exchange Act of 1934, as amended; and</w:t>
            </w:r>
          </w:p>
        </w:tc>
      </w:tr>
    </w:tbl>
    <w:tbl>
      <w:tblPr>
        <w:tblW w:w="10205" w:type="dxa"/>
        <w:jc w:val="left"/>
        <w:tblInd w:w="0" w:type="dxa"/>
        <w:tblCellMar>
          <w:top w:w="0" w:type="dxa"/>
          <w:left w:w="0" w:type="dxa"/>
          <w:bottom w:w="0" w:type="dxa"/>
          <w:right w:w="0" w:type="dxa"/>
        </w:tblCellMar>
      </w:tblPr>
      <w:tblGrid>
        <w:gridCol w:w="486"/>
        <w:gridCol w:w="9719"/>
      </w:tblGrid>
      <w:tr>
        <w:trPr/>
        <w:tc>
          <w:tcPr>
            <w:tcW w:w="486" w:type="dxa"/>
            <w:tcBorders/>
            <w:shd w:fill="auto" w:val="clear"/>
            <w:vAlign w:val="center"/>
          </w:tcPr>
          <w:p>
            <w:pPr>
              <w:pStyle w:val="TableContents"/>
              <w:spacing w:before="0" w:after="283"/>
              <w:rPr>
                <w:sz w:val="4"/>
                <w:szCs w:val="4"/>
              </w:rPr>
            </w:pPr>
            <w:r>
              <w:rPr>
                <w:sz w:val="4"/>
                <w:szCs w:val="4"/>
              </w:rPr>
            </w:r>
          </w:p>
        </w:tc>
        <w:tc>
          <w:tcPr>
            <w:tcW w:w="9719" w:type="dxa"/>
            <w:tcBorders/>
            <w:shd w:fill="auto" w:val="clear"/>
            <w:vAlign w:val="center"/>
          </w:tcPr>
          <w:p>
            <w:pPr>
              <w:pStyle w:val="TableContents"/>
              <w:spacing w:before="0" w:after="283"/>
              <w:rPr>
                <w:sz w:val="4"/>
                <w:szCs w:val="4"/>
              </w:rPr>
            </w:pPr>
            <w:r>
              <w:rPr>
                <w:sz w:val="4"/>
                <w:szCs w:val="4"/>
              </w:rPr>
            </w:r>
          </w:p>
        </w:tc>
      </w:tr>
      <w:tr>
        <w:trPr/>
        <w:tc>
          <w:tcPr>
            <w:tcW w:w="486" w:type="dxa"/>
            <w:tcBorders/>
            <w:shd w:fill="auto" w:val="clear"/>
            <w:vAlign w:val="center"/>
          </w:tcPr>
          <w:p>
            <w:pPr>
              <w:pStyle w:val="TableContents"/>
              <w:spacing w:lineRule="auto" w:line="288" w:before="0" w:after="0"/>
              <w:ind w:left="0" w:right="0" w:firstLine="240"/>
              <w:rPr>
                <w:rFonts w:ascii="inherit" w:hAnsi="inherit"/>
                <w:sz w:val="17"/>
              </w:rPr>
            </w:pPr>
            <w:r>
              <w:rPr>
                <w:rFonts w:ascii="inherit" w:hAnsi="inherit"/>
                <w:sz w:val="17"/>
              </w:rPr>
              <w:t>(2)</w:t>
            </w:r>
          </w:p>
        </w:tc>
        <w:tc>
          <w:tcPr>
            <w:tcW w:w="9719"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information contained in the Report fairly presents, in all material aspects, the financial condition and results of operations of the Partnership.</w:t>
            </w:r>
          </w:p>
        </w:tc>
      </w:tr>
    </w:tbl>
    <w:p>
      <w:pPr>
        <w:pStyle w:val="TextBody"/>
        <w:spacing w:lineRule="auto" w:line="288" w:before="0" w:after="0"/>
        <w:ind w:left="0" w:right="0" w:firstLine="6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515"/>
        <w:gridCol w:w="2757"/>
        <w:gridCol w:w="204"/>
        <w:gridCol w:w="406"/>
        <w:gridCol w:w="1115"/>
        <w:gridCol w:w="1115"/>
        <w:gridCol w:w="204"/>
        <w:gridCol w:w="3889"/>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515" w:type="dxa"/>
            <w:tcBorders/>
            <w:shd w:fill="auto" w:val="clear"/>
            <w:vAlign w:val="center"/>
          </w:tcPr>
          <w:p>
            <w:pPr>
              <w:pStyle w:val="TableContents"/>
              <w:spacing w:before="0" w:after="283"/>
              <w:rPr>
                <w:sz w:val="4"/>
                <w:szCs w:val="4"/>
              </w:rPr>
            </w:pPr>
            <w:r>
              <w:rPr>
                <w:sz w:val="4"/>
                <w:szCs w:val="4"/>
              </w:rPr>
            </w:r>
          </w:p>
        </w:tc>
        <w:tc>
          <w:tcPr>
            <w:tcW w:w="2757"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388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Date:</w:t>
            </w:r>
          </w:p>
        </w:tc>
        <w:tc>
          <w:tcPr>
            <w:tcW w:w="27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November 7, 2014</w:t>
            </w:r>
          </w:p>
        </w:tc>
        <w:tc>
          <w:tcPr>
            <w:tcW w:w="204" w:type="dxa"/>
            <w:tcBorders/>
            <w:shd w:fill="auto" w:val="clear"/>
            <w:vAlign w:val="center"/>
          </w:tcPr>
          <w:p>
            <w:pPr>
              <w:pStyle w:val="TableContents"/>
              <w:spacing w:before="0" w:after="0"/>
              <w:ind w:left="0" w:right="0" w:firstLine="30"/>
              <w:jc w:val="left"/>
              <w:rPr/>
            </w:pPr>
            <w:r>
              <w:rPr/>
              <w:t> </w:t>
            </w:r>
          </w:p>
        </w:tc>
        <w:tc>
          <w:tcPr>
            <w:tcW w:w="406" w:type="dxa"/>
            <w:tcBorders/>
            <w:shd w:fill="auto" w:val="clear"/>
            <w:vAlign w:val="center"/>
          </w:tcPr>
          <w:p>
            <w:pPr>
              <w:pStyle w:val="TableContents"/>
              <w:spacing w:before="0" w:after="0"/>
              <w:ind w:left="0" w:right="0" w:firstLine="30"/>
              <w:rPr/>
            </w:pPr>
            <w:r>
              <w:rPr/>
              <w:t> </w:t>
            </w:r>
          </w:p>
        </w:tc>
        <w:tc>
          <w:tcPr>
            <w:tcW w:w="1115" w:type="dxa"/>
            <w:tcBorders/>
            <w:shd w:fill="auto" w:val="clear"/>
            <w:vAlign w:val="center"/>
          </w:tcPr>
          <w:p>
            <w:pPr>
              <w:pStyle w:val="TableContents"/>
              <w:spacing w:before="0" w:after="0"/>
              <w:ind w:left="0" w:right="0" w:firstLine="30"/>
              <w:jc w:val="left"/>
              <w:rPr/>
            </w:pPr>
            <w:r>
              <w:rPr/>
              <w:t> </w:t>
            </w:r>
          </w:p>
        </w:tc>
        <w:tc>
          <w:tcPr>
            <w:tcW w:w="1115" w:type="dxa"/>
            <w:tcBorders/>
            <w:shd w:fill="auto" w:val="clear"/>
            <w:vAlign w:val="center"/>
          </w:tcPr>
          <w:p>
            <w:pPr>
              <w:pStyle w:val="TableContents"/>
              <w:spacing w:before="0" w:after="0"/>
              <w:ind w:left="0" w:right="0" w:firstLine="30"/>
              <w:rPr/>
            </w:pPr>
            <w:r>
              <w:rPr/>
              <w:t> </w:t>
            </w:r>
          </w:p>
        </w:tc>
        <w:tc>
          <w:tcPr>
            <w:tcW w:w="204" w:type="dxa"/>
            <w:tcBorders>
              <w:bottom w:val="single" w:sz="2" w:space="0" w:color="000000"/>
            </w:tcBorders>
            <w:shd w:fill="auto" w:val="clear"/>
            <w:tcMar>
              <w:bottom w:w="30" w:type="dxa"/>
            </w:tcMar>
            <w:vAlign w:val="center"/>
          </w:tcPr>
          <w:p>
            <w:pPr>
              <w:pStyle w:val="TableContents"/>
              <w:spacing w:before="0" w:after="0"/>
              <w:ind w:left="0" w:right="0" w:firstLine="30"/>
              <w:jc w:val="left"/>
              <w:rPr/>
            </w:pPr>
            <w:r>
              <w:rPr/>
              <w:t> </w:t>
            </w:r>
          </w:p>
        </w:tc>
        <w:tc>
          <w:tcPr>
            <w:tcW w:w="3889" w:type="dxa"/>
            <w:tcBorders>
              <w:bottom w:val="single" w:sz="2" w:space="0" w:color="000000"/>
            </w:tcBorders>
            <w:shd w:fill="auto" w:val="clear"/>
            <w:tcMar>
              <w:bottom w:w="30" w:type="dxa"/>
            </w:tcMar>
            <w:vAlign w:val="center"/>
          </w:tcPr>
          <w:p>
            <w:pPr>
              <w:pStyle w:val="TableContents"/>
              <w:spacing w:before="0" w:after="0"/>
              <w:ind w:left="0" w:right="0" w:firstLine="30"/>
              <w:jc w:val="center"/>
              <w:rPr>
                <w:sz w:val="17"/>
              </w:rPr>
            </w:pPr>
            <w:r>
              <w:rPr>
                <w:rFonts w:ascii="inherit" w:hAnsi="inherit"/>
                <w:sz w:val="17"/>
              </w:rPr>
              <w:t>/</w:t>
            </w:r>
            <w:r>
              <w:rPr>
                <w:rFonts w:ascii="inherit" w:hAnsi="inherit"/>
                <w:sz w:val="13"/>
              </w:rPr>
              <w:t>S</w:t>
            </w:r>
            <w:r>
              <w:rPr>
                <w:rFonts w:ascii="inherit" w:hAnsi="inherit"/>
                <w:sz w:val="17"/>
              </w:rPr>
              <w:t>/    A</w:t>
            </w:r>
            <w:r>
              <w:rPr>
                <w:rFonts w:ascii="inherit" w:hAnsi="inherit"/>
                <w:sz w:val="13"/>
              </w:rPr>
              <w:t>LBERT</w:t>
            </w:r>
            <w:r>
              <w:rPr>
                <w:sz w:val="17"/>
              </w:rPr>
              <w:t> </w:t>
            </w:r>
            <w:r>
              <w:rPr>
                <w:rFonts w:ascii="inherit" w:hAnsi="inherit"/>
                <w:sz w:val="17"/>
              </w:rPr>
              <w:t>C</w:t>
            </w:r>
            <w:r>
              <w:rPr>
                <w:rFonts w:ascii="inherit" w:hAnsi="inherit"/>
                <w:sz w:val="13"/>
              </w:rPr>
              <w:t>HAO        </w:t>
            </w:r>
          </w:p>
        </w:tc>
      </w:tr>
      <w:tr>
        <w:trPr/>
        <w:tc>
          <w:tcPr>
            <w:tcW w:w="515" w:type="dxa"/>
            <w:tcBorders/>
            <w:shd w:fill="auto" w:val="clear"/>
            <w:vAlign w:val="center"/>
          </w:tcPr>
          <w:p>
            <w:pPr>
              <w:pStyle w:val="TableContents"/>
              <w:spacing w:before="0" w:after="0"/>
              <w:ind w:left="0" w:right="0" w:firstLine="30"/>
              <w:rPr/>
            </w:pPr>
            <w:r>
              <w:rPr/>
              <w:t> </w:t>
            </w:r>
          </w:p>
        </w:tc>
        <w:tc>
          <w:tcPr>
            <w:tcW w:w="2757" w:type="dxa"/>
            <w:tcBorders/>
            <w:shd w:fill="auto" w:val="clear"/>
            <w:vAlign w:val="center"/>
          </w:tcPr>
          <w:p>
            <w:pPr>
              <w:pStyle w:val="TableContents"/>
              <w:spacing w:before="0" w:after="0"/>
              <w:ind w:left="0" w:right="0" w:firstLine="30"/>
              <w:rPr/>
            </w:pPr>
            <w:r>
              <w:rPr/>
              <w:t> </w:t>
            </w:r>
          </w:p>
        </w:tc>
        <w:tc>
          <w:tcPr>
            <w:tcW w:w="204" w:type="dxa"/>
            <w:tcBorders/>
            <w:shd w:fill="auto" w:val="clear"/>
            <w:vAlign w:val="center"/>
          </w:tcPr>
          <w:p>
            <w:pPr>
              <w:pStyle w:val="TableContents"/>
              <w:spacing w:before="0" w:after="0"/>
              <w:ind w:left="0" w:right="0" w:firstLine="30"/>
              <w:jc w:val="left"/>
              <w:rPr/>
            </w:pPr>
            <w:r>
              <w:rPr/>
              <w:t> </w:t>
            </w:r>
          </w:p>
        </w:tc>
        <w:tc>
          <w:tcPr>
            <w:tcW w:w="406" w:type="dxa"/>
            <w:tcBorders/>
            <w:shd w:fill="auto" w:val="clear"/>
            <w:vAlign w:val="center"/>
          </w:tcPr>
          <w:p>
            <w:pPr>
              <w:pStyle w:val="TableContents"/>
              <w:spacing w:before="0" w:after="0"/>
              <w:ind w:left="0" w:right="0" w:firstLine="30"/>
              <w:rPr/>
            </w:pPr>
            <w:r>
              <w:rPr/>
              <w:t> </w:t>
            </w:r>
          </w:p>
        </w:tc>
        <w:tc>
          <w:tcPr>
            <w:tcW w:w="1115" w:type="dxa"/>
            <w:tcBorders/>
            <w:shd w:fill="auto" w:val="clear"/>
            <w:vAlign w:val="center"/>
          </w:tcPr>
          <w:p>
            <w:pPr>
              <w:pStyle w:val="TableContents"/>
              <w:spacing w:before="0" w:after="0"/>
              <w:ind w:left="0" w:right="0" w:firstLine="30"/>
              <w:jc w:val="left"/>
              <w:rPr/>
            </w:pPr>
            <w:r>
              <w:rPr/>
              <w:t> </w:t>
            </w:r>
          </w:p>
        </w:tc>
        <w:tc>
          <w:tcPr>
            <w:tcW w:w="1115" w:type="dxa"/>
            <w:tcBorders/>
            <w:shd w:fill="auto" w:val="clear"/>
            <w:vAlign w:val="center"/>
          </w:tcPr>
          <w:p>
            <w:pPr>
              <w:pStyle w:val="TableContents"/>
              <w:spacing w:before="0" w:after="0"/>
              <w:ind w:left="0" w:right="0" w:firstLine="30"/>
              <w:rPr/>
            </w:pPr>
            <w:r>
              <w:rPr/>
              <w:t> </w:t>
            </w:r>
          </w:p>
        </w:tc>
        <w:tc>
          <w:tcPr>
            <w:tcW w:w="204" w:type="dxa"/>
            <w:tcBorders/>
            <w:shd w:fill="auto" w:val="clear"/>
            <w:vAlign w:val="center"/>
          </w:tcPr>
          <w:p>
            <w:pPr>
              <w:pStyle w:val="TableContents"/>
              <w:spacing w:before="0" w:after="0"/>
              <w:ind w:left="0" w:right="0" w:firstLine="30"/>
              <w:jc w:val="left"/>
              <w:rPr/>
            </w:pPr>
            <w:r>
              <w:rPr/>
              <w:t> </w:t>
            </w:r>
          </w:p>
        </w:tc>
        <w:tc>
          <w:tcPr>
            <w:tcW w:w="3889"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Albert Chao</w:t>
            </w:r>
          </w:p>
        </w:tc>
      </w:tr>
      <w:tr>
        <w:trPr/>
        <w:tc>
          <w:tcPr>
            <w:tcW w:w="515" w:type="dxa"/>
            <w:tcBorders/>
            <w:shd w:fill="auto" w:val="clear"/>
            <w:vAlign w:val="center"/>
          </w:tcPr>
          <w:p>
            <w:pPr>
              <w:pStyle w:val="TableContents"/>
              <w:spacing w:before="0" w:after="0"/>
              <w:ind w:left="0" w:right="0" w:firstLine="30"/>
              <w:rPr/>
            </w:pPr>
            <w:r>
              <w:rPr/>
              <w:t> </w:t>
            </w:r>
          </w:p>
        </w:tc>
        <w:tc>
          <w:tcPr>
            <w:tcW w:w="2757" w:type="dxa"/>
            <w:tcBorders/>
            <w:shd w:fill="auto" w:val="clear"/>
            <w:vAlign w:val="center"/>
          </w:tcPr>
          <w:p>
            <w:pPr>
              <w:pStyle w:val="TableContents"/>
              <w:spacing w:before="0" w:after="0"/>
              <w:ind w:left="0" w:right="0" w:firstLine="30"/>
              <w:rPr/>
            </w:pPr>
            <w:r>
              <w:rPr/>
              <w:t> </w:t>
            </w:r>
          </w:p>
        </w:tc>
        <w:tc>
          <w:tcPr>
            <w:tcW w:w="204" w:type="dxa"/>
            <w:tcBorders/>
            <w:shd w:fill="auto" w:val="clear"/>
            <w:vAlign w:val="center"/>
          </w:tcPr>
          <w:p>
            <w:pPr>
              <w:pStyle w:val="TableContents"/>
              <w:spacing w:before="0" w:after="0"/>
              <w:ind w:left="0" w:right="0" w:firstLine="30"/>
              <w:jc w:val="left"/>
              <w:rPr/>
            </w:pPr>
            <w:r>
              <w:rPr/>
              <w:t> </w:t>
            </w:r>
          </w:p>
        </w:tc>
        <w:tc>
          <w:tcPr>
            <w:tcW w:w="406" w:type="dxa"/>
            <w:tcBorders/>
            <w:shd w:fill="auto" w:val="clear"/>
            <w:vAlign w:val="center"/>
          </w:tcPr>
          <w:p>
            <w:pPr>
              <w:pStyle w:val="TableContents"/>
              <w:spacing w:before="0" w:after="0"/>
              <w:ind w:left="0" w:right="0" w:firstLine="30"/>
              <w:rPr/>
            </w:pPr>
            <w:r>
              <w:rPr/>
              <w:t> </w:t>
            </w:r>
          </w:p>
        </w:tc>
        <w:tc>
          <w:tcPr>
            <w:tcW w:w="1115" w:type="dxa"/>
            <w:tcBorders/>
            <w:shd w:fill="auto" w:val="clear"/>
            <w:vAlign w:val="center"/>
          </w:tcPr>
          <w:p>
            <w:pPr>
              <w:pStyle w:val="TableContents"/>
              <w:spacing w:before="0" w:after="0"/>
              <w:ind w:left="0" w:right="0" w:firstLine="30"/>
              <w:jc w:val="left"/>
              <w:rPr/>
            </w:pPr>
            <w:r>
              <w:rPr/>
              <w:t> </w:t>
            </w:r>
          </w:p>
        </w:tc>
        <w:tc>
          <w:tcPr>
            <w:tcW w:w="1115" w:type="dxa"/>
            <w:tcBorders/>
            <w:shd w:fill="auto" w:val="clear"/>
            <w:vAlign w:val="center"/>
          </w:tcPr>
          <w:p>
            <w:pPr>
              <w:pStyle w:val="TableContents"/>
              <w:spacing w:before="0" w:after="0"/>
              <w:ind w:left="0" w:right="0" w:firstLine="30"/>
              <w:rPr/>
            </w:pPr>
            <w:r>
              <w:rPr/>
              <w:t> </w:t>
            </w:r>
          </w:p>
        </w:tc>
        <w:tc>
          <w:tcPr>
            <w:tcW w:w="204" w:type="dxa"/>
            <w:tcBorders/>
            <w:shd w:fill="auto" w:val="clear"/>
            <w:vAlign w:val="center"/>
          </w:tcPr>
          <w:p>
            <w:pPr>
              <w:pStyle w:val="TableContents"/>
              <w:spacing w:before="0" w:after="0"/>
              <w:ind w:left="0" w:right="0" w:firstLine="30"/>
              <w:jc w:val="left"/>
              <w:rPr/>
            </w:pPr>
            <w:r>
              <w:rPr/>
              <w:t> </w:t>
            </w:r>
          </w:p>
        </w:tc>
        <w:tc>
          <w:tcPr>
            <w:tcW w:w="3889" w:type="dxa"/>
            <w:tcBorders/>
            <w:shd w:fill="auto" w:val="clear"/>
            <w:vAlign w:val="center"/>
          </w:tcPr>
          <w:p>
            <w:pPr>
              <w:pStyle w:val="TableContents"/>
              <w:spacing w:before="0" w:after="0"/>
              <w:jc w:val="center"/>
              <w:rPr>
                <w:rFonts w:ascii="inherit" w:hAnsi="inherit"/>
                <w:b/>
                <w:sz w:val="13"/>
              </w:rPr>
            </w:pPr>
            <w:r>
              <w:rPr>
                <w:rFonts w:ascii="inherit" w:hAnsi="inherit"/>
                <w:b/>
                <w:sz w:val="13"/>
              </w:rPr>
              <w:t>President and Chief Executive Officer</w:t>
            </w:r>
          </w:p>
          <w:p>
            <w:pPr>
              <w:pStyle w:val="TableContents"/>
              <w:spacing w:before="0" w:after="0"/>
              <w:ind w:left="0" w:right="0" w:firstLine="30"/>
              <w:jc w:val="center"/>
              <w:rPr>
                <w:rFonts w:ascii="inherit" w:hAnsi="inherit"/>
                <w:b/>
                <w:sz w:val="13"/>
              </w:rPr>
            </w:pPr>
            <w:r>
              <w:rPr>
                <w:rFonts w:ascii="inherit" w:hAnsi="inherit"/>
                <w:b/>
                <w:sz w:val="13"/>
              </w:rPr>
              <w:t>(Principal Executive Officer)</w:t>
            </w:r>
          </w:p>
        </w:tc>
      </w:tr>
      <w:tr>
        <w:trPr/>
        <w:tc>
          <w:tcPr>
            <w:tcW w:w="515" w:type="dxa"/>
            <w:tcBorders/>
            <w:shd w:fill="auto" w:val="clear"/>
            <w:vAlign w:val="center"/>
          </w:tcPr>
          <w:p>
            <w:pPr>
              <w:pStyle w:val="TableContents"/>
              <w:spacing w:before="0" w:after="0"/>
              <w:ind w:left="0" w:right="0" w:firstLine="30"/>
              <w:rPr/>
            </w:pPr>
            <w:r>
              <w:rPr/>
              <w:t> </w:t>
            </w:r>
          </w:p>
        </w:tc>
        <w:tc>
          <w:tcPr>
            <w:tcW w:w="2757"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ind w:left="0" w:right="0" w:firstLine="30"/>
              <w:rPr/>
            </w:pPr>
            <w:r>
              <w:rPr/>
              <w:t> </w:t>
            </w:r>
          </w:p>
        </w:tc>
        <w:tc>
          <w:tcPr>
            <w:tcW w:w="2230" w:type="dxa"/>
            <w:gridSpan w:val="2"/>
            <w:tcBorders/>
            <w:shd w:fill="auto" w:val="clear"/>
            <w:vAlign w:val="center"/>
          </w:tcPr>
          <w:p>
            <w:pPr>
              <w:pStyle w:val="TableContents"/>
              <w:spacing w:before="0" w:after="0"/>
              <w:ind w:left="0" w:right="0" w:firstLine="30"/>
              <w:rPr/>
            </w:pPr>
            <w:r>
              <w:rPr/>
              <w:t> </w:t>
            </w:r>
          </w:p>
        </w:tc>
        <w:tc>
          <w:tcPr>
            <w:tcW w:w="4093" w:type="dxa"/>
            <w:gridSpan w:val="2"/>
            <w:tcBorders/>
            <w:shd w:fill="auto" w:val="clear"/>
            <w:vAlign w:val="center"/>
          </w:tcPr>
          <w:p>
            <w:pPr>
              <w:pStyle w:val="TableContents"/>
              <w:spacing w:before="0" w:after="0"/>
              <w:ind w:left="0" w:right="0" w:firstLine="30"/>
              <w:rPr/>
            </w:pPr>
            <w:r>
              <w:rPr/>
              <w:t> </w:t>
            </w:r>
          </w:p>
        </w:tc>
      </w:tr>
      <w:tr>
        <w:trPr/>
        <w:tc>
          <w:tcPr>
            <w:tcW w:w="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Date:</w:t>
            </w:r>
          </w:p>
        </w:tc>
        <w:tc>
          <w:tcPr>
            <w:tcW w:w="27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November 7, 2014</w:t>
            </w:r>
          </w:p>
        </w:tc>
        <w:tc>
          <w:tcPr>
            <w:tcW w:w="204" w:type="dxa"/>
            <w:tcBorders/>
            <w:shd w:fill="auto" w:val="clear"/>
            <w:vAlign w:val="center"/>
          </w:tcPr>
          <w:p>
            <w:pPr>
              <w:pStyle w:val="TableContents"/>
              <w:spacing w:before="0" w:after="0"/>
              <w:ind w:left="0" w:right="0" w:firstLine="30"/>
              <w:jc w:val="left"/>
              <w:rPr/>
            </w:pPr>
            <w:r>
              <w:rPr/>
              <w:t> </w:t>
            </w:r>
          </w:p>
        </w:tc>
        <w:tc>
          <w:tcPr>
            <w:tcW w:w="406" w:type="dxa"/>
            <w:tcBorders/>
            <w:shd w:fill="auto" w:val="clear"/>
            <w:vAlign w:val="center"/>
          </w:tcPr>
          <w:p>
            <w:pPr>
              <w:pStyle w:val="TableContents"/>
              <w:spacing w:before="0" w:after="0"/>
              <w:ind w:left="0" w:right="0" w:firstLine="30"/>
              <w:rPr/>
            </w:pPr>
            <w:r>
              <w:rPr/>
              <w:t> </w:t>
            </w:r>
          </w:p>
        </w:tc>
        <w:tc>
          <w:tcPr>
            <w:tcW w:w="1115" w:type="dxa"/>
            <w:tcBorders/>
            <w:shd w:fill="auto" w:val="clear"/>
            <w:vAlign w:val="center"/>
          </w:tcPr>
          <w:p>
            <w:pPr>
              <w:pStyle w:val="TableContents"/>
              <w:spacing w:before="0" w:after="0"/>
              <w:ind w:left="0" w:right="0" w:firstLine="30"/>
              <w:jc w:val="left"/>
              <w:rPr/>
            </w:pPr>
            <w:r>
              <w:rPr/>
              <w:t> </w:t>
            </w:r>
          </w:p>
        </w:tc>
        <w:tc>
          <w:tcPr>
            <w:tcW w:w="1115" w:type="dxa"/>
            <w:tcBorders/>
            <w:shd w:fill="auto" w:val="clear"/>
            <w:vAlign w:val="center"/>
          </w:tcPr>
          <w:p>
            <w:pPr>
              <w:pStyle w:val="TableContents"/>
              <w:spacing w:before="0" w:after="0"/>
              <w:ind w:left="0" w:right="0" w:firstLine="30"/>
              <w:rPr/>
            </w:pPr>
            <w:r>
              <w:rPr/>
              <w:t> </w:t>
            </w:r>
          </w:p>
        </w:tc>
        <w:tc>
          <w:tcPr>
            <w:tcW w:w="204" w:type="dxa"/>
            <w:tcBorders>
              <w:bottom w:val="single" w:sz="2" w:space="0" w:color="000000"/>
            </w:tcBorders>
            <w:shd w:fill="auto" w:val="clear"/>
            <w:tcMar>
              <w:bottom w:w="30" w:type="dxa"/>
            </w:tcMar>
            <w:vAlign w:val="center"/>
          </w:tcPr>
          <w:p>
            <w:pPr>
              <w:pStyle w:val="TableContents"/>
              <w:spacing w:before="0" w:after="0"/>
              <w:ind w:left="0" w:right="0" w:firstLine="30"/>
              <w:jc w:val="left"/>
              <w:rPr/>
            </w:pPr>
            <w:r>
              <w:rPr/>
              <w:t> </w:t>
            </w:r>
          </w:p>
        </w:tc>
        <w:tc>
          <w:tcPr>
            <w:tcW w:w="3889" w:type="dxa"/>
            <w:tcBorders>
              <w:bottom w:val="single" w:sz="2" w:space="0" w:color="000000"/>
            </w:tcBorders>
            <w:shd w:fill="auto" w:val="clear"/>
            <w:tcMar>
              <w:bottom w:w="30" w:type="dxa"/>
            </w:tcMar>
            <w:vAlign w:val="center"/>
          </w:tcPr>
          <w:p>
            <w:pPr>
              <w:pStyle w:val="TableContents"/>
              <w:spacing w:before="0" w:after="0"/>
              <w:ind w:left="0" w:right="0" w:firstLine="30"/>
              <w:jc w:val="center"/>
              <w:rPr>
                <w:sz w:val="17"/>
              </w:rPr>
            </w:pPr>
            <w:r>
              <w:rPr>
                <w:rFonts w:ascii="inherit" w:hAnsi="inherit"/>
                <w:sz w:val="17"/>
              </w:rPr>
              <w:t>/</w:t>
            </w:r>
            <w:r>
              <w:rPr>
                <w:rFonts w:ascii="inherit" w:hAnsi="inherit"/>
                <w:sz w:val="13"/>
              </w:rPr>
              <w:t>S</w:t>
            </w:r>
            <w:r>
              <w:rPr>
                <w:rFonts w:ascii="inherit" w:hAnsi="inherit"/>
                <w:sz w:val="17"/>
              </w:rPr>
              <w:t>/    M. S</w:t>
            </w:r>
            <w:r>
              <w:rPr>
                <w:rFonts w:ascii="inherit" w:hAnsi="inherit"/>
                <w:sz w:val="13"/>
              </w:rPr>
              <w:t>TEVEN</w:t>
            </w:r>
            <w:r>
              <w:rPr>
                <w:sz w:val="17"/>
              </w:rPr>
              <w:t> </w:t>
            </w:r>
            <w:r>
              <w:rPr>
                <w:rFonts w:ascii="inherit" w:hAnsi="inherit"/>
                <w:sz w:val="17"/>
              </w:rPr>
              <w:t>B</w:t>
            </w:r>
            <w:r>
              <w:rPr>
                <w:rFonts w:ascii="inherit" w:hAnsi="inherit"/>
                <w:sz w:val="13"/>
              </w:rPr>
              <w:t>ENDER        </w:t>
            </w:r>
          </w:p>
        </w:tc>
      </w:tr>
      <w:tr>
        <w:trPr/>
        <w:tc>
          <w:tcPr>
            <w:tcW w:w="515" w:type="dxa"/>
            <w:tcBorders/>
            <w:shd w:fill="auto" w:val="clear"/>
            <w:vAlign w:val="center"/>
          </w:tcPr>
          <w:p>
            <w:pPr>
              <w:pStyle w:val="TableContents"/>
              <w:spacing w:before="0" w:after="0"/>
              <w:ind w:left="0" w:right="0" w:firstLine="30"/>
              <w:rPr/>
            </w:pPr>
            <w:r>
              <w:rPr/>
              <w:t> </w:t>
            </w:r>
          </w:p>
        </w:tc>
        <w:tc>
          <w:tcPr>
            <w:tcW w:w="2757" w:type="dxa"/>
            <w:tcBorders/>
            <w:shd w:fill="auto" w:val="clear"/>
            <w:vAlign w:val="center"/>
          </w:tcPr>
          <w:p>
            <w:pPr>
              <w:pStyle w:val="TableContents"/>
              <w:spacing w:before="0" w:after="0"/>
              <w:ind w:left="0" w:right="0" w:firstLine="30"/>
              <w:rPr/>
            </w:pPr>
            <w:r>
              <w:rPr/>
              <w:t> </w:t>
            </w:r>
          </w:p>
        </w:tc>
        <w:tc>
          <w:tcPr>
            <w:tcW w:w="204" w:type="dxa"/>
            <w:tcBorders/>
            <w:shd w:fill="auto" w:val="clear"/>
            <w:vAlign w:val="center"/>
          </w:tcPr>
          <w:p>
            <w:pPr>
              <w:pStyle w:val="TableContents"/>
              <w:spacing w:before="0" w:after="0"/>
              <w:ind w:left="0" w:right="0" w:firstLine="30"/>
              <w:jc w:val="left"/>
              <w:rPr/>
            </w:pPr>
            <w:r>
              <w:rPr/>
              <w:t> </w:t>
            </w:r>
          </w:p>
        </w:tc>
        <w:tc>
          <w:tcPr>
            <w:tcW w:w="406" w:type="dxa"/>
            <w:tcBorders/>
            <w:shd w:fill="auto" w:val="clear"/>
            <w:vAlign w:val="center"/>
          </w:tcPr>
          <w:p>
            <w:pPr>
              <w:pStyle w:val="TableContents"/>
              <w:spacing w:before="0" w:after="0"/>
              <w:ind w:left="0" w:right="0" w:firstLine="30"/>
              <w:rPr/>
            </w:pPr>
            <w:r>
              <w:rPr/>
              <w:t> </w:t>
            </w:r>
          </w:p>
        </w:tc>
        <w:tc>
          <w:tcPr>
            <w:tcW w:w="1115" w:type="dxa"/>
            <w:tcBorders/>
            <w:shd w:fill="auto" w:val="clear"/>
            <w:vAlign w:val="center"/>
          </w:tcPr>
          <w:p>
            <w:pPr>
              <w:pStyle w:val="TableContents"/>
              <w:spacing w:before="0" w:after="0"/>
              <w:ind w:left="0" w:right="0" w:firstLine="30"/>
              <w:jc w:val="left"/>
              <w:rPr/>
            </w:pPr>
            <w:r>
              <w:rPr/>
              <w:t> </w:t>
            </w:r>
          </w:p>
        </w:tc>
        <w:tc>
          <w:tcPr>
            <w:tcW w:w="1115" w:type="dxa"/>
            <w:tcBorders/>
            <w:shd w:fill="auto" w:val="clear"/>
            <w:vAlign w:val="center"/>
          </w:tcPr>
          <w:p>
            <w:pPr>
              <w:pStyle w:val="TableContents"/>
              <w:spacing w:before="0" w:after="0"/>
              <w:ind w:left="0" w:right="0" w:firstLine="30"/>
              <w:rPr/>
            </w:pPr>
            <w:r>
              <w:rPr/>
              <w:t> </w:t>
            </w:r>
          </w:p>
        </w:tc>
        <w:tc>
          <w:tcPr>
            <w:tcW w:w="204" w:type="dxa"/>
            <w:tcBorders/>
            <w:shd w:fill="auto" w:val="clear"/>
            <w:vAlign w:val="center"/>
          </w:tcPr>
          <w:p>
            <w:pPr>
              <w:pStyle w:val="TableContents"/>
              <w:spacing w:before="0" w:after="0"/>
              <w:ind w:left="0" w:right="0" w:firstLine="30"/>
              <w:jc w:val="left"/>
              <w:rPr/>
            </w:pPr>
            <w:r>
              <w:rPr/>
              <w:t> </w:t>
            </w:r>
          </w:p>
        </w:tc>
        <w:tc>
          <w:tcPr>
            <w:tcW w:w="3889"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M. Steven Bender</w:t>
            </w:r>
          </w:p>
        </w:tc>
      </w:tr>
      <w:tr>
        <w:trPr/>
        <w:tc>
          <w:tcPr>
            <w:tcW w:w="515" w:type="dxa"/>
            <w:tcBorders/>
            <w:shd w:fill="auto" w:val="clear"/>
            <w:vAlign w:val="center"/>
          </w:tcPr>
          <w:p>
            <w:pPr>
              <w:pStyle w:val="TableContents"/>
              <w:spacing w:before="0" w:after="0"/>
              <w:ind w:left="0" w:right="0" w:firstLine="30"/>
              <w:rPr/>
            </w:pPr>
            <w:r>
              <w:rPr/>
              <w:t> </w:t>
            </w:r>
          </w:p>
        </w:tc>
        <w:tc>
          <w:tcPr>
            <w:tcW w:w="2757" w:type="dxa"/>
            <w:tcBorders/>
            <w:shd w:fill="auto" w:val="clear"/>
            <w:vAlign w:val="center"/>
          </w:tcPr>
          <w:p>
            <w:pPr>
              <w:pStyle w:val="TableContents"/>
              <w:spacing w:before="0" w:after="0"/>
              <w:ind w:left="0" w:right="0" w:firstLine="30"/>
              <w:rPr/>
            </w:pPr>
            <w:r>
              <w:rPr/>
              <w:t> </w:t>
            </w:r>
          </w:p>
        </w:tc>
        <w:tc>
          <w:tcPr>
            <w:tcW w:w="204" w:type="dxa"/>
            <w:tcBorders/>
            <w:shd w:fill="auto" w:val="clear"/>
            <w:vAlign w:val="center"/>
          </w:tcPr>
          <w:p>
            <w:pPr>
              <w:pStyle w:val="TableContents"/>
              <w:spacing w:before="0" w:after="0"/>
              <w:ind w:left="0" w:right="0" w:firstLine="30"/>
              <w:jc w:val="left"/>
              <w:rPr/>
            </w:pPr>
            <w:r>
              <w:rPr/>
              <w:t> </w:t>
            </w:r>
          </w:p>
        </w:tc>
        <w:tc>
          <w:tcPr>
            <w:tcW w:w="406" w:type="dxa"/>
            <w:tcBorders/>
            <w:shd w:fill="auto" w:val="clear"/>
            <w:vAlign w:val="center"/>
          </w:tcPr>
          <w:p>
            <w:pPr>
              <w:pStyle w:val="TableContents"/>
              <w:spacing w:before="0" w:after="0"/>
              <w:ind w:left="0" w:right="0" w:firstLine="30"/>
              <w:rPr/>
            </w:pPr>
            <w:r>
              <w:rPr/>
              <w:t> </w:t>
            </w:r>
          </w:p>
        </w:tc>
        <w:tc>
          <w:tcPr>
            <w:tcW w:w="1115" w:type="dxa"/>
            <w:tcBorders/>
            <w:shd w:fill="auto" w:val="clear"/>
            <w:vAlign w:val="center"/>
          </w:tcPr>
          <w:p>
            <w:pPr>
              <w:pStyle w:val="TableContents"/>
              <w:spacing w:before="0" w:after="0"/>
              <w:ind w:left="0" w:right="0" w:firstLine="30"/>
              <w:jc w:val="left"/>
              <w:rPr/>
            </w:pPr>
            <w:r>
              <w:rPr/>
              <w:t> </w:t>
            </w:r>
          </w:p>
        </w:tc>
        <w:tc>
          <w:tcPr>
            <w:tcW w:w="1115" w:type="dxa"/>
            <w:tcBorders/>
            <w:shd w:fill="auto" w:val="clear"/>
            <w:vAlign w:val="center"/>
          </w:tcPr>
          <w:p>
            <w:pPr>
              <w:pStyle w:val="TableContents"/>
              <w:spacing w:before="0" w:after="0"/>
              <w:ind w:left="0" w:right="0" w:firstLine="30"/>
              <w:rPr/>
            </w:pPr>
            <w:r>
              <w:rPr/>
              <w:t> </w:t>
            </w:r>
          </w:p>
        </w:tc>
        <w:tc>
          <w:tcPr>
            <w:tcW w:w="204" w:type="dxa"/>
            <w:tcBorders/>
            <w:shd w:fill="auto" w:val="clear"/>
            <w:vAlign w:val="center"/>
          </w:tcPr>
          <w:p>
            <w:pPr>
              <w:pStyle w:val="TableContents"/>
              <w:spacing w:before="0" w:after="0"/>
              <w:ind w:left="0" w:right="0" w:firstLine="30"/>
              <w:jc w:val="left"/>
              <w:rPr/>
            </w:pPr>
            <w:r>
              <w:rPr/>
              <w:t> </w:t>
            </w:r>
          </w:p>
        </w:tc>
        <w:tc>
          <w:tcPr>
            <w:tcW w:w="3889" w:type="dxa"/>
            <w:tcBorders/>
            <w:shd w:fill="auto" w:val="clear"/>
            <w:vAlign w:val="center"/>
          </w:tcPr>
          <w:p>
            <w:pPr>
              <w:pStyle w:val="TableContents"/>
              <w:spacing w:before="0" w:after="0"/>
              <w:jc w:val="center"/>
              <w:rPr>
                <w:rFonts w:ascii="inherit" w:hAnsi="inherit"/>
                <w:b/>
                <w:sz w:val="13"/>
              </w:rPr>
            </w:pPr>
            <w:r>
              <w:rPr>
                <w:rFonts w:ascii="inherit" w:hAnsi="inherit"/>
                <w:b/>
                <w:sz w:val="13"/>
              </w:rPr>
              <w:t xml:space="preserve">Senior Vice President and Chief Financial Officer </w:t>
            </w:r>
          </w:p>
          <w:p>
            <w:pPr>
              <w:pStyle w:val="TableContents"/>
              <w:spacing w:before="0" w:after="0"/>
              <w:jc w:val="center"/>
              <w:rPr>
                <w:rFonts w:ascii="inherit" w:hAnsi="inherit"/>
                <w:b/>
                <w:sz w:val="13"/>
              </w:rPr>
            </w:pPr>
            <w:r>
              <w:rPr>
                <w:rFonts w:ascii="inherit" w:hAnsi="inherit"/>
                <w:b/>
                <w:sz w:val="13"/>
              </w:rPr>
              <w:t>(Principal Financial Officer)</w:t>
            </w:r>
          </w:p>
        </w:tc>
      </w:tr>
    </w:tbl>
    <w:p>
      <w:pPr>
        <w:pStyle w:val="TextBody"/>
        <w:spacing w:before="0" w:after="0"/>
        <w:rPr/>
      </w:pPr>
      <w:r>
        <w:rPr/>
      </w:r>
    </w:p>
    <w:p>
      <w:pPr>
        <w:pStyle w:val="TextBody"/>
        <w:spacing w:lineRule="auto" w:line="288" w:before="0" w:after="283"/>
        <w:jc w:val="center"/>
        <w:rPr>
          <w:rFonts w:ascii="inherit" w:hAnsi="inherit"/>
          <w:sz w:val="17"/>
        </w:rPr>
      </w:pPr>
      <w:r>
        <w:rPr>
          <w:rFonts w:ascii="inherit" w:hAnsi="inherit"/>
          <w:sz w:val="17"/>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Wingdings">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38</Pages>
  <Words>19356</Words>
  <CharactersWithSpaces>128130</CharactersWithSpaces>
  <Paragraphs>3171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