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2024</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35,238,556 common units outstanding as of October 30, 2024.</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460,592</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(21,116,326 and 21,105,904 units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September 30, 2024 and December 31, 2023,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690,535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771,349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207,585</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18,136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47,396</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39,984</w:t>
            </w:r>
          </w:p>
        </w:tc>
        <w:tc>
          <w:tcPr>
            <w:tcW w:w="0" w:type="dxa"/>
            <w:vAlign w:val="bottom"/>
          </w:tcPr>
          <w:p>
            <w:pPr>
              <w:spacing w:after="0"/>
              <w:rPr>
                <w:sz w:val="1"/>
                <w:szCs w:val="1"/>
                <w:color w:val="auto"/>
              </w:rPr>
            </w:pPr>
          </w:p>
        </w:tc>
      </w:tr>
      <w:tr>
        <w:trPr>
          <w:trHeight w:val="22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 (basic and 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 (basic and</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21,112,943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21,108,731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21,100,832</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(84,872)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471,199</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834,847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(16,610)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(84,706)</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(88,678)</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889,878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(80,581)</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582,457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867,958</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(71,074)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474,895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861,272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(28,968)</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344,328</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(49,813)</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(290,146)</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2023 (the "2023 Form 10-K"), filed with the SEC on February 28, 2024. These financial statements have been prepared in conformity with the accounting principles and practices as disclosed in the notes to the consolidated financial statements of the Partnership for the fiscal year ended December 31, 2023.</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2024, its results of operations for the three and nine months ended September 30, 2024 and 2023 and the changes in its cash position for the nine months ended September 30, 2024 and 2023.</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accounting standards update requiring additional tax disclosures under Topic 740 primarily related to the rate reconciliation and income taxes paid disclosures. The amendments in this update will be effective for fiscal years beginning after December 15, 2024 and are to be applied on a prospective basis. Retrospective application is also permitted. The update is not expected to have a material impact on the Partnership's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accounting standards update requiring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will be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January 1, 2024, and the adoption will result in additional segment disclosures in the Partnership's annual financial statements for the year ending December 31, 2024 and the interim periods thereafter.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Depreciation expense on property, plant and equipment of $21,626 and $21,282 is included in cost of sales in the consolidated statements of operations for the three months ended September 30, 2024 and 2023, respectively. Depreciation expense on property, plant and equipment of $64,993 and $63,167 is included in cost of sales in the consolidated statements of operations for the nine months ended September 30, 2024 and 2023,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94"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Amortization expense on deferred charges and other assets of $6,486 and $6,944 is included in cost of sales in the consolidated statements of operations for the three months ended September 30, 2024 and 2023, respectively. Amortization expense on deferred charges and other assets of $19,428 and $18,735 is included in cost of sales in the consolidated statements of operations for the nine months ended September 30,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On October 30, 2024, the board of directors of Westlake Chemical Partners GP LLC ("Westlake GP"), the Partnership's general partner, declared a quarterly cash distribution for the three months ended September 30, 2024 of $0.4714 per unit. This distribution is payable on November 27, 2024 to unitholders of record as of November 12, 2024.</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39,984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49,814</w:t>
            </w:r>
          </w:p>
        </w:tc>
        <w:tc>
          <w:tcPr>
            <w:tcW w:w="0" w:type="dxa"/>
            <w:vAlign w:val="bottom"/>
          </w:tcPr>
          <w:p>
            <w:pPr>
              <w:spacing w:after="0"/>
              <w:rPr>
                <w:sz w:val="1"/>
                <w:szCs w:val="1"/>
                <w:color w:val="auto"/>
              </w:rPr>
            </w:pPr>
          </w:p>
        </w:tc>
      </w:tr>
      <w:tr>
        <w:trPr>
          <w:trHeight w:val="164"/>
        </w:trPr>
        <w:tc>
          <w:tcPr>
            <w:tcW w:w="52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in excess of distribution (Distribution in excess of net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12"/>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35,235,173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35,225,410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35,225,410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35,230,961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35,223,062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35,223,062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5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5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39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September 30, 2024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nine months ended September 30,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September 30, 2024.</w:t>
      </w:r>
    </w:p>
    <w:p>
      <w:pPr>
        <w:spacing w:after="0" w:line="13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2023 consolidated financial statements included in the 2023 Form 10-K filed on February 28, 2024,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215,799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690,535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771,349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previously announced maintenance turnaround at the Petro 1 facility from the third quarter of 2024 to the first quarter of 2025, OpCo's production is anticipated to result in "excess quantities" of ethylene for the current contract year. Therefore, Net sales—Westlake was reduced by $5,885 during the three and nine months ended September 30, 2024 in connection with charges to Westlake, under the Ethylene Sales Agreement, for certain non-variable costs of production subject to reimbursement related to the "excess quantities".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303,809</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31,274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91,707</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$1,368 and $1,272 was included in the receivable under the Investment Management Agreement balance at September 30, 2024 and December 31, 2023, respectively. Total interest earned related to the Investment Management Agreement was $1,368 and $1,186 for the three months ended September 30, 2024 and 2023, respectively, and $3,979 and $3,151 for the nine months ended September 30, 2024 and 2023,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109,540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a result of force majeure events in 2021, the Partnership recognized a shortfall fee of $58,906 during 2021, of which $189 remained to be collected by the Partnership as of December 31, 2023 and was received in the nine months ended September 30, 2024.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49,565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 As of September 30, 2024, accounts payable to Westlake also included $5,885 related to amounts charged to Westlake under the Ethylene Sales Agreement for certain non-variable costs of production subject to reimbursement as a result of OpCo's production of "excess quantities" of ethylene in the current contract year due to the Partnership's decision to postpone the previously announced maintenance turnaround at the Petro 1 facility from the third quarter of 2024 to the first quarter of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rentals paid to Westlake for such leases were $471 and $433 for the three months ended September 30, 2024 and 2023, respectively, and</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$1,326 and $1,480 for the nine months ended September 30, 2024 and 2023, respectively, and are reflected in other charges from Westlake that are included in cost of sales.</w:t>
      </w:r>
    </w:p>
    <w:p>
      <w:pPr>
        <w:spacing w:after="0" w:line="1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September 30, 2024 and 2023 was $6,698 and $6,437, respectively. Interest on related party debt payable balances, net of capitalized interest, for the nine months ended September 30, 2024 and 2023 was $19,930 and $19,869, respectively. Interest on related party debt payable is presented as interest expense—Westlake in the consolidated statements of operations. At September 30, 2024 and December 31, 2023, accrued interest on related party debt was $6,753 and $6,675, respectively, and is reflected as a component of accrued and other liabilities in the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Westlake accounted for approximately 77.9% and 89.9%, respectively, of the Partnership's net sales. During the nine months ended September 30, 2024 and 2023, Westlake accounted for approximately 81.6% and 86.3%, respectively, of the Partnership's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2024,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7.2% and 7.2% at September 30, 2024 and December 31, 2023,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2024 and December 31, 2023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408,110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9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Accrued and other liabilities were $21,364 and $24,980 at September 30, 2024 and December 31, 2023, respectively. Accrued interest on related party debt and accrued taxes, which are components of accrued and other liabilities, were $6,753 and $5,490, respectively, at September 30, 2024 and $6,675 and $3,033, respectively, at December 31, 2023. No other component of accrued and other liabilities was more than five percent of total current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Recoveries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Partnership recorded business interruption related insurance recoveries of $6,222 as a reduction in cost of sales and reflected in accounts receivable, net—third parties as of September 30, 2024. These recoveries were related to the settlement of insurance claims for Hurricane Laura, which impacted OpCo's Petro 1 and Petro 2 units in the second half of 2020 and impacted production in the subsequent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$7,376 and $8,262 at September 30,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108"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$19,852 and $18,095 for the nine months ended September 30,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$758 and $5,079 for the nine months ended September 30,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2021, shortly after the turnaround on OpCo's Petro 2 facility commenced, there was a flash fire at the quench tower of the Petro 2 facility. Contractors and employees working on and near the quench tower were injured and multiple lawsuits were filed against Westlake and OpCo. Final settlements were reached with all of the plaintiffs to fully resolve the lawsuits by Westlake, and payment by Westlake and the insurance carriers is complete. Westlake and its subsidiaries are responsible for indemnifying the Partnership in connection with any losses incurred by OpCo as a result of the fire.</w:t>
      </w:r>
    </w:p>
    <w:p>
      <w:pPr>
        <w:spacing w:after="0" w:line="12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2023 (the "2023 Form 10-K"), as filed with the SEC on February 28, 2024.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Under the Ethylene Sales Agreement, if we produce more than our planned production in a contract year, we reimburse Westlake for certain non-variable costs that were charged on excess quantities of ethylene produced and sold to Westlake. Such reimbursement is scheduled to be paid by the Partnership after the conclusion of the year.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 We plan to commence the next planned maintenance turnaround at Petro 1 in the first quarter of 2025.</w:t>
      </w:r>
    </w:p>
    <w:p>
      <w:pPr>
        <w:spacing w:after="0" w:line="134"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248,176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115,738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386,756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349,947</w:t>
            </w: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140" w:type="dxa"/>
            <w:vAlign w:val="bottom"/>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6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4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180" w:type="dxa"/>
            <w:vAlign w:val="bottom"/>
            <w:gridSpan w:val="3"/>
            <w:vMerge w:val="continue"/>
          </w:tcPr>
          <w:p>
            <w:pPr>
              <w:spacing w:after="0"/>
              <w:rPr>
                <w:sz w:val="16"/>
                <w:szCs w:val="16"/>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sales percentage change from prior-year period due to</w:t>
            </w: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sales price and volume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515"/>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5"/>
        </w:trPr>
        <w:tc>
          <w:tcPr>
            <w:tcW w:w="69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344,328</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247,569</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(37,407)</w:t>
            </w: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OpCo</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(228,508)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344,328</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247,569</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264,892</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81,902</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jc w:val="both"/>
        <w:ind w:right="40" w:firstLine="405"/>
        <w:spacing w:after="0" w:line="257" w:lineRule="auto"/>
        <w:rPr>
          <w:sz w:val="20"/>
          <w:szCs w:val="20"/>
          <w:color w:val="auto"/>
        </w:rPr>
      </w:pPr>
      <w:r>
        <w:rPr>
          <w:rFonts w:ascii="Times New Roman" w:cs="Times New Roman" w:eastAsia="Times New Roman" w:hAnsi="Times New Roman"/>
          <w:sz w:val="18"/>
          <w:szCs w:val="18"/>
          <w:color w:val="auto"/>
        </w:rPr>
        <w:t>For the quarter ended September 30, 2024, net income was $104.1 million on net sales of $277.0 million. This represents an increase in net income of $23.2 million as compared to net income of $80.9 million on net sales of $321.7 million for the quarter ended September 30, 2023. Net income attributable to the Partnership for the third quarter of 2024 was $18.1 million as compared to $13.2 million for the third quarter of 2023, an increase of $4.9 million.</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Income from operations was $109.7 million for the third quarter of 2024 as compared to $86.2 million for the third quarter of 2023, an increase of $23.5 million. Income from operations, net income and net income attributable to the Partnership for the third quarter of 2024 as compared to the third quarter of 2023 were higher primarily due to higher ethylene and co-products sales volumes and prices to third parties and lower ethane feedstock costs and natural gas prices in the third quarter of 2024 compared to the third quarter of 2023, partially offset by lower ethylene sales volumes and prices to Westlake. Net sales for the third quarter of 2024 decreased by $44.7 million as compared to net sales for the third quarter of 2023, mainly due to lower ethylene sales volumes and prices to Westlake in the third quarter of 2024 compared to the third quarter of 2023, partially offset by higher ethylene and co-products sales volumes and prices to third parties.</w:t>
      </w:r>
    </w:p>
    <w:p>
      <w:pPr>
        <w:spacing w:after="0" w:line="134"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2024, net income was $281.8 million on net sales of $845.8 million. This represents an increase in net income of $34.2 million as compared to net income of $247.6 million on net sales of $893.5 million for the nine months ended September 30, 2023. Net income attributable to the Partnership for the nine months ended September 30, 2024 was $47.4 million as compared to $40.0 million for the nine months ended September 30, 2023, an increase of $7.4 million. Income from operations was $298.4 million for the nine months ended September 30, 2024 as compared to $264.9 million for the nine months ended September 30, 2023, an increase of $33.5 million. Income from operations, net income and net income attributable to the Partnership for the nine months ended September 30, 2024 as compared to the nine months ended September 30, 2023 were higher primarily due to higher ethylene and co-products sales volumes and prices to third parties, higher ethylene sales volumes to Westlake and lower ethane feedstock costs and natural gas prices in the nine months ended September 30, 2024 compared to the nine months ended September 30, 2023, partially offset by lower ethylene sales prices to Westlake. Net sales for the nine months ended September 30, 2024 decreased by $47.7 million as compared to net sales for the nine months ended September 30, 2023, mainly due to lower ethylene sales prices to Westlake, partially offset by higher ethylene and co-products sales volumes and prices to third parties and higher ethylene sales volumes to Westlake during the nine months ended September 30, 2024 as compared to the nine months ended September 30,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2024 Compared with Third Quarter 2023</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$44.7 million, or 13.9%, to $277.0 million in the third quarter of 2024 from $321.7 million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2023. The decrease in net sales in the third quarter of 2024 was primarily due to lower ethylene sales volumes and prices to Westlake in the third quarter of 2024 compared to the third quarter of 2023, partially offset by higher ethylene and co-products sales volumes and prices to third parties. Lower average sales prices in the third quarter of 2024 contributed to a 15.1% decrease in net sales compared to the third quarter of 2023. Higher sales volumes in the third quarter of 2024 contributed to a 1.2% increase in net sales compared to the third quarter of 2023.</w:t>
      </w:r>
    </w:p>
    <w:p>
      <w:pPr>
        <w:spacing w:after="0" w:line="129"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$116.9 million in the third quarter of 2024 from $93.0 million in the third quarter of 2023. Gross profit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in the third quarter of 2024 was 42.2%, as compared to 28.9% for the third quarter of 2023. The higher gross profit margin was primarily due to lower ethane feedstock costs and natural gas prices in the third quarter of 2024 compared to the third quarter of 2023. The gross profit margin for the third quarter of 2024 was also positively affected by insurance recoveries of approximately $6.2 million related to the settlement of a business interruption claim associated with Hurricane Laura, which impacted OpCo's Petro 1 and Petro 2 facilities in the second half of 2020 and impacted production in the subsequent periods.</w:t>
      </w:r>
    </w:p>
    <w:p>
      <w:pPr>
        <w:spacing w:after="0" w:line="128"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$0.6 million, or 9.0%, to $7.3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2024 as compared to $6.7 million in the third quarter of 2023. The increase was mainly attributable to a higher provision for credit losses in the third quarter of 2024 as compared to the third quarter of 2023.</w:t>
      </w:r>
    </w:p>
    <w:p>
      <w:pPr>
        <w:spacing w:after="0" w:line="119" w:lineRule="exact"/>
        <w:rPr>
          <w:sz w:val="20"/>
          <w:szCs w:val="20"/>
          <w:color w:val="auto"/>
        </w:rPr>
      </w:pPr>
    </w:p>
    <w:p>
      <w:pPr>
        <w:ind w:right="4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$6.7 million in the third quarter of 2024 increased from $6.4 million in the third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higher interest rates on the debt balance outstanding in the third quarter of 2024 as compared to the third quarter of 2023.</w:t>
      </w:r>
    </w:p>
    <w:p>
      <w:pPr>
        <w:spacing w:after="0" w:line="104"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remained consistent at $1.3 million in the third quarter of 2024 as compared to $1.3 million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2023.</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$4.3 million to $17.9 million in the third quarter of 2024 from $13.6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2023. The increase in the third quarter of 2024, as compared to the prior-year period, was primarily attributable to increased earnings at OpCo and lower maintenance capital expenditures, partially offset by higher reserves for future turnarounds.</w:t>
      </w:r>
    </w:p>
    <w:p>
      <w:pPr>
        <w:spacing w:after="0" w:line="119" w:lineRule="exact"/>
        <w:rPr>
          <w:sz w:val="20"/>
          <w:szCs w:val="20"/>
          <w:color w:val="auto"/>
        </w:rPr>
      </w:pPr>
    </w:p>
    <w:p>
      <w:pPr>
        <w:ind w:right="1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$23.4 million to $139.1 million in the third quarter of 2024 from $115.7 million in the third quarter of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and co-products sales volumes and prices to third parties and lower ethane feedstock costs and natural gas prices in the third quarter of 2024 compared to the third quarter of 2023, partially offset by lower ethylene sales volumes and prices to Westlake. EBITDA for the third quarter of 2024 was also positively impacted by insurance recoveries of approximately $6.2 million related to the settlement of a business interruption claim associated with Hurricane Laura, which impacted OpCo's Petro 1 and Petro 2 facilities in the second half of 2020 and impacted production in the subsequent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$47.7 million, or 5.3%, to $845.8 million in the nine months ended September 30, 2024 from $893.5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2023. The decrease in net sales in the nine months ended September 30, 2024 was primarily due to lower ethylene sales prices to Westlake, partially offset by higher ethylene sales volumes to Westlake and higher ethylene and co-products sales volumes and prices to third parties during the nine months ended September 30, 2024 as compared to the nine months ended September 30, 2023. The lower average sales prices in the nine months ended September 30, 2024 contributed to a 7.9% decrease in net sales compared to the nine months ended September 30, 2023. The higher sales volumes in the nine months ended September 30, 2024 contributed to a 2.6% increase in net sales as compared to the nine months ended September 30, 2023.</w:t>
      </w:r>
    </w:p>
    <w:p>
      <w:pPr>
        <w:spacing w:after="0" w:line="1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$320.4 million in the nine months ended September 30, 2024 from $286.8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Gross profit margin in the nine months ended September 30, 2024 was 37.9%, as compared to 32.1% for the nine months ended September 30, 2023. The increase in gross profit margin was primarily due to higher sales prices and volumes to third parties and lower ethane feedstock costs and natural gas prices in the nine months ended September 30, 2024 compared to the nine months ended September 30, 2023.</w:t>
      </w:r>
    </w:p>
    <w:p>
      <w:pPr>
        <w:spacing w:after="0" w:line="126"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of $21.9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was comparable to selling, general and administrative expenses of $21.9 million in the nine months ended September 30, 2023.</w:t>
      </w:r>
    </w:p>
    <w:p>
      <w:pPr>
        <w:spacing w:after="0" w:line="104"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$19.9 million in the nine months ended September 30, 2024 was comparable to interest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 million in the nine months ended September 30, 2023.</w:t>
      </w:r>
    </w:p>
    <w:p>
      <w:pPr>
        <w:spacing w:after="0" w:line="10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$0.7 million to $3.9 million in the nine months ended September 30, 2024 from $3.2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primarily due to higher interest earned on the balance with Westlake under the Investment Management Agreement due to higher market interest rates as well as a higher average amount of cash invested in the nine months ended September 30, 2024 as compared to the nine months ended September 30, 2023.</w:t>
      </w:r>
    </w:p>
    <w:p>
      <w:pPr>
        <w:spacing w:after="0" w:line="12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$5.7 million to $51.9 million in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$46.2 million in the nine months ended September 30, 2023. The increase in the nine months ended September 30, 2024, as compared to the prior-year period, was primarily attributable to increased earnings at OpCo, partially offset by higher reserves for future turnarounds.</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$36.9 million to $386.8 million in the nine months ended September 30, 2024 from $349.9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The increase was primarily due to higher ethylene and co-products sales volumes and prices to third parties, higher ethylene sales volumes to Westlake and lower ethane feedstock costs and natural gas prices during the nine months ended September 30, 2024 as compared to the nine months ended September 30, 2023, partially offset by lower ethylene sales prices to Westlake.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NINE MONTHS ENDED SEPTEMBER 30, 2024 AND 2023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$352.5 million in the first nine months of 2024 compared to cash provided by operating activities of $344.3 million in the first nine months of 2023. The $8.2 million increase in cash flows from operating activities was mainly due to lower cash used for turnaround activity compared to the first nine months of 2023.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$1.2 million in the first nine months of 2024 as compared to $39.5 million of cash provided in the first nine months of 2023, resulting in an overall unfavorable change of $38.3 million. The unfavorable change in working capital was mainly attributable to unfavorable changes in net accounts receivable—Westlake, accounts payable—third parties and accrued and other liabilities. The unfavorable change in accounts receivable, net—Westlake was primarily due to a smaller buyer deficiency fee and Shortfall collected in the first nine months of 2024 as compared to the first nine months of 2023, partially offset by changes in the payable with Westlake due to fluctuating ethane feedstock costs. Unfavorable changes in accounts payable—third parties and accrued and other liabilities were due to the timing of payment of accruals and the impact of the Calvert City Olefins turnaround activities on these balances in the first nine months of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2024 was $50.5 million as compared to net cash used for investing activities of $53.1 million in the first nine months of 2023, resulting in an overall favorable change of $2.6 million in investing cash flows. During the first nine months of 2024, there were net investments with Westlake of $15.0 million under the Investment Management Agreement, whereas during the first nine months of 2023, there were net investments with Westlake of $19.1 million under the Investment Management Agreement. Capital expenditures during the first nine months of 2024 were slightly higher than the first nine months of 2023. For both the comparative periods, these capital expenditures were primarily related to projects to increase production capacity or reduce costs, maintenance costs and safety and environmental projects at our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2024 was $300.4 million as compared to net cash used for financing activities of $290.1 million in the first nine months of 2023. The cash outflows in the first nine months of 2024 were related to distributions of $250.6 million to the noncontrolling interest retained in OpCo by Westlake and of $49.8 million to unitholders by the Partnership. The cash outflows in the first nine months of 2023 were related to distributions of $240.3 million to the noncontrolling interest retained in OpCo by Westlake and of $49.8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September 30, 2024.</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Although we had previously planned to commence the next maintenance turnaround at the Petro 1 ethylene unit in the third quarter of 2024, we made the decision to defer the planned turnaround in order to maintain production and capitalize on higher average third-party ethylene sales prices during the second half of 2024. We expect to commence the next planned maintenance turnaround at Petro 1 in the first quarter of 2025. Westlake's purchase price for ethylene purchased under the Ethylene Sales Agreement includes a component (adjusted annually) designed to cover, over the long term, substantially all of OpCo's turnaround expenditures.</w:t>
      </w:r>
    </w:p>
    <w:p>
      <w:pPr>
        <w:spacing w:after="0" w:line="13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October 30, 2024, the board of directors of Westlake Chemical Partners GP LLC, our general partner, approved a quarterly distribution of $0.4714 per unit payable on November 27, 2024 to unitholders of record as of November 12, 2024, which equates to a total amount of approximately $16.6 million per quarter, or approximately $66.4 million per year in aggregate, based on the number of common units outstanding on September 30, 2024. We do not have a legal or contractual obligation to pay distributions on a quarterly basis or any other basis at our minimum quarterly distribution rate or any other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nine months ended September 30, 2024 and 2023. Total capital expenditures for the nine months ended September 30, 2024 and 2023 were $35.5 million and $34.0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our cash and cash equivalents totaled $60.2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$109.5 million of cash invested under the Investment Management Agreement at September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9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September 30, 2024,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September 30, 2024,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(such as our plan to commence Petro 1 turnaround in the first quarter of 2025)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2023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September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September 30, 2024,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September 30, 2024 was 7.2%.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September 30, 2024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28, 2024,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2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September 30, 2024,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2">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320" w:top="118" w:right="8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500" w:firstLine="445"/>
        <w:spacing w:after="0" w:line="281" w:lineRule="auto"/>
        <w:rPr>
          <w:sz w:val="20"/>
          <w:szCs w:val="20"/>
          <w:color w:val="auto"/>
        </w:rPr>
      </w:pPr>
      <w:r>
        <w:rPr>
          <w:rFonts w:ascii="Times New Roman" w:cs="Times New Roman" w:eastAsia="Times New Roman" w:hAnsi="Times New Roman"/>
          <w:sz w:val="17"/>
          <w:szCs w:val="17"/>
          <w:color w:val="auto"/>
        </w:rPr>
        <w:t>In connection with the Quarterly Report of Westlake Chemical Partners LP (the "Partnership") on Form 10-Q for the fiscal quarter ended September 30, 2024 as filed with the Securities and Exchange Commission on the date hereof (the "Report"), I, Jean-Marc Gilson,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56"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49" Type="http://schemas.openxmlformats.org/officeDocument/2006/relationships/hyperlink" Target="https://www.sec.gov/Archives/edgar/data/1604665/000119312514164760/d715499dex31.htm" TargetMode="External"/><Relationship Id="rId50" Type="http://schemas.openxmlformats.org/officeDocument/2006/relationships/hyperlink" Target="https://www.sec.gov/Archives/edgar/data/1604665/000119312514303305/d756630dex31.htm" TargetMode="External"/><Relationship Id="rId51" Type="http://schemas.openxmlformats.org/officeDocument/2006/relationships/hyperlink" Target="https://www.sec.gov/Archives/edgar/data/1604665/000119312517345554/d493400dex31.htm" TargetMode="External"/><Relationship Id="rId52" Type="http://schemas.openxmlformats.org/officeDocument/2006/relationships/hyperlink" Target="https://www.sec.gov/Archives/edgar/data/1604665/000119312518231463/d583758dex31.htm" TargetMode="External"/><Relationship Id="rId53" Type="http://schemas.openxmlformats.org/officeDocument/2006/relationships/hyperlink" Target="https://www.sec.gov/Archives/edgar/data/1604665/000119312514303305/d756630dex107.htm" TargetMode="External"/><Relationship Id="rId54"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2024-11-06T09:54:33Z</dcterms:created>
  <dcterms:modified xsi:type="dcterms:W3CDTF">2024-11-06T09:54:33Z</dcterms:modified>
</cp:coreProperties>
</file>