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1891030</wp:posOffset>
            </wp:positionH>
            <wp:positionV relativeFrom="paragraph">
              <wp:posOffset>111760</wp:posOffset>
            </wp:positionV>
            <wp:extent cx="33686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1891030</wp:posOffset>
            </wp:positionH>
            <wp:positionV relativeFrom="paragraph">
              <wp:posOffset>139065</wp:posOffset>
            </wp:positionV>
            <wp:extent cx="33686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393" w:lineRule="exact"/>
        <w:rPr>
          <w:sz w:val="24"/>
          <w:szCs w:val="24"/>
          <w:color w:val="auto"/>
        </w:rPr>
      </w:pPr>
    </w:p>
    <w:p>
      <w:pPr>
        <w:ind w:left="700" w:hanging="654"/>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7" w:lineRule="exact"/>
        <w:rPr>
          <w:sz w:val="24"/>
          <w:szCs w:val="24"/>
          <w:color w:val="auto"/>
        </w:rPr>
      </w:pPr>
    </w:p>
    <w:p>
      <w:pPr>
        <w:ind w:left="700"/>
        <w:spacing w:after="0"/>
        <w:tabs>
          <w:tab w:leader="none" w:pos="3780" w:val="left"/>
        </w:tabs>
        <w:rPr>
          <w:sz w:val="20"/>
          <w:szCs w:val="20"/>
          <w:color w:val="auto"/>
        </w:rPr>
      </w:pPr>
      <w:r>
        <w:rPr>
          <w:rFonts w:ascii="Times New Roman" w:cs="Times New Roman" w:eastAsia="Times New Roman" w:hAnsi="Times New Roman"/>
          <w:sz w:val="18"/>
          <w:szCs w:val="18"/>
          <w:b w:val="1"/>
          <w:bCs w:val="1"/>
          <w:color w:val="auto"/>
        </w:rPr>
        <w:t>For the Fiscal Year Ended</w:t>
      </w:r>
      <w:r>
        <w:rPr>
          <w:sz w:val="20"/>
          <w:szCs w:val="20"/>
          <w:color w:val="auto"/>
        </w:rPr>
        <w:tab/>
      </w:r>
      <w:r>
        <w:rPr>
          <w:rFonts w:ascii="Times New Roman" w:cs="Times New Roman" w:eastAsia="Times New Roman" w:hAnsi="Times New Roman"/>
          <w:sz w:val="18"/>
          <w:szCs w:val="18"/>
          <w:b w:val="1"/>
          <w:bCs w:val="1"/>
          <w:color w:val="auto"/>
        </w:rPr>
        <w:t>December 31, 2025</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680" w:hanging="641"/>
        <w:spacing w:after="0" w:line="199" w:lineRule="auto"/>
        <w:tabs>
          <w:tab w:leader="none" w:pos="680" w:val="left"/>
        </w:tabs>
        <w:numPr>
          <w:ilvl w:val="0"/>
          <w:numId w:val="2"/>
        </w:numPr>
        <w:rPr>
          <w:rFonts w:ascii="MS PGothic" w:cs="MS PGothic" w:eastAsia="MS PGothic" w:hAnsi="MS PGothic"/>
          <w:sz w:val="7"/>
          <w:szCs w:val="7"/>
          <w:color w:val="auto"/>
        </w:rPr>
      </w:pPr>
      <w:r>
        <w:rPr>
          <w:rFonts w:ascii="Times New Roman" w:cs="Times New Roman" w:eastAsia="Times New Roman" w:hAnsi="Times New Roman"/>
          <w:sz w:val="7"/>
          <w:szCs w:val="7"/>
          <w:b w:val="1"/>
          <w:bCs w:val="1"/>
          <w:color w:val="auto"/>
        </w:rPr>
        <w:t>TRANSITION REPORT PURSUANT TO SECTION 13 OR 15(d) OF THE SECURITIES EXCHANGE ACT OF 1934</w:t>
      </w:r>
    </w:p>
    <w:p>
      <w:pPr>
        <w:spacing w:after="0" w:line="212" w:lineRule="exact"/>
        <w:rPr>
          <w:sz w:val="24"/>
          <w:szCs w:val="24"/>
          <w:color w:val="auto"/>
        </w:rPr>
      </w:pPr>
    </w:p>
    <w:p>
      <w:pPr>
        <w:ind w:left="680"/>
        <w:spacing w:after="0"/>
        <w:tabs>
          <w:tab w:leader="none" w:pos="3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1891030</wp:posOffset>
            </wp:positionH>
            <wp:positionV relativeFrom="paragraph">
              <wp:posOffset>148590</wp:posOffset>
            </wp:positionV>
            <wp:extent cx="33686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47625</wp:posOffset>
            </wp:positionV>
            <wp:extent cx="33686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35" w:lineRule="exact"/>
        <w:rPr>
          <w:sz w:val="24"/>
          <w:szCs w:val="24"/>
          <w:color w:val="auto"/>
        </w:rPr>
      </w:pPr>
    </w:p>
    <w:tbl>
      <w:tblPr>
        <w:tblLayout w:type="fixed"/>
        <w:tblInd w:w="50" w:type="dxa"/>
        <w:tblCellMar>
          <w:top w:w="0" w:type="dxa"/>
          <w:left w:w="0" w:type="dxa"/>
          <w:bottom w:w="0" w:type="dxa"/>
          <w:right w:w="0" w:type="dxa"/>
        </w:tblCellMar>
      </w:tblPr>
      <w:tr>
        <w:trPr>
          <w:trHeight w:val="227"/>
        </w:trPr>
        <w:tc>
          <w:tcPr>
            <w:tcW w:w="3740" w:type="dxa"/>
            <w:vAlign w:val="bottom"/>
            <w:gridSpan w:val="3"/>
          </w:tcPr>
          <w:p>
            <w:pPr>
              <w:jc w:val="center"/>
              <w:ind w:left="161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gridSpan w:val="2"/>
          </w:tcPr>
          <w:p>
            <w:pPr>
              <w:jc w:val="center"/>
              <w:ind w:left="541"/>
              <w:spacing w:after="0"/>
              <w:rPr>
                <w:sz w:val="20"/>
                <w:szCs w:val="20"/>
                <w:color w:val="auto"/>
              </w:rPr>
            </w:pPr>
            <w:r>
              <w:rPr>
                <w:rFonts w:ascii="Times New Roman" w:cs="Times New Roman" w:eastAsia="Times New Roman" w:hAnsi="Times New Roman"/>
                <w:sz w:val="18"/>
                <w:szCs w:val="18"/>
                <w:b w:val="1"/>
                <w:bCs w:val="1"/>
                <w:color w:val="auto"/>
                <w:w w:val="98"/>
              </w:rPr>
              <w:t>32-0436529</w:t>
            </w:r>
          </w:p>
        </w:tc>
        <w:tc>
          <w:tcPr>
            <w:tcW w:w="7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740" w:type="dxa"/>
            <w:vAlign w:val="bottom"/>
            <w:gridSpan w:val="3"/>
          </w:tcPr>
          <w:p>
            <w:pPr>
              <w:jc w:val="center"/>
              <w:ind w:left="161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740" w:type="dxa"/>
            <w:vAlign w:val="bottom"/>
            <w:gridSpan w:val="3"/>
          </w:tcPr>
          <w:p>
            <w:pPr>
              <w:jc w:val="center"/>
              <w:ind w:left="161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40" w:type="dxa"/>
            <w:vAlign w:val="bottom"/>
          </w:tcPr>
          <w:p>
            <w:pPr>
              <w:jc w:val="center"/>
              <w:ind w:left="758"/>
              <w:spacing w:after="0"/>
              <w:rPr>
                <w:sz w:val="20"/>
                <w:szCs w:val="20"/>
                <w:color w:val="auto"/>
              </w:rPr>
            </w:pPr>
            <w:r>
              <w:rPr>
                <w:rFonts w:ascii="Times New Roman" w:cs="Times New Roman" w:eastAsia="Times New Roman" w:hAnsi="Times New Roman"/>
                <w:sz w:val="18"/>
                <w:szCs w:val="18"/>
                <w:b w:val="1"/>
                <w:bCs w:val="1"/>
                <w:color w:val="auto"/>
                <w:w w:val="99"/>
              </w:rPr>
              <w:t>(713) 585-2900</w:t>
            </w: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gridSpan w:val="2"/>
          </w:tcPr>
          <w:p>
            <w:pPr>
              <w:spacing w:after="0"/>
              <w:rPr>
                <w:sz w:val="11"/>
                <w:szCs w:val="11"/>
                <w:color w:val="auto"/>
              </w:rPr>
            </w:pPr>
          </w:p>
        </w:tc>
        <w:tc>
          <w:tcPr>
            <w:tcW w:w="1660" w:type="dxa"/>
            <w:vAlign w:val="bottom"/>
            <w:tcBorders>
              <w:bottom w:val="single" w:sz="8" w:color="auto"/>
            </w:tcBorders>
            <w:gridSpan w:val="2"/>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2"/>
        </w:trPr>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0" w:type="dxa"/>
            <w:vAlign w:val="bottom"/>
            <w:tcBorders>
              <w:bottom w:val="single" w:sz="8" w:color="auto"/>
            </w:tcBorders>
          </w:tcPr>
          <w:p>
            <w:pPr>
              <w:spacing w:after="0"/>
              <w:rPr>
                <w:sz w:val="16"/>
                <w:szCs w:val="16"/>
                <w:color w:val="auto"/>
              </w:rPr>
            </w:pPr>
          </w:p>
        </w:tc>
        <w:tc>
          <w:tcPr>
            <w:tcW w:w="2840" w:type="dxa"/>
            <w:vAlign w:val="bottom"/>
            <w:tcBorders>
              <w:bottom w:val="single" w:sz="8" w:color="auto"/>
              <w:right w:val="single" w:sz="8" w:color="auto"/>
            </w:tcBorders>
          </w:tcPr>
          <w:p>
            <w:pPr>
              <w:jc w:val="center"/>
              <w:ind w:right="45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880" w:type="dxa"/>
            <w:vAlign w:val="bottom"/>
            <w:tcBorders>
              <w:bottom w:val="single" w:sz="8" w:color="auto"/>
            </w:tcBorders>
          </w:tcPr>
          <w:p>
            <w:pPr>
              <w:spacing w:after="0"/>
              <w:rPr>
                <w:sz w:val="16"/>
                <w:szCs w:val="16"/>
                <w:color w:val="auto"/>
              </w:rPr>
            </w:pPr>
          </w:p>
        </w:tc>
        <w:tc>
          <w:tcPr>
            <w:tcW w:w="3740" w:type="dxa"/>
            <w:vAlign w:val="bottom"/>
            <w:tcBorders>
              <w:bottom w:val="single" w:sz="8" w:color="auto"/>
              <w:right w:val="single" w:sz="8" w:color="auto"/>
            </w:tcBorders>
            <w:gridSpan w:val="4"/>
          </w:tcPr>
          <w:p>
            <w:pPr>
              <w:jc w:val="center"/>
              <w:ind w:right="81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5"/>
        </w:trPr>
        <w:tc>
          <w:tcPr>
            <w:tcW w:w="3240" w:type="dxa"/>
            <w:vAlign w:val="bottom"/>
            <w:tcBorders>
              <w:left w:val="single" w:sz="8" w:color="auto"/>
              <w:right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Common units representing limited</w:t>
            </w:r>
          </w:p>
        </w:tc>
        <w:tc>
          <w:tcPr>
            <w:tcW w:w="500" w:type="dxa"/>
            <w:vAlign w:val="bottom"/>
          </w:tcPr>
          <w:p>
            <w:pPr>
              <w:spacing w:after="0"/>
              <w:rPr>
                <w:sz w:val="15"/>
                <w:szCs w:val="15"/>
                <w:color w:val="auto"/>
              </w:rPr>
            </w:pPr>
          </w:p>
        </w:tc>
        <w:tc>
          <w:tcPr>
            <w:tcW w:w="2840" w:type="dxa"/>
            <w:vAlign w:val="bottom"/>
            <w:tcBorders>
              <w:right w:val="single" w:sz="8" w:color="auto"/>
            </w:tcBorders>
          </w:tcPr>
          <w:p>
            <w:pPr>
              <w:jc w:val="center"/>
              <w:ind w:right="438"/>
              <w:spacing w:after="0" w:line="176" w:lineRule="exact"/>
              <w:rPr>
                <w:sz w:val="20"/>
                <w:szCs w:val="20"/>
                <w:color w:val="auto"/>
              </w:rPr>
            </w:pPr>
            <w:r>
              <w:rPr>
                <w:rFonts w:ascii="Times New Roman" w:cs="Times New Roman" w:eastAsia="Times New Roman" w:hAnsi="Times New Roman"/>
                <w:sz w:val="18"/>
                <w:szCs w:val="18"/>
                <w:b w:val="1"/>
                <w:bCs w:val="1"/>
                <w:color w:val="auto"/>
              </w:rPr>
              <w:t>WLKP</w:t>
            </w:r>
          </w:p>
        </w:tc>
        <w:tc>
          <w:tcPr>
            <w:tcW w:w="880" w:type="dxa"/>
            <w:vAlign w:val="bottom"/>
          </w:tcPr>
          <w:p>
            <w:pPr>
              <w:spacing w:after="0"/>
              <w:rPr>
                <w:sz w:val="15"/>
                <w:szCs w:val="15"/>
                <w:color w:val="auto"/>
              </w:rPr>
            </w:pPr>
          </w:p>
        </w:tc>
        <w:tc>
          <w:tcPr>
            <w:tcW w:w="3740" w:type="dxa"/>
            <w:vAlign w:val="bottom"/>
            <w:tcBorders>
              <w:right w:val="single" w:sz="8" w:color="auto"/>
            </w:tcBorders>
            <w:gridSpan w:val="4"/>
          </w:tcPr>
          <w:p>
            <w:pPr>
              <w:jc w:val="center"/>
              <w:ind w:right="8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41"/>
        </w:trPr>
        <w:tc>
          <w:tcPr>
            <w:tcW w:w="32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partner interests</w:t>
            </w:r>
          </w:p>
        </w:tc>
        <w:tc>
          <w:tcPr>
            <w:tcW w:w="50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940" w:type="dxa"/>
            <w:vAlign w:val="bottom"/>
          </w:tcPr>
          <w:p>
            <w:pPr>
              <w:spacing w:after="0"/>
              <w:rPr>
                <w:sz w:val="24"/>
                <w:szCs w:val="24"/>
                <w:color w:val="auto"/>
              </w:rPr>
            </w:pPr>
          </w:p>
        </w:tc>
        <w:tc>
          <w:tcPr>
            <w:tcW w:w="6040" w:type="dxa"/>
            <w:vAlign w:val="bottom"/>
            <w:gridSpan w:val="6"/>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940" w:type="dxa"/>
            <w:vAlign w:val="bottom"/>
          </w:tcPr>
          <w:p>
            <w:pPr>
              <w:spacing w:after="0"/>
              <w:rPr>
                <w:sz w:val="10"/>
                <w:szCs w:val="10"/>
                <w:color w:val="auto"/>
              </w:rPr>
            </w:pPr>
          </w:p>
        </w:tc>
        <w:tc>
          <w:tcPr>
            <w:tcW w:w="5300" w:type="dxa"/>
            <w:vAlign w:val="bottom"/>
            <w:tcBorders>
              <w:bottom w:val="single" w:sz="8" w:color="auto"/>
            </w:tcBorders>
            <w:gridSpan w:val="5"/>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52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3"/>
        </w:trPr>
        <w:tc>
          <w:tcPr>
            <w:tcW w:w="898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98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15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62"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4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4"/>
          <w:szCs w:val="24"/>
          <w:color w:val="auto"/>
        </w:rPr>
      </w:pPr>
    </w:p>
    <w:p>
      <w:pPr>
        <w:ind w:right="10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right="40" w:firstLine="40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ind w:right="16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ind w:right="36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2" w:lineRule="exact"/>
        <w:rPr>
          <w:sz w:val="24"/>
          <w:szCs w:val="24"/>
          <w:color w:val="auto"/>
        </w:rPr>
      </w:pPr>
    </w:p>
    <w:p>
      <w:pPr>
        <w:ind w:left="420"/>
        <w:spacing w:after="0" w:line="207" w:lineRule="exact"/>
        <w:tabs>
          <w:tab w:leader="none" w:pos="7980" w:val="left"/>
          <w:tab w:leader="none" w:pos="8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240"/>
          </w:cols>
          <w:pgMar w:left="320" w:top="225" w:right="339" w:bottom="0" w:gutter="0" w:footer="0" w:header="0"/>
        </w:sectPr>
      </w:pPr>
    </w:p>
    <w:bookmarkStart w:id="1" w:name="page2"/>
    <w:bookmarkEnd w:id="1"/>
    <w:p>
      <w:pPr>
        <w:ind w:firstLine="405"/>
        <w:spacing w:after="0" w:line="258" w:lineRule="auto"/>
        <w:rPr>
          <w:sz w:val="20"/>
          <w:szCs w:val="20"/>
          <w:color w:val="auto"/>
        </w:rPr>
      </w:pPr>
      <w:r>
        <w:rPr>
          <w:rFonts w:ascii="Times New Roman" w:cs="Times New Roman" w:eastAsia="Times New Roman" w:hAnsi="Times New Roman"/>
          <w:sz w:val="18"/>
          <w:szCs w:val="18"/>
          <w:color w:val="auto"/>
        </w:rPr>
        <w:t>The aggregate market value of registrant's common units held by non-affiliates of the registrant on June 30, 2025, the end of the registrant's most recently completed second fiscal quarter, based on the closing price per unit on June 30, 2025 of $22.09 on the New York Stock Exchange, was approximately $425.6 million. Common units held by executive officers and directors of the registrant's general partner and its affiliates are not included in the computation. The registrant, solely for the purpose of this required presentation, has deemed the directors and executive officers of its general partner and those of its affiliates to be affiliates.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registrant had 35,245,879 common units outstanding as of 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960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9"/>
        </w:trPr>
        <w:tc>
          <w:tcPr>
            <w:tcW w:w="72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Item</w:t>
            </w:r>
          </w:p>
        </w:tc>
        <w:tc>
          <w:tcPr>
            <w:tcW w:w="9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0" w:type="dxa"/>
            <w:vAlign w:val="bottom"/>
            <w:vMerge w:val="continue"/>
          </w:tcPr>
          <w:p>
            <w:pPr>
              <w:spacing w:after="0"/>
              <w:rPr>
                <w:sz w:val="18"/>
                <w:szCs w:val="18"/>
                <w:color w:val="auto"/>
              </w:rPr>
            </w:pPr>
          </w:p>
        </w:tc>
        <w:tc>
          <w:tcPr>
            <w:tcW w:w="96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5"/>
        </w:trPr>
        <w:tc>
          <w:tcPr>
            <w:tcW w:w="720" w:type="dxa"/>
            <w:vAlign w:val="bottom"/>
            <w:vMerge w:val="continue"/>
          </w:tcPr>
          <w:p>
            <w:pPr>
              <w:spacing w:after="0"/>
              <w:rPr>
                <w:sz w:val="24"/>
                <w:szCs w:val="24"/>
                <w:color w:val="auto"/>
              </w:rPr>
            </w:pPr>
          </w:p>
        </w:tc>
        <w:tc>
          <w:tcPr>
            <w:tcW w:w="9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1A)</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1B)</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1C)</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Cybersecurity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Mine Safety Disclosure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720" w:type="dxa"/>
            <w:vAlign w:val="bottom"/>
          </w:tcPr>
          <w:p>
            <w:pPr>
              <w:spacing w:after="0"/>
              <w:rPr>
                <w:sz w:val="24"/>
                <w:szCs w:val="24"/>
                <w:color w:val="auto"/>
              </w:rPr>
            </w:pPr>
          </w:p>
        </w:tc>
        <w:tc>
          <w:tcPr>
            <w:tcW w:w="9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9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Equity Securities</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7A)</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9A)</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9B)</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9C)</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720" w:type="dxa"/>
            <w:vAlign w:val="bottom"/>
          </w:tcPr>
          <w:p>
            <w:pPr>
              <w:spacing w:after="0"/>
              <w:rPr>
                <w:sz w:val="24"/>
                <w:szCs w:val="24"/>
                <w:color w:val="auto"/>
              </w:rPr>
            </w:pPr>
          </w:p>
        </w:tc>
        <w:tc>
          <w:tcPr>
            <w:tcW w:w="9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720" w:type="dxa"/>
            <w:vAlign w:val="bottom"/>
          </w:tcPr>
          <w:p>
            <w:pPr>
              <w:spacing w:after="0"/>
              <w:rPr>
                <w:sz w:val="24"/>
                <w:szCs w:val="24"/>
                <w:color w:val="auto"/>
              </w:rPr>
            </w:pPr>
          </w:p>
        </w:tc>
        <w:tc>
          <w:tcPr>
            <w:tcW w:w="9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9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10-K Summary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2"/>
        </w:trPr>
        <w:tc>
          <w:tcPr>
            <w:tcW w:w="72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8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Unless otherwise indicated, references in this Annual Report on Form 10-K (this "report") to "we," "our," "us" or like terms refer to Westlake Chemical Partners LP ("Westlake Chemical Partners LP" or the "Partnership"), Westlake Chemical OpCo LP ("OpCo") and Westlake Chemical OpCo GP LLC ("OpCo GP"). References to "Westlake" refer to Westlake Corporation and its consolidated subsidiaries other than the Partnership, OpCo GP and OpCo. Unless the context otherwise requires, references to our "board of directors" or our "directors" refer to the board of directors of our general partner and such board's directors, respectively.</w:t>
      </w: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15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timing, outcome and results of our strategies and plans;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ethane that we are able to process, which could be adversely affected by, among other things, operating difficulties;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ethylene that we are able to sell;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are able to sell ethylene;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prices and margins in third-party ethylene and co-products sales;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supply chain constraints caused by the conflicts in the Middle East and between Russia and Ukraine;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whom we will sell ethylene and on what basis;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of ethylene that Westlake may purchase, in addition to the minimum commitment under the Ethylene Sales Agreement;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distributions and the manner of making such distributions;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At-the-Market program and the use of any net proceeds from any sales under that program;</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OpCo's ability to extend our credit agreements with Westlake;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loans from Westlake to OpCo to fund OpCo's expansion capital expenditures in the future;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mitigation of exposure to commodity price fluctuations;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turnaround activities and the variability of OpCo's cash flow;</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Buyer Deficiency Fee and Shortfall under the Ethylene Sales Agreement;</w:t>
      </w:r>
    </w:p>
    <w:p>
      <w:pPr>
        <w:spacing w:after="0" w:line="90"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indemnification from Westlake for environmental and other losses;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in "Part 1. Item 1A. Risk Factors" of this report and the following:</w:t>
      </w:r>
    </w:p>
    <w:p>
      <w:pPr>
        <w:spacing w:after="0" w:line="14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possible recession;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industry;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lower crude oil prices reducing the cost advantage of ethane-based ethylene producers;</w:t>
      </w:r>
    </w:p>
    <w:p>
      <w:pPr>
        <w:spacing w:after="0" w:line="75" w:lineRule="exact"/>
        <w:rPr>
          <w:rFonts w:ascii="Arial" w:cs="Arial" w:eastAsia="Arial" w:hAnsi="Arial"/>
          <w:sz w:val="18"/>
          <w:szCs w:val="18"/>
          <w:color w:val="auto"/>
        </w:rPr>
      </w:pPr>
    </w:p>
    <w:p>
      <w:pPr>
        <w:ind w:left="660" w:right="4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Westlake, including the renewal or renegotiation of, or determinations made pursuant to, our contractual arrangements with Westlake;</w:t>
      </w:r>
    </w:p>
    <w:p>
      <w:pPr>
        <w:spacing w:after="0" w:line="4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and worldwide economies, including those due to political tensions and conflict in the Middle East and elsewhere, including the conflict between Russia and Ukraine;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due to initiatives such as recycling and customers seeking alternatives to polymers;</w:t>
      </w:r>
    </w:p>
    <w:p>
      <w:pPr>
        <w:spacing w:after="0" w:line="76" w:lineRule="exact"/>
        <w:rPr>
          <w:rFonts w:ascii="Times New Roman" w:cs="Times New Roman" w:eastAsia="Times New Roman" w:hAnsi="Times New Roman"/>
          <w:sz w:val="18"/>
          <w:szCs w:val="18"/>
          <w:color w:val="auto"/>
        </w:rPr>
      </w:pPr>
    </w:p>
    <w:p>
      <w:pPr>
        <w:ind w:left="660" w:right="100" w:hanging="328"/>
        <w:spacing w:after="0" w:line="281" w:lineRule="auto"/>
        <w:tabs>
          <w:tab w:leader="none" w:pos="655"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regulatory actions and political unrest in other countries, including environmental regulations;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access to capital markets;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90"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delays in turnaround activities, labor difficulties, transportation interruptions, spills and releases and other environmental risks);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 shutdowns;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0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Industry and market data used throughout this report were obtained through internal research, surveys and studies conducted by unrelated third parties and publicly available industry and general publications. We have not independently verified market and industry data from external sources. While we believe internal partnership estimates are reliable and market definitions are appropriate, neither such estimates nor these definitions have been verified by any independent sources.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Production Capacity</w:t>
      </w:r>
    </w:p>
    <w:p>
      <w:pPr>
        <w:spacing w:after="0" w:line="108" w:lineRule="exact"/>
        <w:rPr>
          <w:sz w:val="20"/>
          <w:szCs w:val="20"/>
          <w:color w:val="auto"/>
        </w:rPr>
      </w:pPr>
    </w:p>
    <w:p>
      <w:pPr>
        <w:jc w:val="both"/>
        <w:ind w:firstLine="405"/>
        <w:spacing w:after="0" w:line="281" w:lineRule="auto"/>
        <w:rPr>
          <w:sz w:val="20"/>
          <w:szCs w:val="20"/>
          <w:color w:val="auto"/>
        </w:rPr>
      </w:pPr>
      <w:r>
        <w:rPr>
          <w:rFonts w:ascii="Times New Roman" w:cs="Times New Roman" w:eastAsia="Times New Roman" w:hAnsi="Times New Roman"/>
          <w:sz w:val="17"/>
          <w:szCs w:val="17"/>
          <w:color w:val="auto"/>
        </w:rPr>
        <w:t>Unless we state otherwise, annual production capacity estimates used throughout this report represent rated capacity of the facilities at December 31, 2025. We calculated rated capacity by estimating the number of days in a typical year that a production unit of a plant is expected to operate, after allowing for downtime for regular maintenance, and multiplying that number by an amount equal to the unit's optimal daily output based on the design feedstock mix. Because the rated capacity of a production unit is an estimated amount, actual production volumes may be more or less than the rated capacity.</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08"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We are a Delaware limited partnership formed by Westlake in March 2014 to operate, acquire and develop ethylene production facilities and related assets. On August 4, 2014, we completed our initial public offering (the "IPO") of 12,937,500 common units representing limited partner interests. In connection with the IPO, we acquired an initial 10.6% interest in OpCo and a 100% interest in OpCo GP, which is the general partner of OpCo. As of December 31, 2018, we had an aggregate 18.3% limited partner interest in OpCo.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33"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Our business and operations are conducted through OpCo. Because we own OpCo's general partner, we have control over all of OpCo's assets and operations. As of December 31, 2025, Westlake held a 77.2% limited partner interest in OpCo and held a 40.1% limited partner interest in us (consisting of 14,122,230 common units), our general partner interest and our incentive distribution rights.</w:t>
      </w:r>
    </w:p>
    <w:p>
      <w:pPr>
        <w:spacing w:after="0" w:line="122"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OpCo's assets are comprised of three ethylene production facilities, which primarily convert ethane into ethylene and have an aggregate annual capacity of approximately 3.7 billion pounds, and a 200-mile ethylene pipeline. OpCo derives substantially all of its revenue from these ethylene production facilities. Ethylene is the world's most widely used petrochemical in terms of volume and is a key building block used to produce a number of key derivatives, such as polyethylene ("PE") and polyvinyl chloride ("PVC"), which are used in a wide variety of end markets, including packaging, construction and transportation. Westlake's downstream PE and PVC production facilities consume a substantial majority of the ethylene produced by OpCo. OpCo generates revenue primarily by selling ethylene to Westlake and others, as well as through the sale of co-products of ethylene production, including propylene, crude butadiene, pyrolysis gasoline and hydrogen. Our sole revenue generating asset is our 22.8% limited partner interest in OpCo.</w:t>
      </w:r>
    </w:p>
    <w:p>
      <w:pPr>
        <w:spacing w:after="0" w:line="13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assets and operations are organized into a single reportable segment and are all located and conducted in the United States. See "Item 8. Financial Statements and Supplementary Data" for financial information on our operations and assets; such information is incorporated herein by reference.</w:t>
      </w:r>
    </w:p>
    <w:p>
      <w:pPr>
        <w:spacing w:after="0" w:line="108"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Among other agreements entered into in connection with the closing of the IPO, OpCo entered into an ethylene sales agreement with Westlake with an initial term of 12 years, under which Westlake agreed to purchase 95% of OpCo's planned ethylene production each year, on a cost-plus basis that is expected to generate a fixed margin per pound of $0.10 (the "Ethylene Sales Agreement"). Any ethylene not sold to Westlake and all co-products that are produced by OpCo will be sold to third parties on either a spot or contract basis. OpCo also entered into a feedstock supply agreement with Westlake that supplies OpCo with ethane (and any other feedstocks) required for OpCo to produce ethylene under the Ethylene Sales Agreement (the "Feedstock Supply Agreement"). OpCo primarily uses ethane (a component of natural gas liquids, or NGLs) to produce ethylene.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We remain focused on our ability to continue to provide long-term value and distributions to our unitholders. As we navigate market conditions, we evaluate future growth opportunities, including the following four potential levers:</w:t>
      </w:r>
    </w:p>
    <w:p>
      <w:pPr>
        <w:spacing w:after="0" w:line="40" w:lineRule="exact"/>
        <w:rPr>
          <w:sz w:val="20"/>
          <w:szCs w:val="20"/>
          <w:color w:val="auto"/>
        </w:rPr>
      </w:pPr>
    </w:p>
    <w:p>
      <w:pPr>
        <w:ind w:left="1300" w:hanging="563"/>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of our ownership interest in OpCo;</w:t>
      </w:r>
    </w:p>
    <w:p>
      <w:pPr>
        <w:spacing w:after="0" w:line="90"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other qualified income streams;</w:t>
      </w:r>
    </w:p>
    <w:p>
      <w:pPr>
        <w:spacing w:after="0" w:line="103"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growth opportunities such as expansions of our current ethylene facilities; and</w:t>
      </w:r>
    </w:p>
    <w:p>
      <w:pPr>
        <w:spacing w:after="0" w:line="103"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 of a higher fixed-margin in our Ethylene Sales Agreement with Westlake.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Westlake Chemical Partners LP</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simplified diagram depicts our organizational structure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863590" cy="46977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3590" cy="4697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Common Units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59.9 %</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 of Westlake:</w:t>
            </w:r>
          </w:p>
        </w:tc>
        <w:tc>
          <w:tcPr>
            <w:tcW w:w="1560" w:type="dxa"/>
            <w:vAlign w:val="bottom"/>
          </w:tcPr>
          <w:p>
            <w:pPr>
              <w:spacing w:after="0"/>
              <w:rPr>
                <w:sz w:val="19"/>
                <w:szCs w:val="19"/>
                <w:color w:val="auto"/>
              </w:rPr>
            </w:pPr>
          </w:p>
        </w:tc>
      </w:tr>
      <w:tr>
        <w:trPr>
          <w:trHeight w:val="230"/>
        </w:trPr>
        <w:tc>
          <w:tcPr>
            <w:tcW w:w="9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Units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40.1 %</w:t>
            </w:r>
          </w:p>
        </w:tc>
      </w:tr>
      <w:tr>
        <w:trPr>
          <w:trHeight w:val="230"/>
        </w:trPr>
        <w:tc>
          <w:tcPr>
            <w:tcW w:w="9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Non-Economic General Partner Interest</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Incentive Distribution Rights </w:t>
            </w:r>
            <w:r>
              <w:rPr>
                <w:rFonts w:ascii="Times New Roman" w:cs="Times New Roman" w:eastAsia="Times New Roman" w:hAnsi="Times New Roman"/>
                <w:sz w:val="23"/>
                <w:szCs w:val="23"/>
                <w:color w:val="auto"/>
                <w:vertAlign w:val="superscript"/>
              </w:rPr>
              <w:t>(1)</w:t>
            </w: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98" w:lineRule="exact"/>
        <w:rPr>
          <w:sz w:val="20"/>
          <w:szCs w:val="20"/>
          <w:color w:val="auto"/>
        </w:rPr>
      </w:pPr>
    </w:p>
    <w:p>
      <w:pPr>
        <w:ind w:left="420" w:right="40" w:hanging="412"/>
        <w:spacing w:after="0" w:line="282" w:lineRule="auto"/>
        <w:tabs>
          <w:tab w:leader="none" w:pos="4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distribution rights represent a variable interest in distributions and thus are not expressed as a fixed percentage. Distributions with respect to the incentive distribution rights are classified as distributions with respect to equity interests.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Assets and Operations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sole revenue generating asset is our 22.8% limited partner interest in OpCo. We also own the general partner interest of OpCo. OpCo owns:</w:t>
      </w:r>
    </w:p>
    <w:p>
      <w:pPr>
        <w:spacing w:after="0" w:line="104" w:lineRule="exact"/>
        <w:rPr>
          <w:sz w:val="20"/>
          <w:szCs w:val="20"/>
          <w:color w:val="auto"/>
        </w:rPr>
      </w:pPr>
    </w:p>
    <w:p>
      <w:pPr>
        <w:ind w:left="660" w:right="3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ethylene production facilities at Westlake's Lake Charles, Louisiana site ("Petro 1" and "Petro 2," collectively referred to as "Lake Charles Olefins"), with an annual combined capacity of approximately 3 billion pounds;</w:t>
      </w:r>
    </w:p>
    <w:p>
      <w:pPr>
        <w:spacing w:after="0" w:line="4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ethylene production facility at Westlake's Calvert City, Kentucky site ("Calvert City Olefins"), with an annual capacity of approximately 730 million pounds; and</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200-mile common carrier ethylene pipeline that runs from Mont Belvieu, Texas to the Longview, Texas chemical site, which includes Westlake's Longview PE production facility (the "Longview Pipeline").</w:t>
      </w:r>
    </w:p>
    <w:p>
      <w:pPr>
        <w:spacing w:after="0" w:line="10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As the owner of the general partner interest of OpCo, we control all aspects of the management of OpCo, including its cash distribution policy. See "—OpCo's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OpCo's Assets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Ethylene Production Facilities</w:t>
      </w:r>
    </w:p>
    <w:p>
      <w:pPr>
        <w:spacing w:after="0" w:line="9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OpCo operates three ethylene production facilities that are situated on real property leased to OpCo by Westlake pursuant to two 50-year site lease agreements. See "Our Agreements with Westlake—Site Lease Agreements" for a description of the site leases. Ethylene can be produced from either NGL feedstocks, such as ethane, propane and butane, or from petroleum-derived feedstocks, such as naphtha. Lake Charles Olefins and Calvert City Olefins use primarily ethane as their feedstock. Calvert City Olefins can also use propane as a feedstock and Petro 2 can also use an ethane/propane mix, propane, butane or naphtha as a feedstock.</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regarding OpCo's ethylene production facilities as of December 31,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1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right"/>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Uses of</w:t>
            </w:r>
          </w:p>
        </w:tc>
        <w:tc>
          <w:tcPr>
            <w:tcW w:w="0" w:type="dxa"/>
            <w:vAlign w:val="bottom"/>
          </w:tcPr>
          <w:p>
            <w:pPr>
              <w:spacing w:after="0"/>
              <w:rPr>
                <w:sz w:val="1"/>
                <w:szCs w:val="1"/>
                <w:color w:val="auto"/>
              </w:rPr>
            </w:pPr>
          </w:p>
        </w:tc>
      </w:tr>
      <w:tr>
        <w:trPr>
          <w:trHeight w:val="148"/>
        </w:trPr>
        <w:tc>
          <w:tcPr>
            <w:tcW w:w="4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Plant Location (Description)</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(millions of</w:t>
            </w:r>
          </w:p>
        </w:tc>
        <w:tc>
          <w:tcPr>
            <w:tcW w:w="100" w:type="dxa"/>
            <w:vAlign w:val="bottom"/>
          </w:tcPr>
          <w:p>
            <w:pPr>
              <w:spacing w:after="0"/>
              <w:rPr>
                <w:sz w:val="12"/>
                <w:szCs w:val="12"/>
                <w:color w:val="auto"/>
              </w:rPr>
            </w:pPr>
          </w:p>
        </w:tc>
        <w:tc>
          <w:tcPr>
            <w:tcW w:w="3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Feedstock</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360" w:type="dxa"/>
            <w:vAlign w:val="bottom"/>
            <w:gridSpan w:val="2"/>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pounds)</w:t>
            </w:r>
          </w:p>
        </w:tc>
        <w:tc>
          <w:tcPr>
            <w:tcW w:w="100" w:type="dxa"/>
            <w:vAlign w:val="bottom"/>
          </w:tcPr>
          <w:p>
            <w:pPr>
              <w:spacing w:after="0"/>
              <w:rPr>
                <w:sz w:val="16"/>
                <w:szCs w:val="16"/>
                <w:color w:val="auto"/>
              </w:rPr>
            </w:pPr>
          </w:p>
        </w:tc>
        <w:tc>
          <w:tcPr>
            <w:tcW w:w="388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Ethylene</w:t>
            </w:r>
          </w:p>
        </w:tc>
        <w:tc>
          <w:tcPr>
            <w:tcW w:w="0" w:type="dxa"/>
            <w:vAlign w:val="bottom"/>
          </w:tcPr>
          <w:p>
            <w:pPr>
              <w:spacing w:after="0"/>
              <w:rPr>
                <w:sz w:val="1"/>
                <w:szCs w:val="1"/>
                <w:color w:val="auto"/>
              </w:rPr>
            </w:pPr>
          </w:p>
        </w:tc>
      </w:tr>
      <w:tr>
        <w:trPr>
          <w:trHeight w:val="228"/>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Lake Charles, Louisiana (Petro 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top w:val="single" w:sz="8" w:color="CCEEFF"/>
            </w:tcBorders>
            <w:shd w:val="clear" w:color="auto" w:fill="CCEEFF"/>
          </w:tcPr>
          <w:p>
            <w:pPr>
              <w:spacing w:after="0"/>
              <w:rPr>
                <w:sz w:val="19"/>
                <w:szCs w:val="19"/>
                <w:color w:val="auto"/>
              </w:rPr>
            </w:pPr>
          </w:p>
        </w:tc>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Ethane</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and PVC</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Ethane, ethane/propane mix, propane,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Lake Charles, Louisiana (Petro 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21"/>
                <w:szCs w:val="21"/>
                <w:color w:val="auto"/>
              </w:rPr>
            </w:pPr>
          </w:p>
        </w:tc>
        <w:tc>
          <w:tcPr>
            <w:tcW w:w="3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butane or naphtha</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and PVC</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Calvert City, Kentucky (Calvert City Olefins)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Ethane or propane</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PVC</w:t>
            </w:r>
          </w:p>
        </w:tc>
        <w:tc>
          <w:tcPr>
            <w:tcW w:w="0" w:type="dxa"/>
            <w:vAlign w:val="bottom"/>
          </w:tcPr>
          <w:p>
            <w:pPr>
              <w:spacing w:after="0"/>
              <w:rPr>
                <w:sz w:val="1"/>
                <w:szCs w:val="1"/>
                <w:color w:val="auto"/>
              </w:rPr>
            </w:pPr>
          </w:p>
        </w:tc>
      </w:tr>
      <w:tr>
        <w:trPr>
          <w:trHeight w:val="22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Lake Charles Olefins</w:t>
      </w:r>
    </w:p>
    <w:p>
      <w:pPr>
        <w:spacing w:after="0" w:line="108"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Two of OpCo's ethylene production facilities, which we refer to as Petro 1 and Petro 2 and, collectively, as Lake Charles Olefins, are located at Westlake's Lake Charles site. The combined capacity of these two ethylene production facilities is approximately 3 billion pounds per year.</w:t>
      </w:r>
    </w:p>
    <w:p>
      <w:pPr>
        <w:spacing w:after="0" w:line="108"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Within Westlake's Lake Charles site, Petro 1 and Petro 2 are connected by pipeline systems to Westlake's polyethylene plants. Westlake may use the ethylene it purchases from OpCo at its Lake Charles facilities or transfer it to its Geismar facility or its Longview facility, either through physical transportation or via exchange transactions. Westlake may also use the ethylene it purchases from OpCo with chlorine to produce ethylene dichloride and transport it via barge to Westlake's Calvert City site.</w:t>
      </w:r>
    </w:p>
    <w:p>
      <w:pPr>
        <w:spacing w:after="0" w:line="12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In addition, OpCo produces ethylene co-products including chemical grade propylene, crude butadiene, pyrolysis gasoline and hydrogen. OpCo sells its output of these co-products to external customers.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Calvert City Olefins</w:t>
      </w:r>
    </w:p>
    <w:p>
      <w:pPr>
        <w:spacing w:after="0" w:line="9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One of OpCo's ethylene production facilities is located at Westlake's Calvert City site, which we refer to as Calvert City Olefins. The capacity of Calvert City Olefins is approximately 730 million pounds per year.</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94"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OpCo owns a 200-mile 10-inch diameter ethylene pipeline system that connects the Equistar Pipeline, the Flint Hills Pipeline and the Lone Star Storage Facility in Mont Belvieu to the Longview, Texas chemical site, which includes Westlake's Longview PE production facility. The system has a capacity of 3.5 million pounds per day of ethylene and is operated as a common carrier pipeline by Buckeye Development &amp; Logistics I LLC. As a common carrier intrastate pipeline in Texas, the system is subject to rate regulation under the Texas Utilities Code, as implemented by the Texas Railroad Commission, or the TRRC, and has a tariff on file with the TRRC.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OpCo has perpetual and paid-up licenses for steam cracking and process recovery technology used at its ethylene plants.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Agreements with Westlake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Except as otherwise indicated, the agreements described below became effective on August 4, 2014, concurrent with the closing of the IPO.</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Ethylene Sales Agreement</w:t>
      </w:r>
    </w:p>
    <w:p>
      <w:pPr>
        <w:spacing w:after="0" w:line="94"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OpCo and Westlake are parties to the Ethylene Sales Agreement, which has an initial term through December 31, 2026 and automatic 12-month renewal periods until terminated at the end of the initial term or any renewal term on not less than 12-months' notice. On October 28, 2025, OpCo and Westlake agreed to renew the Ethylene Sales Agreement through December 31, 2027 in accordance with its terms. The Ethylene Sales Agreement requires Westlake to purchase OpCo's planned ethylene production each year, subject to certain exceptions and a maximum commitment of 3.8 billion pounds per year, less product sold by OpCo to third parties equal to approximately 5% of the annual output. Westlake's purchase price for its minimum commitment of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Variable costs not incurred by OpCo due to a deficiency in purchases by Westlake are rebated to Westlake. Under specified circumstances, unrecovered costs may be carried forward for recovery in subsequent years. If OpCo's actual production is in excess of planned ethylene production, Westlake has the option to purchase up to 95% of production in excess of planned production. The price for the sale of such excess ethylene to Westlake is based on a formula similar to that used for the minimum purchase commitment, with the exception of certain fixed costs.</w:t>
      </w:r>
    </w:p>
    <w:p>
      <w:pPr>
        <w:spacing w:after="0" w:line="136"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(as described below), and not the Ethylene Sales Agreement.</w:t>
      </w:r>
    </w:p>
    <w:p>
      <w:pPr>
        <w:spacing w:after="0" w:line="12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Under the Ethylene Sales Agreement, OpCo has the option to curtail up to approximately 5% of its ethylene production annually in the event OpCo reasonably determines that its sales of such ethylene to third parties during the relevant period would be uneconomic.</w:t>
      </w:r>
    </w:p>
    <w:p>
      <w:pPr>
        <w:spacing w:after="0" w:line="10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Pursuant to the Ethylene Sales Agreement, Westlake is obligated to pay for the annual minimum quantity (95% of OpCo's budgeted ethylene production), which is measured on an annual basis. In the event Westlake purchases less than its annual commitment, we recognize a buyer deficiency fee ("Buyer Deficiency Fee") representing fixed margin and all expenses and expenditures incurred per pound of volume committed but not taken by Westlake. The annual commitment is not reduced for a force majeure event affecting OpCo's plants that lasts fewer than 45 consecutive days; however, in the event of such a force majeure event, the Partnership recognizes a Buyer Deficiency Fee representing fixed margin and unavoided operating and maintenance capital expenditures and maintenance expenses per pound of volume committed by Westlake during the force majeure period. Payment of the Buyer Deficiency Fee is scheduled to be received by the Partnership after the conclusion of the year in which the annual commitment was not purchased and taken by Westlake.</w:t>
      </w:r>
    </w:p>
    <w:p>
      <w:pPr>
        <w:spacing w:after="0" w:line="13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Ethylene Sales Agreement provides that, if compliance with any law adopted or modified following our IPO results in OpCo incurring additional costs in excess of $500,000 in any contract year, OpCo is entitled to charge Westlake a monthly surcharge following efforts to mitigate the effects of such compliance.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Feedstock Supply Agreement</w:t>
      </w:r>
    </w:p>
    <w:p>
      <w:pPr>
        <w:spacing w:after="0" w:line="94" w:lineRule="exact"/>
        <w:rPr>
          <w:sz w:val="20"/>
          <w:szCs w:val="20"/>
          <w:color w:val="auto"/>
        </w:rPr>
      </w:pPr>
    </w:p>
    <w:p>
      <w:pPr>
        <w:ind w:right="220" w:firstLine="405"/>
        <w:spacing w:after="0" w:line="256" w:lineRule="auto"/>
        <w:rPr>
          <w:sz w:val="20"/>
          <w:szCs w:val="20"/>
          <w:color w:val="auto"/>
        </w:rPr>
      </w:pPr>
      <w:r>
        <w:rPr>
          <w:rFonts w:ascii="Times New Roman" w:cs="Times New Roman" w:eastAsia="Times New Roman" w:hAnsi="Times New Roman"/>
          <w:sz w:val="18"/>
          <w:szCs w:val="18"/>
          <w:color w:val="auto"/>
        </w:rPr>
        <w:t>OpCo and Westlake are parties to the Feedstock Supply Agreement, which has an initial term through December 31, 2026 and automatic 12-month renewal periods until terminated at the end of the initial term or any renewal term on not less than 12-months' notice. On October 28, 2025, OpCo and Westlake agreed to renew the Feedstock Supply Agreement through December 31, 2027 in accordance with its terms. Under the Feedstock Supply Agreement, Westlake sells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and Secondment Agreement</w:t>
      </w:r>
    </w:p>
    <w:p>
      <w:pPr>
        <w:spacing w:after="0" w:line="10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OpCo and Westlake are parties to the Services and Secondment Agreement, pursuant to which OpCo provides Westlake with various utilities and utility services in exchange for Westlake providing OpCo with various utility services, comprehensive operating services for OpCo's units, services for the maintenance and operation of the common facilities and seconded employees to perform all services required under the agreement. In connection with the renewals of the Ethylene Sales Agreement and the Feedstock Supply Agreement, on October 28, 2025, OpCo and certain affiliates of Westlake entered into an amendment to the Services and Secondment Agreement to align the date of expiration of such agreement with the date of expiration of the Ethylene Sales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Site Lease Agreements</w:t>
      </w:r>
    </w:p>
    <w:p>
      <w:pPr>
        <w:spacing w:after="0" w:line="10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OpCo and Westlake are parties to two 50-year site lease agreements (the "Site Leases"). Under the Site Leases, OpCo leases the real property underlying Calvert City Olefins and Lake Charles Olefins and is granted certain use and access rights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Westlake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Westlake's property or operations and provided that any assets that are not timely removed by OpCo will be deemed to have been surrendered to Westlake.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Agreement</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OpCo and Westlake are parties to the Omnibus Agreement, pursuant to which we granted Westlake, among other things, a right of first refusal on any proposed transfer of (1) our equity interests in OpCo, (2) the ethylene production facilities that serve Westlake's other facilities or (3)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 In connection with the renewals of the Ethylene Sales Agreement and the Feedstock Supply Agreement, on October 28, 2025, the Partnership, OpCo and certain affiliates of Westlake entered into an amendment to the Omnibus Agreement to provide that the Omnibus Agreement would terminate upon termination of the Ethylene Sales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OpCo and Westlake are parties to an exchange agreement, which had an initial term through August 1, 2015 and continues on an annual basis unless and until terminated by either party. Under the exchange agreement, OpCo may require Westlake to deliver up to 200 million pounds of ethylene for OpCo per year from the Site Leases to an ethylene hub in Mont Belvieu, Texas, for which OpCo would be required to pay Westlake an exchange fee of $0.006 per pound.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Partnership Agreement</w:t>
      </w:r>
    </w:p>
    <w:p>
      <w:pPr>
        <w:spacing w:after="0" w:line="94"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We,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w:t>
      </w:r>
    </w:p>
    <w:p>
      <w:pPr>
        <w:spacing w:after="0" w:line="10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On August 1, 2017, we, OpCo and Westlake executed an Investment Management Agreement that authorizes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w:t>
      </w:r>
    </w:p>
    <w:p>
      <w:pPr>
        <w:spacing w:after="0" w:line="126"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See "Liquidity and Capital Resources" in Item 7. "Management's Discussion and Analysis of Financial Condition and Results of Operations" for a discussion of the Partnership's and OpCo's debt agreements with Westlake and "Interest Rate Risk" in Item 7A. "Quantitative and Qualitative Disclosures about Market Risk" for a discussion of the Partnership's interest rate contract with Westlake.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0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As is common in our industry, we and OpCo are subject to environmental laws and regulations related to the use, storage, handling, generation, transportation, emission, discharge, disposal and remediation of, and exposure to, hazardous and non-hazardous substances and wastes in all of the jurisdictions in which we do business. National, state or provincial and local standards regulating air, water and land quality affect substantially all of our manufacturing locations. Compliance with such laws and regulations has required and will continue to require capital expenditures and increased operating costs. Pursuant to our arrangement with Westlake, Westlake will indemnify us for liabilities that occurred or existed (in connection with compliance with such laws and regulations) prior to August 4, 2014.</w:t>
      </w:r>
    </w:p>
    <w:p>
      <w:pPr>
        <w:spacing w:after="0" w:line="13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It is our policy to comply with all environmental, health and safety requirements in the jurisdictions in which we and OpCo operate and to provide safe and environmentally sound workplaces for our employees. In some cases, compliance can be achieved only by incurring capital expenditures. In 2025, OpCo incurred capital expenditures of $5.3 million related to environmental compliance. We estimate that OpCo will make capital expenditures of approximately $1.5 million in 2026 and $1.2 million in 2027, respectively, related to environmental compliance. We anticipate that stringent environmental regulations will continue to be imposed on us and the industry in general. Under the Ethylene Sales Agreement, we may be entitled to charge Westlake a monthly surcharge as a result of complying with certain changes in law occurring after our IPO. See "Business—Our Agreements with Westlake—</w:t>
      </w:r>
      <w:r>
        <w:rPr>
          <w:rFonts w:ascii="Times New Roman" w:cs="Times New Roman" w:eastAsia="Times New Roman" w:hAnsi="Times New Roman"/>
          <w:sz w:val="18"/>
          <w:szCs w:val="18"/>
          <w:i w:val="1"/>
          <w:iCs w:val="1"/>
          <w:color w:val="auto"/>
        </w:rPr>
        <w:t>Ethylene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Sales Agreement.</w:t>
      </w:r>
      <w:r>
        <w:rPr>
          <w:rFonts w:ascii="Times New Roman" w:cs="Times New Roman" w:eastAsia="Times New Roman" w:hAnsi="Times New Roman"/>
          <w:sz w:val="18"/>
          <w:szCs w:val="18"/>
          <w:color w:val="auto"/>
        </w:rPr>
        <w:t>" Although we cannot predict with certainty future expenditures, management believes that our current spending trends for environmental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will continue.</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Also, see the discussion of our environmental matters contained in "Item 1A. Risk Factors" and "Item 3. Legal Proceedings" below.</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9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Neither we nor OpCo has any employees. Under the Services and Secondment Agreement with Westlake, Westlake seconds employees to OpCo to allow OpCo to operate its facilities, and we sometimes refer to these individuals, for drafting convenience only, as our employees because they provide services directly to us. Such seconded employees are under OpCo's control while they work on OpCo's facilities. As of December 31, 2025, 155 employees of Westlake were seconded to OpCo. As of December 31, 2025, 15% of such seconded employees were covered by a collective bargaining agreement, which will expire in November 2029. We believe that Westlake's relationship with local union representatives is open and positive. Westlake is responsible for human capital management policies, including any human capital measures and objectives that management focuses on in managing the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0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the ordinary conduct of our business, we and Westlake and our and Westlake's subsidiaries, including OpCo, are subject to lawsuits, investigations and claims, including environmental claims and employee related matters.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Due to the Ethylene Sales Agreement and integration with Westlake, OpCo does not directly compete with other ethylene producers for 95% of the planned volumes it produces. It is only on the 5% of planned ethylene volumes and any excess volumes not sold to Westlake where OpCo competes with other regional merchant ethylene producers, including LyondellBasell Industries, N.V., Shell Chemical Company, BASF Corporation and Motiva Enterprises LLC.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website address is www.wlkpartners.com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website content is available for information purposes only. It should not be relied upon for investment purposes, nor is it incorporated by reference in this Form 10-K. We make available on this website under "Investor Relations/SEC Filings," free of charge, our annual reports on Form 10-K, quarterly reports on Form 10-Q, current reports on Form 8-K and amendments to those materials as soon as reasonably practicable after we electronically file those materials with, or furnish those materials to, the Securities Exchange Commission (the "SEC"). The SEC also maintains a website at www.sec.gov that contains reports, proxy statements and other information regarding SEC registrants, including us.</w:t>
      </w:r>
    </w:p>
    <w:p>
      <w:pPr>
        <w:spacing w:after="0" w:line="13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We intend to satisfy the requirement under Item 5.05 of Form 8-K to disclose any amendments to our Code of Ethics and any waiver from a provision of our Code of Ethics by posting such information on our website at www.wlkpartners.com under "Investor Relations/Corporate 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Limited partner interests are inherently different from the capital stock of a corporation, although many of the business risks to which we are subject are similar to those that would be faced by a corporation engaged in a similar business. Security holders and potential investors should carefully consider the following risk factors together with all of the other information included in this report. If any of the following risks were actually to occur, our business, financial condition, results of operations or cash flows could be materially adversely affected.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Inherent in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Relationship with Westlake</w:t>
      </w:r>
    </w:p>
    <w:p>
      <w:pPr>
        <w:spacing w:after="0" w:line="173" w:lineRule="exact"/>
        <w:rPr>
          <w:sz w:val="20"/>
          <w:szCs w:val="20"/>
          <w:color w:val="auto"/>
        </w:rPr>
      </w:pPr>
    </w:p>
    <w:p>
      <w:pPr>
        <w:ind w:left="660" w:right="6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Westlake for our cash flows. If Westlake does not pay us under the terms of the Ethylene Sales Agreement or if our assets fail to perform as intended, we may not have sufficient cash from operations following the establishment of cash reserves and payment of costs and expenses, including cost reimbursements to our general partner and its affiliates, to enable us to pay the minimum quarterly distribution to our unitholders.</w:t>
      </w:r>
    </w:p>
    <w:p>
      <w:pPr>
        <w:spacing w:after="0" w:line="2" w:lineRule="exact"/>
        <w:rPr>
          <w:rFonts w:ascii="Times New Roman" w:cs="Times New Roman" w:eastAsia="Times New Roman" w:hAnsi="Times New Roman"/>
          <w:sz w:val="18"/>
          <w:szCs w:val="18"/>
          <w:color w:val="auto"/>
        </w:rPr>
      </w:pPr>
    </w:p>
    <w:p>
      <w:pPr>
        <w:ind w:left="660" w:right="60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is subject to the credit risk of Westlake on a substantial majority of its revenues, and Westlake's leverage and creditworthiness could adversely affect our ability to make distributions to our unitholders.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is a restricted subsidiary under certain indentures governing Westlake's senior notes.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ethylene sales price charged under the Ethylene Sales Agreement is designed to permit OpCo to cover the substantial majority of its operating costs, but not our public partnership, debt and other OpCo costs, which reduce our net operating profit.</w:t>
      </w:r>
    </w:p>
    <w:p>
      <w:pPr>
        <w:ind w:left="660" w:right="18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OpCo is unable to renew or extend the Ethylene Sales Agreement or the other agreements with Westlake upon expiration of these agreements, our ability to make distributions in the future could be materially adversely affected and the value of our units could decline.</w:t>
      </w:r>
    </w:p>
    <w:p>
      <w:pPr>
        <w:ind w:left="660" w:right="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has the right to use the real property underlying Lake Charles Olefins and Calvert City Olefins pursuant to two, 50-year site lease agreements with Westlake. If OpCo is not able to renew the site lease agreements or if the site lease agreements are terminated by Westlake, OpCo may have to relocate Lake Charles Olefins and Calvert City Olefins, abandon the assets or sell the assets to Westlake.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depends upon Westlake for numerous services and for its labor force.</w:t>
      </w:r>
    </w:p>
    <w:p>
      <w:pPr>
        <w:spacing w:after="0" w:line="9" w:lineRule="exact"/>
        <w:rPr>
          <w:rFonts w:ascii="Times New Roman" w:cs="Times New Roman" w:eastAsia="Times New Roman" w:hAnsi="Times New Roman"/>
          <w:sz w:val="18"/>
          <w:szCs w:val="18"/>
          <w:color w:val="auto"/>
        </w:rPr>
      </w:pPr>
    </w:p>
    <w:p>
      <w:pPr>
        <w:ind w:left="660" w:right="18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obligated to reimburse our general partner and Westlake for services provided to us or on our behalf, which may reduce our earnings and therefore our cash available for distribution to our unitholders. The amount and timing of such reimbursements are determined by our general partner.</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w:t>
      </w:r>
    </w:p>
    <w:p>
      <w:pPr>
        <w:spacing w:after="0" w:line="173" w:lineRule="exact"/>
        <w:rPr>
          <w:sz w:val="20"/>
          <w:szCs w:val="20"/>
          <w:color w:val="auto"/>
        </w:rPr>
      </w:pPr>
    </w:p>
    <w:p>
      <w:pPr>
        <w:ind w:left="660" w:right="1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OpCo's sales are generated at three facilities located at two sites. Any adverse developments at any of these facilities or sites could have a material adverse effect on our results of operations and therefore our ability to distribute cash to unitholders.</w:t>
      </w:r>
    </w:p>
    <w:p>
      <w:pPr>
        <w:ind w:left="660" w:right="18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we have available for distribution to holders of our units depends primarily on our cash flow and not solely on profitability, which may prevent us from making cash distributions during periods when we record net income.</w:t>
      </w:r>
    </w:p>
    <w:p>
      <w:pPr>
        <w:ind w:left="660" w:right="1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make acquisitions from Westlake or third parties on economically acceptable terms, our future growth would be limited, and any acquisitions we make may reduce, rather than increase, our cash generated from operations on a per unit basis.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assets are subject to climate-related risks and uncertainties.</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variable-rate debt exposes us to increases in interest rates, which could have a material impact on our financial position, results of operation and cash flows, and could reduce the price at which our common units trade.</w:t>
      </w:r>
    </w:p>
    <w:p>
      <w:pPr>
        <w:ind w:left="660" w:right="22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effects of public health crises, pandemics and epidemics could materially adversely affect OpCo's business, financial condition and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Partnership Structure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General Partner</w:t>
      </w:r>
    </w:p>
    <w:p>
      <w:pPr>
        <w:spacing w:after="0" w:line="173" w:lineRule="exact"/>
        <w:rPr>
          <w:sz w:val="20"/>
          <w:szCs w:val="20"/>
          <w:color w:val="auto"/>
        </w:rPr>
      </w:pPr>
    </w:p>
    <w:p>
      <w:pPr>
        <w:ind w:left="660" w:right="40" w:hanging="328"/>
        <w:spacing w:after="0" w:line="25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Westlake owns and controls our general partner, which has sole responsibility for conducting our business and managing our operations. Our general partner and its affiliates, including Westlake, may have conflicts of interest with us and have limited duties, and they may favor their own interests to our detriment and that of our unitholders.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has limited its liability regarding our obligations.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replaces our general partner's fiduciary duties to holders of our units.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Westlake and other affiliates of our general partner may compete with us.</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common units have limited voting rights and are not entitled to elect our general partner or its directors, which could reduce the price at which our common units trade.</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holders of our common units are dissatisfied, they cannot currently remove our general partner without its consent.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of our general partner may be transferred to a third party without unitholder consent.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has a call right that may require unitholders to sell their common units at an undesirable time or price.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Distributions to Unitholders</w:t>
      </w:r>
    </w:p>
    <w:p>
      <w:pPr>
        <w:spacing w:after="0" w:line="173" w:lineRule="exact"/>
        <w:rPr>
          <w:sz w:val="20"/>
          <w:szCs w:val="20"/>
          <w:color w:val="auto"/>
        </w:rPr>
      </w:pPr>
    </w:p>
    <w:p>
      <w:pPr>
        <w:ind w:left="660" w:right="2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modify or revoke our cash distribution policy at any time at its discretion. Our partnership agreement does not require us to pay any distributions at all.</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distribute a significant portion of our available cash to our partners, which could limit our ability to grow and make acquisitions.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Ownership of Our Common Units</w:t>
      </w:r>
    </w:p>
    <w:p>
      <w:pPr>
        <w:spacing w:after="0" w:line="17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units without unitholder approval, which would dilute existing unitholder ownership interests.</w:t>
      </w:r>
    </w:p>
    <w:p>
      <w:pPr>
        <w:spacing w:after="0" w:line="27" w:lineRule="exact"/>
        <w:rPr>
          <w:rFonts w:ascii="Times New Roman" w:cs="Times New Roman" w:eastAsia="Times New Roman" w:hAnsi="Times New Roman"/>
          <w:sz w:val="18"/>
          <w:szCs w:val="18"/>
          <w:color w:val="auto"/>
        </w:rPr>
      </w:pPr>
    </w:p>
    <w:p>
      <w:pPr>
        <w:ind w:left="660" w:right="20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units could be adversely affected by sales of substantial amounts of our common units in the public or private markets, including sales by Westlake or other large holders.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Risks</w:t>
      </w:r>
    </w:p>
    <w:p>
      <w:pPr>
        <w:spacing w:after="0" w:line="175" w:lineRule="exact"/>
        <w:rPr>
          <w:sz w:val="20"/>
          <w:szCs w:val="20"/>
          <w:color w:val="auto"/>
        </w:rPr>
      </w:pPr>
    </w:p>
    <w:p>
      <w:pPr>
        <w:ind w:left="660" w:right="80" w:hanging="328"/>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tax treatment depends on our status as a partnership for U.S. federal income tax purposes, and not being subject to a material amount of entity-level taxation. Our cash available for distribution to unitholders may be substantially reduced if we become subject to entity-level taxation as a result of the Internal Revenue Service ("IRS") treating us as a corporation or legislative, judicial or administrative changes, and may also be reduced by any audit adjustments if imposed directly on the partnership.</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unitholders do not receive any cash distributions from us, unitholders will be required to pay taxes on their share of our taxable income. A unitholder's share of our taxable income may be increased as a result of the IRS successfully contesting any of the U.S. federal income tax positions we take.</w:t>
      </w:r>
    </w:p>
    <w:p>
      <w:pPr>
        <w:spacing w:after="0" w:line="1" w:lineRule="exact"/>
        <w:rPr>
          <w:rFonts w:ascii="Times New Roman" w:cs="Times New Roman" w:eastAsia="Times New Roman" w:hAnsi="Times New Roman"/>
          <w:sz w:val="18"/>
          <w:szCs w:val="18"/>
          <w:color w:val="auto"/>
        </w:rPr>
      </w:pPr>
    </w:p>
    <w:p>
      <w:pPr>
        <w:ind w:left="660" w:right="8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and non-U.S. unitholders face unique tax issues from owning our common units that may result in adverse tax consequences to them.</w:t>
      </w: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Inherent in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Relationship with Westlake</w:t>
      </w:r>
    </w:p>
    <w:p>
      <w:pPr>
        <w:spacing w:after="0" w:line="25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Westlake for our cash flows. If Westlake does not pay us under the terms of the Ethylene Sales Agreement or if our assets fail to perform as intended, we may not have sufficient cash from operations following the establishment of cash reserves and payment of costs and expenses, including cost reimbursements to our general partner and its affiliates, to enable us to pay the minimum quarterly distribution to our unitholders.</w:t>
      </w:r>
    </w:p>
    <w:p>
      <w:pPr>
        <w:spacing w:after="0" w:line="5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Currently, all of our cash flow is generated from cash distributions from OpCo, and a substantial majority of OpCo's cash flow is generated from payments by Westlake under the Ethylene Sales Agreement. Westlake's obligations to purchase ethylene under the Ethylene Sales Agreement may be temporarily suspended to the extent OpCo is unable to perform its obligations caused by certain events outside the reasonable control of OpCo. Such events include, for example, acts of God or calamities which affect the operation of OpCo's facilities; certain labor difficulties (whether or not the demands of the employees are within the power of OpCo to concede); and governmental orders or laws. In addition, Westlake is not obligated to purchase ethylene with respect to any period during which OpCo's facilities are not operating due to scheduled or unscheduled maintenance or turnarounds other than under certain circumstances relating to the occurrence of force majeure. We expect that each of OpCo's facilities will have a turnaround approximately once every five to eight years and will not operate for typically between 30 and 60 days during each separate turnaround. However, the duration of any turnaround activities may be longer than expected or may cost more than originally estimated. Furthermore, facility expansions may also coincide with turnarounds, which may complicate and delay the completion of such turnarounds. A suspension of Westlake's obligations under the Ethylene Sales Agreement, including during periods where OpCo's facilities are not operating due to scheduled or unscheduled maintenance or turnarounds, would reduce OpCo's revenues and cash flows, and could materially adversely affect our ability to make distributions to our unitholders.</w:t>
      </w:r>
    </w:p>
    <w:p>
      <w:pPr>
        <w:spacing w:after="0" w:line="136" w:lineRule="exact"/>
        <w:rPr>
          <w:sz w:val="20"/>
          <w:szCs w:val="20"/>
          <w:color w:val="auto"/>
        </w:rPr>
      </w:pPr>
    </w:p>
    <w:p>
      <w:pPr>
        <w:ind w:right="60" w:firstLine="405"/>
        <w:spacing w:after="0" w:line="252" w:lineRule="auto"/>
        <w:rPr>
          <w:sz w:val="20"/>
          <w:szCs w:val="20"/>
          <w:color w:val="auto"/>
        </w:rPr>
      </w:pPr>
      <w:r>
        <w:rPr>
          <w:rFonts w:ascii="Times New Roman" w:cs="Times New Roman" w:eastAsia="Times New Roman" w:hAnsi="Times New Roman"/>
          <w:sz w:val="18"/>
          <w:szCs w:val="18"/>
          <w:color w:val="auto"/>
        </w:rPr>
        <w:t>Westlake may be unable to generate enough cash flow from operations to meet its minimum obligations under the Ethylene Sales Agreement if its business is adversely impacted by competition, operational problems, international trade barriers, general adverse economic conditions or the inability to obtain feedstock. For example, lower prices of crude oil could lead to a reduction in the cost advantage for natural gas liquids-based ethylene derivatives in North America, such as Westlake's, as compared to naphtha-based ethylene derivatives. Additionally, Westlake operates internationally and could be adversely affected by trade barriers, tariffs and duties, or violations of international fair trade laws by global competitors. As a result, Westlake's margins and cash flows could be negatively impacted during such period. If Westlake is not able to meet its minimum payment obligations to OpCo as a result of any one or more of these factors, our ability to make distributions to our unitholders would be reduced or eliminated. The amount paid by Westlake will depend upon its ability to satisfy its minimum obligations under the Ethylene Sales Agreement and its ability and election to increase volumes above the minimums specified in the Ethylene Sales Agreement, which in turn are dependent upon, among other things, the level of polyethylene and polyvinyl chloride production at Westlake's other facilities, as well as industry capacity expansion in these downstream products in North America. If Westlake is unable to generate sufficient cash flow from its operations to meet its obligations, or otherwise defaults on its obligations, under the Ethylene Sales Agreement, OpCo will not have sufficient available cash to distribute to us to enable us to pay the minimum quarterly distribution set forth in our cash distribution policy. As a result, our ability to pay the minimum quarterly distribution is based on the following factors, some of which are beyond our control:</w:t>
      </w:r>
    </w:p>
    <w:p>
      <w:pPr>
        <w:spacing w:after="0" w:line="76" w:lineRule="exact"/>
        <w:rPr>
          <w:sz w:val="20"/>
          <w:szCs w:val="20"/>
          <w:color w:val="auto"/>
        </w:rPr>
      </w:pPr>
    </w:p>
    <w:p>
      <w:pPr>
        <w:ind w:left="660" w:right="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financial hardship or bankruptcy of Westlake or one of our other customers, or the occurrence of other events affecting our ability to collect payments from Westlake or our other customers, including any of our customers' default;</w:t>
      </w:r>
    </w:p>
    <w:p>
      <w:pPr>
        <w:spacing w:after="0" w:line="26"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cyclical downturns in the chemicals industry and other industries which materially and adversely impact Westlake and our other customers;</w:t>
      </w:r>
    </w:p>
    <w:p>
      <w:pPr>
        <w:spacing w:after="0" w:line="4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Westlake's inability to perform, or any other default on its obligations, under the Ethylene Sales Agreement, the Feedstock Supply Agreement, the Services and Secondment Agreement and the Omnibus Agreement;</w:t>
      </w:r>
    </w:p>
    <w:p>
      <w:pPr>
        <w:spacing w:after="0" w:line="40"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 of, and changes in the reliability, efficiency and capacity of the various equipment and operating facilities used in OpCo's operations, and in the operations of Westlake and our other customers, business partners and/or suppliers;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environmental remediation at OpCo's facilities not covered by Westlake or third parties;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expected operating levels of OpCo's assets;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OpCo's ability to meet minimum volume requirements, yield standards and ethylene quality requirements in the Ethylene Sales Agreement;</w:t>
      </w:r>
    </w:p>
    <w:p>
      <w:pPr>
        <w:spacing w:after="0" w:line="90"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OpCo's ability to renew the Ethylene Sales Agreement or to enter into new, long-term agreements for the sale of ethylene under terms that are similar or more favorable;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2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marketplace that may affect supply and demand for ethane or ethylene, including decreased availability of ethane (which may result from greater restrictions on hydraulic fracturing, any reduction in hydraulic fracturing due to low crude oil prices or exports of natural gas liquids from the United States, for example), increased production of ethylene (a number of new ethylene capacity expansions have been recently completed) or export of ethane or ethylene from the United States;</w:t>
      </w:r>
    </w:p>
    <w:p>
      <w:pPr>
        <w:spacing w:after="0" w:line="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overall levels of production, production capacity, pricing and/or margins for ethylene;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OpCo's ability to secure adequate supplies of ethane, other feedstocks and natural gas from Westlake or third parties;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use higher priced or less attractive feedstock due to the unavailability of ethane;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pipeline, railroad, barge, truck and other transportation performance and costs, including any transportation disruptions;</w:t>
      </w:r>
    </w:p>
    <w:p>
      <w:pPr>
        <w:spacing w:after="0" w:line="10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proceedings involving our property or assets, and our ability to receive indemnification from Westlake for certain liabilities and losses;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inflation and fluctuations in interest rates;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labor;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employees and workplace safety;</w:t>
      </w:r>
    </w:p>
    <w:p>
      <w:pPr>
        <w:spacing w:after="0" w:line="10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adverse events relating to the operation of OpCo's facilities and to the transportation and storage of hazardous materials (including equipment malfunction, explosions, fires, spills and the effects of severe weather conditions);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specifications for the ethylene that we produce;</w:t>
      </w:r>
    </w:p>
    <w:p>
      <w:pPr>
        <w:spacing w:after="0" w:line="15" w:lineRule="exact"/>
        <w:rPr>
          <w:rFonts w:ascii="Times New Roman" w:cs="Times New Roman" w:eastAsia="Times New Roman" w:hAnsi="Times New Roman"/>
          <w:sz w:val="18"/>
          <w:szCs w:val="18"/>
          <w:color w:val="auto"/>
        </w:rPr>
      </w:pPr>
    </w:p>
    <w:p>
      <w:pPr>
        <w:ind w:left="660" w:right="200" w:hanging="328"/>
        <w:spacing w:after="0" w:line="24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insurance markets and the level, types and costs of coverage available, and the financial ability and willingness of our and Westlake's insurers to meet their obligations;</w:t>
      </w:r>
    </w:p>
    <w:p>
      <w:pPr>
        <w:spacing w:after="0" w:line="73" w:lineRule="exact"/>
        <w:rPr>
          <w:rFonts w:ascii="Times New Roman" w:cs="Times New Roman" w:eastAsia="Times New Roman" w:hAnsi="Times New Roman"/>
          <w:sz w:val="18"/>
          <w:szCs w:val="18"/>
          <w:color w:val="auto"/>
        </w:rPr>
      </w:pPr>
    </w:p>
    <w:p>
      <w:pPr>
        <w:ind w:left="660" w:right="8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new, statutes, regulations or governmental policies by federal, state and local authorities with respect to protection of the environment;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 and/or tax laws or their interpretations;</w:t>
      </w:r>
    </w:p>
    <w:p>
      <w:pPr>
        <w:spacing w:after="0" w:line="10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or force majeure by, or disputes with or changes in contract terms with, Westlake, our other major customers, suppliers, dealers, distributors or other business partners;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new, statutes, regulations, governmental policies and taxes, or their interpretations.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the actual amount of cash we will have available for distribution will depend on other factors, including:</w:t>
      </w:r>
    </w:p>
    <w:p>
      <w:pPr>
        <w:spacing w:after="0" w:line="90" w:lineRule="exact"/>
        <w:rPr>
          <w:sz w:val="20"/>
          <w:szCs w:val="20"/>
          <w:color w:val="auto"/>
        </w:rPr>
      </w:pPr>
    </w:p>
    <w:p>
      <w:pPr>
        <w:ind w:left="660" w:right="2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we or OpCo are able to generate from sales of ethylene, and associated co-products, to third parties, which will be impacted by changes in prices for ethane (or other feedstocks), natural gas, ethylene and co-products and lower prices of crude oil, new ethylene capacity expansions in North America (a number of which have been completed recently), and could be less than the margin we earn from ethylene sales to Westlake;</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capital expenditures we or OpCo make;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acquisitions;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costs;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or OpCo's working capital needs;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OpCo's ability to borrow funds (including under our or OpCo's revolving credit facilities) and access capital markets;</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OpCo's debt service requirements, including interest owed on variable rate debt, and other liabilities;</w:t>
      </w:r>
    </w:p>
    <w:p>
      <w:pPr>
        <w:spacing w:after="0" w:line="7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our or OpCo's existing or future debt agreements;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reserves established by our general partner.</w:t>
      </w:r>
    </w:p>
    <w:p>
      <w:pPr>
        <w:spacing w:after="0" w:line="1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will require a significant amount of cash to service our debt and OpCo's debt, including borrowings under our and OpCo's credit facilities with Westlake. Our ability to make payments on and refinance this debt will depend on our ability to generate cash in the future, which is subject to the same factors described above in connection with our ability to pay quarterly distributions to unitholders. Cash that is used to service debt will be unavailable for distributions to our unitholders.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OpCo is subject to the credit risk of Westlake on a substantial majority of its revenues, and Westlake's leverage and creditworthiness could adversely affect our ability to make distributions to our unitholders.</w:t>
      </w:r>
    </w:p>
    <w:p>
      <w:pPr>
        <w:spacing w:after="0" w:line="2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Our ability to make distributions to unitholders is substantially dependent on Westlake's ability to meet its minimum contractual obligations under the Ethylene Sales Agreement and its obligations under the Services and Secondment Agreement and the Omnibus Agreement. If Westlake defaults on its obligations, our ability to make distributions to our unitholders would be reduced or eliminated. Westlake has not pledged any assets to us as security for the performance of its obligations.</w:t>
      </w:r>
    </w:p>
    <w:p>
      <w:pPr>
        <w:spacing w:after="0" w:line="126"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Westlake has not agreed with us to limit its ability to incur indebtedness, pledge or sell assets or make investments, and we have no control over the amount of indebtedness Westlake incurs, the assets it pledges or sells or the investments it makes.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is a restricted subsidiary under certain indentures governing Westlake's senior notes.</w:t>
      </w:r>
    </w:p>
    <w:p>
      <w:pPr>
        <w:spacing w:after="0" w:line="10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All of our cash is currently generated from cash distributions from OpCo. Certain indentures governing Westlake's senior notes impose significant operating and financial restrictions on OpCo. These restrictions limit OpCo's ability to:</w:t>
      </w:r>
    </w:p>
    <w:p>
      <w:pPr>
        <w:spacing w:after="0" w:line="2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or substantially all of its assets or consolidate or merge with or into other companies.</w:t>
      </w:r>
    </w:p>
    <w:p>
      <w:pPr>
        <w:spacing w:after="0" w:line="171"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These covenants may adversely affect OpCo's ability to finance future business opportunities. A breach of any of these covenants could result in a default in respect of the related debt. If a default occurred, the relevant lenders could elect to declare the debt, together with accrued interest and other fees, to be immediately due and payable and proceed against any collateral securing that debt, including OpCo and its assets. In addition, any acceleration of debt under Westlake's credit facility will constitute a default under some of Westlake's other debt, including the indentures governing its senior notes.</w:t>
      </w:r>
    </w:p>
    <w:p>
      <w:pPr>
        <w:spacing w:after="0" w:line="20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ethylene sales price charged under the Ethylene Sales Agreement is designed to permit OpCo to cover the substantial majority of its operating costs, but not our public partnership, debt and other OpCo costs, which reduce our net operating profit.</w:t>
      </w:r>
    </w:p>
    <w:p>
      <w:pPr>
        <w:spacing w:after="0" w:line="37"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purchase price under the Ethylene Sales Agreement is based on OpCo's actual ethane, other feedstock and natural gas costs and an annual estimate of other operating costs and maintenance capital expenditures and other turnaround expenditures. The price is designed to permit OpCo to recover the portion of its costs of feedstocks and other costs to operate the ethylene production facilities associated with the percentage of its production capacity purchased by Westlake and generate a fixed margin per pound of ethylene purchased by Westlake. The price is not designed to allow OpCo to recover any capital expenditures related to expansion. The ethylene sales price also does not increase to cover our cost of debt or public partnership costs. All of these costs reduce our net operating profit.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fee structure of the Ethylene Sales Agreement may limit OpCo's ability to take advantage of favorable market developments in the future.</w:t>
      </w:r>
    </w:p>
    <w:p>
      <w:pPr>
        <w:spacing w:after="0" w:line="9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Ethylene Sales Agreement sets a $0.10 per pound margin for a substantial majority of OpCo's ethylene production, limiting OpCo's ability to take advantage of potential decreased ethane and other feedstock prices, potential increased ethylene prices or other favorable market developments. Under these circumstances, OpCo may not be in a position to enable its partners, including us, to benefit from favorable market developments (including any potential ethylene price increase in the future) through increased distributions. In addition, under these circumstances, OpCo may be disadvantaged relative to those of its competitors that are in a better position to take advantage of favorable market developments.</w:t>
      </w:r>
    </w:p>
    <w:p>
      <w:pPr>
        <w:spacing w:after="0" w:line="22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OpCo is unable to renew or extend the Ethylene Sales Agreement or the other agreements with Westlake upon expiration of these agreements, our ability to make distributions in the future could be materially adversely affected and the value of our units could decline.</w:t>
      </w:r>
    </w:p>
    <w:p>
      <w:pPr>
        <w:spacing w:after="0" w:line="37"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Westlake's obligations under the Ethylene Sales Agreement, the Feedstock Supply Agreement and the related Services and Secondment Agreement continue in effect until December 31, 2026, after which such agreements extend on an annual basis unless and until terminated by either party upon at least 12 months' prior written notice. In October 2025, OpCo and Westlake agreed to renew both the Ethylene Sales Agreement and the Feedstock Supply Agreement through December 31, 2027 in accordance with their respective terms. If OpCo were unable to reach agreement with Westlake on an extension or replacement of these agreements in the future, then our ability to make distributions on our common units could be materially adversely affected and the value of our common units could decline.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OpCo has the right to use the real property underlying Lake Charles Olefins and Calvert City Olefins pursuant to two, 50-year site lease agreements with Westlake. If OpCo is not able to renew the site lease agreements or if the site lease agreements are terminated by Westlake, OpCo may have to relocate Lake Charles Olefins and Calvert City Olefins, abandon the assets or sell the assets to Westlake.</w:t>
      </w:r>
    </w:p>
    <w:p>
      <w:pPr>
        <w:spacing w:after="0" w:line="40"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Westlake has (1) leased to OpCo the real property underlying Lake Charles Olefins and Calvert City Olefins and (2) granted OpCo rights to access and use certain other portions of Westlake's facilities that are necessary to operate OpCo's units at such facilities. The site lease agreements each have a term of 50 years and may be renewed if agreed to by the parties. If an event of default with respect to bankruptcy of OpCo occurs, if Westlake terminates the Ethylene Sales Agreement in accordance with its provisions either for cause or due to a force majeure event, or if OpCo ceases to operate Lake Charles Olefins or Calvert City Olefins for six consecutive months (other than due to force majeure or construction following a casualty loss), Westlake may terminate the applicable site lease following notice and expiration of a cure period to remedy the default. In addition, if OpCo fails to act in good faith to expeditiously restore Lake Charles Olefins or Calvert City Olefins following a casualty loss, Westlake has the ability to terminate the applicable site lease agreement, to restore Lake Charles Olefins or Calvert City Olefins, as the case may be, and to purchase such ethylene production facilities at fair market value. If OpCo is unable to renew the site lease agreements or if Westlake terminates one or both of the site lease agreements, OpCo may have to relocate Lake Charles Olefins and Calvert City Olefins, abandon the assets or sell the assets to Westlake, the result of which may have a material adverse effect on our business, results of operations and financial condition.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depends upon Westlake for numerous services and for its labor force.</w:t>
      </w:r>
    </w:p>
    <w:p>
      <w:pPr>
        <w:spacing w:after="0" w:line="10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Pursuant to the Services and Secondment Agreement, Westlake is obligated to provide OpCo operating services, utility access services and other key site services. Westlake provides the services of certain of its employees, who act as OpCo's agents in operating and maintaining OpCo's ethylene production facilities and other assets. If this agreement is terminated or if Westlake or its affiliates fail to satisfactorily provide these services or employees, OpCo would be required to hire labor, provide these services internally or find a third-party provider of these services. Any services or labor OpCo chooses to provide internally may not be as cost effective as those that Westlake or its affiliates provide, particularly in light of OpCo's lack of experience as an independent organization. If OpCo is required to obtain these services or labor from a third party, it may be unable to do so in a timely, efficient and cost-effective manner, the services or labor it receives may be inferior to or more costly than those that Westlake is currently providing, or such services and labor may be unavailable. Moreover, given the integration of OpCo's ethylene production facilities and Westlake's Lake Charles and Calvert City facilities, it may not be practical for us or for a third party to provide site services or labor for OpCo's ethylene production facilities separately.</w:t>
      </w:r>
    </w:p>
    <w:p>
      <w:pPr>
        <w:spacing w:after="0" w:line="134"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Additionally, certain of Westlake's employees in North America are represented by labor unions. Our operations have been and may in the future be adversely affected by strikes, work stoppages and other labor disputes involving those employees that operate and maintain OpCo's ethylene production facilities and other assets. Any future strikes or work stoppages could be significant and have an adverse effect on our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OpCo's ability to receive greater cash flows from increased production may be limited by the Ethylene Sales Agreement.</w:t>
      </w:r>
    </w:p>
    <w:p>
      <w:pPr>
        <w:spacing w:after="0" w:line="108"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OpCo's ability to increase throughput volumes through its assets is constrained by the capacity limitations of those assets, which are currently operating at close to full capacity. OpCo's ability to increase its cash flow by selling ethylene to third parties may be limited by the Ethylene Sales Agreement. OpCo's ability to sell ethylene to third parties is limited to available excess capacity, since Westlake has the right to purchase the substantial majority of production from OpCo's facilities through its minimum purchase commitment and option to purchase additional ethylene under the Ethylene Sales Agreement. The Ethylene Sales Agreement provisions may prohibit OpCo from competing effectively for third party business for this excess production given the limited volumes available for sale. For example, so long as Westlake is not in default under the Ethylene Sales Agreement, Westlake has the right to purchase 95% of OpCo's production in excess of planned capacity.</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reimburse our general partner and Westlake for services provided to us or on our behalf, which may reduce our earnings and therefore our cash available for distribution to our unitholders. The amount and timing of such reimbursements are determined by our general partner.</w:t>
      </w:r>
    </w:p>
    <w:p>
      <w:pPr>
        <w:spacing w:after="0" w:line="2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are obligated under our partnership agreement to reimburse our general partner and its affiliates for all expenses they incur and payments they make on our behalf, including expenses we and OpCo incur under the Services and Secondment Agreement and the Omnibus Agreement. Our partnership agreement does not set a limit on the amount of expenses for which our general partner and its affiliates may be reimbursed. These expenses include all expenses incurred under the Services and Secondment Agreement and the Omnibus Agreement, including salary, bonus, incentive compensation and other amounts paid to persons who perform services for us or on our behalf and expenses allocated to our general partner by its affiliates. Our partnership agreement provides that our general partner determines the expenses that are allocable to us. The reimbursement of expenses and payment of fees, if any, to our general partner and its affiliates reduce the amount of our earnings and, thereby, our ability to distribute cash to our unitholders.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w:t>
      </w:r>
    </w:p>
    <w:p>
      <w:pPr>
        <w:spacing w:after="0" w:line="25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OpCo's sales are generated at three facilities located at two sites. Any adverse developments at any of these facilities or sites could have a material adverse effect on our results of operations and therefore our ability to distribute cash to unitholders.</w:t>
      </w:r>
    </w:p>
    <w:p>
      <w:pPr>
        <w:spacing w:after="0" w:line="3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OpCo's operations are subject to significant hazards and risks inherent in ethylene production operations. These hazards and risks include, but are not limited to, equipment malfunction, explosions, fires and the effects of severe weather conditions, any of which could result in production and transportation difficulties and disruptions, pollution, personal injury or wrongful death claims and other damage to our properties and the property of others. There is also risk of mechanical failure of OpCo's facilities both in the normal course of operations and following unforeseen events. Any adverse developments at any of OpCo's facilities could have a material adverse effect on our results of operations and therefore our ability to distribute cash to unitholders.</w:t>
      </w:r>
    </w:p>
    <w:p>
      <w:pPr>
        <w:spacing w:after="0" w:line="12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Because substantially all of OpCo's sales are generated at three facilities located at two sites, any such events at any facility or site could significantly disrupt OpCo's ethylene production and its ability to supply ethylene to its customers. For example, OpCo's Lake Charles facility was shut down for a significant period of time in the months of August, September and October 2020 in the aftermath of Hurricanes Laura and Delta. Any similar or other sustained disruption in OpCo's ability to meet its supply obligations under the Ethylene Sales Agreement could have a material adverse effect on our results of operations and therefore our ability to distribute cash to unitholders.</w:t>
      </w:r>
    </w:p>
    <w:p>
      <w:pPr>
        <w:spacing w:after="0" w:line="20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amount of cash we have available for distribution to holders of our units depends primarily on our cash flow and not solely on profitability, which may prevent us from making cash distributions during periods when we record net income.</w:t>
      </w:r>
    </w:p>
    <w:p>
      <w:pPr>
        <w:spacing w:after="0" w:line="37"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The amount of cash we have available for distribution depends primarily upon our cash flow, including cash flow from reserves and working capital or borrowings (including any under our and OpCo's credit facilities) and not solely on profitability, which will be affected by non-cash items. As a result, we may pay cash distributions during periods when we record net losses for financial accounting purposes and may be unable to pay cash distributions during periods when we record net income. We may be unable to access our and OpCo's revolving credit facilities when we do not have sufficient cash flows to pay cash distributions.</w:t>
      </w:r>
    </w:p>
    <w:p>
      <w:pPr>
        <w:spacing w:after="0" w:line="22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make acquisitions from Westlake or third parties on economically acceptable terms, our future growth would be limited, and any acquisitions we make may reduce, rather than increase, our cash generated from operations on a per unit basis.</w:t>
      </w:r>
    </w:p>
    <w:p>
      <w:pPr>
        <w:spacing w:after="0" w:line="2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Our ability to grow our business and increase distributions to unitholders is dependent on our ability to make acquisitions that result in an increase in our cash distributions per unit. If we are unable to make acquisitions of additional interests in OpCo from Westlake on acceptable terms or we are unable to obtain financing for these acquisitions, our future growth and ability to increase distributions will be limited. In addition, we may be unable to make acquisitions from third parties as an alternative avenue to growth. Furthermore, even if we do consummate acquisitions that we believe will be accretive, they may in fact result in a decrease in our cash distributions per unit. Any acquisition involves potential risks, some of which are beyond our control, including, among other things:</w:t>
      </w:r>
    </w:p>
    <w:p>
      <w:pPr>
        <w:spacing w:after="0" w:line="6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mistaken assumptions about revenues and costs, including synergies;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the businesses we acquire;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hire, train or retain qualified personnel to manage and operate our business and newly acquired assets;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unknown liabilities;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rights to indemnity from the seller;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mistaken assumptions about the overall costs of equity or debt;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other business concerns;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in connection with operating in new product areas or new geographic areas;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or key employee losses at the acquired businesses.</w:t>
      </w:r>
    </w:p>
    <w:p>
      <w:pPr>
        <w:spacing w:after="0" w:line="171"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If we consummate any future acquisitions, our capitalization and results of operations may change significantly, and unitholders will not have the opportunity to evaluate the economic, financial and other relevant information that we will consider in determining the application of our funds and other resources.</w:t>
      </w:r>
    </w:p>
    <w:p>
      <w:pPr>
        <w:spacing w:after="0" w:line="212"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Many of our assets have been in service for many years and require significant expenditures to maintain them. As a result, our maintenance or repair costs may increase in the future. In addition, while we establish cash reserves in order to cover turnaround expenditures, the amounts we reserve may not be sufficient to fully cover such expenditures.</w:t>
      </w:r>
    </w:p>
    <w:p>
      <w:pPr>
        <w:spacing w:after="0" w:line="4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Many of the assets we use to produce ethylene are long-lived assets. As a result, some of those assets have been in service for many decades. The age and condition of these assets could result in increased maintenance or repair expenditures. In addition, while we establish certain cash reserves to cover our expected turnaround expenditures, the amounts we reserve may be insufficient to fully cover such expenditures. Any significant and unexpected increase in these expenditures could adversely affect our results of operations, financial position or cash flows, as well as our ability to pay cash distributions.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production facilities process volatile and hazardous materials that subject us to operating risks that could adversely affect our operating results.</w:t>
      </w:r>
    </w:p>
    <w:p>
      <w:pPr>
        <w:spacing w:after="0" w:line="10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Our operations are subject to the usual hazards associated with commodity chemical manufacturing and the related use, storage, transportation and disposal of feedstocks, products and wastes, including:</w:t>
      </w:r>
    </w:p>
    <w:p>
      <w:pPr>
        <w:spacing w:after="0" w:line="2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pipeline leaks and ruptures;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explosions;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and natural disasters;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impacts of climate change; including rising sea levels and changes in weather patterns, such as drought and flooding;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failure;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unscheduled downtime;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difficulties;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interruptions;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chemical spills;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discharges or releases of toxic or hazardous substances or gases;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storage tank leaks;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environmental risks;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All of these hazards can cause personal injury and loss of life, catastrophic damage to or destruction of property and equipment and environmental damage, and may result in a suspension of operations and the imposition of civil or criminal penalties. We could become subject to environmental claims brought by governmental entities or third parties. A loss or shutdown of operations over an extended period at any one of our three major operating facilities would have a material adverse effect on us. Through Westlake, we maintain property, business interruption and casualty insurance that we believe is in accordance with customary industry practices, but we cannot be fully insured against all potential hazards incident to our business, including losses resulting from wars or terrorist acts, among other things. In addition, certain policies may be subject to coverage limitations, which may affect the extent of any recovery thereunder. As a result of market conditions and past claims, premiums and deductibles for certain insurance policies can increase substantially and, in some instances, certain insurance may become unavailable or available only for reduced amounts of coverage. If we were to incur a significant liability for which we were not fully insured, it could have a material adverse effect on our financial position.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and assets are subject to extensive environmental, health and safety laws and regulations.</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use hazardous substances and generate hazardous wastes and emissions in our manufacturing operations. Our industry is highly regulated and monitored by various environmental regulatory authorities such as the Environmental Protection Agency (the "EPA"). As such, we are subject to extensive federal, state and local laws and regulations pertaining to pollution and protection of the environment, health and safety, which govern, among other things, emissions to the air, discharges onto land or waters, the maintenance of safe conditions in the workplace, the remediation of contaminated sites, and the generation, handling, storage, transportation, treatment and disposal of waste materials. Some of these laws and regulations are subject to varying and conflicting interpretations. Many of these laws and regulations provide for substantial fines and potential criminal sanctions for violations and require the installation of costly pollution control equipment or operational changes to limit pollution emissions or reduce the likelihood or impact of hazardous substance releases, whether permitted or not. For example, our petrochemical facilities may require improvements to comply with certain changes in process safety management requirements.</w:t>
      </w:r>
    </w:p>
    <w:p>
      <w:pPr>
        <w:spacing w:after="0" w:line="134" w:lineRule="exact"/>
        <w:rPr>
          <w:sz w:val="20"/>
          <w:szCs w:val="20"/>
          <w:color w:val="auto"/>
        </w:rPr>
      </w:pPr>
    </w:p>
    <w:p>
      <w:pPr>
        <w:ind w:right="120" w:firstLine="405"/>
        <w:spacing w:after="0" w:line="253" w:lineRule="auto"/>
        <w:rPr>
          <w:sz w:val="20"/>
          <w:szCs w:val="20"/>
          <w:color w:val="auto"/>
        </w:rPr>
      </w:pPr>
      <w:r>
        <w:rPr>
          <w:rFonts w:ascii="Times New Roman" w:cs="Times New Roman" w:eastAsia="Times New Roman" w:hAnsi="Times New Roman"/>
          <w:sz w:val="18"/>
          <w:szCs w:val="18"/>
          <w:color w:val="auto"/>
        </w:rPr>
        <w:t>In April 2016, the EPA issued an Information Collection Request ("ICR") for ethylene production facilities to inform the agency's mandatory Risk and Technology Review of the existing ethylene maximum available technology ("MACT") rule, which regulates the emissions of organic Hazardous Air Pollutants ("HAP") including benzene, toluene and xylene among others. The EPA evaluated companies' responses and testing data from the ICR and published a final rule amending the ethylene MACT rule in July 2020. Among other things, the final rule strengthens heat exchange system and storage vessel control requirements, adds monitoring and operational requirements for flares, and removes exemptions for periods of startup, shutdown, and malfunctions. On April 27, 2023, the EPA proposed amendments to the National Emission Standards for Hazardous Air Pollutants ("NESHAPs") for ethylene production following the receipt of several petitions for reconsideration for the provisions addressing work practice standards for pressure relief devices, emergency flaring, and degassing of floating roof storage vessels. On April 4, 2024, the EPA finalized the proposed amendments, removing the force majeure exemption for pressure relief devices and emergency flaring, clarifying degassing requirements for floating roof storage vessels, and addressing other corrections and clarifications.</w:t>
      </w:r>
    </w:p>
    <w:p>
      <w:pPr>
        <w:spacing w:after="0" w:line="140"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In April 2023, the EPA proposed amendments to new source performance standards for the synthetic organic chemical manufacturing industry and amendments to the national emissions standards for hazardous air pollutants for the synthetic organic chemical manufacturing industry and group I &amp; II polymers and resins industry. The proposed amendments were finalized on May 16, 2024 and became effective July 15, 2024. These amendments, among other things, impose tougher emissions limits, additional leak detection and repair obligations, certain performance standards for the operation of flares at applicable facilities, and new fenceline air monitoring for several chemicals. The amendments may require us to incur further capital expenditures and increase operating costs.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Our operations also produce greenhouse gas ("GHG") emissions, which have been the subject of increased scrutiny and regulation. In December 2015, the United States joined the international community at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United States signed the Paris Agreement in April 2016, and the Paris Agreement went into effect in November 2016. In November 2019, the United States submitted formal notification to the United Nations that it intended to withdraw from the Paris Agreement. The withdrawal took effect in November 2020. However, President Biden signed an executive order on January 20, 2021 for reentry of the United States into the Paris Agreement and on February 19, 2021, President Biden formally rejoined the Paris Agreement. As part of rejoining the Paris Agreement, President Biden announced that the United States would commit to a 50 to 52 percent reduction from 2005 levels of GHG emissions by 2030 and set the goal of reaching net-zero GHG emissions by 2050. To measure progress towards this target, the Paris Agreement requires the parties to complete a global stocktake, assessing members' collective efforts and achievements in reducing GHG emissions and adapting to the impacts of climate change, every five years. On December 13, 2023, the 28th annual United Nations Climate Change Conference ("COP 28"), which was held in Dubai, issued its first global stocktake, which calls on parties, including the United States, to contribute to the transitioning away from fossil fuels, reduce methane emissions, and increase renewable energy capacity, among other things, to achieve net zero emissions by 2050. Such meetings continued during the 29th annual United Nations Climate Change Conference, which was held in Baku, Azerbaijan in November 2024, and during COP 30, which was held in Belém, Brazil in November 2025. In January 2025, the United States submitted formal notification to the United Nations of its intention to withdraw from the Paris Agreement. Pursuant to the terms of the Paris Agreement, the withdrawal took effect in January 2026.</w:t>
      </w:r>
    </w:p>
    <w:p>
      <w:pPr>
        <w:spacing w:after="0" w:line="141"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Legislation to regulate GHG emissions has periodically been introduced in the United States Congress, and such legislation may be proposed or adopted in the future. There has been a wide-ranging policy debate regarding the impact of these gases and possible means for their regulation. Some of the proposals would require industries to meet stringent new standards that would require substantial reductions in carbon emissions. The adoption and implementation of any international, federal or state legislation or regulations that restrict emissions of GHGs could result in increased compliance costs or additional operating restrictions. The EPA has adopted rules requiring the reporting of GHG emissions from specified large GHG emission sources on an annual basis including our facilities in Lake Charles and Calvert City. Various jurisdictions have considered or adopted laws and regulations on GHG emissions, with the general aim of reducing such emissions. The EPA currently requires certain industrial facilities to report their GHG emissions and to obtain permits with stringent control requirements before constructing or modifying new facilities with significant criteria pollutant and GHG emissions. On July 29, 2025, EPA released a pre-publication proposed rule which would rescind EPA's 2009 final rule under the Clean Air Act finding that GHGs endanger the public health and welfare of current and future generations ("Endangerment Finding") and that emissions of GHGs from new motor vehicles contribute to GHG pollution that threatens the public health and welfare. On September 16, 2025, the EPA announced a proposal to end the Greenhouse Gas Reporting Program ("GHGRP") for all sectors except petroleum and natural gas systems (excluding reporting for natural gas distribution, which would also be eliminated under the proposal). As our chemical processing results in GHG emissions, these and other GHG laws and regulations could affect our costs of doing business.</w:t>
      </w:r>
    </w:p>
    <w:p>
      <w:pPr>
        <w:spacing w:after="0" w:line="143"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Various jurisdictions have considered or adopted laws and regulations on GHG emissions, with the general aim of reducing such emissions. The EPA currently requires certain industrial facilities to report their GHG emissions, and to obtain permits with stringent control requirements before constructing or modifying new facilities with significant GHG emissions.</w:t>
      </w:r>
    </w:p>
    <w:p>
      <w:pPr>
        <w:spacing w:after="0" w:line="12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On March 6, 2024, the U.S. Securities and Exchange Commission ("SEC") adopted a new set of rules that require a wide range of climate-related disclosures, including material climate-related risks, information on any climate-related targets or goals that are material to the registrant's business, results of operations, or financial condition, Scope 1 and Scope 2 GHG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Multiple lawsuits have been filed challenging the SEC's new climate rules, and on April 4, 2024, the SEC issued an order staying the final rules until judicial review is complete. The SEC's final climate-related disclosure rules remain stayed pending resolution of judicial challenges and further action by the SEC. In September 2023, California passed climate-related disclosure mandates that are broader than the SEC's rules. Multiple lawsuits have been filed challenging California's climate-related disclosure rules. As our chemical processing results in GHG emissions, these and other environmental disclosure laws and regulations could affect our costs of doing business.</w:t>
      </w:r>
    </w:p>
    <w:p>
      <w:pPr>
        <w:spacing w:after="0" w:line="13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also may face liability for alleged personal injury or property damage due to exposure to chemicals or other hazardous substances at our facilities or to chemicals that we otherwise manufacture, handle or own. Although these types of claims have not historically had a material impact on our operations, a significant increase in the success of these types of claims could have a material adverse effect on our business, financial condition, operating results or cash flow.</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Environmental laws may have a significant effect on the nature and scope of, and responsibility for, cleanup of contamination at our current and former operating facilities, the costs of transportation and storage of raw materials and finished products, the costs of reducing emissions and the costs of the storage and disposal of wastewater. The U.S. Comprehensive Environmental Response, Compensation, and Liability Act ("CERCLA") and similar state laws impose joint and several liability for the costs of remedial investigations and actions on the entities that generated waste, arranged for disposal of the waste, transported to or selected the disposal sites, and the past and present owners and operators of disposal sites. All such potentially responsible parties (or any one of them, including us) may be required to bear all of such costs regardless of fault, legality of the original disposal or ownership of the disposal site. In addition, CERCLA and similar state laws could impose liability for damages to natural resources caused by contamination.</w:t>
      </w:r>
    </w:p>
    <w:p>
      <w:pPr>
        <w:spacing w:after="0" w:line="13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Although we seek to take preventive action, our operations are inherently subject to accidental spills, discharges or other releases of hazardous substances that may make us liable to governmental entities or private parties. This may involve contamination associated with our current and former facilities, facilities to which we sent wastes or by-products for treatment or disposal and other contamination. Accidental discharges may occur in the future, future action may be taken in connection with past discharges, governmental agencies may assess damages or penalties against us in connection with any past or future contamination, or third parties may assert claims against us for damages allegedly arising out of any past or future contamination. In addition, we may be liable for existing contamination related to certain of our facilities for which, in some cases, we believe third parties are liable in the event such third parties fail to perform their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and assets are subject to climate-related risks and uncertainties.</w:t>
      </w:r>
    </w:p>
    <w:p>
      <w:pPr>
        <w:spacing w:after="0" w:line="9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are subject to increasing climate-related risks and uncertainties, many of which are outside of our control. Climate change may result in more frequent severe weather events, potential changes in precipitation patterns, flooding, sea level rise and variability in weather patterns, which can disrupt our operations as well as those of our customers, partners and suppliers. Climate change may result in heightened hurricane activity in the Gulf of Mexico and other weather and natural disaster hazards that pose a risk to OpCo's facilities, particularly those in Louisiana. The transition to lower greenhouse gas emissions technology, the effects of carbon pricing, changes in public sentiment, regulations, taxes, public mandates or requirements, increases in climate-related lawsuits, insurance premiums and implementation of more robust disaster recovery and business continuity plans may increase costs to maintain or resume our operations, which could in turn negatively impact our business and results of operations.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operational and financial risks and liabilities associated with the implementation of and efforts to achieve carbon emission reduction goals.</w:t>
      </w:r>
    </w:p>
    <w:p>
      <w:pPr>
        <w:spacing w:after="0" w:line="37"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In November 2025, Westlake announced that in 2024 it successfully met its publicly disclosed target to reduce its Scope 1 and Scope 2 CO2 equivalent emissions intensity per ton of production by 20% from a 2016 baseline. Having reached its initial 2030 emissions target, Westlake announced a new target to further reduce its Scope 1 and Scope 2 CO</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xml:space="preserve"> equivalent emissions intensity per ton of production by an additional 5% by 2030, using a 2024 baseline. Developing and implementing plans for compliance with voluntary climate commitments can lead to additional capital, personnel, operations and maintenance expenditures and could significantly affect the economic position of existing facilities and proposed projects. Westlake's failure or perceived failure to pursue or fulfill its sustainability-focused goals, targets and objectives within the timelines announced, or at all, could adversely affect our business or reputation, as well as expose us to potential government enforcement actions and private litigation. We cannot predict the ultimate impact of achieving Westlake's emissions reduction goal, or the various implementation aspects, on our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adequately protect critical data and technology systems could materially affect our operations.</w:t>
      </w:r>
    </w:p>
    <w:p>
      <w:pPr>
        <w:spacing w:after="0" w:line="108"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We are increasingly dependent on digital technologies and services to conduct our business. We use these technologies for internal and operational purposes, including data storage, processing, and transmission, as well as in our interactions with our business associates, such as customers and suppliers.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Information technology system failures, network disruptions and breaches of data security due to internal or external factors including cyber-attacks could have material adverse impacts on our business or cause disruptions to our operations. Such disruptions could include, but are not limited to, delaying or cancelling customer orders, impeding the manufacture or shipment of products or causing standard business processes to become ineffective, or the unintentional or malicious disclosure of proprietary, confidential or other sensitive information. Cyber-attacks could include, but are not limited to, ransomware attacks, malicious software, attempts to gain unauthorized access to our systems or data or other electronic security breaches that could lead to disruptions in critical systems, unauthorized release, corruption or loss of data including protected information such as personal information of our employees, interruptions in communication, loss of our intellectual property or theft of our sensitive or proprietary technology, loss or damage to our data delivery systems, or other cybersecurity and infrastructure systems, including our property and equipment, diversion of management or work force attention, or increased costs required to prevent, respond to or mitigate the incident. In addition, cybersecurity risk is exacerbated with the advancement of technologies like artificial intelligence, which malicious third parties are using to create new, sophisticated and more frequent attacks.</w:t>
      </w:r>
    </w:p>
    <w:p>
      <w:pPr>
        <w:spacing w:after="0" w:line="140"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Westlake's and our employees, systems, networks, products, facilities and services remain potentially vulnerable to sophisticated cyber-attacks, including the additional cybersecurity risks posed by the increased use of remote networking technologies and services, and, as such, there can be no assurance that a system failure, network disruption or data security breach will not have a material adverse effect on our operations, business, financial condition, operating results or cash flow. In addition, laws and regulations governing cybersecurity, data privacy, and the unauthorized disclosure of confidential or protected information pose increasingly complex compliance challenges, and failure to comply with these laws could result in penalties and legal liability.</w:t>
      </w:r>
    </w:p>
    <w:p>
      <w:pPr>
        <w:spacing w:after="0" w:line="22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variable-rate debt exposes us to increases in interest rates, which could have a material impact on our financial position, results of operation and cash flows, and could reduce the price at which our common units trade.</w:t>
      </w:r>
    </w:p>
    <w:p>
      <w:pPr>
        <w:spacing w:after="0" w:line="2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 with respect to our outstanding debt, all of which is variable-rate debt. At December 31, 2025, we had $399.7 million in principal amount of variable-rate debt outstanding, including $22.6 million outstanding under the OpCo Revolver and $377.1 million outstanding under the MLP Revolver. Each of the OpCo Revolver and the MLP Revolver have interest rates in-part based on SOFR at the time of any borrowing.</w:t>
      </w:r>
    </w:p>
    <w:p>
      <w:pPr>
        <w:spacing w:after="0" w:line="122"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Board of Governors of the Federal Reserve System increased benchmark interest rates four times in 2023 and lowered benchmark interest rates six times in 2024 and 2025. However, rates remain above the ten-year average and may rise in future periods. Should interest rates increase significantly, the amount of cash required to service our debt would increase. As a result, significant increases in interest rates could have a material impact on our financial position, results of operations and cash flows.</w:t>
      </w:r>
    </w:p>
    <w:p>
      <w:pPr>
        <w:spacing w:after="0" w:line="126"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An increase in interest rates may also cause a corresponding decline in demand for equity securities in general, and in particular, for yield-based equity securities such as our common units. A reduction in demand for our common units may cause their trading price to decline.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terrorist attack or armed conflict could harm our business.</w:t>
      </w:r>
    </w:p>
    <w:p>
      <w:pPr>
        <w:spacing w:after="0" w:line="108" w:lineRule="exact"/>
        <w:rPr>
          <w:sz w:val="20"/>
          <w:szCs w:val="20"/>
          <w:color w:val="auto"/>
        </w:rPr>
      </w:pPr>
    </w:p>
    <w:p>
      <w:pPr>
        <w:jc w:val="both"/>
        <w:ind w:right="60" w:firstLine="405"/>
        <w:spacing w:after="0" w:line="258" w:lineRule="auto"/>
        <w:rPr>
          <w:sz w:val="20"/>
          <w:szCs w:val="20"/>
          <w:color w:val="auto"/>
        </w:rPr>
      </w:pPr>
      <w:r>
        <w:rPr>
          <w:rFonts w:ascii="Times New Roman" w:cs="Times New Roman" w:eastAsia="Times New Roman" w:hAnsi="Times New Roman"/>
          <w:sz w:val="18"/>
          <w:szCs w:val="18"/>
          <w:color w:val="auto"/>
        </w:rPr>
        <w:t>Terrorist activities, anti-terrorist efforts and other armed conflicts involving the United States or other jurisdictions could adversely affect the United States and global economies and could prevent us from meeting financial and other obligations. We could experience loss of business, delays or defaults in payments from customers or disruptions of fuel supplies and markets if North American and global utilities are direct targets or indirect casualties of an act of terror or war. Terrorist activities and the threat of potential terrorist activities and any resulting economic downturn could adversely affect our results of operations, impair our ability to raise capital or otherwise adversely impact our ability to realize certain business strategies.</w:t>
      </w:r>
    </w:p>
    <w:p>
      <w:pPr>
        <w:spacing w:after="0" w:line="20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and effects of public health crises, pandemics and epidemics could materially adversely affect OpCo's business, financial condition and results of operations.</w:t>
      </w:r>
    </w:p>
    <w:p>
      <w:pPr>
        <w:spacing w:after="0" w:line="37"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Public health crises, pandemics and epidemics, such as the COVID-19 pandemic, could materially adversely affect OpCo's business, financial condition and results of operations. Such events have resulted in and may again result in authorities implementing numerous measures to try to contain the disease, such as travel bans and restrictions, quarantines, shelter-in-place orders and shutdowns, among others. Such events have had and could again have widespread adverse impacts on the global economy, many of OpCo's facilities and its employees, customers and suppliers. These and similar events have caused and may again cause supply chain constraints and disruptions and workforce availability issues as well.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Partnership Structure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General Partner</w:t>
      </w:r>
    </w:p>
    <w:p>
      <w:pPr>
        <w:spacing w:after="0" w:line="16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Westlake owns and controls our general partner, which has sole responsibility for conducting our business and managing our operations. Our general partner and its affiliates, including Westlake, may have conflicts of interest with us and have limited duties, and they may favor their own interests to our detriment and that of our unitholders.</w:t>
      </w:r>
    </w:p>
    <w:p>
      <w:pPr>
        <w:spacing w:after="0" w:line="5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Westlake owns and controls our general partner and appoints all of the directors of our general partner. Although our general partner has a duty to manage us in a manner that it believes is not adverse to our interests, the executive officers and directors of our general partner have a fiduciary duty to manage our general partner in a manner beneficial to Westlake. Therefore, conflicts of interest may arise between Westlake or any of its affiliates, including our general partner, on the one hand, and us or any of our unitholders, on the other hand. In resolving these conflicts of interest, our general partner may favor its own interests and the interests of its affiliates over the interests of our common unitholders. These conflicts include the following situations, among others:</w:t>
      </w:r>
    </w:p>
    <w:p>
      <w:pPr>
        <w:spacing w:after="0" w:line="66" w:lineRule="exact"/>
        <w:rPr>
          <w:sz w:val="20"/>
          <w:szCs w:val="20"/>
          <w:color w:val="auto"/>
        </w:rPr>
      </w:pPr>
    </w:p>
    <w:p>
      <w:pPr>
        <w:ind w:left="660" w:right="3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is allowed to take into account the interests of parties other than us, such as Westlake, in exercising certain rights under our partnership agreement;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our partnership agreement nor any other agreement requires Westlake to pursue a business strategy that favors us;</w:t>
      </w:r>
    </w:p>
    <w:p>
      <w:pPr>
        <w:spacing w:after="0" w:line="10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replaces the fiduciary duties that would otherwise be owed by our general partner with contractual standards governing its duties, limits our general partner's liabilities and restricts the remedies available to our unitholders for actions that, without such limitations, might constitute breaches of fiduciary duty;</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limited circumstances, our general partner has the power and authority to conduct our business without unitholder approval;</w:t>
      </w:r>
    </w:p>
    <w:p>
      <w:pPr>
        <w:spacing w:after="0" w:line="90"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determines the amount and timing of asset purchases and sales, borrowings, issuances of additional partnership securities and the level of reserves, each of which can affect the amount of cash that is distributed to our unitholders;</w:t>
      </w:r>
    </w:p>
    <w:p>
      <w:pPr>
        <w:spacing w:after="0" w:line="40"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determines the amount and timing of any cash expenditure and whether an expenditure is classified as a maintenance capital expenditure, which reduces operating surplus, or an expansion capital expenditure, which does not reduce operating surplus. This determination can affect the amount of cash from operating surplus that is distributed to our unitholders;</w:t>
      </w:r>
    </w:p>
    <w:p>
      <w:pPr>
        <w:spacing w:after="0" w:line="54"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cause us to borrow funds in order to permit the payment of cash distributions, even if the purpose or effect of the borrowing is to make incentive distributions or may cause us not to borrow funds to pay cash distributions when we do not otherwise have the funds to pay such cash distributions;</w:t>
      </w:r>
    </w:p>
    <w:p>
      <w:pPr>
        <w:spacing w:after="0" w:line="40" w:lineRule="exact"/>
        <w:rPr>
          <w:rFonts w:ascii="Times New Roman" w:cs="Times New Roman" w:eastAsia="Times New Roman" w:hAnsi="Times New Roman"/>
          <w:sz w:val="18"/>
          <w:szCs w:val="18"/>
          <w:color w:val="auto"/>
        </w:rPr>
      </w:pPr>
    </w:p>
    <w:p>
      <w:pPr>
        <w:jc w:val="both"/>
        <w:ind w:left="660" w:right="22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permits us to distribute up to $28.0 million as operating surplus, even if it is generated from asset sales, non-working capital borrowings or other sources that would otherwise constitute capital surplus. This cash may be used to fund distributions on the incentive distribution rights;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determines which costs incurred by it and its affiliates are reimbursable by us;</w:t>
      </w:r>
    </w:p>
    <w:p>
      <w:pPr>
        <w:spacing w:after="0" w:line="1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 agreement does not restrict our general partner from causing us to pay it or its affiliates for any services rendered to us or entering into additional contractual arrangements with its affiliates on our behalf;</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intends to limit its liability regarding our contractual and other obligations;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exercise its right to call and purchase common units if it and its affiliates own more than 80% of the common units;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controls the enforcement of obligations that it and its affiliates owe to us;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decides whether to retain separate counsel, accountants or others to perform services for us; and</w:t>
      </w:r>
    </w:p>
    <w:p>
      <w:pPr>
        <w:spacing w:after="0" w:line="103"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may elect to cause us to issue common units to it in connection with a resetting of the target distribution levels related to Westlake's incentive distribution rights without the approval of the conflicts committee of the board of directors or the unitholders. This election may result in lower distributions to the common unitholders in certain situations.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In addition, we may compete directly with Westlake and entities in which it has an interest for acquisition opportunities and potentially will compete with these entities for new business or extensions of the existing services provided by us. See "—Risks Relating to Our Partnership Structure—</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Partner—Westlake and other affiliates of our general partner may compete with us</w:t>
      </w:r>
      <w:r>
        <w:rPr>
          <w:rFonts w:ascii="Times New Roman" w:cs="Times New Roman" w:eastAsia="Times New Roman" w:hAnsi="Times New Roman"/>
          <w:sz w:val="18"/>
          <w:szCs w:val="18"/>
          <w:color w:val="auto"/>
        </w:rPr>
        <w:t>"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has limited its liability regarding our obligations.</w:t>
      </w:r>
    </w:p>
    <w:p>
      <w:pPr>
        <w:spacing w:after="0" w:line="94"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Our general partner has limited its liability under contractual arrangements between us and third parties so that the counterparties to such arrangements have recourse only against our assets, and not against our general partner or its assets. Our general partner may therefore cause us to incur indebtedness or other obligations that are nonrecourse to our general partner. Our partnership agreement provides that any action taken by our general partner to limit its liability is not a breach of our general partner's duties, even if we could have obtained more favorable terms without the limitation on liability.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partnership agreement replaces our general partner's fiduciary duties to holders of our units.</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partnership agreement contains provisions that eliminate and replace the fiduciary standards to which our general partner would otherwise be held by state fiduciary duty law. For example, our partnership agreement permits our general partner to make a number of decisions in its individual capacity, as opposed to in its capacity as our general partner, or otherwise free of fiduciary duties to us and our unitholders. This entitles our general partner to consider only the interests and factors that it desires and relieves it of any duty or obligation to give any consideration to any interest of, or factors affecting, us, our affiliates or our limited partners. Examples of decisions that our general partner may make in its individual capacity include:</w:t>
      </w:r>
    </w:p>
    <w:p>
      <w:pPr>
        <w:spacing w:after="0" w:line="4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to allocate business opportunities among us and its affiliates;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to exercise its call right;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to exercise its voting rights with respect to the units it owns;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to exercise its registration rights;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to elect to reset target distribution levels;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to consent to any merger or consolidation of the partnership or amendment to the partnership agreement.</w:t>
      </w:r>
    </w:p>
    <w:p>
      <w:pPr>
        <w:spacing w:after="0" w:line="171"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By purchasing a common unit, a unitholder is treated as having consented to the provisions in the partnership agreement, including the provisions discussed above.</w:t>
      </w:r>
    </w:p>
    <w:p>
      <w:pPr>
        <w:spacing w:after="0" w:line="18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restricts the remedies available to holders of our units for actions taken by our general partner that might otherwise constitute breaches of fiduciary duty.</w:t>
      </w:r>
    </w:p>
    <w:p>
      <w:pPr>
        <w:spacing w:after="0" w:line="37"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Our partnership agreement contains provisions that restrict the remedies available to unitholders for actions taken by our general partner that might otherwise constitute breaches of fiduciary duty under state fiduciary duty law. For example, our partnership agreement provides that:</w:t>
      </w:r>
    </w:p>
    <w:p>
      <w:pPr>
        <w:spacing w:after="0" w:line="40" w:lineRule="exact"/>
        <w:rPr>
          <w:sz w:val="20"/>
          <w:szCs w:val="20"/>
          <w:color w:val="auto"/>
        </w:rPr>
      </w:pPr>
    </w:p>
    <w:p>
      <w:pPr>
        <w:ind w:left="660" w:right="4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our general partner makes a determination or takes, or declines to take, any other action in its capacity as our general partner, our general partner is generally required to make such determination, or take or decline to take such other action, in good faith, and will not be subject to any higher standard imposed by our partnership agreement, Delaware law, or any other law, rule or regulation, or at equity;</w:t>
      </w:r>
    </w:p>
    <w:p>
      <w:pPr>
        <w:spacing w:after="0" w:line="40"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and its officers and directors will not be liable for monetary damages or otherwise to us or our limited partners resulting from any act or omission unless there has been a final and non-appealable judgment entered by a court of competent jurisdiction determining that such losses or liabilities were the result of conduct in which our general partner or its officers or directors engaged in bad faith, meaning that they believed that the decision was adverse to the interest of the partnership or, with respect to any criminal conduct, with knowledge that such conduct was unlawful; and</w:t>
      </w:r>
    </w:p>
    <w:p>
      <w:pPr>
        <w:spacing w:after="0" w:line="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will not be in breach of its obligations under the partnership agreement or its duties to us or our limited partners if a transaction with an affiliate or the resolution of a conflict of interest is:</w:t>
      </w:r>
    </w:p>
    <w:p>
      <w:pPr>
        <w:spacing w:after="0" w:line="4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conflicts committee of the board of directors, although our general partner is not obligated to seek such approval; or</w:t>
      </w:r>
    </w:p>
    <w:p>
      <w:pPr>
        <w:spacing w:after="0" w:line="90"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10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vote of a majority of the outstanding common units, excluding any common units owned by our general partner and its affiliates.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a situation involving a transaction with an affiliate or a conflict of interest, other than one where our general partner is permitted to act in its sole discretion, any determination by our general partner must be made in good faith. If an affiliate transaction or the resolution of a conflict of interest is not approved by our common unitholders or the conflicts committee, then it will be presumed that, in making its decision, taking any action or failing to act, the board of directors acted in good faith, and in any proceeding brought by or on behalf of any limited partner or the partnership, the person bringing or prosecuting such proceeding will have the burden of overcoming such presumption.</w:t>
      </w:r>
    </w:p>
    <w:p>
      <w:pPr>
        <w:spacing w:after="0" w:line="12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Our partnership agreement provides that the conflicts committee of the board of directors may be comprised of one or more independent directors. If the board of directors establishes a conflicts committee with only one independent director, your interests may not be as well served as if the conflicts committee was comprised of at least two independent directors. A single-member conflicts committee would not have the benefit of discussion with, and input from, other independent directors.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Westlake and other affiliates of our general partner may compete with us.</w:t>
      </w:r>
    </w:p>
    <w:p>
      <w:pPr>
        <w:spacing w:after="0" w:line="9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Affiliates of our general partner, including Westlake, are not prohibited from engaging in other businesses or activities, including those that might be in direct competition with us. In addition, Westlake may compete with us for investment opportunities and may own an interest in entities that compete with us.</w:t>
      </w:r>
    </w:p>
    <w:p>
      <w:pPr>
        <w:spacing w:after="0" w:line="122"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Pursuant to the terms of our partnership agreement, the doctrine of corporate opportunity, or any analogous doctrine, does not apply to our general partner or any of its affiliates, including its executive officers and directors and Westlake. Any such person or entity that becomes aware of a potential transaction, agreement, arrangement or other matter that may be an opportunity for us will not have any duty to communicate or offer such opportunity to us. Any such person or entity will not be liable to us or to any limited partner for breach of any fiduciary duty or other duty by reason of the fact that such person or entity pursues or acquires such opportunity for itself, directs such opportunity to another person or entity or does not communicate such opportunity or information to us. This may create actual and potential conflicts of interest between us and affiliates of our general partner and result in less than favorable treatment of us and our unitholders.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common units have limited voting rights and are not entitled to elect our general partner or its directors, which could reduce the price at which our common units trade.</w:t>
      </w:r>
    </w:p>
    <w:p>
      <w:pPr>
        <w:spacing w:after="0" w:line="37"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Compared to the holders of common stock in a corporation, unitholders have limited voting rights and, therefore, limited ability to influence management's decisions regarding our business. Unitholders will have no right on an annual or ongoing basis to elect our general partner or its board of directors. The board of directors, including the independent directors, is chosen entirely by Westlake, as a result of it owning our general partner, and not by our unitholders. Unlike publicly-traded corporations, we do not conduct annual meetings of our unitholders to elect directors or conduct other matters routinely conducted at annual meetings of stockholders of corporations. As a result of these limitations, the price at which the common units trade could be diminished because of the absence or reduction of a takeover premium in the trading price.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holders of our common units are dissatisfied, they cannot currently remove our general partner without its consent.</w:t>
      </w:r>
    </w:p>
    <w:p>
      <w:pPr>
        <w:spacing w:after="0" w:line="108" w:lineRule="exact"/>
        <w:rPr>
          <w:sz w:val="20"/>
          <w:szCs w:val="20"/>
          <w:color w:val="auto"/>
        </w:rPr>
      </w:pPr>
    </w:p>
    <w:p>
      <w:pPr>
        <w:ind w:right="20" w:firstLine="405"/>
        <w:spacing w:after="0" w:line="241" w:lineRule="auto"/>
        <w:rPr>
          <w:sz w:val="20"/>
          <w:szCs w:val="20"/>
          <w:color w:val="auto"/>
        </w:rPr>
      </w:pPr>
      <w:r>
        <w:rPr>
          <w:rFonts w:ascii="Times New Roman" w:cs="Times New Roman" w:eastAsia="Times New Roman" w:hAnsi="Times New Roman"/>
          <w:sz w:val="18"/>
          <w:szCs w:val="18"/>
          <w:color w:val="auto"/>
        </w:rPr>
        <w:t xml:space="preserve">If our unitholders are dissatisfied with the performance of our general partner, they currently cannot remove our general partner. Unitholders currently are unable to remove our general partner without its consent because our general partner and its affiliates own sufficient units to be able to prevent its removal. The vote, including Westlake, of the holders of at least 66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bscript"/>
        </w:rPr>
        <w:t>3</w:t>
      </w:r>
      <w:r>
        <w:rPr>
          <w:rFonts w:ascii="Times New Roman" w:cs="Times New Roman" w:eastAsia="Times New Roman" w:hAnsi="Times New Roman"/>
          <w:sz w:val="18"/>
          <w:szCs w:val="18"/>
          <w:color w:val="auto"/>
        </w:rPr>
        <w:t>% of all outstanding common and subordinated units voting together as a single class is required to remove our general partner. As of February 25, 2026, Westlake owned an aggregate of 40.1% of our common units. This condition provides Westlake, at its current ownership levels, the ability to prevent the removal of our general partner.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 of our general partner may be transferred to a third party without unitholder consent.</w:t>
      </w:r>
    </w:p>
    <w:p>
      <w:pPr>
        <w:spacing w:after="0" w:line="9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general partner may transfer its general partner interest to a third party without the consent of our unitholders. Furthermore, our partnership agreement permits Westlake to transfer ownership of our general partner to a third party, also without the consent of our unitholders. The new owner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has a call right that may require unitholders to sell their common units at an undesirable time or price.</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held by unaffiliated persons at a price equal to the greater of (1) the average of the daily closing price of the common units over the 20 trading days preceding the date three days before notice of exercise of the call right is first mailed and (2) the highest per-unit price paid by our general partner or any of its affiliates for common units during the 90-day period preceding the date such notice is first mailed. As a result, unitholders may be required to sell their common units at an undesirable time or price and may not receive any return or a negative return on their investment. Unitholders may also incur a tax liability upon a sale of their units. Our general partner is not obligated to obtain a fairness opinion regarding the value of the common units to be repurchased by it upon exercise of the limited call right. There is no restriction in our partnership agreement that prevents our general partner from causing us to issue additional common units and then exercising its call right. If our general partner exercised its limited call right, the effect would be to take us private and, if the units were subsequently deregistered, we would no longer be subject to the reporting requirements of the Securities Exchange Act of 1934, as amended (the "Exchange 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Distributions to Unitholders</w:t>
      </w:r>
    </w:p>
    <w:p>
      <w:pPr>
        <w:spacing w:after="0" w:line="16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may modify or revoke our cash distribution policy at any time at its discretion. Our partnership agreement does not require us to pay any distributions at all.</w:t>
      </w:r>
    </w:p>
    <w:p>
      <w:pPr>
        <w:spacing w:after="0" w:line="37"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The board of directors of our general partner adopted a cash distribution policy pursuant to which we intend to distribute quarterly at least $0.2750 per unit on all of our units to the extent we have sufficient cash after the establishment of cash reserves and the payment of our expenses, including payments to our general partner and its affiliates. However, the board may change such policy at any time at its discretion and could elect not to pay distributions for one or more quarters.</w:t>
      </w:r>
    </w:p>
    <w:p>
      <w:pPr>
        <w:spacing w:after="0" w:line="126" w:lineRule="exact"/>
        <w:rPr>
          <w:sz w:val="20"/>
          <w:szCs w:val="20"/>
          <w:color w:val="auto"/>
        </w:rPr>
      </w:pPr>
    </w:p>
    <w:p>
      <w:pPr>
        <w:ind w:right="160" w:firstLine="405"/>
        <w:spacing w:after="0" w:line="277" w:lineRule="auto"/>
        <w:rPr>
          <w:sz w:val="20"/>
          <w:szCs w:val="20"/>
          <w:color w:val="auto"/>
        </w:rPr>
      </w:pPr>
      <w:r>
        <w:rPr>
          <w:rFonts w:ascii="Times New Roman" w:cs="Times New Roman" w:eastAsia="Times New Roman" w:hAnsi="Times New Roman"/>
          <w:sz w:val="17"/>
          <w:szCs w:val="17"/>
          <w:color w:val="auto"/>
        </w:rPr>
        <w:t>In addition, our partnership agreement does not require us to pay any distributions at all. Accordingly, investors are cautioned not to place undue reliance on the permanence of such a policy in making an investment decision. Any modification or revocation of our cash distribution policy could substantially reduce or eliminate the amount we distribute to our unitholders. The amount of distributions we make, if any, and the decision to make any distribution at all will be determined by the board of directors, whose interests may differ from those of our common unitholders. Our general partner has limited duties to our unitholders, which may permit it to favor its own interests or the interests of Westlake to the detriment of our common unitholders.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distribute a significant portion of our available cash to our partners, which could limit our ability to grow and make acquisitions.</w:t>
      </w:r>
    </w:p>
    <w:p>
      <w:pPr>
        <w:spacing w:after="0" w:line="9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plan to distribute most of our available cash, which may cause our growth to proceed at a slower pace than that of businesses that reinvest their cash to expand ongoing operations. To the extent we issue additional units in connection with any acquisitions or expansion capital expenditures, the payment of distributions on those additional units may increase the risk that we will be unable to maintain or increase our per unit distribution level. There are no limitations in our partnership agreement on our ability to issue additional units, including units ranking senior to the common units. The incurrence of additional commercial borrowings or other debt to finance our growth strategy would result in increased interest expense, which, in turn, may impact the cash that we have available to distribute to our unitholders.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holder or holders of our incentive distribution rights may elect to cause us to issue common units to it in connection with a resetting of the target distribution levels related to the incentive distribution rights, without the approval of the conflicts committee of our board of directors or the holders of our common units. This could result in lower distributions to holders of our common units.</w:t>
      </w:r>
    </w:p>
    <w:p>
      <w:pPr>
        <w:spacing w:after="0" w:line="40" w:lineRule="exact"/>
        <w:rPr>
          <w:sz w:val="20"/>
          <w:szCs w:val="20"/>
          <w:color w:val="auto"/>
        </w:rPr>
      </w:pPr>
    </w:p>
    <w:p>
      <w:pPr>
        <w:jc w:val="both"/>
        <w:ind w:firstLine="405"/>
        <w:spacing w:after="0" w:line="272" w:lineRule="auto"/>
        <w:rPr>
          <w:sz w:val="20"/>
          <w:szCs w:val="20"/>
          <w:color w:val="auto"/>
        </w:rPr>
      </w:pPr>
      <w:r>
        <w:rPr>
          <w:rFonts w:ascii="Times New Roman" w:cs="Times New Roman" w:eastAsia="Times New Roman" w:hAnsi="Times New Roman"/>
          <w:sz w:val="17"/>
          <w:szCs w:val="17"/>
          <w:color w:val="auto"/>
        </w:rPr>
        <w:t>The holder or holders of a majority of our incentive distribution rights (currently Westlake) have the right, at any time when there are no subordinated units outstanding and we have made cash distributions in excess of the then-applicable third target distribution for each of the prior four consecutive fiscal quarters, to reset the initial target distribution levels at higher levels based on our cash distribution levels at the time of the exercise of the reset election.</w:t>
      </w:r>
    </w:p>
    <w:p>
      <w:pPr>
        <w:spacing w:after="0" w:line="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Following a reset election by such holder or holders, the minimum quarterly distribution will be calculated equal to an amount equal to the prior cash distribution per common unit for the fiscal quarter immediately preceding the reset election (such amount is referred to as the "reset minimum quarterly distribution") and the target distribution levels will be reset to correspondingly higher levels based on percentage increases above the reset minimum quarterly distribution. If such holder or holders elects to reset the target distribution levels, they will be entitled to receive common units as consideration for such election. The number of common units to be issued to such holder or holders will equal the number of common units that would have entitled the holder to an aggregate quarterly cash distribution for the quarter prior to the reset election equal to the distribution on the incentive distribution rights for the quarter prior to the reset election.</w:t>
      </w:r>
    </w:p>
    <w:p>
      <w:pPr>
        <w:spacing w:after="0" w:line="134"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Westlake, as the current holder of our incentive distribution rights, could exercise this reset right in order to facilitate acquisitions or internal growth projects that would not be sufficiently accretive to cash distributions per unit without such conversion. However, Westlake may transfer the incentive distribution rights at any time. It is possible that Westlake or a transferee could exercise this reset election at a time when we are experiencing declines in our aggregate cash distributions or at a time when the holders of the incentive distribution rights expect that we will experience declines in our aggregate cash distributions in the foreseeable future. In such situations, a holder of the incentive distribution rights may be experiencing, or may expect to experience, declines in the cash distributions it receives related to the incentive distribution rights and may therefore desire to be issued our common units rather than retain the right to receive incentive distributions based on the initial target distribution levels. As a result, a reset election may cause our common unitholders to experience reduction in the amount of cash distributions that they would have otherwise received had we not issued new common units to the holders of the incentive distribution rights in connection with resetting the target distribution levels.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incentive distribution rights may be transferred to a third party without unitholder consent.</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Westlake may transfer the incentive distribution rights to a third party at any time without the consent of our unitholders. If Westlake transfers the incentive distribution rights to a third party, it would not have the same incentive to grow our partnership and increase quarterly distributions to unitholders over time. For example, a transfer of incentive distribution rights by Westlake could reduce the likelihood of it accepting offers made by us relating to assets owned by Westlake, as it would have less of an economic incentive to grow our business, which in turn would impact our ability to grow our asset base.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Ownership of Our Common Units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units without unitholder approval, which would dilute existing unitholder ownership interests.</w:t>
      </w:r>
    </w:p>
    <w:p>
      <w:pPr>
        <w:spacing w:after="0" w:line="108"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Our partnership agreement does not limit the number of additional limited partner interests we may issue at any time without the approval of our unitholders. We are party to an Equity Distribution Agreement pursuant to which we may offer and sell common units from time to time to or through the investment banks, as our sales agents or as principals, having an aggregate offering amount of up to $50.0 million. The issuance of additional common units or other equity interests of equal or senior rank will have the following effects:</w:t>
      </w:r>
    </w:p>
    <w:p>
      <w:pPr>
        <w:spacing w:after="0" w:line="4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unitholders' proportionate ownership interest in us will decrease;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earnings per each unit may decrease;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taxable income to distributions may increase;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unit may be diminished;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units may decline.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units could be adversely affected by sales of substantial amounts of our common units in the public or private markets, including sales by Westlake or other large holders.</w:t>
      </w:r>
    </w:p>
    <w:p>
      <w:pPr>
        <w:spacing w:after="0" w:line="2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Westlake has registration rights with respect to the common units it holds. Sales by Westlake or other large holders of a substantial number of our common units in the public markets, or the perception that such sales might occur, could have a material adverse effect on the price of our common units or could impair our ability to obtain capital through an offering of equity securities.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partnership agreement restricts the voting rights of unitholders owning 20% or more of our common units.</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Our partnership agreement restricts unitholders' voting rights by providing that any units held by a person or group that owns 20% or more of any class of units then outstanding, other than our general partner and its affiliates, their transferees and persons who acquired such units with the prior approval of the board of directors, cannot vote on any matter.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may have liability to repay distributions.</w:t>
      </w:r>
    </w:p>
    <w:p>
      <w:pPr>
        <w:spacing w:after="0" w:line="10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Under certain circumstances, unitholders may have to repay amounts wrongfully returned or distributed to them. Under Delaware law, we may not make a distribution to our unitholders if the distribution would cause our liabilities to exceed the fair value of our assets. Delaware law provides that for a period of three years from the date of the impermissible distribution, limited partners who received the distribution and who knew at the time of the distribution that it violated Delaware law will be liable to the limited partnership for the distribution amount. Liabilities to partners on account of their partnership interests and liabilities that are non-recourse to the partnership are not counted for purposes of determining whether a distribution is permitted.</w:t>
      </w:r>
    </w:p>
    <w:p>
      <w:pPr>
        <w:spacing w:after="0" w:line="22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and investor sentiment towards climate change and other sustainability matters could adversely affect our cost of capital and the price of our common units.</w:t>
      </w:r>
    </w:p>
    <w:p>
      <w:pPr>
        <w:spacing w:after="0" w:line="24"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There have been intensifying efforts within the investment community (including investment advisors, investment fund managers, sovereign wealth funds, public pension funds, universities and individual investors) to promote the divestment of, or limit investment in, the equity of companies in the petrochemical industry. There has also been pressure on lenders and other financial services companies to limit or curtail financing of companies in the industry. Because we operate within the petrochemical industry, if these efforts continue or expand, our stock price and our ability to raise capital may be negatively impacted.</w:t>
      </w:r>
    </w:p>
    <w:p>
      <w:pPr>
        <w:spacing w:after="0" w:line="129"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Members of the investment community are increasing their focus on sustainability practices and disclosures by public companies, including practices and disclosures related to climate change and sustainability, D&amp;I initiatives and heightened governance standards. On March 6, 2024, the SEC adopted a new set of rules that require a wide range of climate-related disclosures, including material climate-related risks. Multiple lawsuits have been filed challenging the SEC's new climate rules, and on April 4, 2024, the SEC issued an order staying the final rules until judicial review is complete. The SEC's final climate-related disclosure rules remain stayed pending resolution of judicial challenges and further action by the SEC. In September 2023, California passed climate-related disclosure mandates that are broader than the SEC's rules. Multiple lawsuits have been filed challenging California's climate-related disclosure rules. As a result, we may continue to face increasing pressure regarding our sustainability disclosures and practices. Additionally, members of the investment community may screen companies such as ours for sustainability disclosures and performance before investing in our common units. Over the past few years, there has also been an acceleration in investor demand for sustainability investing opportunities, and many large institutional investors have committed to increasing the percentage of their portfolios that are allocated towards sustainability investments. With respect to any of these investors, our sustainability disclosures and efforts may not satisfy the investor requirements or their requirements may not be made known to us. If we or our securities are unable to meet the sustainability standards or investment criteria set by these investors and funds, we may lose investors or investors may allocate a portion of their capital away from us, our cost of capital may increase, and our common unit price may be negatively impacted.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w:t>
      </w:r>
    </w:p>
    <w:p>
      <w:pPr>
        <w:spacing w:after="0" w:line="104"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tax treatment depends on our status as a partnership for U.S. federal income tax purposes, and not being subject to a material amount of entity-level taxation. If the IRS, were to treat us as a corporation for U.S. federal income tax purposes, or we become subject to entity-level taxation for state tax purposes, our cash available for distribution to our unitholders would be substantially reduced.</w:t>
      </w:r>
    </w:p>
    <w:p>
      <w:pPr>
        <w:spacing w:after="0" w:line="40"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The anticipated after-tax economic benefit of an investment in our common units depends largely on our being treated as a partnership for U.S. federal income tax purposes. Despite the fact that we are organized as a limited partnership under Delaware law, we would be treated as a corporation for U.S. federal income tax purposes unless we satisfy a "qualifying income" requirement. Based upon our current operations and current Treasury Regulations, we believe we satisfy the qualifying income requirement.</w:t>
      </w:r>
    </w:p>
    <w:p>
      <w:pPr>
        <w:spacing w:after="0" w:line="126"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Prior to our initial public offering, we requested and obtained a favorable private letter ruling from the IRS to the effect that, based on facts presented in the private letter ruling request, our income from the production, transportation, storage and marketing of ethylene and its co-products constitutes "qualifying income" within the meaning of Section 7704 of the Internal Revenue Code of 1986, as amended (the "Code").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129"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If we were treated as a corporation for U.S. federal income tax purposes, we would pay U.S. federal income tax on our taxable income at the corporate tax rate. Distributions to our unitholders would generally be taxed again as corporate distributions, and no income, gains, losses or deductions would flow through to our unitholders. Because a tax would be imposed upon us as a corporation, our cash available for distribution to our unitholders would be substantially reduced. Therefore, treatment of us as a corporation would result in a material reduction in the anticipated cash flow and after-tax return to our unitholders, likely causing a substantial reduction in the value of our common units.</w:t>
      </w:r>
    </w:p>
    <w:p>
      <w:pPr>
        <w:spacing w:after="0" w:line="1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partnership agreement provides that if a law is enacted or existing law is modified or interpreted in a manner that subjects us to taxation as a corporation or otherwise subjects us to entity-level taxation for U.S. federal, state, local or foreign income tax purposes, the minimum quarterly distribution amount and the target distribution amounts may be adjusted to reflect the impact of that law or interpretation on us. At the state level, several states have been evaluating ways to subject partnerships to entity-level taxation through the imposition of state income, franchise or other forms of taxation. We currently own assets and conduct business in several states, most of which impose entity-level franchise or gross receipt taxes on partnerships. In the future, we may expand our operations. Imposition of similar entity-level taxes on us in other jurisdictions that we may expand to, could substantially reduce our cash available for distribution to our unitholders.</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treatment of publicly-traded partnerships or an investment in our units could be subject to potential legislative, judicial or administrative changes or differing interpretations, possibly applied on a retroactive basis.</w:t>
      </w:r>
    </w:p>
    <w:p>
      <w:pPr>
        <w:spacing w:after="0" w:line="37"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present U.S. federal income tax treatment of publicly-traded partnerships, including us, or an investment in our common units, may be modified by administrative, legislative or judicial changes or differing interpretations at any time. Members of Congress and the President have frequently proposed and considered substantive changes to the existing U.S. federal income tax laws that would affect publicly-traded partnerships, including proposals that would eliminate our ability to qualify for partnership tax treatment. Although Pub. L. No. 119-21, commonly known as "The One Big Beautiful Bill Act" (the "OBBBA"), which President Trump signed into law on July 4, 2025, provided for the expansion of the qualifying income exception for publicly traded partnerships in certain circumstances, other proposals have provided for the total elimination of the qualifying income exception upon which we rely for our partnership tax treatment.</w:t>
      </w:r>
    </w:p>
    <w:p>
      <w:pPr>
        <w:spacing w:after="0" w:line="135"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addition, the Treasury Department has issued, and in the future may issue, regulations interpreting those laws that affect publicly-traded partnerships. On January 24, 2017, final regulations regarding which activities give rise to qualifying income within the meaning of Section 7704 of the Code (the "Final Regulations") were published in the Federal Register. The Final Regulations, consistent with our private letter ruling, treat our income from the production, transportation, storage and marketing of ethylene and its co-products as "qualifying income." There can be no assurance that there will not be further changes to U.S. federal income tax laws or the Treasury Department's interpretation of the qualifying income rules in a manner that could impact our ability to qualify as a partnership in the future.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60" w:firstLine="405"/>
        <w:spacing w:after="0" w:line="258" w:lineRule="auto"/>
        <w:rPr>
          <w:sz w:val="20"/>
          <w:szCs w:val="20"/>
          <w:color w:val="auto"/>
        </w:rPr>
      </w:pPr>
      <w:r>
        <w:rPr>
          <w:rFonts w:ascii="Times New Roman" w:cs="Times New Roman" w:eastAsia="Times New Roman" w:hAnsi="Times New Roman"/>
          <w:sz w:val="18"/>
          <w:szCs w:val="18"/>
          <w:color w:val="auto"/>
        </w:rPr>
        <w:t>Any modification to the U.S. federal income tax laws and interpretations thereof may or may not be retroactively applied and could make it more difficult or impossible for us to meet the exception for certain publicly-traded partnerships to be treated as partnerships for U.S. federal income tax purposes. We are unable to predict whether any changes or other proposals will ultimately be enacted. Any future legislative changes could negatively impact the value of an investment in our common units. You are urged to consult with your own tax advisor with respect to the status of regulatory or administrative developments and proposals and their potential effect on your investment in our common units.</w:t>
      </w:r>
    </w:p>
    <w:p>
      <w:pPr>
        <w:spacing w:after="0" w:line="22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IRS were to contest the U.S. federal income tax positions we take, it may adversely impact the market for our common units, and the costs of any such contest would reduce our cash available for distribution to our unitholders.</w:t>
      </w:r>
    </w:p>
    <w:p>
      <w:pPr>
        <w:spacing w:after="0" w:line="24"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IRS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common units and the price at which they trade. Moreover, the costs of any contest between us and the IRS will result in a reduction in our cash available for distribution to our unitholders and thus will be borne indirectly by our unitholders.</w:t>
      </w:r>
    </w:p>
    <w:p>
      <w:pPr>
        <w:spacing w:after="0" w:line="2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IRS makes audit adjustments to our income tax returns, it (and some states) may assess and collect any taxes (including any applicable penalties and interest) resulting from such audit adjustments directly from us, in which case our cash available for distribution to our unitholders might be substantially reduced and our current and former unitholders may be required to indemnify us for any taxes (including any applicable penalties and interest) resulting from such audit adjustments that were paid on such unitholders behalf.</w:t>
      </w:r>
    </w:p>
    <w:p>
      <w:pPr>
        <w:spacing w:after="0" w:line="5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 and our current and former unitholders may be required to indemnify us for any taxes (including any applicable penalties and interest) resulting from such audit adjustments that were paid on such unitholders behalf. Additionally, we may be required to allocate an adjustment disproportionately among our unitholders, causing our publicly traded units to have different capital accounts, unless the IRS issues further guidance.</w:t>
      </w:r>
    </w:p>
    <w:p>
      <w:pPr>
        <w:spacing w:after="0" w:line="136"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In the event the IRS makes an audit adjustment to our income tax returns and we do not or cannot shift the liability to our unitholders in accordance with their interests in us during the year under audit, we will generally have the ability to request that the IRS reduce the determined underpayment by reducing the suspended passive loss carryovers of our unitholders (without any compensation from us to such unitholders), to the extent such underpayment is attributable to a net decrease in passive activity losses allocable to certain partners. Such reduction, if approved by the IRS, will be binding on any affected unitholders.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unitholders do not receive any cash distributions from us, unitholders will be required to pay taxes on their share of our taxable income.</w:t>
      </w:r>
    </w:p>
    <w:p>
      <w:pPr>
        <w:spacing w:after="0" w:line="10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Unitholders are required to pay U.S. federal income taxes and, in some cases, state and local income taxes, on their share of our taxable income, whether or not they receive cash distributions from us. Unitholders may not receive cash distributions from us equal to their share of our taxable income or even equal to the actual tax due from them with respect to that income.</w:t>
      </w:r>
    </w:p>
    <w:p>
      <w:pPr>
        <w:spacing w:after="0" w:line="122" w:lineRule="exact"/>
        <w:rPr>
          <w:sz w:val="20"/>
          <w:szCs w:val="20"/>
          <w:color w:val="auto"/>
        </w:rPr>
      </w:pPr>
    </w:p>
    <w:p>
      <w:pPr>
        <w:ind w:firstLine="405"/>
        <w:spacing w:after="0" w:line="274" w:lineRule="auto"/>
        <w:rPr>
          <w:sz w:val="20"/>
          <w:szCs w:val="20"/>
          <w:color w:val="auto"/>
        </w:rPr>
      </w:pPr>
      <w:r>
        <w:rPr>
          <w:rFonts w:ascii="Times New Roman" w:cs="Times New Roman" w:eastAsia="Times New Roman" w:hAnsi="Times New Roman"/>
          <w:sz w:val="17"/>
          <w:szCs w:val="17"/>
          <w:color w:val="auto"/>
        </w:rPr>
        <w:t>A unitholder's share of our taxable income, and its relationship to any distributions we make, may be affected by a variety of factors, including our economic performance, which may be affected by numerous business, economic, regulatory, legislative, competitive and political uncertainties beyond our control, and certain transactions in which we might engage. For example, we may engage in transactions that produce substantial taxable income allocations to some or all of our unitholders without a corresponding increase in cash distributions to our unitholders, such as a sale or exchange of assets, the proceeds of which are reinvested in our business or used to reduce our debt, or an actual or deemed satisfaction of our indebtedness for an amount less than the adjusted issue price of the debt. A unitholder's ratio of its share of taxable income to the cash received by it may also be affected by changes in law.</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From time to time, in connection with an offering of our common units, we may state an estimate of the ratio of U.S. federal taxable income to cash distributions that a purchaser of common units in that offering may receive in a given period. These estimates depend in part on factors that are unique to the offering with respect to which the estimate is stated, so the expected ratio applicable to other common units will be different, and in many cases less favorable, than these estimates. Moreover, even in the case of common units purchased in the offering to which the estimate relates, the estimate may be incorrect, due to the uncertainties described above, challenges by the IRS to tax reporting positions which we adopt, or other factors. The actual ratio of taxable income to cash distributions could be higher or lower than expected, and any differences could be material and could materially affect the value of the common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gain or loss on the disposition of our common units could be more or less than expected.</w:t>
      </w:r>
    </w:p>
    <w:p>
      <w:pPr>
        <w:spacing w:after="0" w:line="9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If a unitholder sells common units, the unitholder will recognize a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spacing w:after="0" w:line="133"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A substantial portion of the amount realized from a unitholder's sale of our units, whether or not representing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may be subject to limitation on their ability to deduct interest expense incurred by us.</w:t>
      </w:r>
    </w:p>
    <w:p>
      <w:pPr>
        <w:spacing w:after="0" w:line="108"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In general, we are entitled to a deduction for interest paid or accrued on indebtedness properly allocable to our trade or business during our taxable year. However,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w:t>
      </w:r>
    </w:p>
    <w:p>
      <w:pPr>
        <w:spacing w:after="0" w:line="122" w:lineRule="exact"/>
        <w:rPr>
          <w:sz w:val="20"/>
          <w:szCs w:val="20"/>
          <w:color w:val="auto"/>
        </w:rPr>
      </w:pPr>
    </w:p>
    <w:p>
      <w:pPr>
        <w:jc w:val="both"/>
        <w:ind w:right="380" w:firstLine="405"/>
        <w:spacing w:after="0" w:line="261" w:lineRule="auto"/>
        <w:rPr>
          <w:sz w:val="20"/>
          <w:szCs w:val="20"/>
          <w:color w:val="auto"/>
        </w:rPr>
      </w:pPr>
      <w:r>
        <w:rPr>
          <w:rFonts w:ascii="Times New Roman" w:cs="Times New Roman" w:eastAsia="Times New Roman" w:hAnsi="Times New Roman"/>
          <w:sz w:val="18"/>
          <w:szCs w:val="18"/>
          <w:color w:val="auto"/>
        </w:rPr>
        <w:t>For taxable years beginning after December 31, 2024, the OBBBA modifies the limitation on the deduction of business interest by providing that adjusted taxable income is calculated before deductions for depreciation, amortization and depletion. Prior to the OBBBA's passage, for taxable years beginning on or after January 1, 2022, adjusted taxable income was calculated after taking such deductions into account. The OBBBA also extends the limitation to interest that is required to be capitalized under the Code, subject to certain exceptions.</w:t>
      </w:r>
    </w:p>
    <w:p>
      <w:pPr>
        <w:spacing w:after="0" w:line="126"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If our "business interest" is subject to limitation under these rules, our unitholders will be limited in their ability to deduct their share of any interest expense that has been allocated to them. As a result, unitholders may be subject to limitation on their ability to deduct interest expense incurred by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Tax-exempt entities face unique tax issues from owning our common units that may result in adverse tax consequences to them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Investment in our common units by tax-exempt entities, such as employee benefit plans and individual retirement accounts (known as IRAs) raises issues unique to them. For example, virtually all of our income allocated to organizations that are exempt from U.S. federal income tax, including IRAs and other retirement plans, will be unrelated business taxable income ("UBTI") and will be taxable to them. Tax-exempt entities should consult a tax advisor before investing in our common units.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Unitholders will be subject to U.S. taxes and withholding with respect to their income and gain from owning our units.</w:t>
      </w:r>
    </w:p>
    <w:p>
      <w:pPr>
        <w:spacing w:after="0" w:line="9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Non-U.S. unitholders are generally taxed and subject to income tax filing requirements by the United States on income effectively connected with a U.S. trade or business.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w:t>
      </w:r>
    </w:p>
    <w:p>
      <w:pPr>
        <w:spacing w:after="0" w:line="1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addition to the withholding tax imposed on distributions of effectively connected income, distributions to a non-U.S. unitholder will also be subject to a 10% withholding tax on the amount of any distribution in excess of our cumulative net income. Due to the complexity of the calculation and lack of clarity in how it would apply to us, we intend to treat all of our distributions as being in excess of our cumulative net income for such purposes and subject to such 10% withholding tax. Accordingly, distributions to a non-U.S. unitholder will be subject to a combined withholding tax rate equal to the sum of the highest applicable effective tax rate and 10%.</w:t>
      </w:r>
    </w:p>
    <w:p>
      <w:pPr>
        <w:spacing w:after="0" w:line="129"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publicly-traded partnership, such as our common units, will generally be the amount of gross proceeds paid to the broker effecting the applicable transfer on behalf of the transferor, and thus will be determined without regard to any decrease in that partner's share of a publicly-traded partnership's liabilities. For a transfer of interests in a publicly traded partnership that is effected through a broker, the obligation to withhold is imposed on the transferor's broker. Current and prospective non-U.S. unitholders should consult their tax advisors regarding the impact of these rules on an investment in our common units.</w:t>
      </w:r>
    </w:p>
    <w:p>
      <w:pPr>
        <w:spacing w:after="0" w:line="22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treat each purchaser of our common units as having the same tax benefits without regard to the common units actually purchased. The IRS may challenge this treatment, which could adversely affect the value of our common units.</w:t>
      </w:r>
    </w:p>
    <w:p>
      <w:pPr>
        <w:spacing w:after="0" w:line="37"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any sale of common units and could have a negative impact on the value of our common units or result in audit adjustments to a unitholder's tax returns.</w:t>
      </w:r>
    </w:p>
    <w:p>
      <w:pPr>
        <w:spacing w:after="0" w:line="20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53"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(i) certain deductions for depreciation of capital additions, (ii) gain or loss realized on a sale or other disposition of our assets and (iii)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unitholder whose units are the subject of a securities loan (e.g., a loan to a "short seller" to cover a short sale of units) may be considered to have disposed of those units. If so, such unitholder would no longer be treated for tax purposes as a partner with respect to those units during the period of the loan and may recognize gain or loss from the disposition.</w:t>
      </w:r>
    </w:p>
    <w:p>
      <w:pPr>
        <w:spacing w:after="0" w:line="4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Because there are no specific rules governing the U.S. federal income tax consequence of loaning a partnership interest, a unitholder whose units are the subject of a securities loan may be considered to have disposed of the loaned units. In that case, the unitholder may no longer be treated for tax purposes as a partner with respect to those units during the period of the loan to the short seller and the unitholder may recognize gain or loss from such disposition. Moreover, during the period of the loan, any of our income, gain, loss or deduction with respect to those units may not be reportable by the unitholder and any cash distributions received by the unitholder as to those units could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units.</w:t>
      </w:r>
    </w:p>
    <w:p>
      <w:pPr>
        <w:spacing w:after="0" w:line="225"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adopted certain valuation methodologies in determining a unitholder's allocations of income, gain, loss and deduction. The IRS may challenge these methodologies or the resulting allocations, which could adversely affect the value of our common units.</w:t>
      </w:r>
    </w:p>
    <w:p>
      <w:pPr>
        <w:spacing w:after="0" w:line="37"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In determining the items of income, gain, loss and deduction allocable to our unitholders, we must routinely determine the fair market value of our assets. Although we may, from time to time, consult with professional appraisers regarding valuation matters, we make many fair market value estimates using a methodology based on the market value of our common units as a means to measure the fair market value of our assets. The IRS may challenge these valuation methods and the resulting allocations of income, gain, loss and deduction.</w:t>
      </w:r>
    </w:p>
    <w:p>
      <w:pPr>
        <w:spacing w:after="0" w:line="126"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 successful IRS challenge to these methods or allocations could adversely affect the timing or amount of taxable income or loss being allocated to our unitholders. It also could affect the amount of gain recognized from the sale of our common units, have a negative impact on the value of our common units or result in audit adjustments to our unitholders' tax returns without the benefit of additional deductions.</w:t>
      </w:r>
    </w:p>
    <w:p>
      <w:pPr>
        <w:spacing w:after="0" w:line="19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unitholders will likely be subject to state and local taxes and income tax return filing requirements in jurisdictions where they do not live as a result of investing in our common units.</w:t>
      </w:r>
    </w:p>
    <w:p>
      <w:pPr>
        <w:spacing w:after="0" w:line="3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addition to U.S. federal income taxes, our unitholders may be subject to other taxes, including foreign, state and local taxes, unincorporated business taxes and estate, inheritance or intangible taxes that are imposed by the various jurisdictions in which we conduct business or own property now or in the future, even if they do not live in any of those jurisdictions. Our unitholders will likely be required to file foreign, state and local income tax returns and pay state and local income taxes in some or all of these various jurisdictions. Further, our unitholders may be subject to penalties for failure to comply with those requirements.</w:t>
      </w:r>
    </w:p>
    <w:p>
      <w:pPr>
        <w:spacing w:after="0" w:line="12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currently own property and conduct business in a number of states, most of which currently impose a personal income tax on individuals, and most of which also impose an income or similar tax on corporations and certain other entities. As we make acquisitions or expand our business, we may own assets or conduct business in additional states that impose similar taxes. It is our unitholders' responsibility to file all U.S. federal, foreign, state and local tax returns and pay any taxes due in these jurisdictions. Unitholders should consult with their own tax advisors regarding the filing of such tax returns, the payment of such taxes, and the deductibility of any taxes paid.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94"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OpCo has entered into the Services and Secondment Agreement with Westlake and we, OpCo and Westlake have entered into the Omnibus Agreement. Pursuant to these Agreements, Westlake performs various services for us, including those related to cybersecurity. As such, this disclosure addresses our cybersecurity policies and practices, some of which are executed by Westlake under the Services and Secondment Agreement and the Omnibus Agreement.</w:t>
      </w:r>
    </w:p>
    <w:p>
      <w:pPr>
        <w:spacing w:after="0" w:line="126" w:lineRule="exact"/>
        <w:rPr>
          <w:sz w:val="20"/>
          <w:szCs w:val="20"/>
          <w:color w:val="auto"/>
        </w:rPr>
      </w:pPr>
    </w:p>
    <w:p>
      <w:pPr>
        <w:ind w:right="400" w:firstLine="405"/>
        <w:spacing w:after="0" w:line="258" w:lineRule="auto"/>
        <w:rPr>
          <w:sz w:val="20"/>
          <w:szCs w:val="20"/>
          <w:color w:val="auto"/>
        </w:rPr>
      </w:pPr>
      <w:r>
        <w:rPr>
          <w:rFonts w:ascii="Times New Roman" w:cs="Times New Roman" w:eastAsia="Times New Roman" w:hAnsi="Times New Roman"/>
          <w:sz w:val="18"/>
          <w:szCs w:val="18"/>
          <w:color w:val="auto"/>
        </w:rPr>
        <w:t>With Westlake's support, we maintain a comprehensive approach to cybersecurity and data protection, based on a risk-based, defense-in-depth strategy. Westlake follows industry standard cybersecurity frameworks, including the National Institute of Standards and Technology Cybersecurity Framework to design, assess and update our cybersecurity strategy, controls and processes. Westlake regularly assesses industry best practices and standards and endeavors to implement them in its efforts to manage cybersecurity risk for us. The focus is on protecting our highest-value information assets, which include manufacturing systems, financial systems, and confidential, personal, and private information.</w:t>
      </w:r>
    </w:p>
    <w:p>
      <w:pPr>
        <w:spacing w:after="0" w:line="12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To safeguard our networks and systems, Westlake has a dedicated cybersecurity organization overseen by its Senior Director, Cybersecurity and Network Operations, which operates within its information technology department overseen by its Chief Information Officer. Westlake's cybersecurity organization employs multiple security controls, such as firewalls, spam protection, web filtering, endpoint detection and response software, controlled access, vulnerability management, redundancies, patching, and regular onsite and offsite backups. Westlake's cybersecurity organization also uses a variety of processes to address cybersecurity threats related to the use of third-party technology and services, including pre-acquisition diligence, imposition of contractual obligations, and risk-based performance monitoring.</w:t>
      </w:r>
    </w:p>
    <w:p>
      <w:pPr>
        <w:spacing w:after="0" w:line="133"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Both Westlake's Chief Information Officer and its Senior Director, Cybersecurity and Network Operations have extensive experience in assessing and managing cybersecurity risks, including through decades of collective experience in information technology and cybersecurity roles of increasing responsibility both at Westlake and in prior positions. Westlake prioritizes cybersecurity awareness among employees and contractors through various training exercises, including formal programs and simulated phishing events. Westlake maintains incident response plans, playbooks, and engages third-party cybersecurity firms for simulated cyberattacks and penetration testing to identify potential risks. Westlake also has a third-party cybersecurity firm on retainer for incident assistance and response. Periodic internal self-assessments are conducted by Westlake's cybersecurity organization using the National Institute of Standards and Technology Cybersecurity Framework.</w:t>
      </w:r>
    </w:p>
    <w:p>
      <w:pPr>
        <w:spacing w:after="0" w:line="13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From time to time, we and OpCo experience cybersecurity threats and attempted breaches and other incidents. Westlake classifies and tracks these events based on significance and implements remediation actions that it considers appropriate to address the risks to the Partnership and OpCo relating to such incidents. Although we and OpCo have not experienced material impacts to our business strategy, results of operations or financial condition from any such incidents in the past three years, we cannot guarantee that a material incident will not occur in the future. See "Item 1A. Risk Factors—Failure to adequately protect critical data and technology systems could materially affect our operations."</w:t>
      </w:r>
    </w:p>
    <w:p>
      <w:pPr>
        <w:spacing w:after="0" w:line="129"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The board of directors has authorized and approved our entry into the Services and Secondment Agreement and the Omnibus Agreement with Westlake, and has thereby charged Westlake's Corporate Risk and Sustainability Committee with assisting the board of directors with its oversight of cybersecurity risks, which is a component of our overall enterprise risk management program. As a result, Westlake's Corporate Risk and Sustainability Committee assists with the oversight of our cybersecurity risks. Westlake's Corporate Risk and Sustainability Committee includes directors with cybersecurity experience and expertise through supervision of information technology departments as executive officers. The board of directors also receives regular updates from Westlake's Chief Information Officer on cybersecurity risks, incidents and trends, and ongoing and planned projects impacting the Partnership and OpCo. Westlake's Chief Information Officer and our senior management receive regular status reports on the Partnership's and OpCo's cybersecurity risks from Westlake's cybersecurity organization. Further, incident updates are reported to our senior management and the board of directors as Westlake's Chief Information Officer and cybersecurity organization consider appropriate, depending on the severity of the incident.</w:t>
      </w:r>
    </w:p>
    <w:p>
      <w:pPr>
        <w:spacing w:after="0" w:line="134"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As part of our incident response planning, Westlake also maintains cross-functional response teams involving personnel outside of its cybersecurity organization, both globally and regionally, in order to be prepared to respond to an incident.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Information regarding our properties is contained in "Item 1. Business—OpCo's Assets" and "Item 7. Management's Discussion and Analysis of Financial Condition and Results of Operations."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9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the ordinary conduct of our business, we and Westlake and Westlake's subsidiaries, including OpCo, are subject to lawsuits, investigations and claims, including environmental claims and employee related matters. See the discussions of our environmental matters contained in "Item 1. Business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Environmental" and Note 16, "Commitments and Contingencies," to Consolidated Financial Statements included in Item 8 of this Form 10-K.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w:t>
      </w:r>
    </w:p>
    <w:p>
      <w:pPr>
        <w:spacing w:after="0" w:line="133"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Under the Omnibus Agreement, certain subsidiaries of Westlake have agreed to indemnify the Partnership for certain environmental and other liabilities relating to OpCo's processing facilities and related assets that occurred or existed prior to August 4, 2014. Pursuant to the Services and Secondment Agreement, certain subsidiaries of Westlake have agreed to indemnify the Partnership for certain liabilities incurred in connection with the performance of Westlake's services under such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309" w:lineRule="exact"/>
        <w:rPr>
          <w:sz w:val="20"/>
          <w:szCs w:val="20"/>
          <w:color w:val="auto"/>
        </w:rPr>
      </w:pPr>
    </w:p>
    <w:p>
      <w:pPr>
        <w:ind w:right="1940"/>
        <w:spacing w:after="0" w:line="354"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Our Partnership Interests</w:t>
      </w:r>
    </w:p>
    <w:p>
      <w:pPr>
        <w:spacing w:after="0" w:line="1"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Our common units are listed and traded on the New York Stock Exchange ("NYSE") under the symbol "WLKP." As of the close of business on February 25, 2026, based upon information received from our transfer agent, there were four holders of record of our common units.</w:t>
      </w:r>
    </w:p>
    <w:p>
      <w:pPr>
        <w:spacing w:after="0" w:line="10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We are a publicly-traded partnership and are not subject to federal income tax. Instead, unitholders are required to report their allocable share of our income, gain, loss and deduction, regardless of whether we make distributions.</w:t>
      </w:r>
    </w:p>
    <w:p>
      <w:pPr>
        <w:spacing w:after="0" w:line="108" w:lineRule="exact"/>
        <w:rPr>
          <w:sz w:val="20"/>
          <w:szCs w:val="20"/>
          <w:color w:val="auto"/>
        </w:rPr>
      </w:pPr>
    </w:p>
    <w:p>
      <w:pPr>
        <w:ind w:right="140" w:firstLine="405"/>
        <w:spacing w:after="0" w:line="289" w:lineRule="auto"/>
        <w:rPr>
          <w:sz w:val="20"/>
          <w:szCs w:val="20"/>
          <w:color w:val="auto"/>
        </w:rPr>
      </w:pPr>
      <w:r>
        <w:rPr>
          <w:rFonts w:ascii="Times New Roman" w:cs="Times New Roman" w:eastAsia="Times New Roman" w:hAnsi="Times New Roman"/>
          <w:sz w:val="17"/>
          <w:szCs w:val="17"/>
          <w:color w:val="auto"/>
        </w:rPr>
        <w:t>Following the Partnership's cash distribution for the second quarter of 2017, the requirement under the Partnership's partnership agreement for the conversion of all subordinated units was satisfied. As a result, effective August 30, 2017, all of the subordinated units owned by Westlake were converted into common units on a one-for-one basis and thereafter participate on terms equal with all other common units in distributions of available cash.</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Information from our Partnership Agreement</w:t>
      </w:r>
    </w:p>
    <w:p>
      <w:pPr>
        <w:spacing w:after="0" w:line="94"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Set forth below is a summary of the significant provisions of our partnership agreement that relate to cash distributions, minimum quarterly distributions and incentive distribution rights.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108"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Our partnership agreement provides that our general partner will make a determination as to whether to make a distribution, but our partnership agreement does not require us to pay distributions at any time or in any amount. Instead, the board of directors adopted a cash distribution policy in connection with the closing of the IPO that sets forth our general partner's intention with respect to the distributions to be made to unitholders. Pursuant to our cash distribution policy, within 60 days after the end of each quarter, we intend to make a minimum quarterly distribution of $0.2750 per unit to the extent we have sufficient cash after establishment of cash reserves and payment of fees and expenses, including payments to our general partner and its affiliates.</w:t>
      </w:r>
    </w:p>
    <w:p>
      <w:pPr>
        <w:spacing w:after="0" w:line="133" w:lineRule="exact"/>
        <w:rPr>
          <w:sz w:val="20"/>
          <w:szCs w:val="20"/>
          <w:color w:val="auto"/>
        </w:rPr>
      </w:pPr>
    </w:p>
    <w:p>
      <w:pPr>
        <w:jc w:val="both"/>
        <w:ind w:right="400" w:firstLine="405"/>
        <w:spacing w:after="0" w:line="312" w:lineRule="auto"/>
        <w:rPr>
          <w:sz w:val="20"/>
          <w:szCs w:val="20"/>
          <w:color w:val="auto"/>
        </w:rPr>
      </w:pPr>
      <w:r>
        <w:rPr>
          <w:rFonts w:ascii="Times New Roman" w:cs="Times New Roman" w:eastAsia="Times New Roman" w:hAnsi="Times New Roman"/>
          <w:sz w:val="17"/>
          <w:szCs w:val="17"/>
          <w:color w:val="auto"/>
        </w:rPr>
        <w:t>The board of directors may change our cash distribution policy at any time and from time to time, and even if our cash distribution policy is not modified or revoked, the amount of distributions paid under our policy and the decision to make any distribution is determined by our general partner.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Surplus and Capital Surplus</w:t>
      </w:r>
    </w:p>
    <w:p>
      <w:pPr>
        <w:spacing w:after="0" w:line="10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Any distribution we make is characterized as made from "operating surplus" or "capital surplus." Distributions from operating surplus are made differently than cash distributions we would make from capital surplus. Operating surplus distributions will be made to our unitholders and, if we make quarterly distributions above the first target distribution level described below, to the holder of our incentive distribution rights. We do not anticipate that we will make any distributions from capital surplus. In such an event, however, any capital surplus distribution would be made pro rata to all unitholders, but the incentive distribution rights would generally not participate in any capital surplus distributions. Any distribution of capital surplus would result in a reduction of the minimum quarterly distribution and target distribution levels and, if we reduce the minimum quarterly distribution to zero and eliminate any unpaid arrearages, thereafter capital surplus would be distributed as if it were operating surplus and the incentive distribution rights would thereafter be entitled to participate in such distributions. In determining operating surplus and capital surplus, we will only take into account our proportionate share of our consolidated subsidiaries that are not wholly owned, such as OpCo.</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Minimum Quarterly Distribution</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July 27, 2018, the partnership agreement was amended to revise the minimum quarterly distribution thresholds for the Partnership's incentive distribution rights. The amended partnership agreement provides that the Partnership will distribute cash each quarter to all the unitholders, pro-rata, until each common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percentage allocations per the amended partnership agreement. For more information on the Partnership's amended distribution allocation percentages, see Note 9, "Distributions and Net Income Per Limited Partner Unit," to Consolidated Financial Statements included in Item 8 of this form 10-K.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Partner Interests and Incentive Distribution Rights</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general partner owns a non-economic general partner interest in us, which does not entitle it to receive cash distributions. However, our general partner may in the future own common units or other equity interests in us and will be entitled to receive distributions on any such interests. Incentive distribution rights represent the right to receive increasing percentages (15.0%, 25.0% and 50.0%) of quarterly distributions from operating surplus after the target distribution levels have been achieved. Westlake currently holds the incentive distribution rights, but may transfer these rights separately from its general partner interest.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08"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We did not have any unregistered sales of equity securities during the quarter or fiscal year ended December 31, 2025 that we have not previously reported on a Quarterly Report on Form 10-Q or a Current Report on Form 8-K.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is management's perspective of our current financial condition and results of operations and should be read in conjunction with "Items 1A. "Risk Factors" and "Item 8. Financial Statements and Supplementary Data" included in this report. This discussion and analysis includes the years ended December 31, 2025 and 2024 and comparison between such years. The discussion for the year ended December 31, 2023 and comparison between the years ended December 31, 2024 and 2023 have been omitted from this Annual Report on Form 10-K for the year ended December 31, 2025, as such information can be found in Part II, "Item 7. Management's Discussion and Analysis of Financial Condition and Results of Operations" of our Annual Report on Form 10-K for the year ended December 31, 2024 which was filed with the Securities and Exchange Commission on March 5, 2025. The following discussion includes forward-looking statements that involve certain risks and uncertainties. See "Cautionary Statement Regarding Forward-Looking Statements" included within this report.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3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13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Neither we nor OpCo has any employees. OpCo and Westlake are parties to the Services and Secondment Agreement, pursuant to which Westlake provides OpCo with various utility services, comprehensive operating services for OpCo's units, services for the maintenance and operation of the common facilities and seconded employees to perform all services required under the agreement. The Services and Secondment Agreement, as amended, provides for an initial term through December 31, 2026 and, subject to the simultaneous renewal of the Ethylene Sales Agreement, automatic 12-month renewal periods until terminated at the end of the initial term or any renewal term on not less than 12-months' notice.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94"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 is obligated to pay for the annual minimum quantity (95% of OpCo's budgeted ethylene production), which is measured on an annual basis, is not reduced for a force majeure event lasting fewer than 45 consecutive days.In the event Westlake purchases less than its annual commitment, we recognize a buyer deficiency fee ("Buyer Deficiency Fee") representing fixed margin and all expenses and expenditures incurred per pound of volume committed but not taken by Westlake. The annual commitment is not reduced for a force majeure event affecting OpCo's plants that lasts fewer than 45 consecutive days; however, in the event of such a force majeure event, we recognize a Buyer Deficiency Fee representing fixed margin and unavoided operating and maintenance capital expenditures and maintenance expenses per pound of volume committed by Westlake during the force majeure period. Payment of the Buyer Deficiency Fee is scheduled to be received by the Partnership after the conclusion of the year in which the annual commitment was not purchased and taken by Westlake.Westlake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w:t>
      </w:r>
    </w:p>
    <w:p>
      <w:pPr>
        <w:spacing w:after="0" w:line="14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126"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Ethylene Sales Agreement provides that, if compliance with any law adopted or modified following our IPO results in OpCo incurring additional costs in excess of $500,000 in any contract year, OpCo is entitled to charge Westlake a monthly surcharge following efforts to mitigate the effects of such compliance.</w:t>
      </w:r>
    </w:p>
    <w:p>
      <w:pPr>
        <w:spacing w:after="0" w:line="12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We sell ethylene production in excess of volumes sold to Westlake, as well as all associated co-products resulting from the ethylene production, directly to third parties on either a spot or contract basis.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our exposure to fluctuations in the market prices of these co-products. During 2025, all third-party ethylene and associated co-products sales generated 11.4% of our total revenues.</w:t>
      </w:r>
    </w:p>
    <w:p>
      <w:pPr>
        <w:spacing w:after="0" w:line="1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6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October 28, 2025, OpCo and Westlake agreed to renew the Ethylene Sales Agreement through December 31, 2027 in accordance with its terms, which provide for an initial term through December 31, 2026 and automatic 12-month renewal periods until terminated at the end of the initial term or any renewal term on not less than 12-months' notice.</w:t>
      </w:r>
    </w:p>
    <w:p>
      <w:pPr>
        <w:spacing w:after="0" w:line="122"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Please refer to Note 2, "Agreements with Westlake and Related Parties," to Consolidated Financial Statements included in Item 8 of this form 10-K for more information on the Ethylene Sales Agreement.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Source Feedstock</w:t>
      </w:r>
    </w:p>
    <w:p>
      <w:pPr>
        <w:spacing w:after="0" w:line="94"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OpCo is party to a feedstock supply agreement (the "Feedstock Supply Agreement") with Westlake Petrochemicals LLC, a wholly owned subsidiary of Westlake, under which Westlake Petrochemicals LLC supplies OpCo with ethane and other feedstocks that OpCo uses to produce ethylene under the Ethylene Sales Agreement. For its approximately 5% merchant sales, OpCo may purchase the ethane and other feedstocks to produce ethylene and resulting co-products to sell to unrelated third parties from Westlake Petrochemicals LLC. On October 28, 2025, OpCo and Westlake agreed to renew the Feedstock Supply Agreement through December 31, 2027 in accordance with its terms, which provide for an initial term through December 31, 2026 and automatic 12-month renewal periods until terminated at the end of the initial term or any renewal term on not less than 12-months' notice.</w:t>
      </w:r>
    </w:p>
    <w:p>
      <w:pPr>
        <w:spacing w:after="0" w:line="133"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Please refer to Note 2, "Agreements with Westlake and Related Parties," to Consolidated Financial Statements included in Item 8 of this form 10-K for more information on the Feedstock Supply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Evaluate Operations</w:t>
      </w:r>
    </w:p>
    <w:p>
      <w:pPr>
        <w:spacing w:after="0" w:line="108"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Our management uses a variety of financial and operating metrics to analyze our performance. These metrics are significant factors in assessing our operating results and profitability and include: (1) production volumes, (2) operating and maintenance expenses, including turnaround costs, and (3) MLP distributable cash flow and EBITDA.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Volumes</w:t>
      </w:r>
    </w:p>
    <w:p>
      <w:pPr>
        <w:spacing w:after="0" w:line="108"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amount of profit we generate primarily depends on the volumes of ethylene and resulting co-products we are able to produce at Calvert City Olefins and Lake Charles Olefins. Although Westlake has committed to purchasing minimum volumes from us under the Ethylene Sales Agreement, our results of operations are impacted by our ability to:</w:t>
      </w:r>
    </w:p>
    <w:p>
      <w:pPr>
        <w:spacing w:after="0" w:line="54" w:lineRule="exact"/>
        <w:rPr>
          <w:sz w:val="20"/>
          <w:szCs w:val="20"/>
          <w:color w:val="auto"/>
        </w:rPr>
      </w:pPr>
    </w:p>
    <w:p>
      <w:pPr>
        <w:ind w:left="660" w:right="1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sufficient volumes of ethylene to meet our commitments under the Ethylene Sales Agreement or recover our estimated costs through the pricing provisions of the Ethylene Sales Agreement;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with third parties for the remaining uncommitted production capacity;</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or increase capacity at our existing production facilities, or add additional production capacity via organic expansion projects and acquisitions;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or exceed the specified yield factors for natural gas, ethane and other feedstock under the Ethylene Sales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Maintenance Capital Expenditures and Turnaround Costs</w:t>
      </w:r>
    </w:p>
    <w:p>
      <w:pPr>
        <w:spacing w:after="0" w:line="108"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38" w:lineRule="exact"/>
        <w:rPr>
          <w:sz w:val="20"/>
          <w:szCs w:val="20"/>
          <w:color w:val="auto"/>
        </w:rPr>
      </w:pPr>
    </w:p>
    <w:p>
      <w:pPr>
        <w:ind w:right="160" w:firstLine="405"/>
        <w:spacing w:after="0" w:line="271" w:lineRule="auto"/>
        <w:rPr>
          <w:sz w:val="20"/>
          <w:szCs w:val="20"/>
          <w:color w:val="auto"/>
        </w:rPr>
      </w:pPr>
      <w:r>
        <w:rPr>
          <w:rFonts w:ascii="Times New Roman" w:cs="Times New Roman" w:eastAsia="Times New Roman" w:hAnsi="Times New Roman"/>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Renewal of the Ethylene Sales Agreement and Feedstock Supply Agreement</w:t>
      </w:r>
    </w:p>
    <w:p>
      <w:pPr>
        <w:spacing w:after="0" w:line="10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October 28, 2025, OpCo and Westlake agreed to renew both the Ethylene Sales Agreement and the Feedstock Supply Agreement through December 31, 2027 in accordance with their respective terms (together, the "Renewal"), which each provide for an initial term through December 31, 2026 and automatic 12-month renewal periods until terminated at the end of the initial term or any renewal term on not less than 12-months' notice.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the Services and Secondment Agreement and Omnibus Agreement</w:t>
      </w:r>
    </w:p>
    <w:p>
      <w:pPr>
        <w:spacing w:after="0" w:line="94" w:lineRule="exact"/>
        <w:rPr>
          <w:sz w:val="20"/>
          <w:szCs w:val="20"/>
          <w:color w:val="auto"/>
        </w:rPr>
      </w:pPr>
    </w:p>
    <w:p>
      <w:pPr>
        <w:ind w:right="240"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Renewal, on October 28, 2025, OpCo and certain affiliates of Westlake entered into an amendment to the Services and Secondment Agreement to align the date of expiration of such agreement with the date of expiration of the Ethylene Sales Agreement. In addition, the Partnership, OpCo and certain affiliates of Westlake also entered into an amendment to the Omnibus Agreement to provide that the Omnibus Agreement would terminate upon termination of the Ethylene Sales Agreement. The amendment also addressed certain procedural requirements in connection with Westlake's obligation to indemnify the Partnership for certain matters, including, among others, environmental and tax matters, under the Omnibus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Petro 1 Turnaround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January 2025, we commenced our planned maintenance turnaround of the Petro 1 production facility. The turnaround concluded in April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MLP Distributable Cash Flow and EBITDA</w:t>
      </w:r>
    </w:p>
    <w:p>
      <w:pPr>
        <w:spacing w:after="0" w:line="108"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MLP distributable cash flow as net income plus depreciation, amortization and disposition of property, plant and equipment, less contributions for turnaround reserves, maintenance capital expenditures and mark-to-market adjustment on derivative contracts less distributable cash flow attributable to Westlake's noncontrolling interest in OpCo and distributions attributable to the incentive distribution rights holder. There were no mark-to-market adjustments on derivative contracts or distributions attributable to the incentive distribution rights holder during the years ended December 31, 2024 or 2025. MLP distributable cash flow does not reflect changes in working capital balances. We define EBITDA as net income before interest expense, income taxes, depreciation and amortization. We use each of MLP distributable cash flow and EBITDA to analyze our performance. Buyer Deficiency Fee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3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and Demand for Ethylene and Resulting Co-products</w:t>
      </w:r>
    </w:p>
    <w:p>
      <w:pPr>
        <w:spacing w:after="0" w:line="10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generate a substantial majority of our revenue from the Ethylene Sales Agreement. This contract is intended to promote cash flow stability and minimize our direct exposure to commodity price fluctuations in the following ways: (1) the cost-plus pricing structure of the Ethylene Sales Agreement is expected to generate a fixed margin of $0.10 per pound, adjusting automatically for changes in feedstock costs; and (2) Westlake is committed to purchase 95% of the annual planned output, subject to a maximum commitment of 3.8 billion pounds of ethylene per year, with an option to purchase an additional 95% of actual output in excess of the planned output on a contract year basis. As a result, our direct exposure to commodity price risk is limited to approximately 5% of our total ethylene production, which is that portion sold to third parties, assuming Westlake exercises its option to purchase 95% of the over production, as well as to our co-products sales.</w:t>
      </w:r>
    </w:p>
    <w:p>
      <w:pPr>
        <w:spacing w:after="0" w:line="13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also have indirect exposure to commodity price fluctuations to the extent such fluctuations affect the ethylene consumption patterns of third-party purchasers. Demand for ethylene exhibits cyclical commodity characteristics as margins earned on ethylene derivative products are influenced by changes in the balance between supply and demand, the resulting operating rates and general economic activity. While we believe we have substantially mitigated our indirect exposure to commodity price fluctuations during the term of the Ethylene Sales Agreement through the minimum purchase commitment and the cost-plus based pricing, our ability to execute our growth strategy in our areas of operation will depend, in part, on the demand for ethylene derivatives in the geographical areas served by our ethylene production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and descriptions that follow represent the consolidated results of operations of the Partnership for the years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4"/>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7"/>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4"/>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c>
          <w:tcPr>
            <w:tcW w:w="0" w:type="dxa"/>
            <w:vAlign w:val="bottom"/>
          </w:tcPr>
          <w:p>
            <w:pPr>
              <w:spacing w:after="0"/>
              <w:rPr>
                <w:sz w:val="1"/>
                <w:szCs w:val="1"/>
                <w:color w:val="auto"/>
              </w:rPr>
            </w:pPr>
          </w:p>
        </w:tc>
      </w:tr>
      <w:tr>
        <w:trPr>
          <w:trHeight w:val="195"/>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3"/>
          </w:tcPr>
          <w:p>
            <w:pPr>
              <w:jc w:val="center"/>
              <w:ind w:left="713"/>
              <w:spacing w:after="0"/>
              <w:rPr>
                <w:sz w:val="20"/>
                <w:szCs w:val="20"/>
                <w:color w:val="auto"/>
              </w:rPr>
            </w:pPr>
            <w:r>
              <w:rPr>
                <w:rFonts w:ascii="Times New Roman" w:cs="Times New Roman" w:eastAsia="Times New Roman" w:hAnsi="Times New Roman"/>
                <w:sz w:val="14"/>
                <w:szCs w:val="14"/>
                <w:b w:val="1"/>
                <w:bCs w:val="1"/>
                <w:color w:val="auto"/>
              </w:rPr>
              <w:t>and per unit data)</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sales—Westlake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1,033,276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950,801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133,419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185,095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1,135,896</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347,848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418,939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28,495</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319,577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390,444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expense—Westlake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369,994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298,576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369,159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306,767</w:t>
            </w:r>
          </w:p>
        </w:tc>
        <w:tc>
          <w:tcPr>
            <w:tcW w:w="0" w:type="dxa"/>
            <w:vAlign w:val="bottom"/>
          </w:tcPr>
          <w:p>
            <w:pPr>
              <w:spacing w:after="0"/>
              <w:rPr>
                <w:sz w:val="1"/>
                <w:szCs w:val="1"/>
                <w:color w:val="auto"/>
              </w:rPr>
            </w:pPr>
          </w:p>
        </w:tc>
      </w:tr>
      <w:tr>
        <w:trPr>
          <w:trHeight w:val="155"/>
        </w:trPr>
        <w:tc>
          <w:tcPr>
            <w:tcW w:w="82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 and limited partners'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48,698</w:t>
            </w:r>
          </w:p>
        </w:tc>
        <w:tc>
          <w:tcPr>
            <w:tcW w:w="100" w:type="dxa"/>
            <w:vAlign w:val="bottom"/>
          </w:tcPr>
          <w:p>
            <w:pPr>
              <w:spacing w:after="0"/>
              <w:rPr>
                <w:sz w:val="13"/>
                <w:szCs w:val="13"/>
                <w:color w:val="auto"/>
              </w:rPr>
            </w:pPr>
          </w:p>
        </w:tc>
        <w:tc>
          <w:tcPr>
            <w:tcW w:w="5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62,392</w:t>
            </w:r>
          </w:p>
        </w:tc>
        <w:tc>
          <w:tcPr>
            <w:tcW w:w="0" w:type="dxa"/>
            <w:vAlign w:val="bottom"/>
          </w:tcPr>
          <w:p>
            <w:pPr>
              <w:spacing w:after="0"/>
              <w:rPr>
                <w:sz w:val="1"/>
                <w:szCs w:val="1"/>
                <w:color w:val="auto"/>
              </w:rPr>
            </w:pPr>
          </w:p>
        </w:tc>
      </w:tr>
      <w:tr>
        <w:trPr>
          <w:trHeight w:val="221"/>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interest in net income</w:t>
            </w:r>
          </w:p>
        </w:tc>
        <w:tc>
          <w:tcPr>
            <w:tcW w:w="12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per limited partner unit attributable to Westlake Chemical Partners LP</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limited partner units outstanding</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units—publicly and privately held</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21,119,275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21,110,640</w:t>
            </w: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units—Westlake</w:t>
            </w: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14,122,230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MLP distributable cash flow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53,398</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66,864</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507,594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ind w:left="440" w:right="420" w:hanging="414"/>
        <w:spacing w:after="0" w:line="237" w:lineRule="auto"/>
        <w:tabs>
          <w:tab w:leader="none" w:pos="4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above for discussions on non-GAAP financial measures. Reconciliations for each of MLP distributable cash flow and EBITDA are included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16"/>
                <w:szCs w:val="16"/>
                <w:color w:val="auto"/>
              </w:rPr>
            </w:pPr>
          </w:p>
        </w:tc>
        <w:tc>
          <w:tcPr>
            <w:tcW w:w="20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860" w:type="dxa"/>
            <w:vAlign w:val="bottom"/>
          </w:tcPr>
          <w:p>
            <w:pPr>
              <w:spacing w:after="0"/>
              <w:rPr>
                <w:sz w:val="11"/>
                <w:szCs w:val="11"/>
                <w:color w:val="auto"/>
              </w:rPr>
            </w:pPr>
          </w:p>
        </w:tc>
        <w:tc>
          <w:tcPr>
            <w:tcW w:w="2060" w:type="dxa"/>
            <w:vAlign w:val="bottom"/>
            <w:gridSpan w:val="3"/>
          </w:tcPr>
          <w:p>
            <w:pPr>
              <w:jc w:val="center"/>
              <w:ind w:right="540"/>
              <w:spacing w:after="0" w:line="137" w:lineRule="exact"/>
              <w:rPr>
                <w:sz w:val="20"/>
                <w:szCs w:val="20"/>
                <w:color w:val="auto"/>
              </w:rPr>
            </w:pPr>
            <w:r>
              <w:rPr>
                <w:rFonts w:ascii="Times New Roman" w:cs="Times New Roman" w:eastAsia="Times New Roman" w:hAnsi="Times New Roman"/>
                <w:sz w:val="14"/>
                <w:szCs w:val="14"/>
                <w:b w:val="1"/>
                <w:bCs w:val="1"/>
                <w:color w:val="auto"/>
              </w:rPr>
              <w:t>Average Sales</w:t>
            </w: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940" w:type="dxa"/>
            <w:vAlign w:val="bottom"/>
            <w:gridSpan w:val="3"/>
          </w:tcPr>
          <w:p>
            <w:pPr>
              <w:jc w:val="center"/>
              <w:ind w:right="420"/>
              <w:spacing w:after="0" w:line="137" w:lineRule="exact"/>
              <w:rPr>
                <w:sz w:val="20"/>
                <w:szCs w:val="20"/>
                <w:color w:val="auto"/>
              </w:rPr>
            </w:pPr>
            <w:r>
              <w:rPr>
                <w:rFonts w:ascii="Times New Roman" w:cs="Times New Roman" w:eastAsia="Times New Roman" w:hAnsi="Times New Roman"/>
                <w:sz w:val="14"/>
                <w:szCs w:val="14"/>
                <w:b w:val="1"/>
                <w:bCs w:val="1"/>
                <w:color w:val="auto"/>
              </w:rPr>
              <w:t>Average Sales</w:t>
            </w:r>
          </w:p>
        </w:tc>
        <w:tc>
          <w:tcPr>
            <w:tcW w:w="120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20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80" w:type="dxa"/>
            <w:vAlign w:val="bottom"/>
            <w:gridSpan w:val="2"/>
            <w:vMerge w:val="continue"/>
          </w:tcPr>
          <w:p>
            <w:pPr>
              <w:spacing w:after="0"/>
              <w:rPr>
                <w:sz w:val="16"/>
                <w:szCs w:val="16"/>
                <w:color w:val="auto"/>
              </w:rPr>
            </w:pPr>
          </w:p>
        </w:tc>
        <w:tc>
          <w:tcPr>
            <w:tcW w:w="19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Net sales percentage change from prior-year period due to</w:t>
            </w:r>
          </w:p>
        </w:tc>
        <w:tc>
          <w:tcPr>
            <w:tcW w:w="1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sales price and volume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435"/>
        </w:trPr>
        <w:tc>
          <w:tcPr>
            <w:tcW w:w="4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US prices percentage change from prior-year period for fuel cost and feedstock</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 (Natural Gas)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(Ethane)</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864"/>
        </w:trPr>
        <w:tc>
          <w:tcPr>
            <w:tcW w:w="48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8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485,001</w:t>
            </w: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(113,497)</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298,576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369,159</w:t>
            </w: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amortization and disposition of property, plant and equipment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Contribution to turnaround reserves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(43,880)</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(50,731)</w:t>
            </w: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Distributable cash flow attributable to noncontrolling interest in OpCo</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(321,928)</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MLP distributable cash flow</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Income from Operations and Net Cash Provided by Operating Activities</w:t>
      </w:r>
    </w:p>
    <w:p>
      <w:pPr>
        <w:spacing w:after="0" w:line="108"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9"/>
        </w:trPr>
        <w:tc>
          <w:tcPr>
            <w:tcW w:w="8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485,001</w:t>
            </w: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(113,497)</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298,576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369,159</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(25,701)</w:t>
            </w:r>
          </w:p>
        </w:tc>
      </w:tr>
      <w:tr>
        <w:trPr>
          <w:trHeight w:val="230"/>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319,577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390,444</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111,899</w:t>
            </w:r>
          </w:p>
        </w:tc>
      </w:tr>
      <w:tr>
        <w:trPr>
          <w:trHeight w:val="230"/>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507,594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2025, net income was $298.6 million on net sales of $1,166.7 million. This represents a decrease in net income of $70.6 million as compared to net income of $369.2 million on net sales of $1,135.9 million for the year ended December 31, 2024. Net income attributable to the Partnership in 2025 was $48.7 million as compared to $62.4 million in 2024, a decrease of $13.7 million. Income from operations was $319.6 million for 2025, as compared to $390.4 million for 2024, a decrease of $70.8 million. Net sales for 2025 increased by $30.8 million as compared to 2024 primarily due to higher ethylene sales prices to Westlake in 2025 as well as a Buyer Deficiency Fee of $5.8 million from an annual production deficiency as a result of the Petro 1 turnaround extending into April 2025, which was later than the planned completion in March 2025, partially offset by lower ethylene and co-products sales volumes to Westlake and third parties as a result of lower production volumes attributable to the Petro 1 turnaround. Income from operations, net income and net income attributable to the Partnership for 2025 decreased compared to 2024 due to lower sales volumes and higher ethane feedstock and natural gas costs, partially offset by higher ethylene sales prices to Westlake.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Compared with 2024</w:t>
      </w:r>
    </w:p>
    <w:p>
      <w:pPr>
        <w:spacing w:after="0" w:line="106" w:lineRule="exact"/>
        <w:rPr>
          <w:sz w:val="20"/>
          <w:szCs w:val="20"/>
          <w:color w:val="auto"/>
        </w:rPr>
      </w:pPr>
    </w:p>
    <w:p>
      <w:pPr>
        <w:ind w:right="6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by $30.8 million, or 2.7%, to $1,166.7 million in 2025 from $1,135.9 million in 2024. The increase in net sales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higher ethylene sales prices to Westlake in 2025 as compared to 2024 as well as a Buyer Deficiency Fee of $5.8 million from an annual production deficiency as a result of the Petro 1 turnaround extending into April 2025, which was later than the planned completion in March 2025, partially offset by lower ethylene and co-products sales volumes to Westlake and third parties as a result of lower production volumes attributable to the Petro 1 turnaround. Higher average sales prices in 2025 contributed to a 10.4% increase in net sales compared to 2024. Lower sales volumes in 2025 contributed to an 8.2% decrease in net sales compared to 2024.</w:t>
      </w:r>
    </w:p>
    <w:p>
      <w:pPr>
        <w:spacing w:after="0" w:line="128" w:lineRule="exact"/>
        <w:rPr>
          <w:sz w:val="20"/>
          <w:szCs w:val="20"/>
          <w:color w:val="auto"/>
        </w:rPr>
      </w:pPr>
    </w:p>
    <w:p>
      <w:pPr>
        <w:ind w:right="1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was $347.8 million in 2025 as compared to gross profit of $418.9 million in 2024. The gross profit margin was 29.8%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as compared to 36.9% in 2024. The decreased gross profit margin in 2025 was primarily due to higher ethane feedstock and natural gas costs in 2025 as compared to 2024.</w:t>
      </w:r>
    </w:p>
    <w:p>
      <w:pPr>
        <w:spacing w:after="0" w:line="119" w:lineRule="exact"/>
        <w:rPr>
          <w:sz w:val="20"/>
          <w:szCs w:val="20"/>
          <w:color w:val="auto"/>
        </w:rPr>
      </w:pPr>
    </w:p>
    <w:p>
      <w:pPr>
        <w:ind w:right="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remained relatively consistent at $28.3 million in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$28.5 million in 2024.</w:t>
      </w:r>
    </w:p>
    <w:p>
      <w:pPr>
        <w:spacing w:after="0" w:line="104" w:lineRule="exact"/>
        <w:rPr>
          <w:sz w:val="20"/>
          <w:szCs w:val="20"/>
          <w:color w:val="auto"/>
        </w:rPr>
      </w:pPr>
    </w:p>
    <w:p>
      <w:pPr>
        <w:ind w:right="2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Expense—Westlake</w:t>
      </w:r>
      <w:r>
        <w:rPr>
          <w:rFonts w:ascii="Times New Roman" w:cs="Times New Roman" w:eastAsia="Times New Roman" w:hAnsi="Times New Roman"/>
          <w:sz w:val="18"/>
          <w:szCs w:val="18"/>
          <w:color w:val="auto"/>
        </w:rPr>
        <w:t>. Interest expense decreased to $22.9 million in 2025 compared to $25.7 million in 2024, primarily due to lower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on the outstanding debt in 2025 as compared to 2024.</w:t>
      </w:r>
    </w:p>
    <w:p>
      <w:pPr>
        <w:spacing w:after="0" w:line="104" w:lineRule="exact"/>
        <w:rPr>
          <w:sz w:val="20"/>
          <w:szCs w:val="20"/>
          <w:color w:val="auto"/>
        </w:rPr>
      </w:pPr>
    </w:p>
    <w:p>
      <w:pPr>
        <w:jc w:val="both"/>
        <w:ind w:right="3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decreased by $2.9 million to $2.4 million in 2025 from $5.3 million in 2024 primarily due to a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earned on investments with Westlake under the Investment Management Agreement due to a lower average amount of cash invested and lower interest rates in 2025 as compared to 2024.</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remained relatively consistent at $0.5 million in 2025 as compared to $0.8 million in 2024.</w:t>
      </w:r>
    </w:p>
    <w:p>
      <w:pPr>
        <w:spacing w:after="0" w:line="171" w:lineRule="exact"/>
        <w:rPr>
          <w:sz w:val="20"/>
          <w:szCs w:val="20"/>
          <w:color w:val="auto"/>
        </w:rPr>
      </w:pPr>
    </w:p>
    <w:p>
      <w:pPr>
        <w:ind w:right="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decreased by $13.5 million to $53.4 million in 2025 from $66.9 million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lower ethylene and co-products sales volumes to Westlake and third parties as a result of lower production volumes in 2025 attributable to the Petro 1 turnaround and higher maintenance capital expenditures associated with the Petro 1 turnaround.</w:t>
      </w:r>
    </w:p>
    <w:p>
      <w:pPr>
        <w:spacing w:after="0" w:line="119"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decreased by $57.6 million to $450.0 million in 2025 from EBITDA of $507.6 million in 2024. The decrease in EBITDA,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prior year, was primarily due to higher ethane feedstock and natural gas costs and lower ethylene and co-products sales volumes to Westlake and third parties as a result of lower production volumes in 2025 attributable to the Petro 1 turnaround, partially offset by higher ethylene sales prices to Westlake as well as a Buyer Deficiency Fee of $5.8 million from an annual production deficiency as a result of the Petro 1 turnaround extending into April 2025, which was later than the planned completion in March 2025.</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Operating activities provided cash of $280.5 million in 2025 as compared to cash provided by operating activities of $485.0 million in 2024.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$204.5 million decrease in cash flows from operating activities was mainly due to cash used in connection with the Petro 1 turnaround, lower income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in 2025 as compared to 2024 and a decrease in cash provided by working capital. Changes in components of working capital, which we define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cash flow discussion as accounts receivable, net—Westlake, accounts receivable, net—third parties, inventories, prepaid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current assets less accounts payable—Westlake, accounts payable—third parties and accrued and other liabilities, used cash of $23.7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as compared to $24.8 million of cash provided in 2024, resulting in a unfavorable change of $48.5 million. The unfavorable change in working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mainly attributable to an unfavorable change in net accounts receivable—Westlake due to the Buyer Deficiency Fee recognized in 2025 and lower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with Westlake outstanding as of the fourth quarter of 2024 due to sales of excess quantities of ethylene at a lower sales price. This unfavorable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was partially offset by a favorable change in accrued and other liabilities due to the impact of the Petro 1 turnaround activities and timing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Net cash provided by investing activities during 2025 was $31.2 million as compared to net cash used for investing activities of $89.0 million in 2024, resulting in an overall favorable change of $120.2 million in investing cash flows. The favorable change in investing activities was primarily due to a decrease in net cash invested under the Investment Management Agreement. During 2025, there were investments with Westlake of $10.0 million and maturities of investments with Westlake of $120.0 million under the Investment Management Agreement, whereas during 2024 there were investments with Westlake of $40.0 million and no maturities under the Investment Management Agreement. Capital expenditures increased to $78.8 million in 2025 as compared to $49.0 million in 2024 due to the Petro 1 turnaround. Capital expenditures in 2025 and 2024 were primarily related to projects to increase production capacity or reduce costs, maintenance costs and safety and environmental projects at our facilities.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Net cash used for financing activities during 2025 was $325.7 million as compared to net cash used for financing activities of $396.3 million in 2024. The cash outflows during 2025 were related to distributions of $259.2 million to the noncontrolling interest retained in OpCo by Westlake and of $66.5 million to unitholders by the Partnership. The cash outflows during 2024 were related to distributions of $329.9 million to the noncontrolling interest retained in OpCo by Westlake and of $66.4 million to unitholders by the Partnership.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Pursuant to the terms of the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which may include the funding of potential drop-downs and other acquisitions. No common units had been issued under the ATM Program as of December 31, 2025.</w:t>
      </w:r>
    </w:p>
    <w:p>
      <w:pPr>
        <w:spacing w:after="0" w:line="129"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spacing w:after="0" w:line="12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Partnership maintains separate bank accounts, but Westlake continues to provide treasury services on our behalf under the Omnibus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to eight years. By reserving additional cash annually, we intend to reduce the variability in OpCo's cash flow. Westlake's purchase price for its minimum commitment of ethylene under the Ethylene Sales Agreement includes a component (adjusted annually) designed to cover, over the long term, substantially all of OpCo's turnaround expenditures.</w:t>
      </w:r>
    </w:p>
    <w:p>
      <w:pPr>
        <w:spacing w:after="0" w:line="12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Our cash is generated from cash distributions from OpCo. OpCo is a restricted subsidiary under certain indentures governing Westlake's senior notes, and these restrictions limit OpCo's ability to incur additional debt, among other things. Westlake's credit facility and various indentures do not prevent OpCo from making distributions to us.</w:t>
      </w:r>
    </w:p>
    <w:p>
      <w:pPr>
        <w:spacing w:after="0" w:line="12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OpCo and Westlake are parties to an Investment Management Agreement that authorizes Westlake to invest the Partnership's and OpCo's excess cash with Westlake for durations of up to a maximum of nine months. Per the terms of the Investment Management Agreement, cash invested with Westlake earns a market return plus five basis points and Westlake provides daily availability of the invested cash to meet any liquidity needs of the Partnership or OpCo.</w:t>
      </w:r>
    </w:p>
    <w:p>
      <w:pPr>
        <w:spacing w:after="0" w:line="126" w:lineRule="exact"/>
        <w:rPr>
          <w:sz w:val="20"/>
          <w:szCs w:val="20"/>
          <w:color w:val="auto"/>
        </w:rPr>
      </w:pPr>
    </w:p>
    <w:p>
      <w:pPr>
        <w:jc w:val="both"/>
        <w:ind w:firstLine="405"/>
        <w:spacing w:after="0" w:line="281" w:lineRule="auto"/>
        <w:rPr>
          <w:sz w:val="20"/>
          <w:szCs w:val="20"/>
          <w:color w:val="auto"/>
        </w:rPr>
      </w:pPr>
      <w:r>
        <w:rPr>
          <w:rFonts w:ascii="Times New Roman" w:cs="Times New Roman" w:eastAsia="Times New Roman" w:hAnsi="Times New Roman"/>
          <w:sz w:val="17"/>
          <w:szCs w:val="17"/>
          <w:color w:val="auto"/>
        </w:rPr>
        <w:t>On January 27, 2026, the board of directors of Westlake Chemical Partners GP LLC, our general partner, approved a quarterly distribution of $0.4714 per unit payable on February 23, 2026 to unitholders of record as of February 6, 2026, which equates to a total amount of approximately $16.6 million per quarter, or approximately $66.5 million per year in aggregate, based on the number of common units outstanding on December 31, 2025. We do not have a legal or contractual obligation to pay distributions on a quarterly basis or any other basis at our minimum quarterly distribution rate or any other rate.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9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Westlake has historically funded expansion capital expenditures related to Lake Charles Olefins and Calvert City Olefins. No such funding was required by OpCo during 2025, 2024 or 2023. Total capital expenditures for the years ended December 31, 2025, 2024 and 2023 were $78.8 million, $49.0 million, and $46.8 million, respectively. We expect that Westlake will loan additional cash to OpCo to fund its expansion capital expenditures in the future, but Westlake is under no obligation to do so.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2025, our cash and cash equivalents totaled $44.3 million. In addition, we have cash invested under the Investment Management Agreement and a revolving credit facility with Westlake available to supplement cash on hand, if needed, as described under "Indebtedness" below.</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As described above, we, OpCo and Westlake are parties to an Investment Management Agreement that authorizes Westlake to invest the Partnership's and OpCo's excess cash with Westlake for durations of up to a maximum of nine months. The Partnership had $23.4 million of cash invested under the Investment Management Agreement at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Revolver</w:t>
      </w:r>
    </w:p>
    <w:p>
      <w:pPr>
        <w:spacing w:after="0" w:line="10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IPO, OpCo entered into a $600.0 million revolving credit facility with an affiliate of Westlake, as amended in June 2017, September 2018 and July 2022 (the "OpCo Revolver") that may be used to fund growth projects and working capital needs. The OpCo Revolver is scheduled to mature on July 12, 2027. On July 12, 2022, OpCo entered into the Second Amendment (the "OpCo Revolver Amendment") to the OpCo Revolver. The OpCo Revolver Amendment, among other things, extended the maturity date to July 12, 2027 and provided for the replacement of the London Interbank Offered Rate ("LIBOR") with the Secured Overnight Financing Rate, as administered by the Federal Reserve Bank of New York ("SOFR").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As of December 31, 2025, outstanding borrowings under the OpCo Revolver totaled $22.6 million and bore interest at SOFR plus the Applicable Margin and credit spread adjustment, which is accrued in arrears quarterly.</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MLP Revolver</w:t>
      </w:r>
    </w:p>
    <w:p>
      <w:pPr>
        <w:spacing w:after="0" w:line="92"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In 2015, we entered into a senior, unsecured revolving credit agreement with an affiliate of Westlake, as amended in August and November 2017, March 2020 and July 2022 (the "MLP Revolver"). The MLP Revolver has a borrowing capacity of $600.0 million and is scheduled to mature on July 12, 2027. On July 12, 2022, the Partnership entered into the Fourth Amendment (the "MLP Revolver Amendment") to the MLP Revolver. The MLP Revolver Amendment, among other things, extended the maturity date to July 12, 2027 and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December 31, 2025, the outstanding borrowings under the MLP Revolver totaled $377.1 million and bore interest at SOFR plus the Applicable Margin and credit spread adjustment, which is accrued in arrears quarterly. We intend to use the MLP Revolver to purchase additional limited partnership interests in OpCo in the future, in the event OpCo desires to sell such additional interests to us, for other acquisitions and for general partnership purposes.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108"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Partnership's material cash requirements for contractual obligations and commercial commitments in the near term (next 12 months) and the long-term period (2027 and thereafter) include repayment of long-term debt, interest payments, operating leases and purchase obligations.</w:t>
      </w:r>
    </w:p>
    <w:p>
      <w:pPr>
        <w:spacing w:after="0" w:line="10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Debt Obligations and Interest Payments. </w:t>
      </w:r>
      <w:r>
        <w:rPr>
          <w:rFonts w:ascii="Times New Roman" w:cs="Times New Roman" w:eastAsia="Times New Roman" w:hAnsi="Times New Roman"/>
          <w:sz w:val="18"/>
          <w:szCs w:val="18"/>
          <w:color w:val="auto"/>
        </w:rPr>
        <w:t>As of December 31, 2025, we had $23.3 million of debt related interest expense due within the near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debt obligations of $399.7 million and related interest expense of $12.3 million due over the long-term period, respectively. All $399.7 million of our outstanding debt matures in 2027. See Note 8, "Long-Term Debt," in the Notes to Consolidated Financial Statements in Item 8 of this form 10-K for further information on our debt obligations and the expected timing of future principal and interest payments.</w:t>
      </w:r>
    </w:p>
    <w:p>
      <w:pPr>
        <w:spacing w:after="0" w:line="126" w:lineRule="exact"/>
        <w:rPr>
          <w:sz w:val="20"/>
          <w:szCs w:val="20"/>
          <w:color w:val="auto"/>
        </w:rPr>
      </w:pPr>
    </w:p>
    <w:p>
      <w:pPr>
        <w:ind w:right="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As of December 31, 2025, there was $1.4 million in operating lease obligations due within the near term and $1.8 million due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long-term period related to noncancelable operating leases with respect to rail cars that are subleased to OpCo.</w:t>
      </w:r>
    </w:p>
    <w:p>
      <w:pPr>
        <w:spacing w:after="0" w:line="10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Purchase obligations include agreements to purchase goods and services that are enforceable and legally binding and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specify all significant terms, including a minimum quantity and price. As of December 31, 2025, we had $67.2 million of enforceable and legally binding purchase commitments due within the near term, and none due over the long-term period. Additionally, we are party to various agreements to purchase goods and services, including the Services and Secondment Agreement, in the ordinary course of our business, as well as various agreements related to our capital projects.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Critical accounting policies are those that are important to our financial condition and require management's most difficult, subjective or complex judgments. Different amounts would be reported under different operating conditions or under alternative assumptions. We have evaluated the accounting policies used in the preparation of the accompanying consolidated financial statements and related notes and believe those policies are reasonable and appropriate. Our significant accounting policies are summarized in Note 1, "Description of Business and Significant Accounting Policies," in the Notes to Consolidated Financial Statements in Item 8 of this form 10-K.</w:t>
      </w:r>
    </w:p>
    <w:p>
      <w:pPr>
        <w:spacing w:after="0" w:line="12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Critical accounting estimates are those estimates made in accordance with GAAP that involve a significant level of estimation uncertainty and have had or are reasonably likely to have a material impact on our financial condition or results of operations. Our more critical accounting estimates include those related to long-lived assets, fair value estimates, goodwill impairment and environmental and legal obligations. Inherent in such estimates are certain key assumptions. We periodically update the estimates used in the preparation of the financial statements based on our latest assessment of the current and projected business and general economic environment. We believe the following to be our most critical accounting estimates required for the preparation of our financial statements.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Long-Lived Assets. </w:t>
      </w:r>
      <w:r>
        <w:rPr>
          <w:rFonts w:ascii="Times New Roman" w:cs="Times New Roman" w:eastAsia="Times New Roman" w:hAnsi="Times New Roman"/>
          <w:sz w:val="18"/>
          <w:szCs w:val="18"/>
          <w:color w:val="auto"/>
        </w:rPr>
        <w:t>Key estimates related to long-lived assets include useful lives, recoverability of carrying values and existence of any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Such estimates could be significantly modified. The carrying values of long-lived assets could be impaired by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the cyclical nature of the chemical and refining industries and uncertainties associated with governmental actions.</w:t>
      </w:r>
    </w:p>
    <w:p>
      <w:pPr>
        <w:spacing w:after="0" w:line="13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evaluate long-lived assets for potential impairment indicators whenever events or changes in circumstances indicate that the carrying amount of an asset may not be recoverable, including when negative conditions such as significant current or projected operating losses exist. Our judgments regarding the existence of impairment indicators are based on legal factors, market conditions and the operational performance of our businesses. Actual impairment losses incurred could vary significantly from amounts estimated. Long-lived assets assessed for impairment are grouped at the lowest level for which identifiable cash flows are largely independent of the cash flows of other assets and liabilities. Additionally, future events could cause us to conclude that impairment indicators exist and that associated long-lived assets of our businesses are impaired. Any resulting impairment loss could have a material adverse impact on our financial condition and results of operations.</w:t>
      </w:r>
    </w:p>
    <w:p>
      <w:pPr>
        <w:spacing w:after="0" w:line="135"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estimated useful lives of long-lived assets range from three to 40 years. Depreciation and amortization of these assets, including amortization of deferred turnaround costs, under the straight-line method over their estimated useful lives totaled $128.0 million, $111.9 million and $110.2 million in 2025, 2024 and 2023, respectively. If the useful lives of the assets were found to be shorter than originally estimated, depreciation or amortization charges would be accelerated.</w:t>
      </w:r>
    </w:p>
    <w:p>
      <w:pPr>
        <w:spacing w:after="0" w:line="126" w:lineRule="exact"/>
        <w:rPr>
          <w:sz w:val="20"/>
          <w:szCs w:val="20"/>
          <w:color w:val="auto"/>
        </w:rPr>
      </w:pPr>
    </w:p>
    <w:p>
      <w:pPr>
        <w:ind w:right="140" w:firstLine="405"/>
        <w:spacing w:after="0" w:line="277" w:lineRule="auto"/>
        <w:rPr>
          <w:sz w:val="20"/>
          <w:szCs w:val="20"/>
          <w:color w:val="auto"/>
        </w:rPr>
      </w:pPr>
      <w:r>
        <w:rPr>
          <w:rFonts w:ascii="Times New Roman" w:cs="Times New Roman" w:eastAsia="Times New Roman" w:hAnsi="Times New Roman"/>
          <w:sz w:val="17"/>
          <w:szCs w:val="17"/>
          <w:color w:val="auto"/>
        </w:rPr>
        <w:t>We defer the costs of planned major maintenance activities, or turnarounds, and amortize the costs over the period until the next planned turnaround of the affected unit. Total costs deferred on turnarounds were $124.6 million, $21.5 million and $30.9 million in 2025, 2024 and 2023, respectively. Amortization of previously deferred turnaround costs was $40.3 million, $25.1 million and $25.4 million in 2025, 2024 and 2023, respectively. As of December 31, 2025, deferred turnaround costs, net of accumulated amortization, totaled $214.0 million. Expensing turnaround costs as incurred would likely result in greater variability of our quarterly operating results and would adversely affect our financial position and results of operations.</w:t>
      </w:r>
    </w:p>
    <w:p>
      <w:pPr>
        <w:spacing w:after="0" w:line="114"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Additional information concerning long-lived assets and related depreciation and amortization appears in Note 5, "Property, Plant and Equipment," and Note 7, "Deferred Charges and Other Assets," to Consolidated Financial Statements included in Item 8 of this form 10-K.</w:t>
      </w:r>
    </w:p>
    <w:p>
      <w:pPr>
        <w:spacing w:after="0" w:line="106"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Estimates. </w:t>
      </w:r>
      <w:r>
        <w:rPr>
          <w:rFonts w:ascii="Times New Roman" w:cs="Times New Roman" w:eastAsia="Times New Roman" w:hAnsi="Times New Roman"/>
          <w:sz w:val="18"/>
          <w:szCs w:val="18"/>
          <w:color w:val="auto"/>
        </w:rPr>
        <w:t>We develop estimates of fair value to allocate the purchase price paid to acquire a business to the assets acquired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in an acquisition, to assess impairment of long-lived assets and goodwill and to record derivative instruments. We use all available information to make these fair value determinations, including the engagement of third-party consultants. We record all derivative instruments at fair value. The fair value of the financial instruments is estimated using quoted market prices in active markets and observable market-based inputs or unobservable inputs that are corroborated by market data when active markets are not available or unobservable inputs that are not corroborated by market data. There were no derivative positions during the years ended December 31, 2025, 2024 and 2023. However, we may enter into derivative arrangements in the future.</w:t>
      </w:r>
    </w:p>
    <w:p>
      <w:pPr>
        <w:spacing w:after="0" w:line="12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is evaluated for impairment when events or changes in circumstances indicate the fair value of a reporting unit with goodwill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reduced below its carrying value, and otherwise at least annually. At December 31, 2025, recorded goodwill was $5.8 million, all of which was associated with the acquisition of the Longview Pipeline as part of the past acquisition of Westlake's Longview production facilities. We perform our annual impairment assessment in the fourth quarter. We may elect to perform an optional qualitative assessment to determine whether a quantitative impairment analysis is required. The qualitative assessment considers factors such as macroeconomic conditions, industry and market considerations, cost factors related to raw materials and labor, current and projected financial performance, changes in management or strategy, and market capitalization. Alternatively, we may unconditionally elect to bypass the qualitative assessment and perform a quantitative goodwill impairment assessment in any period. Significant assumptions used in the discounted cash flow projection impairment assessment for goodwill include future sales volumes based on production capacities. The future cash flows are discounted to present value using a discount rate. The significant assumptions used in determining the fair value of the reporting unit using the market value methodology include the determination of appropriate market comparables and the estimated multiples of EBITDA a willing buyer is likely to pay. We elected to perform the qualitative assessment in the fourth quarter of 2024 and concluded that it is more likely than not that the fair value of the reporting unit exceeds the carrying amount and, as such, the quantitative impairment test was not required.</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8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Environmental and Legal Obligations. </w:t>
      </w:r>
      <w:r>
        <w:rPr>
          <w:rFonts w:ascii="Times New Roman" w:cs="Times New Roman" w:eastAsia="Times New Roman" w:hAnsi="Times New Roman"/>
          <w:sz w:val="18"/>
          <w:szCs w:val="18"/>
          <w:color w:val="auto"/>
        </w:rPr>
        <w:t>We consult with various professionals to assist us in making estimates relating to environmental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proceedings. We accrue an expense when we determine that it is probable that a liability has been incurred and the amount is reasonably estimable. While we believe that the amounts recorded in the accompanying consolidated financial statements related to these contingencies are based on the best estimates and judgments available, the actual outcomes could differ from our estimates. Additional information about legal proceedings and environmental matters appears in "Item 1. Business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Environmental" and in Note 16, "Commitments and Contingencies," to Consolidated Financial Statements included in Item 8 of this form 10-K.</w:t>
      </w:r>
    </w:p>
    <w:p>
      <w:pPr>
        <w:spacing w:after="0" w:line="130"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Partnership has conditional asset retirement obligations for the removal and disposal of hazardous materials and the remediation of the cause of any such release from certain of the Partnership's manufacturing facilities. However, no asset retirement obligations have been recognized because the fair value of the conditional legal obligation cannot be measured due to the indeterminate settlement date of the obligation. As such, the impact of the settlement of these conditional asset retirement obligations on the Partnership's financial condition, results of operations or cash flows in any individual reporting period cannot be determined at this time.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See Note 1, "Description of Business and Significant Accounting Policies," to Consolidated Financial Statements included in Item 8 of this form 10-K for a full description of recent accounting pronouncements, including expected dates of adoption and estimated effects on results of operations and financial condition, which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 during the term of the Ethylene Sales Agreement through the minimum purchase commitment and the cost-plus based pricing. Additionally, we may use derivative instruments to reduce price volatility risk on feedstocks and ethylene associated with the production and sales to third parties. There were no derivative positions during the years ended December 31, 2025, 2024 and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jc w:val="both"/>
        <w:ind w:right="100" w:firstLine="405"/>
        <w:spacing w:after="0" w:line="272" w:lineRule="auto"/>
        <w:rPr>
          <w:sz w:val="20"/>
          <w:szCs w:val="20"/>
          <w:color w:val="auto"/>
        </w:rPr>
      </w:pPr>
      <w:r>
        <w:rPr>
          <w:rFonts w:ascii="Times New Roman" w:cs="Times New Roman" w:eastAsia="Times New Roman" w:hAnsi="Times New Roman"/>
          <w:sz w:val="17"/>
          <w:szCs w:val="17"/>
          <w:color w:val="auto"/>
        </w:rPr>
        <w:t>We are exposed to interest rate risk with respect to our outstanding debt, all of which is variable rate debt. As of December 31, 2025, we had variable rate debt of $399.7 million outstanding, all of which was owed to wholly-owned subsidiaries of Westlake. On July 12, 2022, OpCo entered into the OpCo Revolver Amendment. The OpCo Revolver Amendment, among other things, provided for the replacement of LIBOR with SOFR as the reference rate.</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On July 12, 2022, the Partnership entered into the MLP Revolver Amendment. The MLP Revolver Amendment, among other things,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weighted average variable interest rate of our debt as of December 31, 2025 was 5.8%.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of which $3.8 million would relate to the MLP Revolver and $0.2 million would relate to the OpCo Revolver based on the December 31, 2025 debt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0080" w:type="dxa"/>
            <w:vAlign w:val="bottom"/>
          </w:tcPr>
          <w:p>
            <w:pPr>
              <w:spacing w:after="0"/>
              <w:rPr>
                <w:sz w:val="16"/>
                <w:szCs w:val="16"/>
                <w:color w:val="auto"/>
              </w:rPr>
            </w:pPr>
          </w:p>
        </w:tc>
        <w:tc>
          <w:tcPr>
            <w:tcW w:w="11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00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9"/>
        </w:trPr>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238)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120" w:type="dxa"/>
            <w:vAlign w:val="bottom"/>
          </w:tcPr>
          <w:p>
            <w:pPr>
              <w:spacing w:after="0"/>
              <w:rPr>
                <w:sz w:val="19"/>
                <w:szCs w:val="19"/>
                <w:color w:val="auto"/>
              </w:rPr>
            </w:pPr>
          </w:p>
        </w:tc>
      </w:tr>
      <w:tr>
        <w:trPr>
          <w:trHeight w:val="229"/>
        </w:trPr>
        <w:tc>
          <w:tcPr>
            <w:tcW w:w="10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10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2025, 2024 and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10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Changes in Equity for the Years Ended December 31, 2025, 2024 and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10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2024 and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10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171"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Financial statement schedules not included in this Form 10-K have been omitted because they are not applicable or because the required information is shown in the consolidated financial statements or notes thereto.</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7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management of Westlake Chemical Partners LP (the "Partnership") is responsible for establishing and maintaining adequate internal control over financial reporting. The Partnership's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management of the Partnership assessed the effectiveness of the Partnership's internal control over financial reporting as of December 31, 2025. In making this assessment, management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Control—Integrated Framework </w:t>
      </w:r>
      <w:r>
        <w:rPr>
          <w:rFonts w:ascii="Times New Roman" w:cs="Times New Roman" w:eastAsia="Times New Roman" w:hAnsi="Times New Roman"/>
          <w:sz w:val="18"/>
          <w:szCs w:val="18"/>
          <w:color w:val="auto"/>
        </w:rPr>
        <w:t>(2013). Based on its assessment, the Partnership's management has concluded that the Partnership's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was effective as of December 31, 2025 based on those criteria.</w:t>
      </w:r>
    </w:p>
    <w:p>
      <w:pPr>
        <w:spacing w:after="0" w:line="126"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PricewaterhouseCoopers LLP, the independent registered public accounting firm that audited the financial statements included in this Annual Report on Form 10-K, has also audited the effectiveness of internal control over financial reporting as of December 31, 2025 as stated in their report that appears on the following page.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Partners of Westlake Chemical Partners LP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 Westlake Chemical Partners GP LLC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Westlake Chemical Partners LP and its subsidiaries (the "Partnership") as of December 31, 2025 and 2024, and the related consolidated statements of operations, of changes in equity and of cash flows for each of the three years in the period ended December 31, 2025, including the related notes (collectively referred to as the "consolidated financial statements"). We also have audited the Partnership's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21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Partnership as of December 31, 2025 and 2024, and the results of its operations and its cash flows for each of the three years in the period ended December 31, 2025 in conformity with accounting principles generally accepted in the United States of America. Also in our opinion, the Partnership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6"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the Ethylene Sales Agreement</w:t>
      </w:r>
    </w:p>
    <w:p>
      <w:pPr>
        <w:spacing w:after="0" w:line="254" w:lineRule="exact"/>
        <w:rPr>
          <w:sz w:val="20"/>
          <w:szCs w:val="20"/>
          <w:color w:val="auto"/>
        </w:rPr>
      </w:pPr>
    </w:p>
    <w:p>
      <w:pPr>
        <w:ind w:right="60" w:firstLine="405"/>
        <w:spacing w:after="0" w:line="252" w:lineRule="auto"/>
        <w:rPr>
          <w:sz w:val="20"/>
          <w:szCs w:val="20"/>
          <w:color w:val="auto"/>
        </w:rPr>
      </w:pPr>
      <w:r>
        <w:rPr>
          <w:rFonts w:ascii="Times New Roman" w:cs="Times New Roman" w:eastAsia="Times New Roman" w:hAnsi="Times New Roman"/>
          <w:sz w:val="18"/>
          <w:szCs w:val="18"/>
          <w:color w:val="auto"/>
        </w:rPr>
        <w:t>As described in Notes 2 and 11 to the consolidated financial statements, the Partnership recognized net sales to Westlake Corporation ("Westlake") of $1,033 million for the year ended December 31, 2025. The Ethylene Sales Agreement requires Westlake to purchase a minimum volume of ethylene each year equal to 95% of Westlake Chemical OpCo LP's ("OpCo") planned ethylene production per year, subject to certain exceptions and a maximum commitment of 3.8 billion pounds per year. So long as Westlake is not in default under the Ethylene Sales Agreement, if OpCo's actual production exceeds planned production, Westlake has the option to purchase up to 95% of the excess production (the "Excess Production Option"). The fee for each pound of ethylene purchased by Westlake from OpCo up to the minimum commitment will equal (i) the actual price OpCo pays Westlake to purchase ethane, (ii) plus the actual price OpCo pays Westlake to purchase natural gas, (iii) plus OpCo's estimated operating costs divided by OpCo's planned ethylene production for the year, (iv) plus a five-year average of OpCo's expected future maintenance capital expenditures and other turnaround expenditures divided by OpCo's planned ethylene production capacity for the year, (v) less the proceeds received by OpCo from the sale of co-products associated with producing the ethylene purchased by Westlake, (vi) plus a $0.10 per pound margin. The fee for the Excess Production Option, if exercised, equals OpCo's estimated variable operating costs of producing the incremental ethylene, net of revenues from co-products sales plus a $0.10 per pound margin. The result of the fee structure is that OpCo should generally recover the portion of its total operating costs and maintenance capital expenditures and other turnaround expenditures corresponding to the portion of OpCo's aggregate production that is purchased by Westlake. Any shortfall in recovery of such costs is generally recognized during the period in which the related operating, maintenance or turnaround activities occur and is recoverable from Westlake in the subsequent year.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In the event Westlake purchases less than its annual commitment, the Partnership recognizes a buyer deficiency fee (the "Buyer Deficiency Fee") representing fixed margin and all expenses and expenditures incurred per pound of volume committed but not taken by Westlake. The Partnership recognized a Buyer Deficiency Fee of $6 million during 2025.</w:t>
      </w:r>
    </w:p>
    <w:p>
      <w:pPr>
        <w:spacing w:after="0" w:line="218"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from the Ethylene Sales Agreement is a critical audit matter are the significant audit effort in performing procedures and evaluating the calculation of the fee for each pound of ethylene and the Buyer Deficiency Fee.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accuracy of the fees used to determine revenue from the Ethylene Sales Agreement. These procedures also included, among others (i) testing the completeness and accuracy of underlying inputs used in the fee for each pound of ethylene purchased by Westlake, Buyer Deficiency Fee and Shortfall calculations; and (ii) testing the accuracy of the volume of ethylene purchased by Westlake as part of the Ethylene Sales Agreement.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Partnership's auditor since 2014.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center"/>
              <w:ind w:left="5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5"/>
        </w:trPr>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center"/>
              <w:ind w:right="29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0" w:type="dxa"/>
            <w:vAlign w:val="bottom"/>
          </w:tcPr>
          <w:p>
            <w:pPr>
              <w:spacing w:after="0"/>
              <w:rPr>
                <w:sz w:val="1"/>
                <w:szCs w:val="1"/>
                <w:color w:val="auto"/>
              </w:rPr>
            </w:pPr>
          </w:p>
        </w:tc>
      </w:tr>
      <w:tr>
        <w:trPr>
          <w:trHeight w:val="196"/>
        </w:trPr>
        <w:tc>
          <w:tcPr>
            <w:tcW w:w="8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20" w:type="dxa"/>
            <w:vAlign w:val="bottom"/>
            <w:gridSpan w:val="4"/>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except unit amounts)</w:t>
            </w:r>
          </w:p>
        </w:tc>
        <w:tc>
          <w:tcPr>
            <w:tcW w:w="0" w:type="dxa"/>
            <w:vAlign w:val="bottom"/>
          </w:tcPr>
          <w:p>
            <w:pPr>
              <w:spacing w:after="0"/>
              <w:rPr>
                <w:sz w:val="1"/>
                <w:szCs w:val="1"/>
                <w:color w:val="auto"/>
              </w:rPr>
            </w:pPr>
          </w:p>
        </w:tc>
      </w:tr>
      <w:tr>
        <w:trPr>
          <w:trHeight w:val="236"/>
        </w:trPr>
        <w:tc>
          <w:tcPr>
            <w:tcW w:w="82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58,316</w:t>
            </w:r>
          </w:p>
        </w:tc>
        <w:tc>
          <w:tcPr>
            <w:tcW w:w="0" w:type="dxa"/>
            <w:vAlign w:val="bottom"/>
          </w:tcPr>
          <w:p>
            <w:pPr>
              <w:spacing w:after="0"/>
              <w:rPr>
                <w:sz w:val="1"/>
                <w:szCs w:val="1"/>
                <w:color w:val="auto"/>
              </w:rPr>
            </w:pPr>
          </w:p>
        </w:tc>
      </w:tr>
      <w:tr>
        <w:trPr>
          <w:trHeight w:val="175"/>
        </w:trPr>
        <w:tc>
          <w:tcPr>
            <w:tcW w:w="82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Receivable under the Investment Management Agreement—Westlake</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Corporation ("Westlake")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net—Westlake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240,926</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903,588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137,628</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1,287,956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payable—Westlake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17,708</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55,372</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454,181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458,642</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EQUITY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unitholders—publicly and privately held (21,123,649 and 21,116,326 units issued</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at December 31, 2025 and December 31, 2024, respectively)</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471,328</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unitholder—Westlake (14,122,230 and 14,122,230 units issued and outstanding at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and December 31, 2024, respectively)</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47,373</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partner—Westlake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Westlake Chemical Partners LP partners' capital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276,129</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 in Westlake Chemical OpCo LP ("OpCo")</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543,816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553,185</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802,352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829,314</w:t>
            </w:r>
          </w:p>
        </w:tc>
        <w:tc>
          <w:tcPr>
            <w:tcW w:w="0" w:type="dxa"/>
            <w:vAlign w:val="bottom"/>
          </w:tcPr>
          <w:p>
            <w:pPr>
              <w:spacing w:after="0"/>
              <w:rPr>
                <w:sz w:val="1"/>
                <w:szCs w:val="1"/>
                <w:color w:val="auto"/>
              </w:rPr>
            </w:pPr>
          </w:p>
        </w:tc>
      </w:tr>
      <w:tr>
        <w:trPr>
          <w:trHeight w:val="223"/>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1,256,533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1,287,956</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5"/>
        </w:trPr>
        <w:tc>
          <w:tcPr>
            <w:tcW w:w="6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20" w:type="dxa"/>
            <w:vAlign w:val="bottom"/>
            <w:gridSpan w:val="6"/>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rPr>
              <w:t>except unit amounts and per unit data)</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1,033,276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950,801</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1,026,655</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185,095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164,136</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1,135,896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1,190,791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716,957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803,332</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418,939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387,459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29,751</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390,444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357,708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369,994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335,439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369,159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334,626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306,767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280,343</w:t>
            </w:r>
          </w:p>
        </w:tc>
        <w:tc>
          <w:tcPr>
            <w:tcW w:w="0" w:type="dxa"/>
            <w:vAlign w:val="bottom"/>
          </w:tcPr>
          <w:p>
            <w:pPr>
              <w:spacing w:after="0"/>
              <w:rPr>
                <w:sz w:val="1"/>
                <w:szCs w:val="1"/>
                <w:color w:val="auto"/>
              </w:rPr>
            </w:pPr>
          </w:p>
        </w:tc>
      </w:tr>
      <w:tr>
        <w:trPr>
          <w:trHeight w:val="155"/>
        </w:trPr>
        <w:tc>
          <w:tcPr>
            <w:tcW w:w="67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 and limited partners'</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48,698</w:t>
            </w:r>
          </w:p>
        </w:tc>
        <w:tc>
          <w:tcPr>
            <w:tcW w:w="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62,392</w:t>
            </w:r>
          </w:p>
        </w:tc>
        <w:tc>
          <w:tcPr>
            <w:tcW w:w="120" w:type="dxa"/>
            <w:vAlign w:val="bottom"/>
          </w:tcPr>
          <w:p>
            <w:pPr>
              <w:spacing w:after="0"/>
              <w:rPr>
                <w:sz w:val="13"/>
                <w:szCs w:val="13"/>
                <w:color w:val="auto"/>
              </w:rPr>
            </w:pPr>
          </w:p>
        </w:tc>
        <w:tc>
          <w:tcPr>
            <w:tcW w:w="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54,283</w:t>
            </w: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in net income</w:t>
            </w: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per limited partner unit attributable to Westlake Chemical Partners LP (basic</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limited partner units outstanding</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units—publicly and privately held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21,119,275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21,110,640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21,102,110</w:t>
            </w:r>
          </w:p>
        </w:tc>
        <w:tc>
          <w:tcPr>
            <w:tcW w:w="0" w:type="dxa"/>
            <w:vAlign w:val="bottom"/>
          </w:tcPr>
          <w:p>
            <w:pPr>
              <w:spacing w:after="0"/>
              <w:rPr>
                <w:sz w:val="1"/>
                <w:szCs w:val="1"/>
                <w:color w:val="auto"/>
              </w:rPr>
            </w:pPr>
          </w:p>
        </w:tc>
      </w:tr>
      <w:tr>
        <w:trPr>
          <w:trHeight w:val="255"/>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units—Westlake</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i w:val="1"/>
                <w:iCs w:val="1"/>
                <w:color w:val="auto"/>
              </w:rPr>
              <w:t>Partnership</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1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p>
        </w:tc>
        <w:tc>
          <w:tcPr>
            <w:tcW w:w="200" w:type="dxa"/>
            <w:vAlign w:val="bottom"/>
          </w:tcPr>
          <w:p>
            <w:pPr>
              <w:spacing w:after="0"/>
              <w:rPr>
                <w:sz w:val="11"/>
                <w:szCs w:val="11"/>
                <w:color w:val="auto"/>
              </w:rPr>
            </w:pPr>
          </w:p>
        </w:tc>
        <w:tc>
          <w:tcPr>
            <w:tcW w:w="96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1"/>
                <w:szCs w:val="11"/>
                <w:color w:val="auto"/>
              </w:rPr>
            </w:pPr>
          </w:p>
        </w:tc>
        <w:tc>
          <w:tcPr>
            <w:tcW w:w="86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20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jc w:val="center"/>
              <w:ind w:left="674"/>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903,708</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334,626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(315,805)</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473,513</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48,993</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576,316</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856,250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369,159</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(329,898)</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471,328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553,185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829,314</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298,576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(66,452)</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(259,247)</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460,848</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543,816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802,352</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6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298,576</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369,159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334,626</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110,203</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gains,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accounts receivable—Westlake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w:t>
            </w: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r>
      <w:tr>
        <w:trPr>
          <w:trHeight w:val="230"/>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charges and other assets and others,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(32,140)</w:t>
            </w:r>
          </w:p>
        </w:tc>
      </w:tr>
      <w:tr>
        <w:trPr>
          <w:trHeight w:val="223"/>
        </w:trPr>
        <w:tc>
          <w:tcPr>
            <w:tcW w:w="6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451,999</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(46,821)</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with Westlake under the Investment Management Agreement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(174,116)</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of investments with Westlake under the Investment Management Agreement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r>
      <w:tr>
        <w:trPr>
          <w:trHeight w:val="223"/>
        </w:trPr>
        <w:tc>
          <w:tcPr>
            <w:tcW w:w="6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(75,937)</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debt payable to Westlake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209,250</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debt payable to Westlake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(209,250)</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 retained in OpCo by Westlake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(315,805)</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unitholders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(66,420)</w:t>
            </w:r>
          </w:p>
        </w:tc>
      </w:tr>
      <w:tr>
        <w:trPr>
          <w:trHeight w:val="223"/>
        </w:trPr>
        <w:tc>
          <w:tcPr>
            <w:tcW w:w="6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(382,225)</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64,782</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6500" w:firstLine="8"/>
        <w:spacing w:after="0" w:line="354" w:lineRule="auto"/>
        <w:tabs>
          <w:tab w:leader="none" w:pos="1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of 12,937,500 common units representing limited partner interests.</w:t>
      </w:r>
    </w:p>
    <w:p>
      <w:pPr>
        <w:spacing w:after="0" w:line="12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Partnership owns 22.8% limited partner interest in Westlake Chemical OpCo LP ("OpCo") and a 100% interest in Westlake Chemical OpCo GP LLC ("OpCo GP"), which is the general partner of OpCo. OpCo owns three ethylene production facilities and one common carrier ethylene pipeline (collectively, the "Contributed Assets"). The remaining 77.2% limited partner interest in OpCo is owned by Westlake Corporation. References to "Westlake" refer collectively to Westlake Corporation and its subsidiaries, other than the Partnership, OpCo and OpCo GP.</w:t>
      </w:r>
    </w:p>
    <w:p>
      <w:pPr>
        <w:spacing w:after="0" w:line="126"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OpCo and Westlake entered into an ethylene sales agreement (the "Ethylene Sales Agreement") pursuant to which the Partnership generates a substantial majority of its revenue. For more information, see Note 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the accounting principles generally accepted in the United States.</w:t>
      </w:r>
    </w:p>
    <w:p>
      <w:pPr>
        <w:spacing w:after="0" w:line="10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The Partnership's operations consist exclusively of the variable interest entity's operations and, as such, no additional variable interest entity disclosures are considered necessary. Westlake's retained interest of 77.2% is recorded as noncontrolling interest in the Partnership's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investments that are readily convertible into cash and have a maturity of three months or less at the date of acquisition.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0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determination of the allowance for credit losses is based on estimation of the amount of accounts receivable that the Partnership believes are unlikely to be collected. Estimating this amount requires analysis of the financial strength of the Partnership's customers, the use of historical experience, the Partnership's accounts receivable aged trial balance, customer specific collectability analysis and an evaluation of economic conditions. The allowance for credit losses is reviewed quarterly. Past due balances over 90 days and high risk accounts, as determined by the analysis of financial strength of customers, are reviewed individually for collectability.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9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Inventories primarily include product, material and supplies. Inventories are stated at the lower of cost or net realizable value. Cost is determined using the first-in, first-out ("FIFO") or average method.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08"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carried at cost, net of accumulated depreciation. Cost includes expenditures for improvements and betterments that extend the useful lives of the assets and interest capitalized on significant capital projects.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34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Interest expense is capitalized for qualifying assets under construction. Capitalized interest costs are included in property, plant and equipment and are depreciated over the useful life of the related asset. Capitalized interest was $79, $197 and $164 for the years ended December 31, 2025, 2024 and 2023, respectively. Repair and maintenance costs are charged to operations as incurred. Gains and losses on the disposal or retirement of property, plant and equipment are reflected in the statement of operations when the assets are sold or retired.</w:t>
      </w:r>
    </w:p>
    <w:p>
      <w:pPr>
        <w:spacing w:after="0" w:line="12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accounting guidance for asset retirement obligations requires the recording of liabilities equal to the fair value of asset retirement obligations and corresponding additional asset costs, when there is a legal asset retirement obligation as a result of existing or enacted law, statute or contract. The Partnership has conditional asset retirement obligations for the removal and disposal of hazardous materials from certain of the Partnership's manufacturing facilities. However, no asset retirement obligations have been recognized because the fair value of the conditional legal obligation cannot be measured due to the indeterminate settlement date of the obligation.</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Depreciation is provided by utilizing the straight-line method over the estimated useful lives of the assets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3"/>
        </w:trPr>
        <w:tc>
          <w:tcPr>
            <w:tcW w:w="9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Plant and equipment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Ethylene pipeline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accounting guidance for the impairment or disposal of long-lived assets requires that the Partnership assess long-lived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United States and world economies and uncertainties associated with governmental actions. Long-lived assets assessed for impairment are grouped by asset group, the lowest level for which identifiable cash flows are largely independent of the cash flows of other groups of assets and liabilities. Recoverability of assets to be held and used is measured by a comparison of the carrying amount of an asset to future net undiscounted cash flows expected to be generated by the asset group. Assets are considered to be impaired if the carrying amount of an asset exceeds the future undiscounted cash flows. The impairment recognized is measured by the amount by which the carrying amount of the assets exceeds the fair value of the assets. Assets to be disposed of are reported at the lower of the carrying amount or estimated fair value less costs to sell.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accounting guidance requires that goodwill be tested for impairment at least annually, or when events or changes in circumstances indicate the fair value of a reporting unit with goodwill has been reduced below its carrying amount. The impairment test for the recorded goodwill was performed in the fourth quarter of 2025 and did not indicate impairment of the goodwill. As of December 31, 2025, the Partnership's recorded goodwill was $5,814. See Note 6 for more information on the Partnership's annual goodwill impairment test.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Turnaround Costs</w:t>
      </w:r>
    </w:p>
    <w:p>
      <w:pPr>
        <w:spacing w:after="0" w:line="9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Partnership accounts for turnaround costs under the deferral method. Turnarounds are the scheduled and required shutdowns of specific operating units in order to perform planned major maintenance activities. The costs related to the significant overhaul and refurbishment activities include maintenance materials, parts and direct labor costs. The costs of the turnaround are deferred when incurred at the time of the turnaround and amortized (within depreciation and amortization) on a straight-line basis until the next planned turnaround, which typically ranges from five to eight years. Deferred turnaround costs are presented as a component of deferred charges and other assets, net. The cash outflows related to these costs are included in operating activities in the consolidated statement of cash flows.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9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Financial instruments which potentially subject the Partnership to concentration of risk consist principally of trade receivables from third-party customers who purchase ethylene and ethylene co-products. The Partnership performs periodic credit evaluations, as applicable, of the customers' financial condition and generally does not require collateral. The Partnership maintains allowances for potential losses, as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Revenue is recognized when OpCo transfers control of inventories to customers. Amounts recognized as revenues reflect the consideration to which OpCo expects to be entitled in exchange for those inventories. The Partnership and OpCo incorporate production volume and production cost forecasts in the estimated transaction prices from sales to Westlake under the Ethylene Sales Agreement.</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Partnership recognizes revenue and accounts receivable upon transferring control of inventories to its customers. Ethylene sold to Westlake under the Ethylene Sales Agreement is transferred to Westlake immediately after production and recognized in sales. Control of inventories sold to third parties generally transfers upon shipment to the customer. The Partnership excludes taxes collected on behalf of customers from the estimated contract price. Provisions for discounts, rebates and returns are incorporated in the estimate of variable consideration and reflected as reduction to revenue in the same period as the related sales.</w:t>
      </w:r>
    </w:p>
    <w:p>
      <w:pPr>
        <w:spacing w:after="0" w:line="12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Partnership does not disclose the value of unsatisfied performance obligations because its contracts with customers (1) have an original expected duration of one year or less or (2) have only variable consideration that is calculated based on market prices at a specified date and is allocated to wholly unsatisfied performance obligations.</w:t>
      </w:r>
    </w:p>
    <w:p>
      <w:pPr>
        <w:spacing w:after="0" w:line="122"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The Partnership generates a substantial majority of its revenue from sales to Westlake under the Ethylene Sales Agreement. The Ethylene Sales Agreement is intended to generate a long-term, fixed cash margin per pound. See Note 2 for a description of the terms of the Ethylene Sales Agreement. The Partnership's direct commodity price risk is limited to the sales to third parties. See the Partnership's consolidated statements of operations for the disaggregation of net sales to Westlake and net sales to third parties.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Transportation and Freight</w:t>
      </w:r>
    </w:p>
    <w:p>
      <w:pPr>
        <w:spacing w:after="0" w:line="10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Amounts billed to customers for freight and handling costs on outbound shipments are included in net sales in the consolidated statements of operations. Transportation and freight costs incurred by the Partnership on outbound shipments are included in cost of sales in the consolidated statements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Costs</w:t>
      </w:r>
    </w:p>
    <w:p>
      <w:pPr>
        <w:spacing w:after="0" w:line="94"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Environmental costs relating to current operations are expensed or capitalized, as appropriate, depending on whether such costs provide future economic benefits. Remediation liabilities are recognized when the costs are considered probable and can be reasonably estimated. Measurement of liabilities is based on currently enacted laws and regulations, existing technology and undiscounted site-specific costs. Environmental liabilities in connection with properties that are sold or closed are realized upon such sale or closure, to the extent they are probable and estimable and not previously reserved. Recognition of any joint and several liabilities is based upon the Partnership's best estimate of its final pro rata share of the liability.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 Deferred tax expense or benefit is the result of changes in the deferred tax assets and liabilities during the period. Valuation allowances are recorded against deferred tax assets when it is considered more likely than not that the deferred tax assets will not be realized on a separate tax return basis.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8" w:lineRule="exact"/>
        <w:rPr>
          <w:sz w:val="20"/>
          <w:szCs w:val="20"/>
          <w:color w:val="auto"/>
        </w:rPr>
      </w:pPr>
    </w:p>
    <w:p>
      <w:pPr>
        <w:jc w:val="both"/>
        <w:ind w:right="660" w:firstLine="40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revenues and expenses, and the disclosure of contingent assets and liabilities. Actual results could differ from those estimates.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w:t>
      </w:r>
    </w:p>
    <w:p>
      <w:pPr>
        <w:spacing w:after="0" w:line="94"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Partnership has not reported consolidated statements of comprehensive income for the years ended December 31, 2025, 2024 and 2023 due to immateriality of the components of other comprehensive income.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Credit Losses for Accounts Receivable and Contract Assets (ASU No. 2025-05)</w:t>
      </w:r>
    </w:p>
    <w:p>
      <w:pPr>
        <w:spacing w:after="0" w:line="9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In July 2025, the Financial Accounting Standards Board ("FASB") issued an accounting standards update to add a practical expedient in developing reasonable and supportable forecasts as part of estimating expected credit losses. All entities may elect a practical expedient that assumes the current conditions as of the balance sheet date do not change for the remaining life of the asset. The amendments in this update are effective for annual reporting periods beginning after December 15, 2025 and interim reporting periods within those annual reporting periods, with early adoption permitted. Entities should apply the new guidance prospectively. The Partnership does not expect that this accounting standard, upon adoption, will have a material impact on the Partnership's consolidated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 (ASU No. 2024-03)</w:t>
      </w:r>
    </w:p>
    <w:p>
      <w:pPr>
        <w:spacing w:after="0" w:line="10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an accounting standards update requiring public entities to disclose, on an annual and interim basis, detailed information about the types of expenses in relevant expense captions presented on the face of the income statement, including amounts for inventory purchases, employee compensation, depreciation and amortization of intangible assets and a qualitative description for remaining amounts not separately disaggregated. Additionally, the update requires disclosure of total selling expenses, and in annual periods, an entity's definition of selling expenses. The amendments in this update are effective for annual reporting periods beginning after December 15, 2026, and interim periods beginning after December 15, 2027 and are to be applied either prospectively or retrospectively. Early adoption is permitted. The Partnership is currently evaluating the impact of the update on the disclosures in the Partnership's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(ASU No. 2023-09)</w:t>
      </w:r>
    </w:p>
    <w:p>
      <w:pPr>
        <w:spacing w:after="0" w:line="10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an accounting standards update to enhance the transparency and decision-usefulness of income tax disclosures and to provide information to better assess how an entity's operations and related tax risks and tax planning and operational opportunities affect its tax rate and prospects for future cash flows. For public business entities, the amendments in this update are effective for annual periods beginning after December 15, 2024, with an early adoption permitted. The amendments should be applied prospectively; however, retrospective application is permitted. The Partnership adopted this accounting standard in the 2025 annual period and applied the standard prospectively. The adoption of this ASU resulted in additional income tax disclosures (see Note 14).</w:t>
      </w:r>
    </w:p>
    <w:p>
      <w:pPr>
        <w:spacing w:after="0" w:line="210" w:lineRule="exact"/>
        <w:rPr>
          <w:sz w:val="20"/>
          <w:szCs w:val="20"/>
          <w:color w:val="auto"/>
        </w:rPr>
      </w:pPr>
    </w:p>
    <w:p>
      <w:pPr>
        <w:ind w:right="7420" w:firstLine="8"/>
        <w:spacing w:after="0" w:line="362" w:lineRule="auto"/>
        <w:tabs>
          <w:tab w:leader="none" w:pos="1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Agreements with Westlake and Related Parties </w:t>
      </w:r>
      <w:r>
        <w:rPr>
          <w:rFonts w:ascii="Times New Roman" w:cs="Times New Roman" w:eastAsia="Times New Roman" w:hAnsi="Times New Roman"/>
          <w:sz w:val="18"/>
          <w:szCs w:val="18"/>
          <w:b w:val="1"/>
          <w:bCs w:val="1"/>
          <w:i w:val="1"/>
          <w:iCs w:val="1"/>
          <w:color w:val="auto"/>
        </w:rPr>
        <w:t>Ethylene Sales Agreement</w:t>
      </w:r>
    </w:p>
    <w:p>
      <w:pPr>
        <w:spacing w:after="0" w:line="1"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OpCo is party to an ethylene sales agreement with Westlake (the "Ethylene Sales Agreement"), which requires Westlake to purchase a minimum volume of ethylene each year equal to 95% of OpCo's planned ethylene production per year (the "Minimum Commitment"), subject to certain exceptions and a maximum commitment of 3.8 billion pounds per year. So long as Westlake is not in default under the Ethylene Sales Agreement, if OpCo's actual production exceeds planned production, Westlake has the option to purchase up to 95% of the excess production (the "Excess Production Option").</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fee for each pound of ethylene purchased by Westlake from OpCo up to the Minimum Commitment in any calendar year will equal:</w:t>
      </w:r>
    </w:p>
    <w:p>
      <w:pPr>
        <w:spacing w:after="0" w:line="90" w:lineRule="exact"/>
        <w:rPr>
          <w:sz w:val="20"/>
          <w:szCs w:val="20"/>
          <w:color w:val="auto"/>
        </w:rPr>
      </w:pPr>
    </w:p>
    <w:p>
      <w:pPr>
        <w:ind w:left="660" w:right="2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price OpCo pays Westlake to purchase ethane (or other feedstock, such as propane, if applicable) to produce each pound of ethylene, subject to a specified cap and a floor on the amount of feedstock that should be needed to produce each pound of ethylene; plus</w:t>
      </w:r>
    </w:p>
    <w:p>
      <w:pPr>
        <w:spacing w:after="0" w:line="40"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price OpCo pays Westlake to purchase natural gas to produce each pound of ethylene, subject to a specified cap and a floor on the amount of natural gas that should be needed to produce each pound of ethylene; plus</w:t>
      </w:r>
    </w:p>
    <w:p>
      <w:pPr>
        <w:spacing w:after="0" w:line="4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OpCo's estimated operating costs (including selling, general and administrative expenses), divided by OpCo's planned ethylene production for the year (in pounds); plus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344" w:lineRule="exact"/>
        <w:rPr>
          <w:sz w:val="20"/>
          <w:szCs w:val="20"/>
          <w:color w:val="auto"/>
        </w:rPr>
      </w:pPr>
    </w:p>
    <w:p>
      <w:pPr>
        <w:ind w:left="660" w:right="2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five-year average of OpCo's expected future maintenance capital expenditures and other turnaround expenditures, divided by OpCo's planned ethylene production capacity for the year (in pounds); less</w:t>
      </w:r>
    </w:p>
    <w:p>
      <w:pPr>
        <w:spacing w:after="0" w:line="40"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(on a per pound of ethylene basis) received by OpCo from the sale of co-products (including, but not limited to, propylene, crude butadiene, pyrolysis gasoline and hydrogen) associated with producing the ethylene purchased by Westlake; plus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$0.10 per pound margin.</w:t>
      </w:r>
    </w:p>
    <w:p>
      <w:pPr>
        <w:spacing w:after="0" w:line="17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fee for the Excess Production Option, if exercised, equals OpCo's estimated variable operating costs of producing the incremental ethylene, net of revenues from co-products sales plus a $0.10 per pound margin.</w:t>
      </w:r>
    </w:p>
    <w:p>
      <w:pPr>
        <w:spacing w:after="0" w:line="108" w:lineRule="exact"/>
        <w:rPr>
          <w:sz w:val="20"/>
          <w:szCs w:val="20"/>
          <w:color w:val="auto"/>
        </w:rPr>
      </w:pPr>
    </w:p>
    <w:p>
      <w:pPr>
        <w:jc w:val="both"/>
        <w:ind w:right="40" w:firstLine="405"/>
        <w:spacing w:after="0" w:line="282" w:lineRule="auto"/>
        <w:rPr>
          <w:sz w:val="20"/>
          <w:szCs w:val="20"/>
          <w:color w:val="auto"/>
        </w:rPr>
      </w:pPr>
      <w:r>
        <w:rPr>
          <w:rFonts w:ascii="Times New Roman" w:cs="Times New Roman" w:eastAsia="Times New Roman" w:hAnsi="Times New Roman"/>
          <w:sz w:val="18"/>
          <w:szCs w:val="18"/>
          <w:color w:val="auto"/>
        </w:rPr>
        <w:t>The estimated operating costs and the expected future maintenance capital expenditures and other turnaround expenditures will be adjusted at the end of each year, to be applicable for the fee for the next calendar year, to reflect certain changes in forecasted costs.</w:t>
      </w:r>
    </w:p>
    <w:p>
      <w:pPr>
        <w:spacing w:after="0" w:line="10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Under the Ethylene Sales Agreement OpCo has the option to curtail up to approximately 5% of its ethylene production annually in the event OpCo reasonably determines that its sales of such ethylene to third parties during the relevant period would be uneconomic.</w:t>
      </w:r>
    </w:p>
    <w:p>
      <w:pPr>
        <w:spacing w:after="0" w:line="108"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(as described below), and not the Ethylene Sales Agreement.</w:t>
      </w:r>
    </w:p>
    <w:p>
      <w:pPr>
        <w:spacing w:after="0" w:line="12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Pursuant to the Ethylene Sales Agreement, Westlake is obligated to pay for the annual minimum quantity (95% of OpCo's budgeted ethylene production), which is measured on an annual basis. In the event Westlake purchases less than its annual commitment, the Partnership recognizes a buyer deficiency fee ("Buyer Deficiency Fee") representing fixed margin and all expenses and expenditures incurred per pound of volume committed but not taken by Westlake. The annual commitment is not reduced for a force majeure event affecting OpCo's plants that lasts fewer than 45 consecutive days; however, in the event of such a force majeure event, the Partnership recognizes a Buyer Deficiency Fee representing fixed margin and unavoided operating and maintenance capital expenditures and maintenance expenses per pound of volume committed by Westlake during the force majeure period. Payment of the Buyer Deficiency Fee is scheduled to be received by the Partnership after the conclusion of the year in which the annual commitment was not purchased and taken by Westlake.</w:t>
      </w:r>
    </w:p>
    <w:p>
      <w:pPr>
        <w:spacing w:after="0" w:line="138"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result of the fee structure is that OpCo should generally recover the portion of its total operating costs and maintenance capital expenditures and other turnaround expenditures corresponding to the portion of OpCo's aggregate production that is purchased by Westlake. Any shortfall in recovery of such costs is generally recognized during the period in which the related operating, maintenance or turnaround activities occur and is recoverable from Westlake in the subsequent year.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w:t>
      </w:r>
    </w:p>
    <w:p>
      <w:pPr>
        <w:spacing w:after="0" w:line="13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Ethylene Sales Agreement provides that, if compliance with any law adopted or modified following the IPO results in OpCo incurring additional costs in excess of $500 in any contract year, OpCo is entitled to charge Westlake a monthly surcharge following efforts to mitigate the effects of such matter.</w:t>
      </w:r>
    </w:p>
    <w:p>
      <w:pPr>
        <w:spacing w:after="0" w:line="12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October 28, 2025, OpCo and Westlake agreed to renew the Ethylene Sales Agreement through December 31, 2027 in accordance with its terms, which provide for an initial term through December 31, 2026 and automatic 12-month renewal periods until terminated at the end of the initial term or any renewal term of not less than 12-months' notice.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Feedstock Supply Agreement</w:t>
      </w:r>
    </w:p>
    <w:p>
      <w:pPr>
        <w:spacing w:after="0" w:line="108"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OpCo is party to a feedstock supply agreement with Westlake, pursuant to which Westlake sells to OpCo ethane and other feedstock in amounts sufficient for OpCo to produce the ethylene to be sold under the Ethylene Sales Agreement (the "Feedstock Supply Agreement"). The Feedstock Supply Agreement provides that OpCo may obtain feedstock from Westlake based on Westlake's total cost of purchasing and delivering the feedstock, including applicable transportation, storage and other costs. Title and risk of loss for all feedstock purchased by OpCo through the Feedstock Supply Agreement passes to OpCo upon delivery to one of three delivery points described in the Feedstock Supply Agreement.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34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Feedstock Supply Agreement has an initial term extending until December 31, 2026 and automatically renews thereafter for successive 12-month terms unless terminated by either party; provided, however, that such agreement can only be renewed in the event the Ethylene Sales Agreement is renewed simultaneously. The Feedstock Supply Agreement may, in certain circumstances, terminate concurrently with the termination of the Ethylene Sales Agreement. On October 28, 2025, OpCo and Westlake agreed to renew the Feedstock Supply Agreement through December 31, 2027 in accordance with its terms, which provide for an initial term through December 31, 2026 and automatic 12-month renewal periods until terminated at the end of the initial term or any renewal term on not less than 12-months' notice.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and Secondment Agreement</w:t>
      </w:r>
    </w:p>
    <w:p>
      <w:pPr>
        <w:spacing w:after="0" w:line="9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OpCo is party to a Services and Secondment Agreement with Westlake, pursuant to which OpCo provides Westlake with certain services required for the operation of Westlake's facilities; and Westlake provides OpCo with comprehensive operating services for OpCo's facilities, ranging from services relating to the maintenance and operations of the common facilities necessary for the operation of OpCo's units, to making available certain shared utilities such as electricity and natural gas that are necessary for the operation of OpCo's units. Westlake also seconds employees to OpCo to allow OpCo to operate its facilities. Such seconded employees are under the control of OpCo while they work on OpCo's facilities.</w:t>
      </w:r>
    </w:p>
    <w:p>
      <w:pPr>
        <w:spacing w:after="0" w:line="1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renewals of the Ethylene Sales Agreement and the Feedstock Supply Agreement, on October 28, 2025, OpCo and certain affiliates of Westlake entered into an amendment to the Services and Secondment Agreement to align the date of expiration of such agreement with the date of expiration term of the Ethylene Sales Agreement. Westlake and OpCo each can terminate the Services and Secondment Agreement under certain circumstances, including if the other party materially defaults on the performance of its obligations and such default continues for a 30-day period.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Site Lease Agreements</w:t>
      </w:r>
    </w:p>
    <w:p>
      <w:pPr>
        <w:spacing w:after="0" w:line="10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OpCo has entered into two site lease agreements with Westlake pursuant to which Westlake leases to OpCo the real property underlying Lake Charles Olefins and Calvert City Olefins and grants OpCo rights to access and use certain other portions of Westlake's ethylene production facilities that are necessary to operate OpCo's production facilities. OpCo owes Westlake one dollar per site per year. The site lease agreements each have a term of 50 years. Each of the site lease agreements may be renewed if agreed by the parties.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Agreement</w:t>
      </w:r>
    </w:p>
    <w:p>
      <w:pPr>
        <w:spacing w:after="0" w:line="10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Partnership has entered into an Omnibus Agreement with Westlake that addresses (1) Westlake's indemnification of the Partnership for certain matters, including environmental and tax matters, (2) the provision by Westlake of certain management and other general and administrative services to the Partnership and its general partner and (3) the Partnership's reimbursement to Westlake for such services. The Omnibus Agreement also addresses Westlake's right of first refusal on any proposed transfer of the ethylene production facilities that serve Westlake's other facilities and Westlake's right of first refusal on any proposed transfer of the Partnership's equity interests in OpCo. In connection with the renewals of the Ethylene Sales Agreement and the Feedstock Supply Agreement, on October 28, 2025, the Partnership, OpCo and certain affiliates of Westlake also entered into an amendment to the Omnibus Agreement to provide that the Omnibus Agreement would terminate upon termination of the Ethylene Sales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9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OpCo and Westlake are parties to an exchange agreement, which continues on an annual basis, unless and until terminated by either party. Under the exchange agreement, OpCo may require Westlake to deliver up to 200 million pounds of ethylene for OpCo per year from the Site Leases to an ethylene hub in Mt. Belvieu, Texas, for which OpCo would be required to pay an exchange fee of $0.006 per pound.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Partnership Agreement</w:t>
      </w:r>
    </w:p>
    <w:p>
      <w:pPr>
        <w:spacing w:after="0" w:line="108"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The Partnership,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The Partnership controls OpCo GP, as its sole member, subject to certain approval rights held by Westlake.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w:t>
      </w:r>
    </w:p>
    <w:p>
      <w:pPr>
        <w:spacing w:after="0" w:line="94" w:lineRule="exact"/>
        <w:rPr>
          <w:sz w:val="20"/>
          <w:szCs w:val="20"/>
          <w:color w:val="auto"/>
        </w:rPr>
      </w:pPr>
    </w:p>
    <w:p>
      <w:pPr>
        <w:ind w:right="400" w:firstLine="405"/>
        <w:spacing w:after="0" w:line="261" w:lineRule="auto"/>
        <w:rPr>
          <w:sz w:val="20"/>
          <w:szCs w:val="20"/>
          <w:color w:val="auto"/>
        </w:rPr>
      </w:pPr>
      <w:r>
        <w:rPr>
          <w:rFonts w:ascii="Times New Roman" w:cs="Times New Roman" w:eastAsia="Times New Roman" w:hAnsi="Times New Roman"/>
          <w:sz w:val="18"/>
          <w:szCs w:val="18"/>
          <w:color w:val="auto"/>
        </w:rPr>
        <w:t>The Partnership, OpCo and Westlake are parties to an Investment Management Agreement that authorizes Westlake to invest the Partnership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$23,378 of invested cash under the Investment Management Agreement at December 31,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Receivable—Third Parties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receivable—third parties consist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Feedstock, additives and chemicals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8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2,020,193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1,950,479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118,870</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2,163,484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2,087,911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(1,237,929)</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849,982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53,606</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886,012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903,588</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plant and equipment of $87,018, $86,253 and $84,511 is included in cost of sales in the consolidated statements of operations for the years ended December 31, 2025, 2024 and 2023,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08"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Partnership's goodwill balance was $5,814 at December 31, 2025 and 2024. The Partnership performed its annual goodwill impairment analysis during the fourth quarter of 2025. The Partnership elected to perform a qualitative assessment for its analysis. Based upon this assessment, the Partnership concluded that it is more likely than not that the fair value of the reporting unit exceeds the carrying amount. Factors considered in the qualitative assessment included industry and market considerations, cost factors, including consideration of the Partnership's fixed margin under the Ethylene Sales Agreement, and current and projected financial performance.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Deferred Charges and Other Assets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Deferred charges and other assets, net consist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Turnaround costs, net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129,565</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Amortization expense on deferred charges and other assets of $40,960, $25,646 and $25,692 is included in cost of sales in the consolidated statements of operations for the years ended December 31, 2025, 2024 and 2023, respectively. Certain other assets are amortized over periods ranging from three to twenty years using the straight-line method.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payable to Westlake consists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Revolver</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MLP Revolver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On August 4, 2014, OpCo entered into a $600,000 senior unsecured revolving credit facility agreement with Westlake (as subsequently amended, the "OpCo Revolver"). On July 12, 2022, OpCo entered into the Second Amendment (the "OpCo Revolver Amendment") to the OpCo Revolver. Prior to the OpCo Revolver Amendment, the OpCo Revolver bore interest at the London Interbank Offered Rate ("LIBOR") plus 2.0%. The OpCo Revolver Amendment, among other things, extended the maturity date of the OpCo Revolver from September 25, 2023 to July 12, 2027 and provided for the replacement of LIBOR with the Secured Overnight Financing Rate, as administered by the Federal Reserve Bank of New York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w:t>
      </w:r>
    </w:p>
    <w:p>
      <w:pPr>
        <w:spacing w:after="0" w:line="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1.75%. As of December 31, 2025, outstanding borrowings under the OpCo Revolver bore interest at SOFR plus the Applicable Margin and credit spread adjustment.</w:t>
      </w:r>
    </w:p>
    <w:p>
      <w:pPr>
        <w:spacing w:after="0" w:line="127"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On April 29, 2015, the Partnership entered into a $300,000 revolving credit facility agreement with an affiliate of Westlake (as subsequently amended, the "MLP Revolver"). In 2017, the Partnership entered into an amendment to the MLP Revolver credit agreement, increasing borrowing capacity from $300,000 to $600,000. On July 12, 2022, the Partnership entered into the Fourth Amendment (the "MLP Revolver Amendment") to the MLP Revolver. Prior to the MLP Revolver Amendment, the MLP Revolver bore interest at a variable rate of either (a) LIBOR plus 2.0% or, if LIBOR were no longer available, (b) the Alternate Base Rate plus 1.0%. The MLP Revolver Amendment, among other things, extended the maturity date of the MLP Revolver from March 19, 2023 to July 12, 2027 and provided for the replacement of LIBOR with SOFR as the reference rate. Borrowings under the MLP Revolver now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As of December 31, 2025, outstanding borrowings under the MLP Revolver bore interest at SOFR plus the Applicable Margin and credit spread adjustment. The MLP Revolver provides that the Partnership may pay all or a portion of the interest on any borrowings in kind, in which case any such amounts would be added to the principal amount of the loan. The MLP Revolver requires that the Partnership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2025, the Partnership was in compliance with all of the covenants under the OpCo Revolver and the MLP Revolver.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 average interest rate on all long-term debt was 5.8% and 6.4% at December 31, 2025 and 2024, respectively.</w:t>
      </w:r>
    </w:p>
    <w:p>
      <w:pPr>
        <w:spacing w:after="0" w:line="171"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2025, the Partnership had no scheduled maturities of long-term debt until 2027. The OpCo Revolver and the MLP Revolver are scheduled to mature on July 12, 2027.</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Distributions and Net Income Per Limited Partner Unit</w:t>
      </w:r>
    </w:p>
    <w:p>
      <w:pPr>
        <w:spacing w:after="0" w:line="108"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On January 27, 2026, the board of directors of Westlake Chemical Partners GP LLC ("Westlake GP"), the Partnership's general partner, declared a quarterly cash distribution for the period from October 1, 2025 to December 31, 2025 of $0.4714 per common unit. This distribution was paid on February 23, 2026 to unitholders of record as of February 6, 2026.</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rPr>
              <w:t>48,698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62,392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6"/>
              </w:rPr>
              <w:t>54,283</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Limited partners' distribution declared on common units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rPr>
              <w:t>66,453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66,437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6"/>
              </w:rPr>
              <w:t>66,421</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8"/>
                <w:szCs w:val="18"/>
                <w:color w:val="auto"/>
              </w:rPr>
              <w:t>(17,755)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355"/>
              <w:spacing w:after="0"/>
              <w:rPr>
                <w:sz w:val="20"/>
                <w:szCs w:val="20"/>
                <w:color w:val="auto"/>
              </w:rPr>
            </w:pPr>
            <w:r>
              <w:rPr>
                <w:rFonts w:ascii="Times New Roman" w:cs="Times New Roman" w:eastAsia="Times New Roman" w:hAnsi="Times New Roman"/>
                <w:sz w:val="18"/>
                <w:szCs w:val="18"/>
                <w:color w:val="auto"/>
              </w:rPr>
              <w:t>(12,138)</w:t>
            </w:r>
          </w:p>
        </w:tc>
      </w:tr>
      <w:tr>
        <w:trPr>
          <w:trHeight w:val="21"/>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gridSpan w:val="6"/>
          </w:tcPr>
          <w:p>
            <w:pPr>
              <w:jc w:val="center"/>
              <w:ind w:left="857"/>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360" w:type="dxa"/>
            <w:vAlign w:val="bottom"/>
          </w:tcPr>
          <w:p>
            <w:pPr>
              <w:spacing w:after="0"/>
              <w:rPr>
                <w:sz w:val="11"/>
                <w:szCs w:val="11"/>
                <w:color w:val="auto"/>
              </w:rPr>
            </w:pPr>
          </w:p>
        </w:tc>
        <w:tc>
          <w:tcPr>
            <w:tcW w:w="10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3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66,453</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66,453</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(17,755)</w:t>
            </w:r>
          </w:p>
        </w:tc>
        <w:tc>
          <w:tcPr>
            <w:tcW w:w="0" w:type="dxa"/>
            <w:vAlign w:val="bottom"/>
          </w:tcPr>
          <w:p>
            <w:pPr>
              <w:spacing w:after="0"/>
              <w:rPr>
                <w:sz w:val="1"/>
                <w:szCs w:val="1"/>
                <w:color w:val="auto"/>
              </w:rPr>
            </w:pPr>
          </w:p>
        </w:tc>
      </w:tr>
      <w:tr>
        <w:trPr>
          <w:trHeight w:val="223"/>
        </w:trPr>
        <w:tc>
          <w:tcPr>
            <w:tcW w:w="4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48,698</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35,241,505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35,241,505</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42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3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gridSpan w:val="6"/>
          </w:tcPr>
          <w:p>
            <w:pPr>
              <w:jc w:val="center"/>
              <w:ind w:left="857"/>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360" w:type="dxa"/>
            <w:vAlign w:val="bottom"/>
          </w:tcPr>
          <w:p>
            <w:pPr>
              <w:spacing w:after="0"/>
              <w:rPr>
                <w:sz w:val="11"/>
                <w:szCs w:val="11"/>
                <w:color w:val="auto"/>
              </w:rPr>
            </w:pPr>
          </w:p>
        </w:tc>
        <w:tc>
          <w:tcPr>
            <w:tcW w:w="10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66,437</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62,392</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35,232,870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35,232,870</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8"/>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6"/>
          </w:tcPr>
          <w:p>
            <w:pPr>
              <w:jc w:val="center"/>
              <w:ind w:left="857"/>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360" w:type="dxa"/>
            <w:vAlign w:val="bottom"/>
          </w:tcPr>
          <w:p>
            <w:pPr>
              <w:spacing w:after="0"/>
              <w:rPr>
                <w:sz w:val="11"/>
                <w:szCs w:val="11"/>
                <w:color w:val="auto"/>
              </w:rPr>
            </w:pPr>
          </w:p>
        </w:tc>
        <w:tc>
          <w:tcPr>
            <w:tcW w:w="10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3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66,421</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54,283</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35,224,340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35,224,340</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amended Partnership Agreement provides that the Partnership will distribute cash that is deemed to be an appropriate portion of the Partnership's total operating surplus.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Marginal Percentage Interest in Distributions</w:t>
            </w: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Quarterly Distribution Per Unit</w:t>
            </w: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5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IDR Holders</w:t>
            </w: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$1.2938 up to $1.4063</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Above $1.4063 up to $1.6875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$1.6875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Partnership's distribution for each quarter in the year ended December 31, 2025 did not exceed the $1.2938 per unit threshold, and, as a result, no distribution was made with respect to the Partnership's incentive distribution rights to Westlake, as the holder of the Partnership's incentive distribution rights.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Per Common Unit</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Distributions per common unit for the years ended December 31, 2025, 2024 and 2023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28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4"/>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common unit</w:t>
            </w:r>
          </w:p>
        </w:tc>
        <w:tc>
          <w:tcPr>
            <w:tcW w:w="2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CCEEFF"/>
            </w:tcBorders>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8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Partners' Equity</w:t>
      </w:r>
    </w:p>
    <w:p>
      <w:pPr>
        <w:spacing w:after="0" w:line="108" w:lineRule="exact"/>
        <w:rPr>
          <w:sz w:val="20"/>
          <w:szCs w:val="20"/>
          <w:color w:val="auto"/>
        </w:rPr>
      </w:pPr>
    </w:p>
    <w:p>
      <w:pPr>
        <w:ind w:right="40" w:firstLine="405"/>
        <w:spacing w:after="0" w:line="277" w:lineRule="auto"/>
        <w:rPr>
          <w:sz w:val="20"/>
          <w:szCs w:val="20"/>
          <w:color w:val="auto"/>
        </w:rPr>
      </w:pPr>
      <w:r>
        <w:rPr>
          <w:rFonts w:ascii="Times New Roman" w:cs="Times New Roman" w:eastAsia="Times New Roman" w:hAnsi="Times New Roman"/>
          <w:sz w:val="17"/>
          <w:szCs w:val="17"/>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and subsequent renewals thereof for utilization under this agreement. To date, no common units have been issued under this program.</w:t>
      </w:r>
    </w:p>
    <w:p>
      <w:pPr>
        <w:spacing w:after="0" w:line="114"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10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Related party transactions between the Partnership, OpCo and Westlake are primarily based on agreements such as the Ethylene Sales Agreement, the Feedstock Supply Agreement, the Services and Secondment Agreement, Site Lease Agreements, the Omnibus Agreement, the Investment Management Agreement, the Exchange Agreement, the OpCo Partnership Agreement, the OpCo Revolver and the MLP Revolver. These agreements, discussed in detail in Notes 2 and 8, reflect the pervasive effect of the relationship with Westlake on the Partnership's operations and its consolidated financial statements. Pursuant to these agreements, the Partnership and OpCo regularly enter into transactions with Westlake. See below for descriptions and details of significant related party transactions.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Related Parties</w:t>
      </w:r>
    </w:p>
    <w:p>
      <w:pPr>
        <w:spacing w:after="0" w:line="94"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OpCo sells a significant portion of its ethylene production to Westlake. Sales to related parties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sales—Westlake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1,033,276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1,026,655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As of December 31, 2025, OpCo had an annual production deficiency under the Ethylene Sales Agreement for the full year 2025 primarily due to the Petro 1 turnaround extending into April 2025, which was later than the planned completion in March 2025. The total Buyer Deficiency Fee recognized by the Partnership during the twelve months ended December 31, 2025 was $5,835. The Buyer Deficiency Fee is measured periodically based upon the lower of the actual production deficiency at period end or the estimated annual production deficiency based upon OpCo's annual anticipated production. These periodic estimates are updated at the end of the year based on actual annual production. The Buyer Deficiency Fee is classified as a component of net sales —Westlake.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Related Parties</w:t>
      </w:r>
    </w:p>
    <w:p>
      <w:pPr>
        <w:spacing w:after="0" w:line="108"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108"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A significant portion of the Partnership's inputs included in cost of sales are supplied by Westlake. Charges from related parties for significant inputs included in cost of sales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5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purchased from Westlake and included in cost of sales</w:t>
            </w:r>
          </w:p>
        </w:tc>
        <w:tc>
          <w:tcPr>
            <w:tcW w:w="16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398,700</w:t>
            </w: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charges from Westlake and included in cost of sales</w:t>
            </w:r>
          </w:p>
        </w:tc>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123,039</w:t>
            </w:r>
          </w:p>
        </w:tc>
      </w:tr>
      <w:tr>
        <w:trPr>
          <w:trHeight w:val="886"/>
        </w:trPr>
        <w:tc>
          <w:tcPr>
            <w:tcW w:w="5120" w:type="dxa"/>
            <w:vAlign w:val="bottom"/>
          </w:tcPr>
          <w:p>
            <w:pPr>
              <w:spacing w:after="0"/>
              <w:rPr>
                <w:sz w:val="24"/>
                <w:szCs w:val="24"/>
                <w:color w:val="auto"/>
              </w:rPr>
            </w:pPr>
          </w:p>
        </w:tc>
        <w:tc>
          <w:tcPr>
            <w:tcW w:w="16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from Related Parties Included in Selling, General and Administrative Expenses</w:t>
      </w:r>
    </w:p>
    <w:p>
      <w:pPr>
        <w:spacing w:after="0" w:line="10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included within selling, general and administrative expenses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0"/>
        </w:trPr>
        <w:tc>
          <w:tcPr>
            <w:tcW w:w="67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Services received from Westlake and included in selling, general and</w:t>
            </w:r>
          </w:p>
        </w:tc>
        <w:tc>
          <w:tcPr>
            <w:tcW w:w="860" w:type="dxa"/>
            <w:vAlign w:val="bottom"/>
            <w:vMerge w:val="restart"/>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25,017</w:t>
            </w:r>
          </w:p>
        </w:tc>
        <w:tc>
          <w:tcPr>
            <w:tcW w:w="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25,654</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w:t>
            </w: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administrative expenses</w:t>
            </w:r>
          </w:p>
        </w:tc>
        <w:tc>
          <w:tcPr>
            <w:tcW w:w="86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from Related Parties Capitalized as Assets</w:t>
      </w:r>
    </w:p>
    <w:p>
      <w:pPr>
        <w:spacing w:after="0" w:line="94"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for goods and services capitalized as assets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 and services purchased from Westlake and capitalized as assets</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under the Investment Management Agreement</w:t>
      </w:r>
    </w:p>
    <w:p>
      <w:pPr>
        <w:spacing w:after="0" w:line="10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On August 1, 2017, the Partnership, OpCo and Westlake executed an investment management agreement (the "Investment Management Agreement") that authorized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$206 and $1,385 was included in the receivable under the Investment Management Agreement balance at December 31, 2025 and 2024, respectively. Total interest earned related to the Investment Management Agreement was $2,539, $5,364 and $4,424 for the years ended December 31, 2025, 2024 and 2023, respectively.</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receivable under the Investment Management Agreement was as follows:</w:t>
      </w:r>
    </w:p>
    <w:p>
      <w:pPr>
        <w:spacing w:after="0" w:line="13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120" w:val="left"/>
          <w:tab w:leader="none" w:pos="9800" w:val="left"/>
          <w:tab w:leader="none" w:pos="10560" w:val="left"/>
        </w:tabs>
        <w:rPr>
          <w:sz w:val="20"/>
          <w:szCs w:val="20"/>
          <w:color w:val="auto"/>
        </w:rPr>
      </w:pPr>
      <w:r>
        <w:rPr>
          <w:rFonts w:ascii="Times New Roman" w:cs="Times New Roman" w:eastAsia="Times New Roman" w:hAnsi="Times New Roman"/>
          <w:sz w:val="18"/>
          <w:szCs w:val="18"/>
          <w:color w:val="auto"/>
        </w:rPr>
        <w:t>Receivable under the Investment Management Agreement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23,378</w:t>
        <w:tab/>
        <w:t>$</w:t>
      </w:r>
      <w:r>
        <w:rPr>
          <w:sz w:val="20"/>
          <w:szCs w:val="20"/>
          <w:color w:val="auto"/>
        </w:rPr>
        <w:tab/>
      </w:r>
      <w:r>
        <w:rPr>
          <w:rFonts w:ascii="Times New Roman" w:cs="Times New Roman" w:eastAsia="Times New Roman" w:hAnsi="Times New Roman"/>
          <w:sz w:val="17"/>
          <w:szCs w:val="17"/>
          <w:color w:val="auto"/>
        </w:rPr>
        <w:t>134,557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from Related Parties</w:t>
      </w:r>
    </w:p>
    <w:p>
      <w:pPr>
        <w:spacing w:after="0" w:line="10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receivable from Westlake result primarily from ethylene sales to Westlake and any Buyer Deficiency Fee and Shortfall recognized under the Ethylene Sales Agreement.</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Buyer Deficiency Fee of $5,835, as discussed above under "Sales to Related Parties" recognized in the twelve months ended December 31, 2025, was received by the Partnership in January 2026.</w:t>
      </w:r>
    </w:p>
    <w:p>
      <w:pPr>
        <w:spacing w:after="0" w:line="10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As a result of the Partnership's decision to postpone the maintenance turnaround at the Petro 1 facility from the third quarter of 2024 to the first quarter of 2025, OpCo's production resulted in "excess quantities" of ethylene for the contract year ended December 31, 2024. Pursuant to the terms of the Ethylene Sales Agreement, the excess quantities produced were sold to Westlake at prices that excluded certain non-variable costs of production. As of December 31, 2024, accounts receivable included sales associated with the excess quantities, which were at a lower sales price.</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receivable from Westlake were as follows:</w:t>
      </w:r>
    </w:p>
    <w:p>
      <w:pPr>
        <w:spacing w:after="0" w:line="124"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120" w:val="left"/>
          <w:tab w:leader="none" w:pos="9800" w:val="left"/>
          <w:tab w:leader="none" w:pos="10660" w:val="left"/>
        </w:tabs>
        <w:rPr>
          <w:sz w:val="20"/>
          <w:szCs w:val="20"/>
          <w:color w:val="auto"/>
        </w:rPr>
      </w:pPr>
      <w:r>
        <w:rPr>
          <w:rFonts w:ascii="Times New Roman" w:cs="Times New Roman" w:eastAsia="Times New Roman" w:hAnsi="Times New Roman"/>
          <w:sz w:val="18"/>
          <w:szCs w:val="18"/>
          <w:color w:val="auto"/>
        </w:rPr>
        <w:t>Accounts receivable—Westlake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63,571</w:t>
        <w:tab/>
        <w:t>$</w:t>
      </w:r>
      <w:r>
        <w:rPr>
          <w:sz w:val="20"/>
          <w:szCs w:val="20"/>
          <w:color w:val="auto"/>
        </w:rPr>
        <w:tab/>
      </w:r>
      <w:r>
        <w:rPr>
          <w:rFonts w:ascii="Times New Roman" w:cs="Times New Roman" w:eastAsia="Times New Roman" w:hAnsi="Times New Roman"/>
          <w:sz w:val="17"/>
          <w:szCs w:val="17"/>
          <w:color w:val="auto"/>
        </w:rPr>
        <w:t>31,975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to Related Parties</w:t>
      </w:r>
    </w:p>
    <w:p>
      <w:pPr>
        <w:spacing w:after="0" w:line="94"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payable to Westlake were as follows:</w:t>
      </w:r>
    </w:p>
    <w:p>
      <w:pPr>
        <w:spacing w:after="0" w:line="138"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120" w:val="left"/>
          <w:tab w:leader="none" w:pos="9800" w:val="left"/>
          <w:tab w:leader="none" w:pos="10660" w:val="left"/>
        </w:tabs>
        <w:rPr>
          <w:sz w:val="20"/>
          <w:szCs w:val="20"/>
          <w:color w:val="auto"/>
        </w:rPr>
      </w:pPr>
      <w:r>
        <w:rPr>
          <w:rFonts w:ascii="Times New Roman" w:cs="Times New Roman" w:eastAsia="Times New Roman" w:hAnsi="Times New Roman"/>
          <w:sz w:val="18"/>
          <w:szCs w:val="18"/>
          <w:color w:val="auto"/>
        </w:rPr>
        <w:t>Accounts payable—Westlake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19,132</w:t>
        <w:tab/>
        <w:t>$</w:t>
      </w:r>
      <w:r>
        <w:rPr>
          <w:sz w:val="20"/>
          <w:szCs w:val="20"/>
          <w:color w:val="auto"/>
        </w:rPr>
        <w:tab/>
      </w:r>
      <w:r>
        <w:rPr>
          <w:rFonts w:ascii="Times New Roman" w:cs="Times New Roman" w:eastAsia="Times New Roman" w:hAnsi="Times New Roman"/>
          <w:sz w:val="17"/>
          <w:szCs w:val="17"/>
          <w:color w:val="auto"/>
        </w:rPr>
        <w:t>20,744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Payable to Related Parties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8 for a description of related party debt payable balances.</w:t>
      </w:r>
    </w:p>
    <w:p>
      <w:pPr>
        <w:spacing w:after="0" w:line="17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Interest on related party debt payable balances, net of capitalized interest, for the years ended December 31, 2025, 2024 and 2023 was $22,899, $25,701 and $26,501, respectively. Interest on related party debt payable is presented as interest expense—Westlake in the consolidated statements of operations. At December 31, 2025 and 2024, accrued interest on related party debt was $5,508 and $5,848, respectively, and is reflected as a component of accrued and other liabilities in the consolidated balance sheets.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Debt payable to related parties was as follows:</w:t>
      </w:r>
    </w:p>
    <w:p>
      <w:pPr>
        <w:spacing w:after="0" w:line="138"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020" w:val="left"/>
          <w:tab w:leader="none" w:pos="9800" w:val="left"/>
          <w:tab w:leader="none" w:pos="10560" w:val="left"/>
        </w:tabs>
        <w:rPr>
          <w:sz w:val="20"/>
          <w:szCs w:val="20"/>
          <w:color w:val="auto"/>
        </w:rPr>
      </w:pPr>
      <w:r>
        <w:rPr>
          <w:rFonts w:ascii="Times New Roman" w:cs="Times New Roman" w:eastAsia="Times New Roman" w:hAnsi="Times New Roman"/>
          <w:sz w:val="18"/>
          <w:szCs w:val="18"/>
          <w:color w:val="auto"/>
        </w:rPr>
        <w:t>Long-term debt payable to Westlake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399,674</w:t>
        <w:tab/>
        <w:t>$</w:t>
      </w:r>
      <w:r>
        <w:rPr>
          <w:sz w:val="20"/>
          <w:szCs w:val="20"/>
          <w:color w:val="auto"/>
        </w:rPr>
        <w:tab/>
      </w:r>
      <w:r>
        <w:rPr>
          <w:rFonts w:ascii="Times New Roman" w:cs="Times New Roman" w:eastAsia="Times New Roman" w:hAnsi="Times New Roman"/>
          <w:sz w:val="17"/>
          <w:szCs w:val="17"/>
          <w:color w:val="auto"/>
        </w:rPr>
        <w:t>399,674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08" w:lineRule="exact"/>
        <w:rPr>
          <w:sz w:val="20"/>
          <w:szCs w:val="20"/>
          <w:color w:val="auto"/>
        </w:rPr>
      </w:pPr>
    </w:p>
    <w:p>
      <w:pPr>
        <w:ind w:right="640" w:firstLine="405"/>
        <w:spacing w:after="0" w:line="266" w:lineRule="auto"/>
        <w:rPr>
          <w:sz w:val="20"/>
          <w:szCs w:val="20"/>
          <w:color w:val="auto"/>
        </w:rPr>
      </w:pPr>
      <w:r>
        <w:rPr>
          <w:rFonts w:ascii="Times New Roman" w:cs="Times New Roman" w:eastAsia="Times New Roman" w:hAnsi="Times New Roman"/>
          <w:sz w:val="18"/>
          <w:szCs w:val="18"/>
          <w:color w:val="auto"/>
        </w:rPr>
        <w:t>OpCo is obligated to Westlake under various long-term and short-term noncancelable operating leases, primarily related to rail cars and land. Operating lease rentals paid to Westlake for such leases were $1,705, $1,843 and $1,869 for the years ended December 31, 2025, 2024 and 2023, respectively, and are reflected in other charges from Westlake that are included in cost of sales.</w:t>
      </w:r>
    </w:p>
    <w:p>
      <w:pPr>
        <w:spacing w:after="0" w:line="122"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OpCo has two site lease agreements with Westlake, each of which has a term of 50 years. Pursuant to the site lease agreements, OpCo pays Westlake one dollar per site per year.</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 and Concentration of Credit Risk</w:t>
      </w:r>
    </w:p>
    <w:p>
      <w:pPr>
        <w:spacing w:after="0" w:line="108"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Westlake accounted for approximately 88.6%, 83.7% and 86.2%, respectively, of the Partnership's net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0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the Partnership reimbursed $333, $351 and $347, respectively, to Westlake for certain state tax payments.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10 above for an additional transaction through which a related party acquired common units in a private placement.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Unit-based Compensation</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Westlake Chemical Partners LP Long-Term Incentive Plan (the "Plan") was adopted on July 15, 2014 and provides for grants of unit options, restricted units, phantom units, unit awards, distribution equivalent rights ("DERs") and other unit-based awards. The purpose of the Plan is to attract and retain the services of individuals who are essential for the growth and profitability of the Partnership and to encourage such individuals to devote their best efforts to advancing the business of the Partnership and its affiliates. Awards under the Plan are determined by the board of directors of the Partnership's general partner or a committee thereof (the "Committee"). Under the Plan, DERs may be granted, which represent a contingent right to receive an amount in cash, units, restricted units and/or phantom units, as determined by the Committee at its sole discretion, equal in value to the cash distributions made by the Partnership with respect to a common unit during the period such award is outstanding. The terms and conditions of each award are determined by the Committee. The maximum number of common units of the Partnership that may be delivered with respect to awards under the Plan is 1,270,000. The phantom units along with a corresponding number of DERs were granted to certain non-employee directors of the general partner of the Partnership during the years ended December 31, 2025, 2024 and 2023. These phantom units vest on the first anniversary of the grant date. There were no forfeitures under the Plan during 2025, 2024 and 2023. The total fair value of phantom units that vested during the years ended December 31, 2025, 2024 and 2023 was $322, $423 and $278, respectively.</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Non-vested phantom unit awards as of December 31, 2025 and 2024 and changes during the period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3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95"/>
        </w:trPr>
        <w:tc>
          <w:tcPr>
            <w:tcW w:w="826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6"/>
                <w:szCs w:val="16"/>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Average Fair Value</w:t>
            </w:r>
          </w:p>
        </w:tc>
      </w:tr>
      <w:tr>
        <w:trPr>
          <w:trHeight w:val="228"/>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2024</w:t>
            </w:r>
          </w:p>
        </w:tc>
        <w:tc>
          <w:tcPr>
            <w:tcW w:w="1440" w:type="dxa"/>
            <w:vAlign w:val="bottom"/>
            <w:tcBorders>
              <w:top w:val="single" w:sz="8" w:color="auto"/>
            </w:tcBorders>
            <w:shd w:val="clear" w:color="auto" w:fill="CCEEFF"/>
          </w:tcPr>
          <w:p>
            <w:pPr>
              <w:jc w:val="center"/>
              <w:ind w:left="716"/>
              <w:spacing w:after="0"/>
              <w:rPr>
                <w:sz w:val="20"/>
                <w:szCs w:val="20"/>
                <w:color w:val="auto"/>
              </w:rPr>
            </w:pPr>
            <w:r>
              <w:rPr>
                <w:rFonts w:ascii="Times New Roman" w:cs="Times New Roman" w:eastAsia="Times New Roman" w:hAnsi="Times New Roman"/>
                <w:sz w:val="18"/>
                <w:szCs w:val="18"/>
                <w:color w:val="auto"/>
                <w:w w:val="96"/>
              </w:rPr>
              <w:t>14,646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center"/>
              <w:ind w:left="716"/>
              <w:spacing w:after="0"/>
              <w:rPr>
                <w:sz w:val="20"/>
                <w:szCs w:val="20"/>
                <w:color w:val="auto"/>
              </w:rPr>
            </w:pPr>
            <w:r>
              <w:rPr>
                <w:rFonts w:ascii="Times New Roman" w:cs="Times New Roman" w:eastAsia="Times New Roman" w:hAnsi="Times New Roman"/>
                <w:sz w:val="18"/>
                <w:szCs w:val="18"/>
                <w:color w:val="auto"/>
                <w:w w:val="96"/>
              </w:rPr>
              <w:t>15,015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auto"/>
            </w:tcBorders>
            <w:shd w:val="clear" w:color="auto" w:fill="CCEEFF"/>
          </w:tcPr>
          <w:p>
            <w:pPr>
              <w:jc w:val="center"/>
              <w:ind w:left="696"/>
              <w:spacing w:after="0"/>
              <w:rPr>
                <w:sz w:val="20"/>
                <w:szCs w:val="20"/>
                <w:color w:val="auto"/>
              </w:rPr>
            </w:pPr>
            <w:r>
              <w:rPr>
                <w:rFonts w:ascii="Times New Roman" w:cs="Times New Roman" w:eastAsia="Times New Roman" w:hAnsi="Times New Roman"/>
                <w:sz w:val="18"/>
                <w:szCs w:val="18"/>
                <w:color w:val="auto"/>
              </w:rPr>
              <w:t>(14,646)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2025</w:t>
            </w:r>
          </w:p>
        </w:tc>
        <w:tc>
          <w:tcPr>
            <w:tcW w:w="1440" w:type="dxa"/>
            <w:vAlign w:val="bottom"/>
            <w:tcBorders>
              <w:bottom w:val="single" w:sz="8" w:color="auto"/>
            </w:tcBorders>
          </w:tcPr>
          <w:p>
            <w:pPr>
              <w:jc w:val="center"/>
              <w:ind w:left="716"/>
              <w:spacing w:after="0"/>
              <w:rPr>
                <w:sz w:val="20"/>
                <w:szCs w:val="20"/>
                <w:color w:val="auto"/>
              </w:rPr>
            </w:pPr>
            <w:r>
              <w:rPr>
                <w:rFonts w:ascii="Times New Roman" w:cs="Times New Roman" w:eastAsia="Times New Roman" w:hAnsi="Times New Roman"/>
                <w:sz w:val="18"/>
                <w:szCs w:val="18"/>
                <w:color w:val="auto"/>
                <w:w w:val="96"/>
              </w:rPr>
              <w:t>15,015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1"/>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Each phantom unit represents the right to receive, upon vesting, either a cash payment equal to the fair market value of one Partnership common unit or a Partnership common unit. Each DER has distribution rights only so long as the phantom units to which it relates to has not vested or been settled.</w:t>
      </w:r>
    </w:p>
    <w:p>
      <w:pPr>
        <w:spacing w:after="0" w:line="10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awards, which are classified as liability awards for financial accounting purposes, are measured at fair value on the grant date of the award and are re-measured at each reporting date until they vest based on the market price of the Partnership's units. The total units available for grant at December 31, 2025 were 1,184,657. The total compensation cost recognized during the years ended December 31, 2025, 2024 and 2023 was $301, $373 and $349, respectively, and is included in selling, general and administrative expenses and the related liability is classified as accrued and other liabilities in the consolidated financial statements of the Partnership. The unrecognized compensation cost associated with all grants under the Plan at December 31, 2025 was $169 and the weighted average remaining term of the units at December 31, 2025 was 0.6 years.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10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7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cash and cash equivalents, accounts receivable, net and accounts payable approximate their fair value due to the short maturities of these instruments. The carrying and fair values of the Partnership's long-term debt at December 31, 2025 and December 31, 2024 are summarized in the table below. The fair value of long-term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0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31"/>
        </w:trPr>
        <w:tc>
          <w:tcPr>
            <w:tcW w:w="52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4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8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20" w:type="dxa"/>
            <w:vAlign w:val="bottom"/>
          </w:tcPr>
          <w:p>
            <w:pPr>
              <w:spacing w:after="0"/>
              <w:rPr>
                <w:sz w:val="16"/>
                <w:szCs w:val="16"/>
                <w:color w:val="auto"/>
              </w:rPr>
            </w:pPr>
          </w:p>
        </w:tc>
        <w:tc>
          <w:tcPr>
            <w:tcW w:w="10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40" w:type="dxa"/>
            <w:vAlign w:val="bottom"/>
          </w:tcPr>
          <w:p>
            <w:pPr>
              <w:spacing w:after="0"/>
              <w:rPr>
                <w:sz w:val="16"/>
                <w:szCs w:val="16"/>
                <w:color w:val="auto"/>
              </w:rPr>
            </w:pPr>
          </w:p>
        </w:tc>
        <w:tc>
          <w:tcPr>
            <w:tcW w:w="90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53"/>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408,780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411,489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9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income tax of the Partnership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837</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(24)</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813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Partnership adopted ASU 2023-09 in the 2025 period and applied this standard prospectively. The adoption of this ASU resulted in additional income tax disclosures. The reconciliation of income tax expense at the U.S. statutory rate to the income tax expense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r>
      <w:tr>
        <w:trPr>
          <w:trHeight w:val="190"/>
        </w:trPr>
        <w:tc>
          <w:tcPr>
            <w:tcW w:w="8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316"/>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6"/>
        </w:trPr>
        <w:tc>
          <w:tcPr>
            <w:tcW w:w="8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federal income tax, at statutory rate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8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State income tax provision, net of federal income tax effect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income not subject to entity-level federal income tax</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(62,816)</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1"/>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State income taxes in Kentucky and Texas made up the majority (greater than 50 percent) of the tax effect in this category.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05"/>
        <w:spacing w:after="0" w:line="297" w:lineRule="auto"/>
        <w:rPr>
          <w:sz w:val="20"/>
          <w:szCs w:val="20"/>
          <w:color w:val="auto"/>
        </w:rPr>
      </w:pPr>
      <w:r>
        <w:rPr>
          <w:rFonts w:ascii="Times New Roman" w:cs="Times New Roman" w:eastAsia="Times New Roman" w:hAnsi="Times New Roman"/>
          <w:sz w:val="18"/>
          <w:szCs w:val="18"/>
          <w:color w:val="auto"/>
        </w:rPr>
        <w:t>The comparative periods are presented under the previous guidance within Accounting Standards Codification 740. The reconciliation of income tax expense at the U.S. statutory rate to the income tax expense is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federal income tax, at statutory rate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70,442</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provision, net of federal income tax effect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income not subject to entity-level federal income tax</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(70,442)</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tax effects of the principal temporary differences between financial reporting and income tax reporting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8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Turnaround costs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classifications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8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(1,546)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8920" w:firstLine="8"/>
        <w:spacing w:after="0" w:line="354" w:lineRule="auto"/>
        <w:tabs>
          <w:tab w:leader="none" w:pos="27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Accrued and Other Liabilities</w:t>
      </w:r>
    </w:p>
    <w:p>
      <w:pPr>
        <w:spacing w:after="0" w:line="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Accrued and other liabilities were $22,199 and $16,920 at December 31, 2025 and 2024, respectively. Accrued maintenance, accrued turnaround costs, and accrued interest on related party debt, which are components of accrued and other liabilities, were $2,764, $6,372, and $5,508, respectively, at December 31, 2025 and $1,458, $933, and $5,848, respectively, at December 31, 2024. No other component of accrued and other liabilities was more than five percent of total current liabilities.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Recoveries</w:t>
      </w:r>
    </w:p>
    <w:p>
      <w:pPr>
        <w:spacing w:after="0" w:line="10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Partnership recorded business interruption related insurance recoveries of $6,222 as a reduction to cost of sales. All insurance recovery proceeds were collected as of December 31, 2024. These recoveries were related to the settlement of insurance claims for Hurricane Laura, which impacted OpCo's Petro 1 and Petro 2 units in the second half of 2020 and impacted production in the subsequent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Activity</w:t>
      </w:r>
    </w:p>
    <w:p>
      <w:pPr>
        <w:spacing w:after="0" w:line="10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payable—third parties and accrued and other liabilities, were $3,243, $9,863, and $7,809 at December 31, 2025,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Income Taxes</w:t>
      </w:r>
    </w:p>
    <w:p>
      <w:pPr>
        <w:spacing w:after="0" w:line="10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Interest paid by the Partnership, net of interest capitalized, was $23,237, $26,528 and $24,537 for the years ended December 31, 2025, 2024 and 2023, respectively. Income tax paid by the Partnership was $873, $831 and $827 for the years ended December 31, 2025, 2024 and 2023, respectively, of which $540, $480 and $480 was paid directly to the tax authorities for the years ended December 31, 2025, 2024 and 2023, and $333, $351 and $347 was paid to Westlake as reimbursements for the years ended December 31, 2025, 2024 and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The Partnership's income taxes paid are presented in accordance with ASU 2023-09 and the standard is applied prospectively. The Partnership's payment of income taxes by jurisdiction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3"/>
        </w:trPr>
        <w:tc>
          <w:tcPr>
            <w:tcW w:w="9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taxes paid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0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Right-of-use assets obtained in exchange for operating lease obligations were $920, $758 and $5,079 for the years ended December 31, 2025, 2024 and 2023,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94"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Pursuant to the Omnibus Agreement, certain subsidiaries of Westlake will indemnify the Partnership for certain environmental and other liabilities that occurred or existed prior to August 4, 2014. Pursuant to the Services and Secondment Agreement, certain subsidiaries of Westlake will indemnify the Partnership for certain liabilities incurred in connection with the performance of Westlake's services under such agreement.</w:t>
      </w:r>
    </w:p>
    <w:p>
      <w:pPr>
        <w:spacing w:after="0" w:line="140"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Partnership is also involved in other legal proceedings incidental to the conduct of its business. After considering all relevant facts and circumstances, including applicable insurance and indemnification by Westlake, the Partnership does not believe that any of these legal proceedings will have a material adverse effect on its financial condition,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08"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Partnership has various purchase commitments for its capital projects and for materials, supplies and services incident to the ordinary conduct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108"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Partnership has one operating segment, which is the Partnership's reportable segment, OpCo. The operating results of the segment are reviewed by the Partnership's Chief Executive Officer, the chief operating decision maker ("CODM"). The CODM evaluates segment performance based on net income. The CODM reviews the OpCo segment's actual net income trends to allocate resources and assess performance.</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OpCo segment's operations consist of two ethylene production facilities in Lake Charles, Louisiana, one ethylene production facility in Calvert City, Kentucky and a 200-mile common carrier ethylene pipeline that runs from Mont Belvieu, Texas to Longview, Texas. OpCo derives substantially all of its revenue from these production facilities primarily by selling ethylene to Westlake and others, as well as through the sale of co-products of ethylene production, including propylene, crude butadiene, pyrolysis gasoline and hydrogen. All of the OpCo segment's operations are located and conducted in the United States. All of the OpCo segment's sales are attributed to the United States.</w:t>
      </w:r>
    </w:p>
    <w:p>
      <w:pPr>
        <w:spacing w:after="0" w:line="129"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Sales to Westlake accounted for more than 10% of sales in the OpCo segment, totaling $1,033,276, $950,801 and $1,026,655 for the years ended December 31, 2025, 2024 and 2023, respectively. Consolidated net sales and provision for income taxes as disclosed in the consolidated statements of operations and depreciation and amortization and additions to property, plant and equipment as disclosed in the consolidated statements of cash flows are fully attributed to the OpCo segment, and as such, separate OpCo segment amounts are not repeated in the tables below.</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7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accounting policies of the OpCo segment are the same as those described in Note 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Significant segment expenses and other segment items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Raw material, energy, manufacturing and logistics costs</w:t>
            </w: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690,869</w:t>
            </w: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127,978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111,899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cost of sales</w:t>
            </w: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24,853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24,699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26,217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3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expense—Westlake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 w:type="dxa"/>
            <w:vAlign w:val="bottom"/>
          </w:tcPr>
          <w:p>
            <w:pPr>
              <w:spacing w:after="0"/>
              <w:rPr>
                <w:sz w:val="19"/>
                <w:szCs w:val="19"/>
                <w:color w:val="auto"/>
              </w:rPr>
            </w:pPr>
          </w:p>
        </w:tc>
        <w:tc>
          <w:tcPr>
            <w:tcW w:w="4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OpCo</w:t>
            </w: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323,577</w:t>
            </w: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6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 reconciliation of total segment net income to consolidated net income is as follows: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OpCo</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323,577</w:t>
            </w: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net loss</w:t>
            </w: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(25,001)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(28,086)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(28,402)</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298,576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369,159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334,626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6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OpCo</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1,222,123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1,238,420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1,256,533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1,287,956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98" w:lineRule="exact"/>
        <w:rPr>
          <w:sz w:val="20"/>
          <w:szCs w:val="20"/>
          <w:color w:val="auto"/>
        </w:rPr>
      </w:pPr>
    </w:p>
    <w:p>
      <w:pPr>
        <w:ind w:left="5540" w:right="3000" w:hanging="5532"/>
        <w:spacing w:after="0" w:line="970" w:lineRule="auto"/>
        <w:tabs>
          <w:tab w:leader="none" w:pos="41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includes interest expense—Westlake, other income, net and provision for income taxes.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Exchange Act, as of the end of the period covered by this Annual Report on Form 10-K. Based upon that evaluation, our President and Chief Executive Officer and our Executive Vice President and Chief Financial Officer concluded that our disclosure controls and procedures were effective as of December 31, 2025 to provide reasonable assurance that information required to be disclosed by us in the reports that we file or submit under the Exchange Act is recorded, processed, summarized and reported within the time periods specified in the SEC's rules and forms, and is accumulated and communicated to management as appropriate to allow timely decisions regarding required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Management's report on internal control over financial reporting appears in Part II, Item 8 of this Annual Report on Form 10-K. In addition, PricewaterhouseCoopers LLP, the independent registered public accounting firm that audited the financial statements included in this Annual Report on Form 10-K, has also audited the effectiveness of internal control over financial reporting as of December 31, 2025, as stated in their report that appears in Part II, Item 8 of this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quarter ended December 31, 2025, that have materially affected, or are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92" w:lineRule="exact"/>
        <w:rPr>
          <w:sz w:val="20"/>
          <w:szCs w:val="20"/>
          <w:color w:val="auto"/>
        </w:rPr>
      </w:pPr>
    </w:p>
    <w:p>
      <w:pPr>
        <w:ind w:right="1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Rule 10b5-1 Trading Arrangements</w:t>
      </w:r>
      <w:r>
        <w:rPr>
          <w:rFonts w:ascii="Times New Roman" w:cs="Times New Roman" w:eastAsia="Times New Roman" w:hAnsi="Times New Roman"/>
          <w:sz w:val="18"/>
          <w:szCs w:val="18"/>
          <w:color w:val="auto"/>
        </w:rPr>
        <w:t>. During the three months ended December 31, 2025, no director or officer of the Partnership's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or terminated a "Rule 10b5-1 trading arrangement" or "non-Rule 10b5-1 trading arrangement," as each term is defined in Item 408 of Regulation 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9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are managed and operated by the board of directors and executive officers of our general partner, Westlake Chemical Partners GP LLC, a wholly-owned subsidiary of Westlake. As a result of owning our general partner, Westlake has the right to appoint all members of the board of directors of our general partner (the "board" or the "board of directors"), including at least three directors meeting the independence standards established by the NYSE and the Exchange Act. Our unitholders are not entitled to elect our general partner or its directors or otherwise directly participate in our management or operations. Our general partner owes certain contractual duties to our unitholders as well as a fiduciary duty to its owner, Westlake.</w:t>
      </w:r>
    </w:p>
    <w:p>
      <w:pPr>
        <w:spacing w:after="0" w:line="12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Our general partner has eight directors, three of whom are independent as defined under the standards established by the NYSE and the Exchange Act. The NYSE does not require a listed, publicly-traded partnership, such as ours, to have a majority of independent directors on the board of directors or to establish a compensation committee or a nominating committee. However, our general partner is required to have an audit committee of at least three members, and all its members are required to meet the independence and experience standards established by the NYSE and the Exchange Act.</w:t>
      </w:r>
    </w:p>
    <w:p>
      <w:pPr>
        <w:spacing w:after="0" w:line="12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All of the executive officers of our general partner listed below allocate their time between managing our business and affairs and the business and affairs of Westlake. The amount of time that our executive officers devote to our business and the business of Westlake varies in any given period based on a variety of factors. We expect our general partner's executive officers to devote as much time as is necessary for the proper conduct of our business and affairs. However, their fiduciary duties to Westlake and other obligations may prevent them from devoting sufficient time to our business and affairs.</w:t>
      </w:r>
    </w:p>
    <w:p>
      <w:pPr>
        <w:spacing w:after="0" w:line="12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reimburse our general partner and its affiliates, including Westlake, for all expenses they incur and payments they make on our behalf. The Partnership Agreement does not set a limit on the amount of expenses for which our general partner and its affiliates may be reimbursed. For the year ended December 31, 2025, we paid approximately $226.1 million for such expenses. These expenses include those we and OpCo incur under the Services and Secondment Agreement and the Omnibus Agreement, including salary, bonus, incentive compensation and other amounts paid to persons who perform services for us or on our behalf and expenses allocated to our general partner by Westlake.</w:t>
      </w:r>
    </w:p>
    <w:p>
      <w:pPr>
        <w:spacing w:after="0" w:line="129"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In evaluating director candidates for our general partner, Westlake will assess whether a candidate possesses the integrity, judgment, knowledge, experience, skill and expertise that are likely to enhance the board's ability to manage and direct our affairs and business, including, when applicable, to enhance the ability of committees of the board to fulfill their duties.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Our General Partner</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following table shows information for the executive officers and directors of our general partner as of February 27, 2026. Directors hold office until their successors have been elected or qualified or until the earlier of their death, resignation, removal or disqualification. Executive officers serve at the discretion of the board. The Executive Chairman of the Board of Directors and the Senior Chairman of the Board of Directors are brothers. Otherwise, there are no familial relationships among any of our general partner's directors or executive officers. Some of the directors and most of the executive officers of our general partner also serve as executive officers of Westlake. The directors and executive officers of our general partner have a fiduciary duty to manage our general partner in a manner beneficial to Westlake. Please read "Item 1A. Risk Factors—Risks Relating to Our Partnership Structure." Each director and executive officer of our general partner will be fully indemnified by us for actions associated with being a director or executive officer to the fullest extent permitted under Delaware law pursuant to the Partnership Agreement.</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38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1"/>
        </w:trPr>
        <w:tc>
          <w:tcPr>
            <w:tcW w:w="1020" w:type="dxa"/>
            <w:vAlign w:val="bottom"/>
            <w:tcBorders>
              <w:top w:val="single" w:sz="8" w:color="0000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40" w:type="dxa"/>
            <w:vAlign w:val="bottom"/>
            <w:gridSpan w:val="2"/>
            <w:vMerge w:val="restart"/>
          </w:tcPr>
          <w:p>
            <w:pPr>
              <w:spacing w:after="0"/>
              <w:rPr>
                <w:sz w:val="24"/>
                <w:szCs w:val="24"/>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Age (as of February 27,</w:t>
            </w:r>
          </w:p>
        </w:tc>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Position With Our General Partner</w:t>
            </w:r>
          </w:p>
        </w:tc>
        <w:tc>
          <w:tcPr>
            <w:tcW w:w="0" w:type="dxa"/>
            <w:vAlign w:val="bottom"/>
          </w:tcPr>
          <w:p>
            <w:pPr>
              <w:spacing w:after="0"/>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2840" w:type="dxa"/>
            <w:vAlign w:val="bottom"/>
            <w:gridSpan w:val="2"/>
            <w:vMerge w:val="continue"/>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 Steven Bender</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69</w:t>
            </w:r>
          </w:p>
        </w:tc>
        <w:tc>
          <w:tcPr>
            <w:tcW w:w="100" w:type="dxa"/>
            <w:vAlign w:val="bottom"/>
            <w:tcBorders>
              <w:top w:val="single" w:sz="8" w:color="CCEEFF"/>
            </w:tcBorders>
            <w:shd w:val="clear" w:color="auto" w:fill="CCEEFF"/>
          </w:tcPr>
          <w:p>
            <w:pPr>
              <w:spacing w:after="0"/>
              <w:rPr>
                <w:sz w:val="18"/>
                <w:szCs w:val="18"/>
                <w:color w:val="auto"/>
              </w:rPr>
            </w:pPr>
          </w:p>
        </w:tc>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Vice President, Chief Financial Officer and Director</w:t>
            </w:r>
          </w:p>
        </w:tc>
        <w:tc>
          <w:tcPr>
            <w:tcW w:w="0" w:type="dxa"/>
            <w:vAlign w:val="bottom"/>
          </w:tcPr>
          <w:p>
            <w:pPr>
              <w:spacing w:after="0"/>
              <w:rPr>
                <w:sz w:val="1"/>
                <w:szCs w:val="1"/>
                <w:color w:val="auto"/>
              </w:rPr>
            </w:pPr>
          </w:p>
        </w:tc>
      </w:tr>
      <w:tr>
        <w:trPr>
          <w:trHeight w:val="213"/>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Albert Y. Chao</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Chairman of the Board of Directors</w:t>
            </w:r>
          </w:p>
        </w:tc>
        <w:tc>
          <w:tcPr>
            <w:tcW w:w="0" w:type="dxa"/>
            <w:vAlign w:val="bottom"/>
          </w:tcPr>
          <w:p>
            <w:pPr>
              <w:spacing w:after="0"/>
              <w:rPr>
                <w:sz w:val="1"/>
                <w:szCs w:val="1"/>
                <w:color w:val="auto"/>
              </w:rPr>
            </w:pPr>
          </w:p>
        </w:tc>
      </w:tr>
      <w:tr>
        <w:trPr>
          <w:trHeight w:val="219"/>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James Y. Chao</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c>
          <w:tcPr>
            <w:tcW w:w="100" w:type="dxa"/>
            <w:vAlign w:val="bottom"/>
            <w:shd w:val="clear" w:color="auto" w:fill="CCEEFF"/>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Chairman of the Board of Directors</w:t>
            </w:r>
          </w:p>
        </w:tc>
        <w:tc>
          <w:tcPr>
            <w:tcW w:w="0" w:type="dxa"/>
            <w:vAlign w:val="bottom"/>
          </w:tcPr>
          <w:p>
            <w:pPr>
              <w:spacing w:after="0"/>
              <w:rPr>
                <w:sz w:val="1"/>
                <w:szCs w:val="1"/>
                <w:color w:val="auto"/>
              </w:rPr>
            </w:pPr>
          </w:p>
        </w:tc>
      </w:tr>
      <w:tr>
        <w:trPr>
          <w:trHeight w:val="213"/>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 Benjamin Ederington</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Legal and External Affairs and Director</w:t>
            </w:r>
          </w:p>
        </w:tc>
        <w:tc>
          <w:tcPr>
            <w:tcW w:w="0" w:type="dxa"/>
            <w:vAlign w:val="bottom"/>
          </w:tcPr>
          <w:p>
            <w:pPr>
              <w:spacing w:after="0"/>
              <w:rPr>
                <w:sz w:val="1"/>
                <w:szCs w:val="1"/>
                <w:color w:val="auto"/>
              </w:rPr>
            </w:pPr>
          </w:p>
        </w:tc>
      </w:tr>
      <w:tr>
        <w:trPr>
          <w:trHeight w:val="219"/>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 Stephen Finley</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c>
          <w:tcPr>
            <w:tcW w:w="100" w:type="dxa"/>
            <w:vAlign w:val="bottom"/>
            <w:shd w:val="clear" w:color="auto" w:fill="CCEEFF"/>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13"/>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Lisa A. Friel</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19"/>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Jean-Marc Gilson</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100" w:type="dxa"/>
            <w:vAlign w:val="bottom"/>
            <w:shd w:val="clear" w:color="auto" w:fill="CCEEFF"/>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0" w:type="dxa"/>
            <w:vAlign w:val="bottom"/>
          </w:tcPr>
          <w:p>
            <w:pPr>
              <w:spacing w:after="0"/>
              <w:rPr>
                <w:sz w:val="1"/>
                <w:szCs w:val="1"/>
                <w:color w:val="auto"/>
              </w:rPr>
            </w:pPr>
          </w:p>
        </w:tc>
      </w:tr>
      <w:tr>
        <w:trPr>
          <w:trHeight w:val="213"/>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Jeffrey A. Holy</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Vice President and Chief Accounting Officer</w:t>
            </w:r>
          </w:p>
        </w:tc>
        <w:tc>
          <w:tcPr>
            <w:tcW w:w="0" w:type="dxa"/>
            <w:vAlign w:val="bottom"/>
          </w:tcPr>
          <w:p>
            <w:pPr>
              <w:spacing w:after="0"/>
              <w:rPr>
                <w:sz w:val="1"/>
                <w:szCs w:val="1"/>
                <w:color w:val="auto"/>
              </w:rPr>
            </w:pPr>
          </w:p>
        </w:tc>
      </w:tr>
      <w:tr>
        <w:trPr>
          <w:trHeight w:val="219"/>
        </w:trPr>
        <w:tc>
          <w:tcPr>
            <w:tcW w:w="3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Amy E. Moore</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100" w:type="dxa"/>
            <w:vAlign w:val="bottom"/>
            <w:shd w:val="clear" w:color="auto" w:fill="CCEEFF"/>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Vice President, Olefins and Polyethylene</w:t>
            </w:r>
          </w:p>
        </w:tc>
        <w:tc>
          <w:tcPr>
            <w:tcW w:w="0" w:type="dxa"/>
            <w:vAlign w:val="bottom"/>
          </w:tcPr>
          <w:p>
            <w:pPr>
              <w:spacing w:after="0"/>
              <w:rPr>
                <w:sz w:val="1"/>
                <w:szCs w:val="1"/>
                <w:color w:val="auto"/>
              </w:rPr>
            </w:pPr>
          </w:p>
        </w:tc>
      </w:tr>
      <w:tr>
        <w:trPr>
          <w:trHeight w:val="210"/>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Randy G. Woelfel</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 Steven Bender</w:t>
      </w:r>
      <w:r>
        <w:rPr>
          <w:rFonts w:ascii="Times New Roman" w:cs="Times New Roman" w:eastAsia="Times New Roman" w:hAnsi="Times New Roman"/>
          <w:sz w:val="18"/>
          <w:szCs w:val="18"/>
          <w:color w:val="auto"/>
        </w:rPr>
        <w:t>. Mr. Bender has been our general partner's Executive Vice President and Chief Financial Officer since February 2021 and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since our general partner's formation in March 2014. Mr. Bender served as our general partner's Senior Vice President and Chief Financial Officer from March 2014 to February 2021 and as Treasurer from April 2015 to February 2019. Mr. Bender has also been Westlake's Executive Vice President and Chief Financial Officer since July 2017. From February 2008 to July 2017, Mr. Bender served as Westlake's Senior Vice President and Chief Financial Officer. In addition, Mr. Bender served as Westlake's Treasurer from July 2011 to April 2017, a position he also held from February 2008 until December 2010. From February 2007 to February 2008, Mr. Bender served as Westlake's Vice President, Chief Financial Officer and Treasurer and, from June 2005 to February 2007, he was its Vice President and Treasurer. Prior to joining Westlake, from June 2002 until June 2005, Mr. Bender served as Vice President and Treasurer of KBR, Inc. and, from 1996 to 2002, he held the position of Assistant Treasurer for Halliburton Company. Prior to that, he held various financial positions within that company. Additionally, he was employed by Texas Eastern Corporation for over a decade in a variety of increasingly responsible audit, finance and treasury positions. Mr. Bender received a Bachelor of Business Administration from Texas A&amp;M University and an M.B.A. from Southern Methodist University. Mr. Bender is also a Certified Public Accountant.</w:t>
      </w:r>
    </w:p>
    <w:p>
      <w:pPr>
        <w:spacing w:after="0" w:line="12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Albert Y. Chao</w:t>
      </w:r>
      <w:r>
        <w:rPr>
          <w:rFonts w:ascii="Times New Roman" w:cs="Times New Roman" w:eastAsia="Times New Roman" w:hAnsi="Times New Roman"/>
          <w:sz w:val="18"/>
          <w:szCs w:val="18"/>
          <w:color w:val="auto"/>
        </w:rPr>
        <w:t>. Mr. Chao has been Executive Chairman of the Board of Directors of our general partner since July 2024, a director since our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formation in March 2014 and served as President and Chief Executive Officer from March 2014 to July 2024. Additionally, Mr. Chao has been Westlake's Executive Chairman of the Board of Directors since July 2024 and a director since June 2003. From May 1996 to July 2024, Mr. Chao served as Westlake's President and, from July 2004 to July 2024, he served as Westlake's Chief Executive Officer. In 1985, Mr. Chao assisted his father, T.T. Chao, and his brother, James Chao, in founding Westlake. He has held positions in the Controller's Group of Mobil Oil Corporation, in the Technical Department of Hercules Incorporated, in the Plastics Group of Gulf Oil Corporation and has served as Assistant to the Chairman of China General Plastics Group and Deputy Managing Director of a plastics fabrication business in Singapore. Mr. Chao received a bachelor's degree from Brandeis University and an M.B.A. from Columbia University.</w:t>
      </w:r>
    </w:p>
    <w:p>
      <w:pPr>
        <w:spacing w:after="0" w:line="13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James Y. Chao</w:t>
      </w:r>
      <w:r>
        <w:rPr>
          <w:rFonts w:ascii="Times New Roman" w:cs="Times New Roman" w:eastAsia="Times New Roman" w:hAnsi="Times New Roman"/>
          <w:sz w:val="18"/>
          <w:szCs w:val="18"/>
          <w:color w:val="auto"/>
        </w:rPr>
        <w:t>. Mr. Chao has been Senior Chairman of the Board of Directors of our general partner since July 2024, a director since our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formation in March 2014 and served as Chairman of the Board from July 2014 to July 2024. Additionally, Mr. Chao has been Westlake's Senior Chairman of the Board of Directors since July 2024 and became a director in June 2003. From July 2004 to July 2024, Mr. Chao served as Westlake's Chairman of the Board and, from May 1996 to July 2004, he served as Westlake's Vice Chairman. From June 2003 until November 2010, Mr. Chao was the executive chairman of Titan Chemicals Corp. Bhd. He has served as a Special Assistant to the Chairman of China General Plastics Group and worked in various financial, managerial and technical positions at Mattel Incorporated, Developmental Bank of Singapore, Singapore Gulf Plastics Pte. Ltd. and Gulf Oil Corporation. Mr. Chao, along with his brother, Albert Chao, assisted their father, T.T. Chao, in founding Westlake. Mr. Chao received his B.S. degree from the Massachusetts Institute of Technology and an M.B.A. from Columbia University.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L. Benjamin Ederington</w:t>
      </w:r>
      <w:r>
        <w:rPr>
          <w:rFonts w:ascii="Times New Roman" w:cs="Times New Roman" w:eastAsia="Times New Roman" w:hAnsi="Times New Roman"/>
          <w:sz w:val="18"/>
          <w:szCs w:val="18"/>
          <w:color w:val="auto"/>
        </w:rPr>
        <w:t>. Mr. Ederington has been our general partner's Executive Vice President, Legal and External Affairs since May 2025 and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since our general partner's formation in March 2014. Mr. Ederington served as our general partner's Executive Vice President, Performance and Essential Materials, General Counsel and Chief Administrative Officer from May 2023 to May 2025; Executive Vice President, General Counsel, Chief Administrative Officer and Corporate Secretary from March 2022 to May 2023; Senior Vice President, General Counsel, Chief Administrative Officer and Corporate Secretary from February 2021 to March 2022; and as Vice President, General Counsel and Secretary from March 2014 to February 2021. Mr. Ederington has also been Westlake's Executive Vice President, Legal and External Affairs since April 2025. From April 2023 to April 2025, Mr. Ederington served as Westlake's Executive Vice President, Performance and Essential Materials, General Counsel and Chief Administrative Officer; from March 2022 to April 2023, he was its Executive Vice President, General Counsel, Chief Administrative Officer and Corporate Secretary; from July 2017 to March 2022, he was its Senior Vice President, General Counsel, Chief Administrative Officer and Corporate Secretary; from December 2015 to July 2017, he was its Vice President, General Counsel, Chief Administrative Officer and Corporate Secretary; and, from October 2013 to December 2015, he was its Vice President, General Counsel and Corporate Secretary. Prior to joining Westlake, he held a variety of senior legal positions at LyondellBasell Industries, N.V. and its predecessor companies, LyondellBasell Industries AF SCA and Lyondell Chemical Company, including most recently as Associate General Counsel, Commercial &amp; Strategic Transactions. He began his legal career more than 25 years ago at the law firm of Steptoe &amp; Johnson, LLP. Mr. Ederington holds a B.A. from Yale University and received his J.D. from Harvard University.</w:t>
      </w:r>
    </w:p>
    <w:p>
      <w:pPr>
        <w:spacing w:after="0" w:line="13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G. Stephen Finley</w:t>
      </w:r>
      <w:r>
        <w:rPr>
          <w:rFonts w:ascii="Times New Roman" w:cs="Times New Roman" w:eastAsia="Times New Roman" w:hAnsi="Times New Roman"/>
          <w:sz w:val="18"/>
          <w:szCs w:val="18"/>
          <w:color w:val="auto"/>
        </w:rPr>
        <w:t>. Mr. Finley has been a director of our general partner since March 2020 and serves on the audit and conflicts committees.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Finley was the Senior Vice President, Finance &amp; Administration and Chief Financial Officer of Baker Hughes Incorporated from April 1999 until his retirement in April 2006. Prior to that, from February 1982 to April 1999, Mr. Finley held various financial and administrative management positions with Baker Hughes. From June 2007 to May 2022, Mr. Finley served on the Board of Directors of Newpark Resources, Inc. and, from November 2006 to April 2018, he served on the Board of Directors of Archrock GP, LLC (previously known as Exterran GP, LLC), the general partner of Archrock Partners, L.P. He also served on the Board of Directors of Columbia Pipeline Partners LP from March 2015 to February 2017, Microseismic, Inc. from April 2012 to December 2014, Total Safety U.S., Inc. from December 2006 until November 2011, and Ocean Rig ASA from June 2006 to June 2008. Mr. Finley received a Bachelor of Science degree in Accounting from Indiana State University.</w:t>
      </w:r>
    </w:p>
    <w:p>
      <w:pPr>
        <w:spacing w:after="0" w:line="131" w:lineRule="exact"/>
        <w:rPr>
          <w:sz w:val="20"/>
          <w:szCs w:val="20"/>
          <w:color w:val="auto"/>
        </w:rPr>
      </w:pPr>
    </w:p>
    <w:p>
      <w:pPr>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Lisa A. Friel</w:t>
      </w:r>
      <w:r>
        <w:rPr>
          <w:rFonts w:ascii="Times New Roman" w:cs="Times New Roman" w:eastAsia="Times New Roman" w:hAnsi="Times New Roman"/>
          <w:sz w:val="18"/>
          <w:szCs w:val="18"/>
          <w:color w:val="auto"/>
        </w:rPr>
        <w:t>. Ms. Friel has been a director of our general partner since April 2023 and serves on the audit and conflicts committees. Ms. Friel was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Partner of Ernst &amp; Young LLP's San Antonio, Texas office from July 2012 until her retirement in September 2020. Ms. Friel began her career with Ernst &amp; Young LLP in 1988. Ms. Friel holds a bachelor's of science degree in Accounting and Business Administration from the University of Kansas and is a Certified Public Accountant.</w:t>
      </w:r>
    </w:p>
    <w:p>
      <w:pPr>
        <w:spacing w:after="0" w:line="122"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Jean-Marc Gilson</w:t>
      </w:r>
      <w:r>
        <w:rPr>
          <w:rFonts w:ascii="Times New Roman" w:cs="Times New Roman" w:eastAsia="Times New Roman" w:hAnsi="Times New Roman"/>
          <w:sz w:val="18"/>
          <w:szCs w:val="18"/>
          <w:color w:val="auto"/>
        </w:rPr>
        <w:t>. Mr. Gilson has been our general partner's President and Chief Executive Officer and a director since July 2024. Mr. Gilson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also served as President and Chief Executive Officer of Westlake since July 2024 and a director since February 2026. Prior to joining Westlake, Mr. Gilson served as President, Chief Executive Officer and Representative Director of Mitsubishi Chemical Group Corporation (formerly known as Mitsubishi Chemical Holdings Corporation), from April 2021 until April 2024. From September 2014 until December 2020, Mr. Gilson served as Chief Executive Officer of Roquette Frères. Before that, Mr. Gilson served as Vice-Chairman and Chief Operating Officer of NuSil Technology LLC. Earlier in his career, Mr. Gilson held various leadership roles at Dow Corning Corporation, including as Executive Vice President, Specialty Chemicals Business, before becoming Chief Executive Officer of Avantor Performance Materials, Inc. Mr. Gilson holds a Master of Science in Chemical Engineering from the University of Liege in Belgium and a Master of Business Administration from the International Institute for Management Development in Switzerland.</w:t>
      </w:r>
    </w:p>
    <w:p>
      <w:pPr>
        <w:spacing w:after="0" w:line="131"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Jeffrey A. Holy</w:t>
      </w:r>
      <w:r>
        <w:rPr>
          <w:rFonts w:ascii="Times New Roman" w:cs="Times New Roman" w:eastAsia="Times New Roman" w:hAnsi="Times New Roman"/>
          <w:sz w:val="18"/>
          <w:szCs w:val="18"/>
          <w:color w:val="auto"/>
        </w:rPr>
        <w:t>. Mr. Holy has been our general partner's Vice President and Chief Accounting Officer since April 2024. From April 2017 to April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Mr. Holy served as our general partner's Vice President and Treasurer. Mr. Holy has also been Westlake's Vice President and Chief Accounting Officer since April 2024, and, from April 2017 to April 2024, Mr. Holy served as its Vice President and Treasurer. Prior to joining Westlake, from October 2014 to March 2017, Mr. Holy was Assistant Treasurer at FMC Technologies, Inc. and, from October 2013 to September 2014, Director of Corporate Finance. From September 2007 to September 2013, he held various financial positions at General Motors Company in their Treasurers' Office in New York and Germany. He began his career in public accounting with Ernst &amp; Young LLP in 2001. Mr. Holy holds a Bachelor of Science Degree from Trinity University in Business Administration and Economics, a Master in Accounting Degree from the University of Virginia, and a Master in Finance Degree from London Business School. He is a Chartered Financial Analyst and Certified Public Accountant.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00"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Amy E. Moore. </w:t>
      </w:r>
      <w:r>
        <w:rPr>
          <w:rFonts w:ascii="Times New Roman" w:cs="Times New Roman" w:eastAsia="Times New Roman" w:hAnsi="Times New Roman"/>
          <w:sz w:val="18"/>
          <w:szCs w:val="18"/>
          <w:color w:val="auto"/>
        </w:rPr>
        <w:t>Ms. Moore has been our general partner's Vice President, Olefins and Polyethylene since August 2025. In addition, Ms. Moore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Westlake's Vice President, Olefins and Polyethylene since April 2025. From March 2022 to April 2025, Ms. Moore served as Westlake's Vice President, Polyethylene; from November 2019 to March 2022 she was its Business Director, Polyethylene; from August 2018 to October 2019 she was its Business Manager, Polyethylene; and from August 2010 to July 2018 she was its Commercial Manager, Olefins Products. Prior to joining Westlake, Ms. Moore held a number of positions in manufacturing, sales and business planning at Chevron Phillips Chemical Company in their Olefins and Polyethylene division. Ms. Moore holds a B.S. in Chemical Engineering and a Masters of Business Administration from Lamar University.</w:t>
      </w:r>
    </w:p>
    <w:p>
      <w:pPr>
        <w:spacing w:after="0" w:line="12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Randy G. Woelfel</w:t>
      </w:r>
      <w:r>
        <w:rPr>
          <w:rFonts w:ascii="Times New Roman" w:cs="Times New Roman" w:eastAsia="Times New Roman" w:hAnsi="Times New Roman"/>
          <w:sz w:val="18"/>
          <w:szCs w:val="18"/>
          <w:color w:val="auto"/>
        </w:rPr>
        <w:t>. Mr. Woelfel has been a director of our general partner since November 2019 and serves on the audit and conflicts committees.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Woelfel served as a director of Black &amp; Veatch Holding Company from March 2013 to December 2025 and was Chief Executive Officer and a director of NOVA Chemicals Corporation from November 2009 until May 2014. Prior to joining NOVA, Mr. Woelfel was Managing Director of Energy for the Houston Technology Center and President of Cereplast, Inc. He began his career with Shell Oil Company in 1977. While at Shell Oil and affiliated companies, he served in a variety of senior positions, including President of Basell International, President of Basell North America and as a board member of numerous Basell International petrochemical ventures. Since 2014, Mr. Woelfel has provided services as a business consultant through Woelfel Associates Inc., a company that provides strategic advice to boards of directors and businesses. Mr. Woelfel received a Bachelor of Science degree in Chemical Engineering from Rice University and a Master's degree in Management from the Massachusetts Institute of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94"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the rules of the NYSE, the board of directors of our general partner currently has three independent directors. The board of directors of our general partner has determined that each of Messrs. Finley and Woelfel and Ms. Friel is independent as defined under the independence standards established by the NYSE and the Exchange Act.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 of our General Partner</w:t>
      </w:r>
    </w:p>
    <w:p>
      <w:pPr>
        <w:spacing w:after="0" w:line="10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board of directors of our general partner has one standing committee: the audit committee. The board of directors of our general partner may also form a conflicts committee from time to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of our general partner's board of directors (the "audit committee") has been established in accordance with Section 3(a)(58)(A) of the Exchange Act, and consists of Messrs. Finley and Woelfel and Ms. Friel, all of whom are independent. Mr. Finley is the current chairman of the audit committee. The board of directors of our general partner has determined that each of Messrs. Finley and Woelfel and Ms. Friel is an "audit committee financial expert" within the meaning of the SEC rules and "financially literate" within the meaning of the NYSE regulations. The audit committee operates pursuant to a written charter, an electronic copy of which is available on our website at </w:t>
      </w:r>
      <w:r>
        <w:rPr>
          <w:rFonts w:ascii="Times New Roman" w:cs="Times New Roman" w:eastAsia="Times New Roman" w:hAnsi="Times New Roman"/>
          <w:sz w:val="18"/>
          <w:szCs w:val="18"/>
          <w:i w:val="1"/>
          <w:iCs w:val="1"/>
          <w:color w:val="auto"/>
        </w:rPr>
        <w:t>www.wlkpartners.com</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audit committee assists the board of directors of our general partner in its oversight of the integrity of our consolidated and combined financial statements and our compliance with legal and regulatory requirements and partnership policies and controls. The audit committee has the sole authority to</w:t>
      </w:r>
    </w:p>
    <w:p>
      <w:pPr>
        <w:ind w:right="40" w:firstLine="8"/>
        <w:spacing w:after="0" w:line="253"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is given unrestricted access to the audit committee and our management, as necessary.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Committee</w:t>
      </w:r>
    </w:p>
    <w:p>
      <w:pPr>
        <w:spacing w:after="0" w:line="9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As set forth in the limited liability company agreement of our general partner, our general partner's board of directors may, from time to time, form a conflicts committee to which the board of directors of our general partner will appoint independent directors and which may be asked to review specific matters that the board believes may involve conflicts of interest between us, our limited partners and Westlake. The conflicts committee will determine the resolution of the conflict of interest in any manner referred to it in good faith. The members of the conflicts committee may not be officers or employees of our general partner or directors, officers or employees of its affiliates, including Westlake, and must meet the independence standards established by the NYSE and the Exchange Act to serve on an audit committee of a board of directors, along with other requirements in the Partnership Agreement. Messrs. Finley and Woelfel and Ms. Friel serve on the conflicts committee. Mr. Woelfel is the current chair of the conflicts committee. Any matters approved by the conflicts committee in good faith will be conclusively deemed to be fair and reasonable to us, approved by all of our partners and not a breach by our general partner of any duties it may owe us or our unitholders.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w:t>
      </w:r>
    </w:p>
    <w:p>
      <w:pPr>
        <w:spacing w:after="0" w:line="108"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During the last fiscal year, our general partner's board of directors held nine meetings and our general partner's audit committee held seven meetings. Our general partner's conflicts committee did not hold any meetings in the last fiscal year. None of the directors attended fewer than 75% of the aggregate number of meetings of the board of directors and committees of the board on which the director served.</w:t>
      </w:r>
    </w:p>
    <w:p>
      <w:pPr>
        <w:spacing w:after="0" w:line="12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board of directors holds regular executive sessions in which the independent directors meet without any non-independent directors or members of management. The purpose of these executive sessions is to promote open and candid discussion among the independent directors. The rules of the NYSE require that one of the independent directors must preside over each executive session, and the role of presiding director is rotated among each of the independent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Board of Directors</w:t>
      </w:r>
    </w:p>
    <w:p>
      <w:pPr>
        <w:spacing w:after="0" w:line="10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 holder of our units or other interested party who wishes to communicate with the non-management directors may do so by contacting our corporate secretary at the address or phone number appearing on the front page of this report. Communications will be relayed to the intended recipient of the board of directors except in instances where it is deemed unnecessary or inappropriate to do so pursuant to the procedures established by the audit committee. Any communications withheld under those guidelines will nonetheless be recorded and available for any director who wishes to review them.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 and Code of Ethics</w:t>
      </w:r>
    </w:p>
    <w:p>
      <w:pPr>
        <w:spacing w:after="0" w:line="9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Ethics for the Principal Executive Officer, Principal Financial Officer and Principal Accounting Officer (the "Code of Ethics") that applies to each of the Principal Executive, Financial and Accounting Officers of our general partner, as required by Section 406 of the Sarbanes-Oxley Act of 2002. Furthermore, we have adopted Principles of Corporate Governance and a charter for our audit committee. Each of the foregoing is available on our website at </w:t>
      </w:r>
      <w:r>
        <w:rPr>
          <w:rFonts w:ascii="Times New Roman" w:cs="Times New Roman" w:eastAsia="Times New Roman" w:hAnsi="Times New Roman"/>
          <w:sz w:val="18"/>
          <w:szCs w:val="18"/>
          <w:i w:val="1"/>
          <w:iCs w:val="1"/>
          <w:color w:val="auto"/>
        </w:rPr>
        <w:t>www.wlkpartners.com</w:t>
      </w:r>
      <w:r>
        <w:rPr>
          <w:rFonts w:ascii="Times New Roman" w:cs="Times New Roman" w:eastAsia="Times New Roman" w:hAnsi="Times New Roman"/>
          <w:sz w:val="18"/>
          <w:szCs w:val="18"/>
          <w:color w:val="auto"/>
        </w:rPr>
        <w:t xml:space="preserve"> in the "Corporate Governance" section of our Investor Relations tab. We provide copies, free of charge, of any of the foregoing upon receipt of a written request. We disclose amendments and director and executive officer waivers with regard to the Code of Ethics, if any, on our website or by filing a Current Report on Form 8-K to the extent required. Furthermore, the certifications of our general partner's Chief Executive Officer and Chief Financial Officer, as required by Section 302 of the Sarbanes-Oxley Act, have been included as exhibits to this report.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NYSE Corporate Governance Listing Standards</w:t>
      </w:r>
    </w:p>
    <w:p>
      <w:pPr>
        <w:spacing w:after="0" w:line="10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NYSE requires the chief executive officer of each listed company to certify annually that he is not aware of any violation by the company of the NYSE corporate governance listing standards as of the date of the certification, qualifying the certification to the extent necessary. The Chief Executive Officer of our general partner provided such certification to the NYSE in 2025 without qualification. You can also find information about us at the offices of the NYSE, 20 Broad Street, New York, New York 10005 or at the NYSE's Internet site (</w:t>
      </w:r>
      <w:r>
        <w:rPr>
          <w:rFonts w:ascii="Times New Roman" w:cs="Times New Roman" w:eastAsia="Times New Roman" w:hAnsi="Times New Roman"/>
          <w:sz w:val="18"/>
          <w:szCs w:val="18"/>
          <w:i w:val="1"/>
          <w:iCs w:val="1"/>
          <w:color w:val="auto"/>
        </w:rPr>
        <w:t>www.nyse.com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and sale of our securities by our directors, officers and employees and the directors, officers and employees of our subsidiaries and affiliates, that we believe is reasonably designed to promote compliance with insider trading laws, rules and regulations, and applicable NYSE listing standards. A copy of our insider trading policy is filed as Exhibit 19 to this report.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94"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persons who own more than 10% of our common units to file with the SEC and the NYSE initial reports of ownership and reports of changes in ownership of common units. Based solely on a review of the copies of such reports filed electronically with the SEC and representations that no other reports were required, we believe that all of our directors and executive officers complied on a timely basis with all applicable filing requirements under Section 16(a) of the Exchange Act during 2024 and 2025, except that Mr. Gilson filed, in each case after the time prescribed, a Form 4 reporting six acquisitions of common units, and a Form 4/A reporting one acquisition of common units.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08"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Neither we nor our general partner directly employ any of the persons responsible for managing our business. All of our general partner's executive officers are employees of Westlake. In accordance with the terms of the Omnibus Agreement with Westlake, effective August 4, 2014, as amended, we reimburse Westlake for compensation-related expenses attributable to the portion of our executive officers' time dedicated to providing services to us. In connection with Westlake's annual budget process, Westlake determines a budgeted allocation rate, which represents an estimated average percentage of expected time that will be spent by each of the executive officers on our business during the succeeding year. The executive officers provide input as to what those estimated percentages should be. Those estimates are revised each year based on historical experience and business plans for the following year. The executive officers do not keep logs of their time spent on our matters. Since the allocation rate is initially estimated, the actual time spent by an executive officer on our behalf may vary from the budgeted allocation rate, and we may recognize an adjustment at the end of the year if allocating more or less of that executive officer's compensation than the actual percentage of his time spent on our behalf in a given year. During 2025, Mr. Jean-Marc Gilson devoted approximately 10% of his total business time to our general partner, our consolidated subsidiaries (including OpCo) and us and Mr. Steven Bender devoted approximately 10% of his total business time to our general partner, our consolidated subsidiaries (including OpCo) and us. The allocation of the executive officers' time in future years and, in turn, future compensation allocations, may differ from the time and compensation allocated for each executive officer in 2025.</w:t>
      </w:r>
    </w:p>
    <w:p>
      <w:pPr>
        <w:spacing w:after="0" w:line="133"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Westlake has determined that only the base salary of each of the Westlake executive officers shall be allocated to us based on the percentages of business time set forth above. This is because Westlake's other compensation components such as Westlake equity awards and annual and quarterly cash incentive plans are determined based on the achievement of specific performance goals of Westlake's business, and not our business. Westlake has significant assets and holdings outside of us and our general partner.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94"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For 2025, our named executive officers ("NEOs") consisted of our general partner's principal executive officer, Mr. Jean-Marc Gilson, and our general partner's principal financial officer, Mr. Steven Bender. The compensation allocated to us in 2025 for each of the other executive officers of our general partner did not exceed $100,000. Therefore, none of the other executive officers are considered NEOs for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Decisions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Westlake has ultimate decision-making authority with respect to the total compensation of our NEOs because our NEOs are employed by Westlake.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compensation decisions will not be subject to any approvals by us, the board of directors or any committees thereof.</w:t>
      </w:r>
    </w:p>
    <w:p>
      <w:pPr>
        <w:spacing w:after="0" w:line="153"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Except for amounts that we pay to Westlake under the Omnibus Agreement, we do not otherwise pay or reimburse any compensation amounts to or for our NEOs. Each of our executive officers (including our NEOs) is eligible to receive grants of unit-based awards under the Westlake Chemical Partners LP Long Term Incentive Plan (as amended and restated effective May 8, 2024) (the "LTIP"), but none has to date received any awards (including options or similar equity awards) under the LTIP. As a result, we have not adopted a policy regarding the timing of grants of option awards. Any awards under the LTIP must be approved by the board of directors.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Westlake Compensation Committee Oversight</w:t>
      </w:r>
    </w:p>
    <w:p>
      <w:pPr>
        <w:spacing w:after="0" w:line="94"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board of directors of Westlake has established a compensation committee (the "Westlake Compensation Committee") to review and provide oversight of the compensation programs of Westlake and the compensation of the principal executive officer of Westlake (the "Westlake PEO"), the other named executive officers of Westlake (together with the Westlake PEO, the "Westlake NEOs") and other employees designated as executive officers of Westlake (collectively, the "Westlake Executives").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Advisors</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To assist the Westlake Compensation Committee in respect of its oversight responsibilities, the Westlake Compensation Committee periodically utilizes the services of independent third-party compensation consultants to conduct compensation surveys and determine compensation trends, analyze and assess Westlake's compensation systems and programs (which includes the compensation of the Westlake Executives), review current legal, accounting and administrative matters associated with executive compensation and offer opinions as to the effectiveness and competitiveness of the program. For 2025, the Westlake Compensation Committee directly engaged the services of Willis Towers Watson as a compensation consultant to advise the Westlake Compensation Committee on executive compensation matters. Willis Towers Watson assists the Westlake Compensation Committee by providing comparative market data on compensation programs and practices of peer competitors, the broader-based chemical and building products industries and general industry. Willis Towers Watson also assists Westlake with general compensation consultation regarding employees other than the Westlake NEOs. In 2025, Westlake paid Willis Towers Watson approximately $227,000 for compensation advisory services and approximately $3.7 million for other services (primarily related to due diligence and integration support and the administration of Westlake's legacy defined benefit retirement plans). The decision to engage Willis Towers Watson for the non-executive-compensation services of Westlake was made by Westlake management and approved by the Westlake Compensation Committee. In February 2026, the Westlake Compensation Committee assessed whether the work of Willis Towers Watson for Westlake during 2025 raised any conflict of interest and concluded that no conflict of interest exists.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Deliberative Process</w:t>
      </w:r>
    </w:p>
    <w:p>
      <w:pPr>
        <w:spacing w:after="0" w:line="108"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In establishing targeted levels of executive compensation, the Westlake Compensation Committee has selected a set of peer group companies (the "Peer Group") from among companies of relative comparable size to Westlake, with executive positions of similar scope and responsibility, and from among companies with which Westlake may compete for executive talent. With the assistance of Willis Towers Watson, the Westlake Compensation Committee reviews the Peer Group on a regular basis. To validate current peers and identify potential new peer companies, Willis Towers Watson conducts a comprehensive review using both objective and qualitative criteria that the Westlake Compensation Committee deems to be appropriate, including recent developments with current peer companies (e.g., merger and acquisition activity and changes in financial performance), revenue, industry classification, market capitalization and other financial data, peers of peers analysis, business and product portfolios, peers as identified by proxy advisory firms such as ISS and Glass Lewis, and business and labor market competitors, with an overall objective of achieving approximately a median ranking for Westlake within the Peer Group.</w:t>
      </w:r>
    </w:p>
    <w:p>
      <w:pPr>
        <w:spacing w:after="0" w:line="134" w:lineRule="exact"/>
        <w:rPr>
          <w:sz w:val="20"/>
          <w:szCs w:val="20"/>
          <w:color w:val="auto"/>
        </w:rPr>
      </w:pPr>
    </w:p>
    <w:p>
      <w:pPr>
        <w:ind w:right="1040" w:firstLine="405"/>
        <w:spacing w:after="0" w:line="282" w:lineRule="auto"/>
        <w:rPr>
          <w:sz w:val="20"/>
          <w:szCs w:val="20"/>
          <w:color w:val="auto"/>
        </w:rPr>
      </w:pPr>
      <w:r>
        <w:rPr>
          <w:rFonts w:ascii="Times New Roman" w:cs="Times New Roman" w:eastAsia="Times New Roman" w:hAnsi="Times New Roman"/>
          <w:sz w:val="18"/>
          <w:szCs w:val="18"/>
          <w:color w:val="auto"/>
        </w:rPr>
        <w:t>The following companies from both the chemicals and building products industries made up the Peer Group as adopted by the Westlake Compensation Committee in November 2024 for purposes of determining compensation for the Westlake NEOs for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Builders FirstSource, Inc.</w:t>
            </w:r>
          </w:p>
        </w:tc>
        <w:tc>
          <w:tcPr>
            <w:tcW w:w="728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LyondellBasell Industries N.V.</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Celanese Corporation</w:t>
            </w:r>
          </w:p>
        </w:tc>
        <w:tc>
          <w:tcPr>
            <w:tcW w:w="72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Masco Corporation</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Chemours Company</w:t>
            </w:r>
          </w:p>
        </w:tc>
        <w:tc>
          <w:tcPr>
            <w:tcW w:w="728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The Mosaic Company</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 Inc.</w:t>
            </w:r>
          </w:p>
        </w:tc>
        <w:tc>
          <w:tcPr>
            <w:tcW w:w="72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Olin Corporation</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DuPont de Nemours, Inc.</w:t>
            </w:r>
          </w:p>
        </w:tc>
        <w:tc>
          <w:tcPr>
            <w:tcW w:w="728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Owens Corning</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Eastman Chemical Company</w:t>
            </w:r>
          </w:p>
        </w:tc>
        <w:tc>
          <w:tcPr>
            <w:tcW w:w="72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PPG Industries, Inc.</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Ecolab Inc.</w:t>
            </w:r>
          </w:p>
        </w:tc>
        <w:tc>
          <w:tcPr>
            <w:tcW w:w="728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RPM International Inc.</w:t>
            </w:r>
          </w:p>
        </w:tc>
      </w:tr>
      <w:tr>
        <w:trPr>
          <w:trHeight w:val="23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Huntsman Corporation</w:t>
            </w:r>
          </w:p>
        </w:tc>
        <w:tc>
          <w:tcPr>
            <w:tcW w:w="72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The Sherwin-Williams Company</w:t>
            </w:r>
          </w:p>
        </w:tc>
      </w:tr>
    </w:tbl>
    <w:p>
      <w:pPr>
        <w:spacing w:after="0" w:line="220"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As recommended by Willis Towers Watson, the 2025 Peer Group reflects no changes from the previous year. Going forward, the Westlake Compensation Committee will continue to evaluate and make changes in the Peer Group as warranted to reflect changes in the size, business profile and publicly-listed status of the companies to help ensure that companies comparable in size and business profile to Westlake are included and continue to be appropriate for the compensation decision-making process.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20" w:firstLine="405"/>
        <w:spacing w:after="0" w:line="253" w:lineRule="auto"/>
        <w:rPr>
          <w:sz w:val="20"/>
          <w:szCs w:val="20"/>
          <w:color w:val="auto"/>
        </w:rPr>
      </w:pPr>
      <w:r>
        <w:rPr>
          <w:rFonts w:ascii="Times New Roman" w:cs="Times New Roman" w:eastAsia="Times New Roman" w:hAnsi="Times New Roman"/>
          <w:sz w:val="18"/>
          <w:szCs w:val="18"/>
          <w:color w:val="auto"/>
        </w:rPr>
        <w:t>In addition to referring to the Peer Group, Willis Towers Watson utilizes survey data from its proprietary compensation databases, including, but not limited to, the Willis Towers Watson CDB Executive Survey and other relevant market information. These surveys compare the compensation of executives at numerous companies to similar positions as the Westlake NEOs (the "Market Survey"). The Market Survey is used in conjunction with the Peer Group data (collectively, the "Reference Points") to help validate the market findings and more specifically establish market compensation rates for positions with limited Peer Group data and/or for positions that are not industry-specific and for which Westlake would need to recruit on a broader basis (for instance, Chief Financial Officer). Finally, in establishing the target executive compensation, the Westlake Compensation Committee takes a total compensation view to include base pay, cash bonuses and long-term incentives, so that as long as the composite total compensation of a Westlake NEO is competitive with the Reference Points, individual components may fall below or above the median of the Reference Points. In conducting its surveys for the Reference Points, Willis Towers Watson reports directly to the Westlake Compensation Committee on each component and on a composite total compensation basis.</w:t>
      </w:r>
    </w:p>
    <w:p>
      <w:pPr>
        <w:spacing w:after="0" w:line="14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Westlake Compensation Committee meets annually in February to address the compensation of the Westlake NEOs and other Westlake Executives, including each of our NEOs. During this meeting, the Westlake Compensation Committee reviews the achievement of Westlake's goals and objectives, including Westlake's Economic Value Added (defined as the net operating profit after taxes in relation to capital employed) and performance relative to its competitors within the chemical and building products industries, including those direct competitors within the Peer Group, the Reference Points and other relevant factors established by the Westlake Compensation Committee. During this deliberation, the Westlake PEO is excused from the meeting to allow the members of the Westlake Compensation Committee to deliberate independently regarding the Westlake PEO's compensation. During this annual review meeting, the Westlake PEO also presents his recommendations to the Westlake Compensation Committee regarding the compensation to be provided to the other Westlake NEOs and other Westlake Executives. The Westlake PEO and the Westlake Compensation Committee, after considering data from the Reference Points and other relevant factors, set the compensation for these Westlake Executives.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Program Objectives of Westlake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Westlake has designed and maintains a comprehensive executive compensation program as a means of:</w:t>
      </w:r>
    </w:p>
    <w:p>
      <w:pPr>
        <w:spacing w:after="0" w:line="104"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rewarding and retaining top executive talent in support of Westlake's vision, mission and objectives;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market competitiveness with Westlake's peer group compensation programs and practices;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encouraging and rewarding the achievement of specific individual, business segment and corporate goals and objectives;</w:t>
      </w:r>
    </w:p>
    <w:p>
      <w:pPr>
        <w:spacing w:after="0" w:line="10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a significant portion of total compensation at risk through variable pay components, including upside potential where targeted objectives are exceeded, to promote management action to create added stockholder value;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management interests with the interests of Westlake's stockholders;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balancing short-term objectives with long-term strategic initiatives.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Establishing Compensation Levels</w:t>
      </w:r>
    </w:p>
    <w:p>
      <w:pPr>
        <w:spacing w:after="0" w:line="108" w:lineRule="exact"/>
        <w:rPr>
          <w:sz w:val="20"/>
          <w:szCs w:val="20"/>
          <w:color w:val="auto"/>
        </w:rPr>
      </w:pPr>
    </w:p>
    <w:p>
      <w:pPr>
        <w:ind w:right="60" w:firstLine="405"/>
        <w:spacing w:after="0" w:line="272" w:lineRule="auto"/>
        <w:rPr>
          <w:sz w:val="20"/>
          <w:szCs w:val="20"/>
          <w:color w:val="auto"/>
        </w:rPr>
      </w:pPr>
      <w:r>
        <w:rPr>
          <w:rFonts w:ascii="Times New Roman" w:cs="Times New Roman" w:eastAsia="Times New Roman" w:hAnsi="Times New Roman"/>
          <w:sz w:val="17"/>
          <w:szCs w:val="17"/>
          <w:color w:val="auto"/>
        </w:rPr>
        <w:t>On an annual basis as the Westlake Compensation Committee meets to set the target compensation for the Westlake PEO, other Westlake NEOs and other Westlake Executives, the Westlake Compensation Committee considers the responsibility and scope of the individual job assignments as well as the Westlake Executive's job performance and achievements measured against a variety of goals and objectives. As a first step, the Westlake PEO provides his evaluation of each Westlake Executive based upon the achievement of goals and objectives unique to a business segment or a corporate assignment and an assessment of the Westlake Executive's individual contribution and effort and a variety of managerial success factors. Next, the Westlake Compensation Committee may make its own assessment of each Westlake Executive based upon the interaction Westlake Compensation Committee members have had with the Westlake Executive throughout the year. Lastly, once the Westlake Compensation Committee considers all of these factors in tandem with the Reference Points, the Westlake Compensation Committee establishes the compensation target for each element of the total compensation program.</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Base Pay—</w:t>
      </w:r>
      <w:r>
        <w:rPr>
          <w:rFonts w:ascii="Times New Roman" w:cs="Times New Roman" w:eastAsia="Times New Roman" w:hAnsi="Times New Roman"/>
          <w:sz w:val="18"/>
          <w:szCs w:val="18"/>
          <w:color w:val="auto"/>
        </w:rPr>
        <w:t>This element is the principal cash compensation component of Westlake's program and is designed to provide the Westlake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market-competitive minimum level of compensation. In setting base pay rates for 2025, the Westlake Compensation Committee considered the Reference Points, the scope and range of responsibility, accountability and business impact of the position as well as current economic conditions to aid it in evaluating and matching the positions with the market and setting fair-market competitive base pay targets. In setting base pay rates for Westlake Executives, the Westlake Compensation Committee has determined that, based on advice of its independent consultant, Willis Towers Watson, the base pay of the Westlake Executives can generally be considered as competitive if targeted to be within 90% to 110% of the 50th percentile of the market depending on the performance of the individual Westlake Executive, the magnitude of adjustments deemed necessary by the Westlake Compensation Committee to ensure retention of the Westlake Executive and the performance of Westlake. The Westlake Compensation Committee also recognizes that market pricing is an inexact science and that base pay above or below that range may be required to meet market demand or to recognize individual performance or experience levels. The Westlake Compensation Committee does not set a specific fixed target percentage for any of the Westlake NEOs but generally works to set the base pay of each Westlake NEO to be within the range at its discretion based upon market and performance factors. Base pay is evaluated on an annual basis using then current market information, and the Westlake Compensation Committee may authorize an adjustment to:</w:t>
      </w:r>
    </w:p>
    <w:p>
      <w:pPr>
        <w:spacing w:after="0" w:line="72" w:lineRule="exact"/>
        <w:rPr>
          <w:sz w:val="20"/>
          <w:szCs w:val="20"/>
          <w:color w:val="auto"/>
        </w:rPr>
      </w:pPr>
    </w:p>
    <w:p>
      <w:pPr>
        <w:ind w:left="660" w:right="84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Westlake Executive's current base pay is within the acceptable target level as determined by the Westlake Compensation Committee;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internal equity;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individual performance and contributions;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changes in responsibility or the scope of the Westlake Executive's position.</w:t>
      </w:r>
    </w:p>
    <w:p>
      <w:pPr>
        <w:spacing w:after="0" w:line="17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For additional information regarding compensation decisions made by the Westlake Compensation Committee during 2025, including Westlake's equity awards and annual and quarterly cash incentive plans, see the proxy statement that is expected to be filed by Westlake in connection with its 2026 annual meeting of stockholders. In February 2026, the Westlake Compensation Committee elected to increase the base salary for Mr. Gilson to $1,340,000 from $1,300,000 and for Mr. Bender to $809,000 from $785,000.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Termination or Change-in-Control Arrangements</w:t>
      </w:r>
    </w:p>
    <w:p>
      <w:pPr>
        <w:spacing w:after="0" w:line="104" w:lineRule="exact"/>
        <w:rPr>
          <w:sz w:val="20"/>
          <w:szCs w:val="20"/>
          <w:color w:val="auto"/>
        </w:rPr>
      </w:pPr>
    </w:p>
    <w:p>
      <w:pPr>
        <w:ind w:right="24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Employment Agreements</w:t>
      </w:r>
      <w:r>
        <w:rPr>
          <w:rFonts w:ascii="Times New Roman" w:cs="Times New Roman" w:eastAsia="Times New Roman" w:hAnsi="Times New Roman"/>
          <w:sz w:val="18"/>
          <w:szCs w:val="18"/>
          <w:color w:val="auto"/>
        </w:rPr>
        <w:t>—Westlake does not have employment agreements with any of the Westlake NEOs; however, each Westlake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each of the Westlake NEOs, is typically provided an offer letter of employment containing the principal elements of the employment arrangement, including compensation.</w:t>
      </w:r>
    </w:p>
    <w:p>
      <w:pPr>
        <w:spacing w:after="0" w:line="117"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Termination or Change-in-Control Arrangements—</w:t>
      </w:r>
      <w:r>
        <w:rPr>
          <w:rFonts w:ascii="Times New Roman" w:cs="Times New Roman" w:eastAsia="Times New Roman" w:hAnsi="Times New Roman"/>
          <w:sz w:val="18"/>
          <w:szCs w:val="18"/>
          <w:color w:val="auto"/>
        </w:rPr>
        <w:t>Although none of the offer letters contain a provision for payments by us upon termination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change in control, in 2023, following shareholder approval, Westlake incorporated change in control provisions into its annual cash incentive plan and long-term equity incentive plan that provide for certain benefits on a qualifying termination of employment within a twenty-four-month period following a change in control of Westlake for awards that are assumed or replaced with equivalent awards or protections in connection with a change in control of Westlake if such awards were not assumed or replaced with equivalent awards. Furthermore, award agreements under Westlake's long-term equity incentive plan contain provisions that provide for certain accelerated vesting benefits in the event of termination by reason of death, normal retirement or, in certain circumstances, without cause, and Westlake's annual cash incentive plan provides for the payment of a prorated bonus and certain banked amounts in the event of termination by reason of death, permanent disability, normal retirement or an approved reduction-in-force. For additional information on termination and change in control provisions, see the section titled "2025 Potential Payments Upon Termination or Change in Control" of the proxy statement that is expected to be filed by Westlake in connection with its 2026 annual meeting of stockholders. We are not required to reimburse Westlake for any portion of such benefits that may become payable to our NEOs either in connection with or following a termination of employment or a change in control of Westlake.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Recovery of Erroneously Awarded Compensation</w:t>
      </w:r>
    </w:p>
    <w:p>
      <w:pPr>
        <w:spacing w:after="0" w:line="94"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In November 2023, the board of directors approved a policy for recovering erroneously awarded compensation, or "clawback" policy, applicable to executive officers. The policy implements the incentive-based compensation recovery provisions of the Dodd-Frank Wall Street Reform and Consumer Protection Act of 2010 as required under the listing standards of the New York Stock Exchange, and requires recovery of incentive-based compensation received by current or former executive officers during the three fiscal years preceding the date it is determined that the Partnership is required to prepare an accounting restatement, including to correct an error that would result in a material misstatement if the error were corrected in the current period or left uncorrected in the current period. The amount required to be recovered is the excess of the amount of incentive-based compensation received over the amount that otherwise would have been received had it been determined based on the restated financial measure. As of the date hereof, none of our current or former executive officers have received incentive-based compensation from us for their services.</w:t>
      </w:r>
    </w:p>
    <w:p>
      <w:pPr>
        <w:spacing w:after="0" w:line="2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0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Neither we nor our general partner has a compensation committee. The board of directors has reviewed and discussed the Partnership's Compensation Discussion and Analysis with management and, based upon this review, has approved it for inclusion in this report.</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shall not be deemed to be "soliciting material" or "filed" or incorporated by reference in future filings with the SEC, or subject to the liabilities of Section 18 of the Exchange Act, except to the extent that the Partnership specifically incorporates it by reference into a document filed under the Securities Act or the Exchange Act.</w:t>
      </w:r>
    </w:p>
    <w:p>
      <w:pPr>
        <w:spacing w:after="0" w:line="1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THE BOARD OF DIRECTORS OF</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WESTLAKE CHEMICAL PARTNERS GP LLC</w:t>
      </w:r>
    </w:p>
    <w:p>
      <w:pPr>
        <w:spacing w:after="0" w:line="3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M. Steven Bender</w:t>
      </w:r>
    </w:p>
    <w:p>
      <w:pPr>
        <w:spacing w:after="0" w:line="1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Albert Y. Chao</w:t>
      </w:r>
    </w:p>
    <w:p>
      <w:pPr>
        <w:spacing w:after="0" w:line="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James Y. Chao</w:t>
      </w:r>
    </w:p>
    <w:p>
      <w:pPr>
        <w:spacing w:after="0" w:line="1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L. Benjamin Ederington</w:t>
      </w:r>
    </w:p>
    <w:p>
      <w:pPr>
        <w:spacing w:after="0" w:line="1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G. Stephen Finley</w:t>
      </w:r>
    </w:p>
    <w:p>
      <w:pPr>
        <w:spacing w:after="0" w:line="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Lisa A. Friel</w:t>
      </w:r>
    </w:p>
    <w:p>
      <w:pPr>
        <w:spacing w:after="0" w:line="1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Jean-Marc Gilson</w:t>
      </w:r>
    </w:p>
    <w:p>
      <w:pPr>
        <w:spacing w:after="0" w:line="1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Randy G. Woelfel</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94"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compensation of our NEOs included in the tables below is established by Westlake as described above. We have included in the following tables the full base salary paid by Westlake to each of the NEOs, together with an estimate of the approximate time spent by each NEO on our behalf. The following table provides information regarding the NEO compensation actually allocated to us during 2025, 2024 and 2023.</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Base Salary </w:t>
            </w:r>
            <w:r>
              <w:rPr>
                <w:rFonts w:ascii="Times New Roman" w:cs="Times New Roman" w:eastAsia="Times New Roman" w:hAnsi="Times New Roman"/>
                <w:sz w:val="9"/>
                <w:szCs w:val="9"/>
                <w:b w:val="1"/>
                <w:bCs w:val="1"/>
                <w:color w:val="auto"/>
              </w:rPr>
              <w:t>(1)</w:t>
            </w: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Portion Allocation </w:t>
            </w:r>
            <w:r>
              <w:rPr>
                <w:rFonts w:ascii="Times New Roman" w:cs="Times New Roman" w:eastAsia="Times New Roman" w:hAnsi="Times New Roman"/>
                <w:sz w:val="9"/>
                <w:szCs w:val="9"/>
                <w:b w:val="1"/>
                <w:bCs w:val="1"/>
                <w:color w:val="auto"/>
              </w:rPr>
              <w:t>(2)</w:t>
            </w:r>
          </w:p>
        </w:tc>
        <w:tc>
          <w:tcPr>
            <w:tcW w:w="320" w:type="dxa"/>
            <w:vAlign w:val="bottom"/>
          </w:tcPr>
          <w:p>
            <w:pPr>
              <w:spacing w:after="0"/>
              <w:rPr>
                <w:sz w:val="16"/>
                <w:szCs w:val="16"/>
                <w:color w:val="auto"/>
              </w:rPr>
            </w:pPr>
          </w:p>
        </w:tc>
        <w:tc>
          <w:tcPr>
            <w:tcW w:w="11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9"/>
                <w:szCs w:val="9"/>
                <w:b w:val="1"/>
                <w:bCs w:val="1"/>
                <w:color w:val="auto"/>
              </w:rPr>
              <w:t>(3)</w:t>
            </w:r>
          </w:p>
        </w:tc>
      </w:tr>
      <w:tr>
        <w:trPr>
          <w:trHeight w:val="23"/>
        </w:trPr>
        <w:tc>
          <w:tcPr>
            <w:tcW w:w="5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8"/>
        </w:trPr>
        <w:tc>
          <w:tcPr>
            <w:tcW w:w="50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M. Steven Bender</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4"/>
        </w:trPr>
        <w:tc>
          <w:tcPr>
            <w:tcW w:w="5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778,077</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77,807</w:t>
            </w:r>
          </w:p>
        </w:tc>
      </w:tr>
      <w:tr>
        <w:trPr>
          <w:trHeight w:val="230"/>
        </w:trPr>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749,231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74,923</w:t>
            </w:r>
          </w:p>
        </w:tc>
      </w:tr>
      <w:tr>
        <w:trPr>
          <w:trHeight w:val="229"/>
        </w:trPr>
        <w:tc>
          <w:tcPr>
            <w:tcW w:w="5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721,000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72,100</w:t>
            </w:r>
          </w:p>
        </w:tc>
      </w:tr>
      <w:tr>
        <w:trPr>
          <w:trHeight w:val="184"/>
        </w:trPr>
        <w:tc>
          <w:tcPr>
            <w:tcW w:w="51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Jean-Marc Gilson</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4"/>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1,288,462</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128,846</w:t>
            </w:r>
          </w:p>
        </w:tc>
      </w:tr>
      <w:tr>
        <w:trPr>
          <w:trHeight w:val="229"/>
        </w:trPr>
        <w:tc>
          <w:tcPr>
            <w:tcW w:w="5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528,846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26,442</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85"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"Compensation Discussion and Analysis—Establishing Compensation Levels—Base Pay" for more information on base salary.</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"Compensation Discussion and Analysis—Overview" for more information on the portion of base salary allocated to us by Westlake.</w:t>
      </w:r>
    </w:p>
    <w:p>
      <w:pPr>
        <w:spacing w:after="0" w:line="103" w:lineRule="exact"/>
        <w:rPr>
          <w:rFonts w:ascii="Times New Roman" w:cs="Times New Roman" w:eastAsia="Times New Roman" w:hAnsi="Times New Roman"/>
          <w:sz w:val="18"/>
          <w:szCs w:val="18"/>
          <w:color w:val="auto"/>
        </w:rPr>
      </w:pPr>
    </w:p>
    <w:p>
      <w:pPr>
        <w:ind w:left="340" w:right="200" w:hanging="332"/>
        <w:spacing w:after="0" w:line="261" w:lineRule="auto"/>
        <w:tabs>
          <w:tab w:leader="none" w:pos="3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Gilson was appointed President and Chief Executive Officer of our General Partner on July 15, 2024; the total for Mr. Gilson reflects the portion of his base salary allocated to us by Westlake for the periods from January 1, 2025 through December 31, 2025 and from July 15, 2024 through December 31, 2024. The totals for Mr. Bender reflect the portion of his base salary allocated to us by Westlake for the periods from January 1, 2025 through December 31, 2025, from January 1, 2024 through December 31, 2024 and from January 1, 2023 through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08"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Officers or employees of Westlake or its affiliates who also serve as directors do not receive additional compensation for such service. The directors who are not also officers or employees of Westlake or its affiliates (i.e., Ms. Friel and Messrs. Finley and Woelfel) receive compensation from our general partner for their service.</w:t>
      </w:r>
    </w:p>
    <w:p>
      <w:pPr>
        <w:spacing w:after="0" w:line="122"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In 2025, Messrs. Finley and Woelfel and Ms. Friel each received an annual cash retainer of $100,000 and a grant of phantom unit awards under the LTIP with a grant date fair value of $110,000. All phantom unit awards vest on the first anniversary of their grant date. Mr. Finley, the audit committee chairman, received an additional cash retainer of $20,000.</w:t>
      </w:r>
    </w:p>
    <w:p>
      <w:pPr>
        <w:spacing w:after="0" w:line="12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 addition, each non-employee director is reimbursed for out-of-pocket expenses in connection with attending board and committee meetings. Each director is fully indemnified by us for actions associated with being a director to the fullest extent permitted under Delaware law pursuant to the Partnership Agreement.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a summary of the compensation paid to non-employee directors in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gridSpan w:val="2"/>
            <w:vMerge w:val="restart"/>
          </w:tcPr>
          <w:p>
            <w:pPr>
              <w:ind w:left="23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Phantom Unit Awards</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60" w:type="dxa"/>
            <w:vAlign w:val="bottom"/>
          </w:tcPr>
          <w:p>
            <w:pPr>
              <w:spacing w:after="0"/>
              <w:rPr>
                <w:sz w:val="16"/>
                <w:szCs w:val="16"/>
                <w:color w:val="auto"/>
              </w:rPr>
            </w:pPr>
          </w:p>
        </w:tc>
        <w:tc>
          <w:tcPr>
            <w:tcW w:w="108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380" w:type="dxa"/>
            <w:vAlign w:val="bottom"/>
          </w:tcPr>
          <w:p>
            <w:pPr>
              <w:spacing w:after="0"/>
              <w:rPr>
                <w:sz w:val="14"/>
                <w:szCs w:val="14"/>
                <w:color w:val="auto"/>
              </w:rPr>
            </w:pPr>
          </w:p>
        </w:tc>
        <w:tc>
          <w:tcPr>
            <w:tcW w:w="1040" w:type="dxa"/>
            <w:vAlign w:val="bottom"/>
          </w:tcPr>
          <w:p>
            <w:pPr>
              <w:jc w:val="right"/>
              <w:ind w:right="581"/>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9"/>
                <w:szCs w:val="9"/>
                <w:b w:val="1"/>
                <w:bCs w:val="1"/>
                <w:color w:val="auto"/>
              </w:rPr>
              <w:t>(2)</w:t>
            </w:r>
          </w:p>
        </w:tc>
        <w:tc>
          <w:tcPr>
            <w:tcW w:w="3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 Stephen Finley</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239,321</w:t>
            </w: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Lisa A. Friel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219,321</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Randy G. Woelfel</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98" w:lineRule="exact"/>
        <w:rPr>
          <w:sz w:val="20"/>
          <w:szCs w:val="20"/>
          <w:color w:val="auto"/>
        </w:rPr>
      </w:pPr>
    </w:p>
    <w:p>
      <w:pPr>
        <w:ind w:left="340" w:right="40" w:hanging="332"/>
        <w:spacing w:after="0" w:line="258" w:lineRule="auto"/>
        <w:tabs>
          <w:tab w:leader="none" w:pos="3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reflected in this column represent the grant date fair value of phantom unit awards granted to the non-employee directors, computed in accordance with FASB ASC Topic 718, as the product of (i) the number of phantom units granted and (ii) the average of the high and low prices of our common units reported on the New York Stock Exchange on the grant date. For a discussion of the related valuation assumptions, please see Note 12, "Unit-based Compensation," to our Consolidated Financial Statements included in this report. As of December 31, 2025, Ms. Friel and Messrs. Finley and Woelfel each held 5,005 phantom units, which will become fully vested on August 6, 2026.</w:t>
      </w:r>
    </w:p>
    <w:p>
      <w:pPr>
        <w:spacing w:after="0" w:line="48" w:lineRule="exact"/>
        <w:rPr>
          <w:rFonts w:ascii="Times New Roman" w:cs="Times New Roman" w:eastAsia="Times New Roman" w:hAnsi="Times New Roman"/>
          <w:sz w:val="18"/>
          <w:szCs w:val="18"/>
          <w:color w:val="auto"/>
        </w:rPr>
      </w:pPr>
    </w:p>
    <w:p>
      <w:pPr>
        <w:ind w:left="340" w:right="560" w:hanging="332"/>
        <w:spacing w:after="0" w:line="282" w:lineRule="auto"/>
        <w:tabs>
          <w:tab w:leader="none" w:pos="3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reflected in this column represent the amount of cash paid with respect to distribution equivalent rights granted in tandem with the phantom unit awards.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 Analysis</w:t>
      </w:r>
    </w:p>
    <w:p>
      <w:pPr>
        <w:spacing w:after="0" w:line="108"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The table below sets forth comparative information regarding: (1) the annual total compensation of our Chief Executive Officer, Mr. Gilson, for the year ended December 31, 2025, determined on the basis set forth below; (2) the median of the annual total compensation of all seconded employees of Westlake that provide services to OpCo under the Services and Secondment Agreement, which excludes our Chief Executive Officer, for the year ended December 31, 2025, determined on the basis described below; and (3) a ratio comparison of those two amounts. These amounts were determined in accordance with rules prescribed by the SEC.</w:t>
      </w:r>
    </w:p>
    <w:p>
      <w:pPr>
        <w:spacing w:after="0" w:line="129"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Neither we nor OpCo have any employees. However, for purposes of this disclosure, we have included the employees of Westlake and its other affiliates who are seconded to OpCo under the Services and Secondment Agreement for the production of ethylene (the "Seconded Employees"). For purposes of determining the median of the annual total compensation of our Seconded Employee population, excluding our Chief Executive Officer, for the year ended December 31, 2025, we referred to the same employee who was identified as our median Seconded Employee for 2024. We determined that there have been no changes to the Seconded Employee population or Seconded Employee compensation arrangements in 2025 that we believe would significantly impact our pay ratio disclosure and thus require identification of a new median employee. The applicable SEC rules require us to identify the median Seconded Employee by using either annual total compensation for all such employees or another consistently applied compensation measure. For these purposes, we used total taxable earnings, plus certain non-taxable items, including retirement plan contributions and perquisites, as determined from the payroll records of Westlake and its affiliates providing the services of the Seconded Employees to OpCo for the period from January 1, 2024 through December 31, 2024 (the "Measurement Date"), as our consistently applied compensation measure. We included all Seconded Employees of Westlake who provided services to OpCo as of the Measurement Date whether employed on a full-time, part-time or seasonal basis. We did not use statistical sampling or include any cost-of-living adjustments for purposes of this determination. After identifying the median Seconded Employee as of the Measurement Date, based on the process described above, we calculated 2025 total compensation for the median Seconded Employee and our Chief Executive Officer using the same methodology we used for determining total compensation for 2025 for our NEOs as set forth in the Summary Compensation Table.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annual total compensation (A)</w:t>
            </w:r>
          </w:p>
        </w:tc>
        <w:tc>
          <w:tcPr>
            <w:tcW w:w="2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128,846</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Median annual total compensation of all employees (excluding Chief Executive Officer) (B)</w:t>
            </w:r>
          </w:p>
        </w:tc>
        <w:tc>
          <w:tcPr>
            <w:tcW w:w="2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208,738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 of (A) to (B)</w:t>
            </w:r>
          </w:p>
        </w:tc>
        <w:tc>
          <w:tcPr>
            <w:tcW w:w="20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864"/>
        </w:trPr>
        <w:tc>
          <w:tcPr>
            <w:tcW w:w="824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86</w:t>
            </w:r>
          </w:p>
        </w:tc>
        <w:tc>
          <w:tcPr>
            <w:tcW w:w="20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82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as of February 27, 2026, the beneficial ownership of our outstanding common units and subordinated units held by:</w:t>
      </w:r>
    </w:p>
    <w:p>
      <w:pPr>
        <w:spacing w:after="0" w:line="104"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Westlake;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named executive officer of our general partner;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directors and executive officers of our general partner as a group.</w:t>
      </w:r>
    </w:p>
    <w:p>
      <w:pPr>
        <w:spacing w:after="0" w:line="17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report the amounts and percentage of units beneficially owned on the basis of regulations of the SEC governing the determination of beneficial ownership of securities. The rules of the SEC deem a person a "beneficial owner" of a security if that person has or shares "voting power" that includes the power to vote or to direct the voting of the security, or "investment power" that includes the power to dispose of or to direct the disposition of the security. In computing the number of common units beneficially owned by a person and the percentage ownership of that person, common units subject to options or warrants held by that person that are currently exercisable or exercisable within 60 days of February 27, 2026, if any, are deemed outstanding, but are not deemed outstanding for computing the percentage ownership of any other person. Unless otherwise noted, the address for each beneficial owner listed below is 2801 Post Oak Boulevard, Suite 600, Houston, Texas 77056. None of the units beneficially owned as set forth below is pledged as security.</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4740" w:type="dxa"/>
            <w:vAlign w:val="bottom"/>
          </w:tcPr>
          <w:p>
            <w:pPr>
              <w:jc w:val="center"/>
              <w:ind w:left="2848"/>
              <w:spacing w:after="0"/>
              <w:rPr>
                <w:sz w:val="20"/>
                <w:szCs w:val="20"/>
                <w:color w:val="auto"/>
              </w:rPr>
            </w:pPr>
            <w:r>
              <w:rPr>
                <w:rFonts w:ascii="Times New Roman" w:cs="Times New Roman" w:eastAsia="Times New Roman" w:hAnsi="Times New Roman"/>
                <w:sz w:val="14"/>
                <w:szCs w:val="14"/>
                <w:b w:val="1"/>
                <w:bCs w:val="1"/>
                <w:color w:val="auto"/>
              </w:rPr>
              <w:t>Number of Common</w:t>
            </w:r>
          </w:p>
        </w:tc>
        <w:tc>
          <w:tcPr>
            <w:tcW w:w="164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Percentage of Common</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4740" w:type="dxa"/>
            <w:vAlign w:val="bottom"/>
          </w:tcPr>
          <w:p>
            <w:pPr>
              <w:jc w:val="center"/>
              <w:ind w:left="2828"/>
              <w:spacing w:after="0" w:line="149" w:lineRule="exact"/>
              <w:rPr>
                <w:sz w:val="20"/>
                <w:szCs w:val="20"/>
                <w:color w:val="auto"/>
              </w:rPr>
            </w:pPr>
            <w:r>
              <w:rPr>
                <w:rFonts w:ascii="Times New Roman" w:cs="Times New Roman" w:eastAsia="Times New Roman" w:hAnsi="Times New Roman"/>
                <w:sz w:val="14"/>
                <w:szCs w:val="14"/>
                <w:b w:val="1"/>
                <w:bCs w:val="1"/>
                <w:color w:val="auto"/>
              </w:rPr>
              <w:t>Units of Westlake</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4740" w:type="dxa"/>
            <w:vAlign w:val="bottom"/>
          </w:tcPr>
          <w:p>
            <w:pPr>
              <w:jc w:val="center"/>
              <w:ind w:left="2848"/>
              <w:spacing w:after="0" w:line="137" w:lineRule="exact"/>
              <w:rPr>
                <w:sz w:val="20"/>
                <w:szCs w:val="20"/>
                <w:color w:val="auto"/>
              </w:rPr>
            </w:pPr>
            <w:r>
              <w:rPr>
                <w:rFonts w:ascii="Times New Roman" w:cs="Times New Roman" w:eastAsia="Times New Roman" w:hAnsi="Times New Roman"/>
                <w:sz w:val="14"/>
                <w:szCs w:val="14"/>
                <w:b w:val="1"/>
                <w:bCs w:val="1"/>
                <w:color w:val="auto"/>
              </w:rPr>
              <w:t>Chemical Partners LP</w:t>
            </w:r>
          </w:p>
        </w:tc>
        <w:tc>
          <w:tcPr>
            <w:tcW w:w="1640" w:type="dxa"/>
            <w:vAlign w:val="bottom"/>
          </w:tcPr>
          <w:p>
            <w:pPr>
              <w:jc w:val="center"/>
              <w:ind w:left="128"/>
              <w:spacing w:after="0" w:line="137" w:lineRule="exact"/>
              <w:rPr>
                <w:sz w:val="20"/>
                <w:szCs w:val="20"/>
                <w:color w:val="auto"/>
              </w:rPr>
            </w:pPr>
            <w:r>
              <w:rPr>
                <w:rFonts w:ascii="Times New Roman" w:cs="Times New Roman" w:eastAsia="Times New Roman" w:hAnsi="Times New Roman"/>
                <w:sz w:val="14"/>
                <w:szCs w:val="14"/>
                <w:b w:val="1"/>
                <w:bCs w:val="1"/>
                <w:color w:val="auto"/>
              </w:rPr>
              <w:t>Units Beneficially</w:t>
            </w:r>
          </w:p>
        </w:tc>
        <w:tc>
          <w:tcPr>
            <w:tcW w:w="0" w:type="dxa"/>
            <w:vAlign w:val="bottom"/>
          </w:tcPr>
          <w:p>
            <w:pPr>
              <w:spacing w:after="0"/>
              <w:rPr>
                <w:sz w:val="1"/>
                <w:szCs w:val="1"/>
                <w:color w:val="auto"/>
              </w:rPr>
            </w:pPr>
          </w:p>
        </w:tc>
      </w:tr>
      <w:tr>
        <w:trPr>
          <w:trHeight w:val="190"/>
        </w:trPr>
        <w:tc>
          <w:tcPr>
            <w:tcW w:w="4740" w:type="dxa"/>
            <w:vAlign w:val="bottom"/>
            <w:vMerge w:val="continue"/>
          </w:tcPr>
          <w:p>
            <w:pPr>
              <w:spacing w:after="0"/>
              <w:rPr>
                <w:sz w:val="16"/>
                <w:szCs w:val="16"/>
                <w:color w:val="auto"/>
              </w:rPr>
            </w:pPr>
          </w:p>
        </w:tc>
        <w:tc>
          <w:tcPr>
            <w:tcW w:w="4740" w:type="dxa"/>
            <w:vAlign w:val="bottom"/>
          </w:tcPr>
          <w:p>
            <w:pPr>
              <w:jc w:val="center"/>
              <w:ind w:left="2848"/>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64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Westlake Corporation</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14,122,230</w:t>
            </w:r>
          </w:p>
        </w:tc>
      </w:tr>
      <w:tr>
        <w:trPr>
          <w:trHeight w:val="23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Westlake Chemical Partners GP LLC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 Steven Bender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29"/>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Albert Y. Chao</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175,528</w:t>
            </w:r>
          </w:p>
        </w:tc>
      </w:tr>
      <w:tr>
        <w:trPr>
          <w:trHeight w:val="23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Y. Chao</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 Benjamin Ederington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57"/>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 Stephen Finley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31,930</w:t>
            </w:r>
          </w:p>
        </w:tc>
      </w:tr>
      <w:tr>
        <w:trPr>
          <w:trHeight w:val="229"/>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Lisa A. Friel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w:t>
            </w:r>
          </w:p>
        </w:tc>
      </w:tr>
      <w:tr>
        <w:trPr>
          <w:trHeight w:val="23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Jean-Marc Gilson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w:t>
            </w:r>
          </w:p>
        </w:tc>
      </w:tr>
      <w:tr>
        <w:trPr>
          <w:trHeight w:val="23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Randy G. Woelfel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23,913</w:t>
            </w:r>
          </w:p>
        </w:tc>
      </w:tr>
      <w:tr>
        <w:trPr>
          <w:trHeight w:val="23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-1328420</wp:posOffset>
            </wp:positionV>
            <wp:extent cx="7115175"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-1036955</wp:posOffset>
            </wp:positionV>
            <wp:extent cx="7115175"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-745490</wp:posOffset>
            </wp:positionV>
            <wp:extent cx="7115175"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-436880</wp:posOffset>
            </wp:positionV>
            <wp:extent cx="7115175"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-145415</wp:posOffset>
            </wp:positionV>
            <wp:extent cx="7115175"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-1628140</wp:posOffset>
            </wp:positionV>
            <wp:extent cx="7115175"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40.1 %</w:t>
      </w:r>
    </w:p>
    <w:p>
      <w:pPr>
        <w:spacing w:after="0" w:line="3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4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0.8 %</w:t>
      </w:r>
    </w:p>
    <w:p>
      <w:pPr>
        <w:spacing w:after="0" w:line="222" w:lineRule="exact"/>
        <w:rPr>
          <w:sz w:val="20"/>
          <w:szCs w:val="20"/>
          <w:color w:val="auto"/>
        </w:rPr>
      </w:pPr>
    </w:p>
    <w:p>
      <w:pPr>
        <w:sectPr>
          <w:pgSz w:w="11900" w:h="16838" w:orient="portrait"/>
          <w:cols w:equalWidth="0" w:num="3">
            <w:col w:w="9320" w:space="20"/>
            <w:col w:w="640" w:space="720"/>
            <w:col w:w="540"/>
          </w:cols>
          <w:pgMar w:left="320" w:top="118" w:right="33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of the outstanding common units.</w:t>
      </w:r>
    </w:p>
    <w:p>
      <w:pPr>
        <w:spacing w:after="0" w:line="104" w:lineRule="exact"/>
        <w:rPr>
          <w:sz w:val="20"/>
          <w:szCs w:val="20"/>
          <w:color w:val="auto"/>
        </w:rPr>
      </w:pPr>
    </w:p>
    <w:p>
      <w:pPr>
        <w:ind w:left="340" w:right="440" w:hanging="332"/>
        <w:spacing w:after="0" w:line="282"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common units are held of record by WPT LLC, a wholly-owned subsidiary of Westlake Corporation. Please refer to the following table for information regarding beneficial ownership of shares of common stock of Westlake Corporation.</w:t>
      </w:r>
    </w:p>
    <w:p>
      <w:pPr>
        <w:spacing w:after="0" w:line="26"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includes 9,093 common units held in family trusts for the benefit of Mr. Albert Chao and his family members with respect to which Mr. Albert Chao serves as trustee.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February 27, 2026, the number of shares of common stock of Westlake Corporation beneficially owned by each beneficial owner of more than 5% of the common stock of Westlake Corporation, each director and named executive officer of our general partner and by all directors and executive officers of our general partner as a group:</w:t>
      </w:r>
    </w:p>
    <w:p>
      <w:pPr>
        <w:spacing w:after="0" w:line="80"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Number of Shares of</w:t>
      </w:r>
    </w:p>
    <w:p>
      <w:pPr>
        <w:jc w:val="center"/>
        <w:ind w:left="5960"/>
        <w:spacing w:after="0" w:line="221" w:lineRule="auto"/>
        <w:rPr>
          <w:sz w:val="20"/>
          <w:szCs w:val="20"/>
          <w:color w:val="auto"/>
        </w:rPr>
      </w:pPr>
      <w:r>
        <w:rPr>
          <w:rFonts w:ascii="Times New Roman" w:cs="Times New Roman" w:eastAsia="Times New Roman" w:hAnsi="Times New Roman"/>
          <w:sz w:val="14"/>
          <w:szCs w:val="14"/>
          <w:b w:val="1"/>
          <w:bCs w:val="1"/>
          <w:color w:val="auto"/>
        </w:rPr>
        <w:t>Common Stock of</w:t>
      </w:r>
    </w:p>
    <w:tbl>
      <w:tblPr>
        <w:tblLayout w:type="fixed"/>
        <w:tblInd w:w="20" w:type="dxa"/>
        <w:tblCellMar>
          <w:top w:w="0" w:type="dxa"/>
          <w:left w:w="0" w:type="dxa"/>
          <w:bottom w:w="0" w:type="dxa"/>
          <w:right w:w="0" w:type="dxa"/>
        </w:tblCellMar>
      </w:tblPr>
      <w:tr>
        <w:trPr>
          <w:trHeight w:val="128"/>
        </w:trPr>
        <w:tc>
          <w:tcPr>
            <w:tcW w:w="7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4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Westlake Beneficially</w:t>
            </w:r>
          </w:p>
        </w:tc>
        <w:tc>
          <w:tcPr>
            <w:tcW w:w="340" w:type="dxa"/>
            <w:vAlign w:val="bottom"/>
          </w:tcPr>
          <w:p>
            <w:pPr>
              <w:spacing w:after="0"/>
              <w:rPr>
                <w:sz w:val="11"/>
                <w:szCs w:val="11"/>
                <w:color w:val="auto"/>
              </w:rPr>
            </w:pPr>
          </w:p>
        </w:tc>
        <w:tc>
          <w:tcPr>
            <w:tcW w:w="15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0" w:type="dxa"/>
            <w:vAlign w:val="bottom"/>
          </w:tcPr>
          <w:p>
            <w:pPr>
              <w:spacing w:after="0"/>
              <w:rPr>
                <w:sz w:val="1"/>
                <w:szCs w:val="1"/>
                <w:color w:val="auto"/>
              </w:rPr>
            </w:pPr>
          </w:p>
        </w:tc>
      </w:tr>
      <w:tr>
        <w:trPr>
          <w:trHeight w:val="216"/>
        </w:trPr>
        <w:tc>
          <w:tcPr>
            <w:tcW w:w="7880" w:type="dxa"/>
            <w:vAlign w:val="bottom"/>
            <w:gridSpan w:val="2"/>
            <w:vMerge w:val="continue"/>
          </w:tcPr>
          <w:p>
            <w:pPr>
              <w:spacing w:after="0"/>
              <w:rPr>
                <w:sz w:val="18"/>
                <w:szCs w:val="18"/>
                <w:color w:val="auto"/>
              </w:rPr>
            </w:pPr>
          </w:p>
        </w:tc>
        <w:tc>
          <w:tcPr>
            <w:tcW w:w="14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xml:space="preserve">Owned </w:t>
            </w:r>
            <w:r>
              <w:rPr>
                <w:rFonts w:ascii="Times New Roman" w:cs="Times New Roman" w:eastAsia="Times New Roman" w:hAnsi="Times New Roman"/>
                <w:sz w:val="18"/>
                <w:szCs w:val="18"/>
                <w:b w:val="1"/>
                <w:bCs w:val="1"/>
                <w:color w:val="auto"/>
                <w:vertAlign w:val="superscript"/>
              </w:rPr>
              <w:t>(1)</w:t>
            </w:r>
          </w:p>
        </w:tc>
        <w:tc>
          <w:tcPr>
            <w:tcW w:w="3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TTWF LP and TTWFGP LLC</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93,405,554</w:t>
            </w:r>
          </w:p>
        </w:tc>
        <w:tc>
          <w:tcPr>
            <w:tcW w:w="340" w:type="dxa"/>
            <w:vAlign w:val="bottom"/>
            <w:tcBorders>
              <w:top w:val="single" w:sz="8" w:color="CCEEFF"/>
            </w:tcBorders>
            <w:shd w:val="clear" w:color="auto" w:fill="CCEEFF"/>
          </w:tcPr>
          <w:p>
            <w:pPr>
              <w:jc w:val="right"/>
              <w:ind w:right="122"/>
              <w:spacing w:after="0" w:line="130" w:lineRule="exact"/>
              <w:rPr>
                <w:sz w:val="20"/>
                <w:szCs w:val="20"/>
                <w:color w:val="auto"/>
              </w:rPr>
            </w:pPr>
            <w:r>
              <w:rPr>
                <w:rFonts w:ascii="Times New Roman" w:cs="Times New Roman" w:eastAsia="Times New Roman" w:hAnsi="Times New Roman"/>
                <w:sz w:val="12"/>
                <w:szCs w:val="12"/>
                <w:color w:val="auto"/>
                <w:w w:val="99"/>
              </w:rPr>
              <w:t>(2)</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72.6 %</w:t>
            </w:r>
          </w:p>
        </w:tc>
        <w:tc>
          <w:tcPr>
            <w:tcW w:w="0" w:type="dxa"/>
            <w:vAlign w:val="bottom"/>
          </w:tcPr>
          <w:p>
            <w:pPr>
              <w:spacing w:after="0"/>
              <w:rPr>
                <w:sz w:val="1"/>
                <w:szCs w:val="1"/>
                <w:color w:val="auto"/>
              </w:rPr>
            </w:pPr>
          </w:p>
        </w:tc>
      </w:tr>
      <w:tr>
        <w:trPr>
          <w:trHeight w:val="229"/>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 Steven Bender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130,159</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Albert Y. Chao</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1,156,775</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Y. Chao</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138,265</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 Benjamin Ederington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177,887</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 Stephen Finley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A. Friel</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Jean-Marc Gilson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Randy G. Woelfel</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1,630,965</w:t>
            </w:r>
          </w:p>
        </w:tc>
        <w:tc>
          <w:tcPr>
            <w:tcW w:w="3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8" w:lineRule="exact"/>
        <w:rPr>
          <w:sz w:val="20"/>
          <w:szCs w:val="20"/>
          <w:color w:val="auto"/>
        </w:rPr>
      </w:pPr>
    </w:p>
    <w:p>
      <w:pPr>
        <w:ind w:left="260" w:hanging="252"/>
        <w:spacing w:after="0"/>
        <w:tabs>
          <w:tab w:leader="none" w:pos="2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Less than 1% of the outstanding shares of common stock.</w:t>
      </w:r>
    </w:p>
    <w:p>
      <w:pPr>
        <w:spacing w:after="0" w:line="104"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shares beneficially owned by the directors or officers are pledged as security.</w:t>
      </w:r>
    </w:p>
    <w:p>
      <w:pPr>
        <w:spacing w:after="0" w:line="90" w:lineRule="exact"/>
        <w:rPr>
          <w:rFonts w:ascii="Times New Roman" w:cs="Times New Roman" w:eastAsia="Times New Roman" w:hAnsi="Times New Roman"/>
          <w:sz w:val="18"/>
          <w:szCs w:val="18"/>
          <w:color w:val="auto"/>
        </w:rPr>
      </w:pPr>
    </w:p>
    <w:p>
      <w:pPr>
        <w:ind w:left="340" w:right="40" w:hanging="332"/>
        <w:spacing w:after="0" w:line="258" w:lineRule="auto"/>
        <w:tabs>
          <w:tab w:leader="none" w:pos="3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TTWF LP, a Delaware limited partnership, holds 92,010,554 shares of common stock of Westlake Corporation and TTWFGP LLC, the general partner of TTWF LP, holds 1,395,000 of the 93,405,554 shares of common stock of Westlake Corporation reported herein. Two trusts for the benefit of members of the Chao family are the managers of TTWFGP LLC. Decisions regarding the voting and disposition of the securities held of record by TTWF LP and TTWFGP LLC are made by a committee comprised of members of the Chao family. Each member of the committee disclaims beneficial ownership of the securities reported herein.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each person known to us who is the beneficial owner of 5% or more of our outstanding common units, other than Westlake, the holdings of which are listed in the first table of this section.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Common</w:t>
            </w:r>
          </w:p>
        </w:tc>
        <w:tc>
          <w:tcPr>
            <w:tcW w:w="0" w:type="dxa"/>
            <w:vAlign w:val="bottom"/>
          </w:tcPr>
          <w:p>
            <w:pPr>
              <w:spacing w:after="0"/>
              <w:rPr>
                <w:sz w:val="1"/>
                <w:szCs w:val="1"/>
                <w:color w:val="auto"/>
              </w:rPr>
            </w:pPr>
          </w:p>
        </w:tc>
      </w:tr>
      <w:tr>
        <w:trPr>
          <w:trHeight w:val="148"/>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0" w:type="dxa"/>
            <w:vAlign w:val="bottom"/>
            <w:vMerge w:val="restart"/>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Beneficially</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11"/>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TTWF LP and TTWFGP LLC</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2801 Post Oak Boulevard, Suite 150</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Houston, Texas 77056</w:t>
            </w:r>
          </w:p>
        </w:tc>
        <w:tc>
          <w:tcPr>
            <w:tcW w:w="1420" w:type="dxa"/>
            <w:vAlign w:val="bottom"/>
            <w:shd w:val="clear" w:color="auto" w:fill="CCEEFF"/>
          </w:tcPr>
          <w:p>
            <w:pPr>
              <w:jc w:val="right"/>
              <w:spacing w:after="0" w:line="262" w:lineRule="exact"/>
              <w:rPr>
                <w:sz w:val="20"/>
                <w:szCs w:val="20"/>
                <w:color w:val="auto"/>
              </w:rPr>
            </w:pPr>
            <w:r>
              <w:rPr>
                <w:rFonts w:ascii="Times New Roman" w:cs="Times New Roman" w:eastAsia="Times New Roman" w:hAnsi="Times New Roman"/>
                <w:sz w:val="18"/>
                <w:szCs w:val="18"/>
                <w:color w:val="auto"/>
              </w:rPr>
              <w:t xml:space="preserve">15,524,099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0" w:type="dxa"/>
            <w:vAlign w:val="bottom"/>
          </w:tcPr>
          <w:p>
            <w:pPr>
              <w:spacing w:after="0"/>
              <w:rPr>
                <w:sz w:val="1"/>
                <w:szCs w:val="1"/>
                <w:color w:val="auto"/>
              </w:rPr>
            </w:pPr>
          </w:p>
        </w:tc>
      </w:tr>
      <w:tr>
        <w:trPr>
          <w:trHeight w:val="238"/>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Invesco Ltd.</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1555 Peachtree Street NE, Suite 1800</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Atlanta, GA 30309</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5,264,187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382"/>
        </w:trPr>
        <w:tc>
          <w:tcPr>
            <w:tcW w:w="804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______________________________</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20" w:hanging="332"/>
        <w:spacing w:after="0" w:line="258"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Amendment No. 1 to a Schedule 13D filed on February 14, 2024. According to the filing, TTWF LP and TTWFGP LLC had shared voting and dispositive power over 14,122,230 common units held by Westlake Corporation, and TTWFGP LLC had sole voting and dispositive power over 1,401,869 common units. TTWF LP is the holder of record of 92,010,554 shares of common stock of Westlake Corporation and TTWFGP LLC, the general partner of TTWF LP, is the holder of record of 1,395,000 shares of common stock of Westlake Corporation. TTWF LP and TTWF GP LLC may be deemed to share beneficial ownership of the common units of which WPT LLC is the record owner.</w:t>
      </w:r>
    </w:p>
    <w:p>
      <w:pPr>
        <w:spacing w:after="0" w:line="48" w:lineRule="exact"/>
        <w:rPr>
          <w:rFonts w:ascii="Times New Roman" w:cs="Times New Roman" w:eastAsia="Times New Roman" w:hAnsi="Times New Roman"/>
          <w:sz w:val="18"/>
          <w:szCs w:val="18"/>
          <w:color w:val="auto"/>
        </w:rPr>
      </w:pPr>
    </w:p>
    <w:p>
      <w:pPr>
        <w:ind w:left="340" w:right="820" w:hanging="332"/>
        <w:spacing w:after="0" w:line="282"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Amendment No. 5 to a Schedule 13G filed on February 13, 2024. According to the filing, Invesco Ltd. had sole voting and sole dispositive power over 5,264,187 common units.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Common units authorized for issuance under the Partnership's Long-Term Incentive Plan (as amended and restated, the "LTIP") are summarized in the following table.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6"/>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future issuance under</w:t>
            </w:r>
          </w:p>
        </w:tc>
        <w:tc>
          <w:tcPr>
            <w:tcW w:w="0" w:type="dxa"/>
            <w:vAlign w:val="bottom"/>
          </w:tcPr>
          <w:p>
            <w:pPr>
              <w:spacing w:after="0"/>
              <w:rPr>
                <w:sz w:val="1"/>
                <w:szCs w:val="1"/>
                <w:color w:val="auto"/>
              </w:rPr>
            </w:pPr>
          </w:p>
        </w:tc>
      </w:tr>
      <w:tr>
        <w:trPr>
          <w:trHeight w:val="137"/>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6"/>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220" w:type="dxa"/>
            <w:vAlign w:val="bottom"/>
          </w:tcPr>
          <w:p>
            <w:pPr>
              <w:spacing w:after="0"/>
              <w:rPr>
                <w:sz w:val="12"/>
                <w:szCs w:val="12"/>
                <w:color w:val="auto"/>
              </w:rPr>
            </w:pPr>
          </w:p>
        </w:tc>
        <w:tc>
          <w:tcPr>
            <w:tcW w:w="16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220" w:type="dxa"/>
            <w:vAlign w:val="bottom"/>
          </w:tcPr>
          <w:p>
            <w:pPr>
              <w:spacing w:after="0"/>
              <w:rPr>
                <w:sz w:val="12"/>
                <w:szCs w:val="12"/>
                <w:color w:val="auto"/>
              </w:rPr>
            </w:pPr>
          </w:p>
        </w:tc>
        <w:tc>
          <w:tcPr>
            <w:tcW w:w="16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35"/>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220" w:type="dxa"/>
            <w:vAlign w:val="bottom"/>
          </w:tcPr>
          <w:p>
            <w:pPr>
              <w:spacing w:after="0"/>
              <w:rPr>
                <w:sz w:val="11"/>
                <w:szCs w:val="11"/>
                <w:color w:val="auto"/>
              </w:rPr>
            </w:pPr>
          </w:p>
        </w:tc>
        <w:tc>
          <w:tcPr>
            <w:tcW w:w="16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98"/>
        </w:trPr>
        <w:tc>
          <w:tcPr>
            <w:tcW w:w="5760" w:type="dxa"/>
            <w:vAlign w:val="bottom"/>
            <w:gridSpan w:val="2"/>
            <w:vMerge w:val="continue"/>
          </w:tcPr>
          <w:p>
            <w:pPr>
              <w:spacing w:after="0"/>
              <w:rPr>
                <w:sz w:val="17"/>
                <w:szCs w:val="17"/>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rights (a)</w:t>
            </w:r>
          </w:p>
        </w:tc>
        <w:tc>
          <w:tcPr>
            <w:tcW w:w="220" w:type="dxa"/>
            <w:vAlign w:val="bottom"/>
          </w:tcPr>
          <w:p>
            <w:pPr>
              <w:spacing w:after="0"/>
              <w:rPr>
                <w:sz w:val="17"/>
                <w:szCs w:val="17"/>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28"/>
        </w:trPr>
        <w:tc>
          <w:tcPr>
            <w:tcW w:w="566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Equity compensation plan approved by security holders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15,015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center"/>
              <w:ind w:left="114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1,184,657</w:t>
            </w:r>
          </w:p>
        </w:tc>
        <w:tc>
          <w:tcPr>
            <w:tcW w:w="0" w:type="dxa"/>
            <w:vAlign w:val="bottom"/>
          </w:tcPr>
          <w:p>
            <w:pPr>
              <w:spacing w:after="0"/>
              <w:rPr>
                <w:sz w:val="1"/>
                <w:szCs w:val="1"/>
                <w:color w:val="auto"/>
              </w:rPr>
            </w:pPr>
          </w:p>
        </w:tc>
      </w:tr>
      <w:tr>
        <w:trPr>
          <w:trHeight w:val="229"/>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 not approved by security holders</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40" w:type="dxa"/>
            <w:vAlign w:val="bottom"/>
            <w:gridSpan w:val="2"/>
          </w:tcPr>
          <w:p>
            <w:pPr>
              <w:jc w:val="center"/>
              <w:ind w:left="982"/>
              <w:spacing w:after="0"/>
              <w:rPr>
                <w:sz w:val="20"/>
                <w:szCs w:val="20"/>
                <w:color w:val="auto"/>
              </w:rPr>
            </w:pPr>
            <w:r>
              <w:rPr>
                <w:rFonts w:ascii="Times New Roman" w:cs="Times New Roman" w:eastAsia="Times New Roman" w:hAnsi="Times New Roman"/>
                <w:sz w:val="18"/>
                <w:szCs w:val="18"/>
                <w:color w:val="auto"/>
                <w:w w:val="96"/>
              </w:rPr>
              <w:t>N/A</w:t>
            </w:r>
          </w:p>
        </w:tc>
        <w:tc>
          <w:tcPr>
            <w:tcW w:w="17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center"/>
              <w:ind w:left="114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1,184,657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85" w:lineRule="exact"/>
        <w:rPr>
          <w:sz w:val="20"/>
          <w:szCs w:val="20"/>
          <w:color w:val="auto"/>
        </w:rPr>
      </w:pPr>
    </w:p>
    <w:p>
      <w:pPr>
        <w:ind w:left="340" w:right="20" w:hanging="332"/>
        <w:spacing w:after="0" w:line="266"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LTIP was adopted by our general partner's board of directors in connection with our initial public offering and amended and restated effective May 8, 2024, following approval by our unitholders. Only phantom unit awards have been granted under the LTIP. There is no weighted-average exercise price associated with these awards.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94"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Westlake owns 14,122,230 common units, representing an aggregate approximate 40.1% limited partner interest in us; a 100% interest in our general partner; and our incentive distribution rights. Transactions with Westlake and its affiliated entities are considered to be related party transactions because Westlake and its affiliates own more than 5% of our equity interests; in addition, certain of Westlake's directors and executive officers also serve as directors and executive officers of our general partner.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Whenever a conflict arises between our general partner or its owners, on the one hand, and us or our limited partners, on the other hand, the resolution, course of action or transaction in respect of such conflict of interest shall be conclusively deemed approved by us and all our limited partners and shall not constitute a breach of the Partnership Agreement, of any agreement contemplated thereby or of any duty, if the resolution, course of action or transaction in respect of such conflict of interest is:</w:t>
      </w:r>
    </w:p>
    <w:p>
      <w:pPr>
        <w:spacing w:after="0" w:line="58"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conflicts committee of our general partner; or</w:t>
      </w:r>
    </w:p>
    <w:p>
      <w:pPr>
        <w:spacing w:after="0" w:line="90"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holders of a majority of our outstanding common units, excluding any such units owned by our general partner or any of its affiliates.</w:t>
      </w:r>
    </w:p>
    <w:p>
      <w:pPr>
        <w:spacing w:after="0" w:line="108"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Our general partner may, but is not required to, seek the approval of such resolutions or courses of action from the conflicts committee of its board of directors or from the holders of a majority of the outstanding common units as described above. If our general partner does not seek approval from the conflicts committee or from holders of common units as described above and the board of directors approves the resolution or course of action taken with respect to the conflict of interest, then it will be presumed that, in making its decision, the board of directors acted "in good faith," and in any proceeding brought by or on behalf of us or any of our unitholders, the person bringing or prosecuting such proceeding will have the burden of overcoming such presumption and proving that such decision was not in good faith. Unless the resolution of a conflict is specifically provided for in the Partnership Agreement, the board of directors or its conflicts committee, as applicable, may consider any factors it determines in good faith to consider when resolving a conflict. An independent third party is not required to evaluate the resolution. Under the Partnership Agreement, all determinations, other actions or failures to act by our general partner, the board of directors or any committee thereof (including the conflicts committee) will be presumed to be "in good faith," and in any proceeding brought by or on behalf of us or any of our unitholders, the person bringing or prosecuting such proceeding will have the burden of overcoming such presumption and proving that such determination was not in good faith.</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Item 407(a) of Regulation S-K is included in "Item 10. Directors, Executive Officers and Corporate Governance."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Review, Approval and Ratification of Transactions with Related Persons</w:t>
      </w:r>
    </w:p>
    <w:p>
      <w:pPr>
        <w:spacing w:after="0" w:line="10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If a conflict or potential conflict of interest arises between our general partner or its affiliates, on the one hand, and us or our unitholders, on the other hand, the resolution of any such conflict or potential conflict should be addressed by the board of directors in accordance with the provisions of the Partnership Agreement. At the discretion of the board in light of the circumstances, the resolution may be determined by the board in its entirety or by a conflicts committee meeting the definitional requirements for such a committee under the Partnership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and Payments to our General Partner and its Affiliates</w:t>
      </w:r>
    </w:p>
    <w:p>
      <w:pPr>
        <w:spacing w:after="0" w:line="108"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We will generally make cash distributions to our unitholders, including Westlake, pro rata. In addition, if distributions exceed the minimum quarterly distribution and other higher target distribution levels, Westlake, as the holder of our incentive distribution rights, will be entitled to increasing percentages of the distributions, up to 50% of the distributions above the highest target distribution level.</w:t>
      </w:r>
    </w:p>
    <w:p>
      <w:pPr>
        <w:spacing w:after="0" w:line="12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Assuming we have sufficient available cash to pay the full minimum quarterly distribution of $0.2750 per unit on all of our outstanding units for four quarters, Westlake would receive an aggregate annual distribution of approximately $15.5 million on its common units. During 2025, we made aggregate distributions of $1.8856 per unit to all of our unitholders, resulting in Westlake receiving approximately $26.6 million.</w:t>
      </w:r>
    </w:p>
    <w:p>
      <w:pPr>
        <w:spacing w:after="0" w:line="122"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Our general partner and its affiliates are entitled to reimbursement for all expenses they incur on our behalf, including salaries and employee benefit costs for employees who provide services to us, and all other necessary or appropriate expenses allocable to us or reasonably incurred by our general partner and its affiliates in connection with operating our business. Except to the extent specified in the Omnibus Agreement or the Services and Secondment Agreement, our general partner will determine the expenses that are allocable to us in good faith, but there is no limit on the amount of expenses for which our general partner and its affiliates will be reimbursed. For the year ended December 31, 2025, we paid approximately $226.1 million for such expenses.</w:t>
      </w:r>
    </w:p>
    <w:p>
      <w:pPr>
        <w:spacing w:after="0" w:line="133"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If our general partner withdraws or is removed, its incentive distribution rights will either be sold to the new general partner for cash or converted into common units, in each case for an amount equal to the fair market value of those interests.</w:t>
      </w:r>
    </w:p>
    <w:p>
      <w:pPr>
        <w:spacing w:after="0" w:line="108"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If we are ever liquidated, the partners, including Westlake, will be entitled to receive liquidating distributions according to their respective capital account balances.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Westlake</w:t>
      </w:r>
    </w:p>
    <w:p>
      <w:pPr>
        <w:spacing w:after="0" w:line="94" w:lineRule="exact"/>
        <w:rPr>
          <w:sz w:val="20"/>
          <w:szCs w:val="20"/>
          <w:color w:val="auto"/>
        </w:rPr>
      </w:pPr>
    </w:p>
    <w:p>
      <w:pPr>
        <w:jc w:val="both"/>
        <w:ind w:right="420" w:firstLine="405"/>
        <w:spacing w:after="0" w:line="266" w:lineRule="auto"/>
        <w:rPr>
          <w:sz w:val="20"/>
          <w:szCs w:val="20"/>
          <w:color w:val="auto"/>
        </w:rPr>
      </w:pPr>
      <w:r>
        <w:rPr>
          <w:rFonts w:ascii="Times New Roman" w:cs="Times New Roman" w:eastAsia="Times New Roman" w:hAnsi="Times New Roman"/>
          <w:sz w:val="18"/>
          <w:szCs w:val="18"/>
          <w:color w:val="auto"/>
        </w:rPr>
        <w:t>Except as otherwise indicated, the agreements described below became effective on August 4, 2014, concurrent with the closing of the IPO. For amounts paid by us or Westlake, as applicable, under the agreements described below, see Note 11, "Related Party Transactions," to our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Ethylene Sales Agreement</w:t>
      </w:r>
    </w:p>
    <w:p>
      <w:pPr>
        <w:spacing w:after="0" w:line="108"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OpCo and Westlake are parties to the Ethylene Sales Agreement, which has an initial term through December 31, 2026 and automatic 12-month renewal periods until terminated at the end of the initial term or any renewal term on not less than 12-months' notice. On October 28, 2025, OpCo and Westlake agreed to renew the Ethylene Sales Agreement through December 31, 2027 in accordance with its terms. The Ethylene Sales Agreement requires Westlake to purchase OpCo's planned ethylene production each year, subject to certain exceptions and a maximum commitment of 3.8 billion pounds per year, less product sold by OpCo to third parties equal to approximately 5% of the annual output. Westlake's purchase price for its minimum commitment of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Variable costs not incurred by OpCo due to a deficiency in purchases by Westlake are rebated to Westlake. Under specified circumstances, unrecovered costs may be carried forward for recovery in subsequent years. If OpCo's actual production is in excess of planned ethylene production, Westlake has the option to purchase up to 95% of production in excess of planned production. The price for the sale of such excess ethylene to Westlake is based on a formula similar to that used for the minimum purchase commitment, with the exception of certain fixed costs.</w:t>
      </w:r>
    </w:p>
    <w:p>
      <w:pPr>
        <w:spacing w:after="0" w:line="136"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and not the Ethylene Sales Agreement.</w:t>
      </w:r>
    </w:p>
    <w:p>
      <w:pPr>
        <w:spacing w:after="0" w:line="122"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Under the Ethylene Sales Agreement, OpCo has the option to curtail up to approximately 5% of its ethylene production annually in the event OpCo reasonably determines that its sales of such ethylene to third parties during the relevant period would be uneconomic.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Feedstock Supply Agreement</w:t>
      </w:r>
    </w:p>
    <w:p>
      <w:pPr>
        <w:spacing w:after="0" w:line="108"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OpCo and Westlake are parties to the Feedstock Supply Agreement, which has an initial term through December 31, 2026 and automatic 12-month renewal periods until terminated at the end of the initial term or any renewal term on not less than 12-months' notice. On October 28, 2025, OpCo and Westlake agreed to renew the Feedstock Supply Agreement through December 31, 2027 in accordance with its terms. Under the Feedstock Supply Agreement, Westlake sells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and Secondment Agreement</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OpCo and Westlake are parties to the Services and Secondment Agreement, pursuant to which OpCo provides Westlake with various utilities and utility services in exchange for Westlake providing OpCo with various utility services, comprehensive operating services for OpCo's units, services for the maintenance and operation of the common facilities and seconded employees to perform all services required under the agreement. In connection with the renewals of the Ethylene Sales Agreement and the Feedstock Supply Agreement, on October 28, 2025, OpCo and certain affiliates of Westlake entered into an amendment to the Services and Secondment Agreement to align the date of expiration of such agreement with the date of expiration of the Ethylene Sales Agreement. Pursuant to the Services and Secondment Agreement, certain subsidiaries of Westlake have agreed to indemnify OpCo for certain liabilities incurred in connection with the performance of Westlake's services under such agreement.</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Agreements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OpCo is obligated to Westlake under various long-term and short-term noncancelable operating leases, primarily related to rail car leases and land.</w:t>
      </w:r>
    </w:p>
    <w:p>
      <w:pPr>
        <w:spacing w:after="0" w:line="17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OpCo and Westlake are parties to two 50-year site lease agreements (the "Site Leases"). Under the Site Leases, OpCo leases the real property underlying Calvert City Olefins and Lake Charles Olefins and is granted certain use and access rights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the lessor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the lessor's property or operations; provided that any assets that are not timely removed by OpCo will be deemed to have been surrendered to the lessor.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Agreement</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OpCo and Westlake are parties to the Omnibus Agreement, pursuant to which we granted Westlake, among other things, a right of first refusal on any proposed transfer of (1) our equity interests in OpCo, (2) the ethylene production facilities that serve Westlake's other facilities or (3) certain other assets we may acquire from Westlake. The Omnibus Agreement also provides for reimbursement to Westlake for the provision of various administrative services and direct expenses incurred on our behalf and in connection with the operation of our business, including, but not limited to, legal, accounting services, audit services, human resources, insurance, tax, credit, finance, government affairs and regulatory affairs. Under the Omnibus Agreement, Westlake will indemnify us against certain environmental and other losses that occurred or existed prior to August 4, 2014, and we will indemnify Westlake against certain environmental and other losses for which Westlake is not otherwise obligated to indemnify us and certain other losses and liabilities to the extent resulting from the provision of services by Westlake to us. In connection with the renewals of the Ethylene Sales Agreement and the Feedstock Supply Agreement, on October 28, 2025, the Partnership, OpCo and certain affiliates of Westlake entered into an amendment to the Omnibus Agreement to provide that the Omnibus Agreement would terminate upon termination of the Ethylene Sales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Partnership Agreement</w:t>
      </w:r>
    </w:p>
    <w:p>
      <w:pPr>
        <w:spacing w:after="0" w:line="108"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We, OpCo GP and Westlake are parties to an amended and restated agreement of limited partnership of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 The OpCo LP Agreement was amended in December 2017 in connection with the passage of the Bipartisan Budget Act of 2015, which amended certain partnership tax audit rules.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OpCo Revolver</w:t>
      </w:r>
    </w:p>
    <w:p>
      <w:pPr>
        <w:spacing w:after="0" w:line="94"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On August 4, 2014, OpCo entered into a $600.0 million senior unsecured revolving credit facility agreement with Westlake (as subsequently amended, the "OpCo Revolver"). The OpCo Revolver matures on July 12, 2027. Borrowings under the OpCo Revolver bear interest at a variable rate of either (a) SOFR plus the Applicable Margin plus a 0.10% credit spread adjustment or (b) if SOFR is no longer available, the Alternate Base Rate plus the Applicable Margin minus 1.0%. The Applicable Margin under the OpCo Revolver is 1.75%.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MLP Revolver</w:t>
      </w:r>
    </w:p>
    <w:p>
      <w:pPr>
        <w:spacing w:after="0" w:line="108"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On April 29, 2015, we entered into a $300.0 million revolving credit facility agreement with an affiliate of Westlake (as subsequently amended, the "MLP Revolver") to fund our purchase of an additional 2.7% newly-issued, limited partner interest in OpCo for approximately $135.3 million. In 2017, we entered into an amendment to the MLP Revolver credit agreement, increasing borrowing capacity from $300.0 million to $600.0 million. On March 29, 2019, we borrowed approximately $123.5 million under the MLP Revolver to partially fund the purchase of the additional 4.5% interest in OpCo. The MLP Revolver matures on July 12, 2027. Borrowings under the MLP Revolver bear interest at a variable rate of either (a) SOFR plus the Applicable Margin plus a 0.10% credit spread adjustment or (b) if SOFR is no longer available, the Alternate Base Rate plus the Applicable Margin minus 1.0%. The Applicable Margin under the MLP Revolver varies between 1.75% and 2.75%, depending on our Consolidated Leverage Ratio. The MLP Revolver provides that we may pay all or a portion of the interest on any borrowings in kind, in which case any such amounts would be added to the principal amount of the loan.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94"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OpCo and Westlake are parties to an exchange agreement, which had an initial term through August 1, 2015 and is continuing year to year thereafter, unless and until terminated by either party. Under the exchange agreement, OpCo may require Westlake to deliver up to 200 million pounds of ethylene for OpCo per year from the Site Leases to an ethylene hub in Mt. Belvieu, Texas, for which OpCo would be required to pay Westlake an exchange fee of $0.006 per pound.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w:t>
      </w:r>
    </w:p>
    <w:p>
      <w:pPr>
        <w:spacing w:after="0" w:line="108"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On August 1, 2017, we, OpCo and Westlake executed an Investment Management Agreement that authorizes Westlake to invest our and OpCo's excess cash with Westlake for durations of up to a maximum of nine months. Per the terms of the Investment Management Agreement, we earn a market return plus five basis points and Westlake provides daily availability of the invested cash to meet any liquidity needs of us or OpCo.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PricewaterhouseCoopers LLP serves as our independent registered public accounting firm.</w:t>
      </w:r>
    </w:p>
    <w:p>
      <w:pPr>
        <w:spacing w:after="0" w:line="171"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services rendered by PricewaterhouseCoopers LLP in connection with the 2025 and 2024 audits and fees billed by PricewaterhouseCoopers LLP for other services rendered in the years ended December 31, 2025 and December 31,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912,000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384,015</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1,328,716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1,296,015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98" w:lineRule="exact"/>
        <w:rPr>
          <w:sz w:val="20"/>
          <w:szCs w:val="20"/>
          <w:color w:val="auto"/>
        </w:rPr>
      </w:pPr>
    </w:p>
    <w:p>
      <w:pPr>
        <w:ind w:left="420" w:right="180" w:hanging="412"/>
        <w:spacing w:after="0" w:line="266" w:lineRule="auto"/>
        <w:tabs>
          <w:tab w:leader="none" w:pos="41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fees billed for professional services rendered for the audits of our annual consolidated financial statements, audit of internal controls and quarterly review of our consolidated financial statements in 2025 and 2024 and review of a registration statement filed with the SEC in 2024.</w:t>
      </w:r>
    </w:p>
    <w:p>
      <w:pPr>
        <w:spacing w:after="0" w:line="40" w:lineRule="exact"/>
        <w:rPr>
          <w:rFonts w:ascii="Times New Roman" w:cs="Times New Roman" w:eastAsia="Times New Roman" w:hAnsi="Times New Roman"/>
          <w:sz w:val="18"/>
          <w:szCs w:val="18"/>
          <w:color w:val="auto"/>
        </w:rPr>
      </w:pPr>
    </w:p>
    <w:p>
      <w:pPr>
        <w:ind w:left="420" w:right="340" w:hanging="412"/>
        <w:spacing w:after="0" w:line="282" w:lineRule="auto"/>
        <w:tabs>
          <w:tab w:leader="none" w:pos="41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 tax services with respect to the preparation of the Partnership's 2024 K-1 and K-3 statements in 2025 and the preparation of the Partnership's 2023 K-1 and K-3 statements in 2024 and tax consulting and compliance services in 2025 and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Pre-Approval Policy</w:t>
      </w:r>
    </w:p>
    <w:p>
      <w:pPr>
        <w:spacing w:after="0" w:line="9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charter of the audit committee of our general partner's board of directors, which is available on our website at </w:t>
      </w:r>
      <w:r>
        <w:rPr>
          <w:rFonts w:ascii="Times New Roman" w:cs="Times New Roman" w:eastAsia="Times New Roman" w:hAnsi="Times New Roman"/>
          <w:sz w:val="18"/>
          <w:szCs w:val="18"/>
          <w:i w:val="1"/>
          <w:iCs w:val="1"/>
          <w:color w:val="auto"/>
        </w:rPr>
        <w:t>www.wlkpartners.com</w:t>
      </w:r>
      <w:r>
        <w:rPr>
          <w:rFonts w:ascii="Times New Roman" w:cs="Times New Roman" w:eastAsia="Times New Roman" w:hAnsi="Times New Roman"/>
          <w:sz w:val="18"/>
          <w:szCs w:val="18"/>
          <w:color w:val="auto"/>
        </w:rPr>
        <w:t>, requires the audit committee to pre-approve all audit services and non-audit services (other than de minimis non-audit services as defined by the Sarbanes-Oxley Act of 2002) to be provided by our independent registered public accounting firm. The audit committee has adopted a pre-approval policy with respect to services that may be performed by the independent registered public accounting firm. The audit committee pre-approved all services provided by PricewaterhouseCoopers during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8. Financial Statements and Supplementary Data" contained elsewhere in this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 information is not applicable, not required, or has been furnished in the Consolidated Financial Statements or Notes thereto in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340" w:type="dxa"/>
            <w:vAlign w:val="bottom"/>
            <w:gridSpan w:val="35"/>
          </w:tcPr>
          <w:p>
            <w:pPr>
              <w:ind w:left="10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09"/>
        </w:trPr>
        <w:tc>
          <w:tcPr>
            <w:tcW w:w="15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700" w:type="dxa"/>
            <w:vAlign w:val="bottom"/>
            <w:gridSpan w:val="39"/>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49"/>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Certificate of Limited Partnership of Westlake Chemical Partners LP (incorporated by reference to Exhibit 3.1 to Westlake Chemical</w:t>
              </w:r>
            </w:hyperlink>
          </w:p>
        </w:tc>
      </w:tr>
      <w:tr>
        <w:trPr>
          <w:trHeight w:val="156"/>
        </w:trPr>
        <w:tc>
          <w:tcPr>
            <w:tcW w:w="1560" w:type="dxa"/>
            <w:vAlign w:val="bottom"/>
          </w:tcPr>
          <w:p>
            <w:pPr>
              <w:spacing w:after="0"/>
              <w:rPr>
                <w:sz w:val="13"/>
                <w:szCs w:val="13"/>
                <w:color w:val="auto"/>
              </w:rPr>
            </w:pPr>
          </w:p>
        </w:tc>
        <w:tc>
          <w:tcPr>
            <w:tcW w:w="96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Partners LP's Registration Statement on Form S-1 (File No. 333-195551), filed on April 29,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First Amended and Restated Agreement of Limited Partnership of Westlake Chemical Partners LP (incorporated by reference to</w:t>
              </w:r>
            </w:hyperlink>
          </w:p>
        </w:tc>
      </w:tr>
      <w:tr>
        <w:trPr>
          <w:trHeight w:val="156"/>
        </w:trPr>
        <w:tc>
          <w:tcPr>
            <w:tcW w:w="1560" w:type="dxa"/>
            <w:vAlign w:val="bottom"/>
          </w:tcPr>
          <w:p>
            <w:pPr>
              <w:spacing w:after="0"/>
              <w:rPr>
                <w:sz w:val="13"/>
                <w:szCs w:val="13"/>
                <w:color w:val="auto"/>
              </w:rPr>
            </w:pPr>
          </w:p>
        </w:tc>
        <w:tc>
          <w:tcPr>
            <w:tcW w:w="92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Exhibit 3.1 to Westlake Chemical Partners LP's Current Report on Form 8-K (File No. 001-36567) filed on August 8, 2014).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Amendment No. 1 to the First Amended and Restated Agreement of Limited Partnership of Westlake Chemical Partners LP dated as</w:t>
              </w:r>
            </w:hyperlink>
          </w:p>
        </w:tc>
      </w:tr>
      <w:tr>
        <w:trPr>
          <w:trHeight w:val="156"/>
        </w:trPr>
        <w:tc>
          <w:tcPr>
            <w:tcW w:w="1560" w:type="dxa"/>
            <w:vAlign w:val="bottom"/>
          </w:tcPr>
          <w:p>
            <w:pPr>
              <w:spacing w:after="0"/>
              <w:rPr>
                <w:sz w:val="13"/>
                <w:szCs w:val="13"/>
                <w:color w:val="auto"/>
              </w:rPr>
            </w:pPr>
          </w:p>
        </w:tc>
        <w:tc>
          <w:tcPr>
            <w:tcW w:w="95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of November 16, 2017 (incorporated by Reference to Exhibit 3.1 to Westlake Chemical Partners LP's Current Report on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60" w:type="dxa"/>
            <w:vAlign w:val="bottom"/>
          </w:tcPr>
          <w:p>
            <w:pPr>
              <w:spacing w:after="0"/>
              <w:rPr>
                <w:sz w:val="13"/>
                <w:szCs w:val="13"/>
                <w:color w:val="auto"/>
              </w:rPr>
            </w:pPr>
          </w:p>
        </w:tc>
        <w:tc>
          <w:tcPr>
            <w:tcW w:w="94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filed on November 16, 2017, File No. 01-36567).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Amendment No. 2 to the First Amended and Restated Agreement of Limited Partnership of Westlake Chemical Partners LP</w:t>
              </w:r>
            </w:hyperlink>
          </w:p>
        </w:tc>
      </w:tr>
      <w:tr>
        <w:trPr>
          <w:trHeight w:val="155"/>
        </w:trPr>
        <w:tc>
          <w:tcPr>
            <w:tcW w:w="1560" w:type="dxa"/>
            <w:vAlign w:val="bottom"/>
          </w:tcPr>
          <w:p>
            <w:pPr>
              <w:spacing w:after="0"/>
              <w:rPr>
                <w:sz w:val="13"/>
                <w:szCs w:val="13"/>
                <w:color w:val="auto"/>
              </w:rPr>
            </w:pPr>
          </w:p>
        </w:tc>
        <w:tc>
          <w:tcPr>
            <w:tcW w:w="89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(incorporated by reference to Exhibit 3.1 to Westlake Chemical Partners LP's Current Report on Form 8-K filed on July 30,</w:t>
              </w:r>
            </w:hyperlink>
          </w:p>
        </w:tc>
        <w:tc>
          <w:tcPr>
            <w:tcW w:w="400" w:type="dxa"/>
            <w:vAlign w:val="bottom"/>
            <w:gridSpan w:val="10"/>
          </w:tcPr>
          <w:p>
            <w:pPr>
              <w:jc w:val="right"/>
              <w:ind w:right="20"/>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2018</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60" w:type="dxa"/>
            <w:vAlign w:val="bottom"/>
          </w:tcPr>
          <w:p>
            <w:pPr>
              <w:spacing w:after="0"/>
              <w:rPr>
                <w:sz w:val="13"/>
                <w:szCs w:val="13"/>
                <w:color w:val="auto"/>
              </w:rPr>
            </w:pPr>
          </w:p>
        </w:tc>
        <w:tc>
          <w:tcPr>
            <w:tcW w:w="92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(File No. 01-36567)).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Amended and Restated Agreement of Limited Partnership of Westlake Chemical OpCo LP (incorporated by reference to Exhibit 10.7</w:t>
              </w:r>
            </w:hyperlink>
          </w:p>
        </w:tc>
      </w:tr>
      <w:tr>
        <w:trPr>
          <w:trHeight w:val="155"/>
        </w:trPr>
        <w:tc>
          <w:tcPr>
            <w:tcW w:w="1560" w:type="dxa"/>
            <w:vAlign w:val="bottom"/>
          </w:tcPr>
          <w:p>
            <w:pPr>
              <w:spacing w:after="0"/>
              <w:rPr>
                <w:sz w:val="13"/>
                <w:szCs w:val="13"/>
                <w:color w:val="auto"/>
              </w:rPr>
            </w:pPr>
          </w:p>
        </w:tc>
        <w:tc>
          <w:tcPr>
            <w:tcW w:w="968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to Westlake Chemical Partners LP's Current Report on Form 8-K (File No. 001-36567) filed on August 8, 2014).</w:t>
              </w:r>
            </w:hyperlink>
          </w:p>
        </w:tc>
        <w:tc>
          <w:tcPr>
            <w:tcW w:w="20" w:type="dxa"/>
            <w:vAlign w:val="bottom"/>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92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Amendment No. 1 to the Amended and Restated Agreement of Limited Partnership of Westlake Chemical OpCo LP dated as of</w:t>
              </w:r>
            </w:hyperlink>
          </w:p>
        </w:tc>
        <w:tc>
          <w:tcPr>
            <w:tcW w:w="500" w:type="dxa"/>
            <w:vAlign w:val="bottom"/>
            <w:gridSpan w:val="20"/>
          </w:tcPr>
          <w:p>
            <w:pPr>
              <w:spacing w:after="0"/>
              <w:rPr>
                <w:sz w:val="24"/>
                <w:szCs w:val="24"/>
                <w:color w:val="auto"/>
              </w:rPr>
            </w:pPr>
          </w:p>
        </w:tc>
      </w:tr>
      <w:tr>
        <w:trPr>
          <w:trHeight w:val="155"/>
        </w:trPr>
        <w:tc>
          <w:tcPr>
            <w:tcW w:w="1560" w:type="dxa"/>
            <w:vAlign w:val="bottom"/>
          </w:tcPr>
          <w:p>
            <w:pPr>
              <w:spacing w:after="0"/>
              <w:rPr>
                <w:sz w:val="13"/>
                <w:szCs w:val="13"/>
                <w:color w:val="auto"/>
              </w:rPr>
            </w:pPr>
          </w:p>
        </w:tc>
        <w:tc>
          <w:tcPr>
            <w:tcW w:w="9700" w:type="dxa"/>
            <w:vAlign w:val="bottom"/>
            <w:gridSpan w:val="39"/>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December 1, 2017 (File No. 01-36567) (incorporated by reference to Exhibit 3.4 to Westlake Chemical Partners LP's Annual Report</w:t>
              </w:r>
            </w:hyperlink>
          </w:p>
        </w:tc>
      </w:tr>
      <w:tr>
        <w:trPr>
          <w:trHeight w:val="156"/>
        </w:trPr>
        <w:tc>
          <w:tcPr>
            <w:tcW w:w="1560" w:type="dxa"/>
            <w:vAlign w:val="bottom"/>
          </w:tcPr>
          <w:p>
            <w:pPr>
              <w:spacing w:after="0"/>
              <w:rPr>
                <w:sz w:val="13"/>
                <w:szCs w:val="13"/>
                <w:color w:val="auto"/>
              </w:rPr>
            </w:pPr>
          </w:p>
        </w:tc>
        <w:tc>
          <w:tcPr>
            <w:tcW w:w="952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on Form 10-K for the year ended December 31, 2017 (File No. 01-36567) filed on March 1,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Description of Securities Registered Pursuant to Section 12 of the Securities Exchange Act of 1934 (incorporated by reference to</w:t>
              </w:r>
            </w:hyperlink>
          </w:p>
        </w:tc>
      </w:tr>
      <w:tr>
        <w:trPr>
          <w:trHeight w:val="156"/>
        </w:trPr>
        <w:tc>
          <w:tcPr>
            <w:tcW w:w="1560" w:type="dxa"/>
            <w:vAlign w:val="bottom"/>
          </w:tcPr>
          <w:p>
            <w:pPr>
              <w:spacing w:after="0"/>
              <w:rPr>
                <w:sz w:val="13"/>
                <w:szCs w:val="13"/>
                <w:color w:val="auto"/>
              </w:rPr>
            </w:pPr>
          </w:p>
        </w:tc>
        <w:tc>
          <w:tcPr>
            <w:tcW w:w="93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Exhibit 4.1 to Westlake Chemical Partners' Annual Report on Form 10-K for the year ended December 31, 2019, File No. 001-</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560" w:type="dxa"/>
            <w:vAlign w:val="bottom"/>
          </w:tcPr>
          <w:p>
            <w:pPr>
              <w:spacing w:after="0"/>
              <w:rPr>
                <w:sz w:val="13"/>
                <w:szCs w:val="13"/>
                <w:color w:val="auto"/>
              </w:rPr>
            </w:pPr>
          </w:p>
        </w:tc>
        <w:tc>
          <w:tcPr>
            <w:tcW w:w="5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42">
              <w:r>
                <w:rPr>
                  <w:rFonts w:ascii="Times New Roman" w:cs="Times New Roman" w:eastAsia="Times New Roman" w:hAnsi="Times New Roman"/>
                  <w:sz w:val="18"/>
                  <w:szCs w:val="18"/>
                  <w:color w:val="0000FF"/>
                  <w:w w:val="93"/>
                </w:rPr>
                <w:t>36567).</w:t>
              </w:r>
            </w:hyperlink>
          </w:p>
        </w:tc>
        <w:tc>
          <w:tcPr>
            <w:tcW w:w="10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Registration Rights Agreement by and among Westlake Chemical Partners LP and the persons named therein, dated as of March 29,</w:t>
              </w:r>
            </w:hyperlink>
          </w:p>
        </w:tc>
      </w:tr>
      <w:tr>
        <w:trPr>
          <w:trHeight w:val="156"/>
        </w:trPr>
        <w:tc>
          <w:tcPr>
            <w:tcW w:w="1560" w:type="dxa"/>
            <w:vAlign w:val="bottom"/>
          </w:tcPr>
          <w:p>
            <w:pPr>
              <w:spacing w:after="0"/>
              <w:rPr>
                <w:sz w:val="13"/>
                <w:szCs w:val="13"/>
                <w:color w:val="auto"/>
              </w:rPr>
            </w:pPr>
          </w:p>
        </w:tc>
        <w:tc>
          <w:tcPr>
            <w:tcW w:w="95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2019 (incorporated by reference to Exhibit 4.1 to Westlake Chemical Partners LP's Current Report on Form 8-K, filed on March 29,</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560" w:type="dxa"/>
            <w:vAlign w:val="bottom"/>
          </w:tcPr>
          <w:p>
            <w:pPr>
              <w:spacing w:after="0"/>
              <w:rPr>
                <w:sz w:val="13"/>
                <w:szCs w:val="13"/>
                <w:color w:val="auto"/>
              </w:rPr>
            </w:pPr>
          </w:p>
        </w:tc>
        <w:tc>
          <w:tcPr>
            <w:tcW w:w="94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2019, File No. 001-36567).</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Omnibus Agreement among Westlake Management Services, Inc., Westlake Vinyl Corporation, Westlake Chemical Partners GP</w:t>
              </w:r>
            </w:hyperlink>
          </w:p>
        </w:tc>
      </w:tr>
      <w:tr>
        <w:trPr>
          <w:trHeight w:val="155"/>
        </w:trPr>
        <w:tc>
          <w:tcPr>
            <w:tcW w:w="1560" w:type="dxa"/>
            <w:vAlign w:val="bottom"/>
          </w:tcPr>
          <w:p>
            <w:pPr>
              <w:spacing w:after="0"/>
              <w:rPr>
                <w:sz w:val="13"/>
                <w:szCs w:val="13"/>
                <w:color w:val="auto"/>
              </w:rPr>
            </w:pPr>
          </w:p>
        </w:tc>
        <w:tc>
          <w:tcPr>
            <w:tcW w:w="92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LLC, Westlake Chemical Partners LP, WPT LLC, Westlake Petrochemicals LLC, Westlake Vinyls, Inc., Westlake Longview</w:t>
              </w:r>
            </w:hyperlink>
          </w:p>
        </w:tc>
        <w:tc>
          <w:tcPr>
            <w:tcW w:w="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560" w:type="dxa"/>
            <w:vAlign w:val="bottom"/>
          </w:tcPr>
          <w:p>
            <w:pPr>
              <w:spacing w:after="0"/>
              <w:rPr>
                <w:sz w:val="13"/>
                <w:szCs w:val="13"/>
                <w:color w:val="auto"/>
              </w:rPr>
            </w:pPr>
          </w:p>
        </w:tc>
        <w:tc>
          <w:tcPr>
            <w:tcW w:w="89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7"/>
              </w:rPr>
            </w:pPr>
            <w:hyperlink r:id="rId144">
              <w:r>
                <w:rPr>
                  <w:rFonts w:ascii="Times New Roman" w:cs="Times New Roman" w:eastAsia="Times New Roman" w:hAnsi="Times New Roman"/>
                  <w:sz w:val="18"/>
                  <w:szCs w:val="18"/>
                  <w:color w:val="0000FF"/>
                  <w:w w:val="97"/>
                </w:rPr>
                <w:t>Corporation, Westlake Chemical OpCo GP LLC, Westlake Chemical OpCo LP, Westlake PVC Corporation, Westlake Styrene</w:t>
              </w:r>
            </w:hyperlink>
          </w:p>
        </w:tc>
        <w:tc>
          <w:tcPr>
            <w:tcW w:w="80" w:type="dxa"/>
            <w:vAlign w:val="bottom"/>
          </w:tcPr>
          <w:p>
            <w:pPr>
              <w:spacing w:after="0"/>
              <w:rPr>
                <w:sz w:val="13"/>
                <w:szCs w:val="13"/>
                <w:color w:val="auto"/>
              </w:rPr>
            </w:pPr>
          </w:p>
        </w:tc>
        <w:tc>
          <w:tcPr>
            <w:tcW w:w="660" w:type="dxa"/>
            <w:vAlign w:val="bottom"/>
            <w:gridSpan w:val="23"/>
          </w:tcPr>
          <w:p>
            <w:pPr>
              <w:ind w:left="60"/>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LLC</w:t>
              </w:r>
            </w:hyperlink>
          </w:p>
        </w:tc>
      </w:tr>
      <w:tr>
        <w:trPr>
          <w:trHeight w:val="169"/>
        </w:trPr>
        <w:tc>
          <w:tcPr>
            <w:tcW w:w="1560" w:type="dxa"/>
            <w:vAlign w:val="bottom"/>
          </w:tcPr>
          <w:p>
            <w:pPr>
              <w:spacing w:after="0"/>
              <w:rPr>
                <w:sz w:val="14"/>
                <w:szCs w:val="14"/>
                <w:color w:val="auto"/>
              </w:rPr>
            </w:pPr>
          </w:p>
        </w:tc>
        <w:tc>
          <w:tcPr>
            <w:tcW w:w="9460" w:type="dxa"/>
            <w:vAlign w:val="bottom"/>
            <w:tcBorders>
              <w:top w:val="single" w:sz="8" w:color="0000FF"/>
              <w:bottom w:val="single" w:sz="8" w:color="0000FF"/>
            </w:tcBorders>
            <w:gridSpan w:val="27"/>
          </w:tcPr>
          <w:p>
            <w:pPr>
              <w:spacing w:after="0" w:line="169" w:lineRule="exact"/>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and Westlake Polymers LLC (incorporated by reference to Exhibit 10.1 to Westlake Chemical Partners LP's Current Report on Form</w:t>
              </w:r>
            </w:hyperlink>
          </w:p>
        </w:tc>
        <w:tc>
          <w:tcPr>
            <w:tcW w:w="100" w:type="dxa"/>
            <w:vAlign w:val="bottom"/>
            <w:tcBorders>
              <w:bottom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560" w:type="dxa"/>
            <w:vAlign w:val="bottom"/>
          </w:tcPr>
          <w:p>
            <w:pPr>
              <w:spacing w:after="0"/>
              <w:rPr>
                <w:sz w:val="13"/>
                <w:szCs w:val="13"/>
                <w:color w:val="auto"/>
              </w:rPr>
            </w:pPr>
          </w:p>
        </w:tc>
        <w:tc>
          <w:tcPr>
            <w:tcW w:w="9560" w:type="dxa"/>
            <w:vAlign w:val="bottom"/>
            <w:gridSpan w:val="32"/>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8-K (File No. 001-36567) filed on August 8, 2014).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First Amendment to Omnibus Agreement, dated as of October 28, 2025 (incorporated by reference to Exhibit 10.4 to Westlake</w:t>
              </w:r>
            </w:hyperlink>
          </w:p>
        </w:tc>
      </w:tr>
      <w:tr>
        <w:trPr>
          <w:trHeight w:val="155"/>
        </w:trPr>
        <w:tc>
          <w:tcPr>
            <w:tcW w:w="1560" w:type="dxa"/>
            <w:vAlign w:val="bottom"/>
          </w:tcPr>
          <w:p>
            <w:pPr>
              <w:spacing w:after="0"/>
              <w:rPr>
                <w:sz w:val="13"/>
                <w:szCs w:val="13"/>
                <w:color w:val="auto"/>
              </w:rPr>
            </w:pPr>
          </w:p>
        </w:tc>
        <w:tc>
          <w:tcPr>
            <w:tcW w:w="91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Chemical Partners LP's Current Report on Form 8-K (File No. 001-36567) filed on October 30, 2025).</w:t>
              </w:r>
            </w:hyperlink>
          </w:p>
        </w:tc>
        <w:tc>
          <w:tcPr>
            <w:tcW w:w="8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Services and Secondment Agreement by and among Westlake Chemical OpCo LP, Westlake Management Services, Inc., Westlake</w:t>
              </w:r>
            </w:hyperlink>
          </w:p>
        </w:tc>
      </w:tr>
      <w:tr>
        <w:trPr>
          <w:trHeight w:val="20"/>
        </w:trPr>
        <w:tc>
          <w:tcPr>
            <w:tcW w:w="1560" w:type="dxa"/>
            <w:vAlign w:val="bottom"/>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5"/>
        </w:trPr>
        <w:tc>
          <w:tcPr>
            <w:tcW w:w="1560" w:type="dxa"/>
            <w:vAlign w:val="bottom"/>
          </w:tcPr>
          <w:p>
            <w:pPr>
              <w:spacing w:after="0"/>
              <w:rPr>
                <w:sz w:val="13"/>
                <w:szCs w:val="13"/>
                <w:color w:val="auto"/>
              </w:rPr>
            </w:pPr>
          </w:p>
        </w:tc>
        <w:tc>
          <w:tcPr>
            <w:tcW w:w="9700" w:type="dxa"/>
            <w:vAlign w:val="bottom"/>
            <w:gridSpan w:val="39"/>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Vinyls, Inc., WPT LLC and Westlake Petrochemicals LLC (incorporated by reference to Exhibit 10.2 to Westlake Chemical Partners</w:t>
              </w:r>
            </w:hyperlink>
          </w:p>
        </w:tc>
      </w:tr>
      <w:tr>
        <w:trPr>
          <w:trHeight w:val="155"/>
        </w:trPr>
        <w:tc>
          <w:tcPr>
            <w:tcW w:w="156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LP's Current Report on Form 8-K (File No. 001-36567) filed on August 8, 2014).</w:t>
              </w:r>
            </w:hyperlink>
          </w:p>
        </w:tc>
        <w:tc>
          <w:tcPr>
            <w:tcW w:w="3720" w:type="dxa"/>
            <w:vAlign w:val="bottom"/>
            <w:tcBorders>
              <w:top w:val="single" w:sz="8" w:color="0000FF"/>
            </w:tcBorders>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First Amendment to Services and Secondment Agreement, dated as of October 28, 2025 (incorporated by reference to Exhibit 10.2 to</w:t>
              </w:r>
            </w:hyperlink>
          </w:p>
        </w:tc>
      </w:tr>
      <w:tr>
        <w:trPr>
          <w:trHeight w:val="155"/>
        </w:trPr>
        <w:tc>
          <w:tcPr>
            <w:tcW w:w="1560" w:type="dxa"/>
            <w:vAlign w:val="bottom"/>
          </w:tcPr>
          <w:p>
            <w:pPr>
              <w:spacing w:after="0"/>
              <w:rPr>
                <w:sz w:val="13"/>
                <w:szCs w:val="13"/>
                <w:color w:val="auto"/>
              </w:rPr>
            </w:pPr>
          </w:p>
        </w:tc>
        <w:tc>
          <w:tcPr>
            <w:tcW w:w="966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Westlake Chemical Partners LP's Current Report on Form 8-K (File No. 001-36567) filed on October 30, 2025).</w:t>
              </w:r>
            </w:hyperlink>
          </w:p>
        </w:tc>
        <w:tc>
          <w:tcPr>
            <w:tcW w:w="40" w:type="dxa"/>
            <w:vAlign w:val="bottom"/>
            <w:gridSpan w:val="2"/>
          </w:tcPr>
          <w:p>
            <w:pPr>
              <w:spacing w:after="0"/>
              <w:rPr>
                <w:sz w:val="13"/>
                <w:szCs w:val="13"/>
                <w:color w:val="auto"/>
              </w:rPr>
            </w:pPr>
          </w:p>
        </w:tc>
      </w:tr>
      <w:tr>
        <w:trPr>
          <w:trHeight w:val="20"/>
        </w:trPr>
        <w:tc>
          <w:tcPr>
            <w:tcW w:w="1560" w:type="dxa"/>
            <w:vAlign w:val="bottom"/>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570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Feedstock Supply Agreement between Westlake Petrochemicals LLC and Westlake Chemical OpCo LP (incorporated by reference to</w:t>
              </w:r>
            </w:hyperlink>
          </w:p>
        </w:tc>
      </w:tr>
      <w:tr>
        <w:trPr>
          <w:trHeight w:val="155"/>
        </w:trPr>
        <w:tc>
          <w:tcPr>
            <w:tcW w:w="156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Exhibit 10.3 to Westlake Chemical Partners LP's Current Report on Form 8-K (File No. 001-36567) filed on August 8, 2014).</w:t>
              </w:r>
            </w:hyperlink>
          </w:p>
        </w:tc>
        <w:tc>
          <w:tcPr>
            <w:tcW w:w="600" w:type="dxa"/>
            <w:vAlign w:val="bottom"/>
            <w:tcBorders>
              <w:top w:val="single" w:sz="8" w:color="0000FF"/>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Ethylene Sales Agreement between Westlake Chemical OpCo LP, WPT LLC, Westlake Vinyls, Inc. and Westlake Petrochemicals</w:t>
              </w:r>
            </w:hyperlink>
          </w:p>
        </w:tc>
      </w:tr>
      <w:tr>
        <w:trPr>
          <w:trHeight w:val="155"/>
        </w:trPr>
        <w:tc>
          <w:tcPr>
            <w:tcW w:w="1560" w:type="dxa"/>
            <w:vAlign w:val="bottom"/>
          </w:tcPr>
          <w:p>
            <w:pPr>
              <w:spacing w:after="0"/>
              <w:rPr>
                <w:sz w:val="13"/>
                <w:szCs w:val="13"/>
                <w:color w:val="auto"/>
              </w:rPr>
            </w:pPr>
          </w:p>
        </w:tc>
        <w:tc>
          <w:tcPr>
            <w:tcW w:w="93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LLC (incorporated by reference to Exhibit 10.4 to Westlake Chemical Partners LP's Current Report on Form 8-K (File No. 001-</w:t>
              </w:r>
            </w:hyperlink>
          </w:p>
        </w:tc>
        <w:tc>
          <w:tcPr>
            <w:tcW w:w="240" w:type="dxa"/>
            <w:vAlign w:val="bottom"/>
            <w:gridSpan w:val="10"/>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156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36567) filed on August 8, 2014).</w:t>
              </w:r>
            </w:hyperlink>
          </w:p>
        </w:tc>
        <w:tc>
          <w:tcPr>
            <w:tcW w:w="6840" w:type="dxa"/>
            <w:vAlign w:val="bottom"/>
            <w:tcBorders>
              <w:top w:val="single" w:sz="8" w:color="0000FF"/>
            </w:tcBorders>
            <w:gridSpan w:val="15"/>
          </w:tcPr>
          <w:p>
            <w:pPr>
              <w:spacing w:after="0"/>
              <w:rPr>
                <w:sz w:val="13"/>
                <w:szCs w:val="13"/>
                <w:color w:val="auto"/>
              </w:rPr>
            </w:pPr>
          </w:p>
        </w:tc>
        <w:tc>
          <w:tcPr>
            <w:tcW w:w="120" w:type="dxa"/>
            <w:vAlign w:val="bottom"/>
            <w:gridSpan w:val="5"/>
          </w:tcPr>
          <w:p>
            <w:pPr>
              <w:spacing w:after="0"/>
              <w:rPr>
                <w:sz w:val="13"/>
                <w:szCs w:val="13"/>
                <w:color w:val="auto"/>
              </w:rPr>
            </w:pPr>
          </w:p>
        </w:tc>
        <w:tc>
          <w:tcPr>
            <w:tcW w:w="300" w:type="dxa"/>
            <w:vAlign w:val="bottom"/>
            <w:gridSpan w:val="11"/>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First Amendment to Ethylene Sales Agreement (incorporated herein by reference to Exhibit 10.1 to Westlake Chemical Partners LP's</w:t>
              </w:r>
            </w:hyperlink>
          </w:p>
        </w:tc>
      </w:tr>
      <w:tr>
        <w:trPr>
          <w:trHeight w:val="155"/>
        </w:trPr>
        <w:tc>
          <w:tcPr>
            <w:tcW w:w="156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Quarterly Report on Form 10-Q for the quarter ended June 30, 2016, filed on August 9, 2016, File No. 1-32260).</w:t>
              </w:r>
            </w:hyperlink>
          </w:p>
        </w:tc>
        <w:tc>
          <w:tcPr>
            <w:tcW w:w="1500" w:type="dxa"/>
            <w:vAlign w:val="bottom"/>
            <w:tcBorders>
              <w:top w:val="single" w:sz="8" w:color="0000FF"/>
            </w:tcBorders>
            <w:gridSpan w:val="2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77"/>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9700" w:type="dxa"/>
            <w:vAlign w:val="bottom"/>
            <w:gridSpan w:val="39"/>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Second Amendment to Ethylene Sales Agreement (incorporated by reference to Exhibit 10.2 to Westlake Chemical Partners LP's</w:t>
              </w:r>
            </w:hyperlink>
          </w:p>
        </w:tc>
      </w:tr>
      <w:tr>
        <w:trPr>
          <w:trHeight w:val="155"/>
        </w:trPr>
        <w:tc>
          <w:tcPr>
            <w:tcW w:w="1560" w:type="dxa"/>
            <w:vAlign w:val="bottom"/>
          </w:tcPr>
          <w:p>
            <w:pPr>
              <w:spacing w:after="0"/>
              <w:rPr>
                <w:sz w:val="13"/>
                <w:szCs w:val="13"/>
                <w:color w:val="auto"/>
              </w:rPr>
            </w:pPr>
          </w:p>
        </w:tc>
        <w:tc>
          <w:tcPr>
            <w:tcW w:w="93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Quarterly Report on Form 10-Q for the quarter ended September 30, 2018 (File No. 01-36567) filed on November 6, 2018).</w:t>
              </w:r>
            </w:hyperlink>
          </w:p>
        </w:tc>
        <w:tc>
          <w:tcPr>
            <w:tcW w:w="380" w:type="dxa"/>
            <w:vAlign w:val="bottom"/>
            <w:gridSpan w:val="15"/>
          </w:tcPr>
          <w:p>
            <w:pPr>
              <w:spacing w:after="0"/>
              <w:rPr>
                <w:sz w:val="13"/>
                <w:szCs w:val="13"/>
                <w:color w:val="auto"/>
              </w:rPr>
            </w:pPr>
          </w:p>
        </w:tc>
      </w:tr>
      <w:tr>
        <w:trPr>
          <w:trHeight w:val="938"/>
        </w:trPr>
        <w:tc>
          <w:tcPr>
            <w:tcW w:w="1560" w:type="dxa"/>
            <w:vAlign w:val="bottom"/>
          </w:tcPr>
          <w:p>
            <w:pPr>
              <w:spacing w:after="0"/>
              <w:rPr>
                <w:sz w:val="24"/>
                <w:szCs w:val="24"/>
                <w:color w:val="auto"/>
              </w:rPr>
            </w:pPr>
          </w:p>
        </w:tc>
        <w:tc>
          <w:tcPr>
            <w:tcW w:w="5860" w:type="dxa"/>
            <w:vAlign w:val="bottom"/>
            <w:tcBorders>
              <w:top w:val="single" w:sz="8" w:color="0000FF"/>
            </w:tcBorders>
            <w:gridSpan w:val="7"/>
          </w:tcPr>
          <w:p>
            <w:pPr>
              <w:ind w:left="3980"/>
              <w:spacing w:after="0"/>
              <w:rPr>
                <w:sz w:val="20"/>
                <w:szCs w:val="20"/>
                <w:color w:val="auto"/>
              </w:rPr>
            </w:pPr>
            <w:r>
              <w:rPr>
                <w:rFonts w:ascii="Times New Roman" w:cs="Times New Roman" w:eastAsia="Times New Roman" w:hAnsi="Times New Roman"/>
                <w:sz w:val="18"/>
                <w:szCs w:val="18"/>
                <w:color w:val="auto"/>
              </w:rPr>
              <w:t>95</w:t>
            </w:r>
          </w:p>
        </w:tc>
        <w:tc>
          <w:tcPr>
            <w:tcW w:w="1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5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5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660" w:type="dxa"/>
            <w:vAlign w:val="bottom"/>
            <w:gridSpan w:val="40"/>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5"/>
        </w:trPr>
        <w:tc>
          <w:tcPr>
            <w:tcW w:w="15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10.5</w:t>
            </w:r>
          </w:p>
        </w:tc>
        <w:tc>
          <w:tcPr>
            <w:tcW w:w="9660" w:type="dxa"/>
            <w:vAlign w:val="bottom"/>
            <w:gridSpan w:val="40"/>
          </w:tcPr>
          <w:p>
            <w:pPr>
              <w:spacing w:after="0" w:line="195"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Site Lease Agreement (Calvert City) between Westlake Vinyls, Inc. and Westlake Chemical OpCo LP (incorporated by reference to</w:t>
              </w:r>
            </w:hyperlink>
          </w:p>
        </w:tc>
      </w:tr>
      <w:tr>
        <w:trPr>
          <w:trHeight w:val="156"/>
        </w:trPr>
        <w:tc>
          <w:tcPr>
            <w:tcW w:w="154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Exhibit 10.5 to Westlake Chemical Partners LP's Current Report on Form 8-K (File No. 001-36567) filed on August 8, 2014).</w:t>
              </w:r>
            </w:hyperlink>
          </w:p>
        </w:tc>
        <w:tc>
          <w:tcPr>
            <w:tcW w:w="4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660" w:type="dxa"/>
            <w:vAlign w:val="bottom"/>
            <w:gridSpan w:val="40"/>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Site Lease Agreement (Lake Charles) between Westlake Petrochemicals LLC and Westlake Chemical OpCo LP (incorporated by</w:t>
              </w:r>
            </w:hyperlink>
          </w:p>
        </w:tc>
      </w:tr>
      <w:tr>
        <w:trPr>
          <w:trHeight w:val="156"/>
        </w:trPr>
        <w:tc>
          <w:tcPr>
            <w:tcW w:w="1540" w:type="dxa"/>
            <w:vAlign w:val="bottom"/>
          </w:tcPr>
          <w:p>
            <w:pPr>
              <w:spacing w:after="0"/>
              <w:rPr>
                <w:sz w:val="13"/>
                <w:szCs w:val="13"/>
                <w:color w:val="auto"/>
              </w:rPr>
            </w:pPr>
          </w:p>
        </w:tc>
        <w:tc>
          <w:tcPr>
            <w:tcW w:w="930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reference to Exhibit 10.6 to Westlake Chemical Partners LP's Current Report on Form 8-K (File No. 001-36567) filed on August</w:t>
              </w:r>
            </w:hyperlink>
          </w:p>
        </w:tc>
        <w:tc>
          <w:tcPr>
            <w:tcW w:w="160" w:type="dxa"/>
            <w:vAlign w:val="bottom"/>
            <w:tcBorders>
              <w:bottom w:val="single" w:sz="8" w:color="0000FF"/>
            </w:tcBorders>
            <w:gridSpan w:val="8"/>
          </w:tcPr>
          <w:p>
            <w:pPr>
              <w:jc w:val="right"/>
              <w:ind w:right="40"/>
              <w:spacing w:after="0" w:line="156" w:lineRule="exact"/>
              <w:rPr>
                <w:rFonts w:ascii="Times New Roman" w:cs="Times New Roman" w:eastAsia="Times New Roman" w:hAnsi="Times New Roman"/>
                <w:sz w:val="18"/>
                <w:szCs w:val="18"/>
                <w:color w:val="0000FF"/>
                <w:w w:val="73"/>
              </w:rPr>
            </w:pPr>
            <w:hyperlink r:id="rId155">
              <w:r>
                <w:rPr>
                  <w:rFonts w:ascii="Times New Roman" w:cs="Times New Roman" w:eastAsia="Times New Roman" w:hAnsi="Times New Roman"/>
                  <w:sz w:val="18"/>
                  <w:szCs w:val="18"/>
                  <w:color w:val="0000FF"/>
                  <w:w w:val="73"/>
                </w:rPr>
                <w:t>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4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55">
              <w:r>
                <w:rPr>
                  <w:rFonts w:ascii="Times New Roman" w:cs="Times New Roman" w:eastAsia="Times New Roman" w:hAnsi="Times New Roman"/>
                  <w:sz w:val="18"/>
                  <w:szCs w:val="18"/>
                  <w:color w:val="0000FF"/>
                  <w:w w:val="94"/>
                </w:rPr>
                <w:t>2014).</w:t>
              </w:r>
            </w:hyperlink>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660" w:type="dxa"/>
            <w:vAlign w:val="bottom"/>
            <w:gridSpan w:val="40"/>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Senior Unsecured Revolving Credit Agreement by and among Westlake Chemical Partners LP and Westlake Chemical Finance</w:t>
              </w:r>
            </w:hyperlink>
          </w:p>
        </w:tc>
      </w:tr>
      <w:tr>
        <w:trPr>
          <w:trHeight w:val="155"/>
        </w:trPr>
        <w:tc>
          <w:tcPr>
            <w:tcW w:w="1540" w:type="dxa"/>
            <w:vAlign w:val="bottom"/>
          </w:tcPr>
          <w:p>
            <w:pPr>
              <w:spacing w:after="0"/>
              <w:rPr>
                <w:sz w:val="13"/>
                <w:szCs w:val="13"/>
                <w:color w:val="auto"/>
              </w:rPr>
            </w:pPr>
          </w:p>
        </w:tc>
        <w:tc>
          <w:tcPr>
            <w:tcW w:w="91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Corporation, dated as of April 29, 2015 (incorporated by reference to Exhibit 10.1 to Westlake Chemical Partners LP's Current</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Report on Form 8-K, filed on April 30, 2015, File No. 001-36567).</w:t>
              </w:r>
            </w:hyperlink>
          </w:p>
        </w:tc>
        <w:tc>
          <w:tcPr>
            <w:tcW w:w="4300" w:type="dxa"/>
            <w:vAlign w:val="bottom"/>
            <w:tcBorders>
              <w:top w:val="single" w:sz="8" w:color="0000FF"/>
            </w:tcBorders>
            <w:gridSpan w:val="8"/>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9660" w:type="dxa"/>
            <w:vAlign w:val="bottom"/>
            <w:gridSpan w:val="40"/>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First Amendment to Senior Unsecured Revolving Credit Agreement by and between Westlake Chemical Partners LP, as borrower,</w:t>
              </w:r>
            </w:hyperlink>
          </w:p>
        </w:tc>
      </w:tr>
      <w:tr>
        <w:trPr>
          <w:trHeight w:val="155"/>
        </w:trPr>
        <w:tc>
          <w:tcPr>
            <w:tcW w:w="1540" w:type="dxa"/>
            <w:vAlign w:val="bottom"/>
          </w:tcPr>
          <w:p>
            <w:pPr>
              <w:spacing w:after="0"/>
              <w:rPr>
                <w:sz w:val="13"/>
                <w:szCs w:val="13"/>
                <w:color w:val="auto"/>
              </w:rPr>
            </w:pPr>
          </w:p>
        </w:tc>
        <w:tc>
          <w:tcPr>
            <w:tcW w:w="93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and Westlake Chemical Finance Corporation, as lender, dated as of August 1, 2017 (incorporated by reference to Exhibit 10.1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92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Westlake Chemical Partners LP's Quarterly Report on Form 10-Q for the quarter ended June 30, 2017 (File No. 01-36567) filed</w:t>
              </w:r>
            </w:hyperlink>
          </w:p>
        </w:tc>
        <w:tc>
          <w:tcPr>
            <w:tcW w:w="440" w:type="dxa"/>
            <w:vAlign w:val="bottom"/>
            <w:gridSpan w:val="20"/>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on</w:t>
              </w:r>
            </w:hyperlink>
          </w:p>
        </w:tc>
      </w:tr>
      <w:tr>
        <w:trPr>
          <w:trHeight w:val="169"/>
        </w:trPr>
        <w:tc>
          <w:tcPr>
            <w:tcW w:w="1540" w:type="dxa"/>
            <w:vAlign w:val="bottom"/>
          </w:tcPr>
          <w:p>
            <w:pPr>
              <w:spacing w:after="0"/>
              <w:rPr>
                <w:sz w:val="14"/>
                <w:szCs w:val="14"/>
                <w:color w:val="auto"/>
              </w:rPr>
            </w:pPr>
          </w:p>
        </w:tc>
        <w:tc>
          <w:tcPr>
            <w:tcW w:w="942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August 3,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10.7.2</w:t>
            </w:r>
          </w:p>
        </w:tc>
        <w:tc>
          <w:tcPr>
            <w:tcW w:w="9660" w:type="dxa"/>
            <w:vAlign w:val="bottom"/>
            <w:gridSpan w:val="40"/>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Second Amendment to Senior Unsecured Revolving Credit Agreement by and between Westlake Chemical Partners LP, as borrower,</w:t>
              </w:r>
            </w:hyperlink>
          </w:p>
        </w:tc>
      </w:tr>
      <w:tr>
        <w:trPr>
          <w:trHeight w:val="156"/>
        </w:trPr>
        <w:tc>
          <w:tcPr>
            <w:tcW w:w="1540" w:type="dxa"/>
            <w:vAlign w:val="bottom"/>
          </w:tcPr>
          <w:p>
            <w:pPr>
              <w:spacing w:after="0"/>
              <w:rPr>
                <w:sz w:val="13"/>
                <w:szCs w:val="13"/>
                <w:color w:val="auto"/>
              </w:rPr>
            </w:pPr>
          </w:p>
        </w:tc>
        <w:tc>
          <w:tcPr>
            <w:tcW w:w="958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and Westlake Chemical Finance Corporation, as lender, dated as of November 28, 2017 (incorporated by reference to Exhibit 10.24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94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to Westlake Chemical Partners LP's Annual Report on Form 10-K for the year ended December 31, 2017 (File No. 01-36567) filed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540" w:type="dxa"/>
            <w:vAlign w:val="bottom"/>
          </w:tcPr>
          <w:p>
            <w:pPr>
              <w:spacing w:after="0"/>
              <w:rPr>
                <w:sz w:val="14"/>
                <w:szCs w:val="14"/>
                <w:color w:val="auto"/>
              </w:rPr>
            </w:pPr>
          </w:p>
        </w:tc>
        <w:tc>
          <w:tcPr>
            <w:tcW w:w="13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on March 1, 2018).</w:t>
              </w:r>
            </w:hyperlink>
          </w:p>
        </w:tc>
        <w:tc>
          <w:tcPr>
            <w:tcW w:w="806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10.7.3</w:t>
            </w:r>
          </w:p>
        </w:tc>
        <w:tc>
          <w:tcPr>
            <w:tcW w:w="94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Third Amendment to Senior Unsecured Revolving Credit Agreement by and between Westlake Chemical Partners LP, as borrower,</w:t>
              </w:r>
            </w:hyperlink>
          </w:p>
        </w:tc>
        <w:tc>
          <w:tcPr>
            <w:tcW w:w="200" w:type="dxa"/>
            <w:vAlign w:val="bottom"/>
            <w:gridSpan w:val="10"/>
          </w:tcPr>
          <w:p>
            <w:pPr>
              <w:spacing w:after="0"/>
              <w:rPr>
                <w:sz w:val="22"/>
                <w:szCs w:val="22"/>
                <w:color w:val="auto"/>
              </w:rPr>
            </w:pPr>
          </w:p>
        </w:tc>
      </w:tr>
      <w:tr>
        <w:trPr>
          <w:trHeight w:val="155"/>
        </w:trPr>
        <w:tc>
          <w:tcPr>
            <w:tcW w:w="1540" w:type="dxa"/>
            <w:vAlign w:val="bottom"/>
          </w:tcPr>
          <w:p>
            <w:pPr>
              <w:spacing w:after="0"/>
              <w:rPr>
                <w:sz w:val="13"/>
                <w:szCs w:val="13"/>
                <w:color w:val="auto"/>
              </w:rPr>
            </w:pPr>
          </w:p>
        </w:tc>
        <w:tc>
          <w:tcPr>
            <w:tcW w:w="9660" w:type="dxa"/>
            <w:vAlign w:val="bottom"/>
            <w:gridSpan w:val="40"/>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and Westlake Chemical Finance Corporation, as lender, dated as of March 19, 2020 (incorporated herein by reference to Exhibit 10.1</w:t>
              </w:r>
            </w:hyperlink>
          </w:p>
        </w:tc>
      </w:tr>
      <w:tr>
        <w:trPr>
          <w:trHeight w:val="156"/>
        </w:trPr>
        <w:tc>
          <w:tcPr>
            <w:tcW w:w="154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37"/>
          </w:tcPr>
          <w:p>
            <w:pPr>
              <w:spacing w:after="0" w:line="15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to Westlake Chemical Partners LP's Quarterly Report on Form 10-Q for the quarter ended March 31, 2020, filed on May 6, 2020, File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540" w:type="dxa"/>
            <w:vAlign w:val="bottom"/>
          </w:tcPr>
          <w:p>
            <w:pPr>
              <w:spacing w:after="0"/>
              <w:rPr>
                <w:sz w:val="14"/>
                <w:szCs w:val="14"/>
                <w:color w:val="auto"/>
              </w:rPr>
            </w:pPr>
          </w:p>
        </w:tc>
        <w:tc>
          <w:tcPr>
            <w:tcW w:w="9640" w:type="dxa"/>
            <w:vAlign w:val="bottom"/>
            <w:gridSpan w:val="39"/>
          </w:tcPr>
          <w:p>
            <w:pPr>
              <w:spacing w:after="0" w:line="16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No. 001-36567).</w:t>
              </w:r>
            </w:hyperlink>
          </w:p>
        </w:tc>
        <w:tc>
          <w:tcPr>
            <w:tcW w:w="2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10.7.4</w:t>
            </w:r>
          </w:p>
        </w:tc>
        <w:tc>
          <w:tcPr>
            <w:tcW w:w="9660" w:type="dxa"/>
            <w:vAlign w:val="bottom"/>
            <w:gridSpan w:val="40"/>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Fourth Amendment to Senior Unsecured Revolving Credit Agreement of Westlake Chemical Partners LP (incorporated by reference</w:t>
              </w:r>
            </w:hyperlink>
          </w:p>
        </w:tc>
      </w:tr>
      <w:tr>
        <w:trPr>
          <w:trHeight w:val="156"/>
        </w:trPr>
        <w:tc>
          <w:tcPr>
            <w:tcW w:w="1540" w:type="dxa"/>
            <w:vAlign w:val="bottom"/>
          </w:tcPr>
          <w:p>
            <w:pPr>
              <w:spacing w:after="0"/>
              <w:rPr>
                <w:sz w:val="13"/>
                <w:szCs w:val="13"/>
                <w:color w:val="auto"/>
              </w:rPr>
            </w:pPr>
          </w:p>
        </w:tc>
        <w:tc>
          <w:tcPr>
            <w:tcW w:w="91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to Exhibit 10.2 to Westlake Chemical Partners LP's Current Report on Form 8-K (File No. 001-36567) filed on July 15, 2022).</w:t>
              </w:r>
            </w:hyperlink>
          </w:p>
        </w:tc>
        <w:tc>
          <w:tcPr>
            <w:tcW w:w="4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660" w:type="dxa"/>
            <w:vAlign w:val="bottom"/>
            <w:gridSpan w:val="40"/>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Amended and Restated Senior Unsecured Revolving Credit Agreement by and among Westlake Chemical OpCo LP, Westlake</w:t>
              </w:r>
            </w:hyperlink>
          </w:p>
        </w:tc>
      </w:tr>
      <w:tr>
        <w:trPr>
          <w:trHeight w:val="156"/>
        </w:trPr>
        <w:tc>
          <w:tcPr>
            <w:tcW w:w="1540" w:type="dxa"/>
            <w:vAlign w:val="bottom"/>
          </w:tcPr>
          <w:p>
            <w:pPr>
              <w:spacing w:after="0"/>
              <w:rPr>
                <w:sz w:val="13"/>
                <w:szCs w:val="13"/>
                <w:color w:val="auto"/>
              </w:rPr>
            </w:pPr>
          </w:p>
        </w:tc>
        <w:tc>
          <w:tcPr>
            <w:tcW w:w="90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Polymers LLC, and the lenders party thereto, dated as of June 1, 2017 (incorporated by reference to Exhibit 10.9 to Westlake</w:t>
              </w:r>
            </w:hyperlink>
          </w:p>
        </w:tc>
        <w:tc>
          <w:tcPr>
            <w:tcW w:w="10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89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8"/>
              </w:rPr>
            </w:pPr>
            <w:hyperlink r:id="rId161">
              <w:r>
                <w:rPr>
                  <w:rFonts w:ascii="Times New Roman" w:cs="Times New Roman" w:eastAsia="Times New Roman" w:hAnsi="Times New Roman"/>
                  <w:sz w:val="18"/>
                  <w:szCs w:val="18"/>
                  <w:color w:val="0000FF"/>
                  <w:w w:val="98"/>
                </w:rPr>
                <w:t>Chemical Partners LP's Annual Report on Form 10-K for the year ended December 31, 2019, filed on February 28, 2020, File</w:t>
              </w:r>
            </w:hyperlink>
          </w:p>
        </w:tc>
        <w:tc>
          <w:tcPr>
            <w:tcW w:w="20" w:type="dxa"/>
            <w:vAlign w:val="bottom"/>
          </w:tcPr>
          <w:p>
            <w:pPr>
              <w:spacing w:after="0"/>
              <w:rPr>
                <w:sz w:val="13"/>
                <w:szCs w:val="13"/>
                <w:color w:val="auto"/>
              </w:rPr>
            </w:pPr>
          </w:p>
        </w:tc>
        <w:tc>
          <w:tcPr>
            <w:tcW w:w="660" w:type="dxa"/>
            <w:vAlign w:val="bottom"/>
            <w:gridSpan w:val="27"/>
          </w:tcPr>
          <w:p>
            <w:pPr>
              <w:ind w:left="100"/>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No.</w:t>
              </w:r>
            </w:hyperlink>
          </w:p>
        </w:tc>
      </w:tr>
      <w:tr>
        <w:trPr>
          <w:trHeight w:val="169"/>
        </w:trPr>
        <w:tc>
          <w:tcPr>
            <w:tcW w:w="1540" w:type="dxa"/>
            <w:vAlign w:val="bottom"/>
          </w:tcPr>
          <w:p>
            <w:pPr>
              <w:spacing w:after="0"/>
              <w:rPr>
                <w:sz w:val="14"/>
                <w:szCs w:val="14"/>
                <w:color w:val="auto"/>
              </w:rPr>
            </w:pPr>
          </w:p>
        </w:tc>
        <w:tc>
          <w:tcPr>
            <w:tcW w:w="8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001-36567).</w:t>
              </w:r>
            </w:hyperlink>
          </w:p>
        </w:tc>
        <w:tc>
          <w:tcPr>
            <w:tcW w:w="3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208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10.8.1</w:t>
            </w:r>
          </w:p>
        </w:tc>
        <w:tc>
          <w:tcPr>
            <w:tcW w:w="9660" w:type="dxa"/>
            <w:vAlign w:val="bottom"/>
            <w:gridSpan w:val="40"/>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First Amendment to Amended and Restated Senior Unsecured Revolving Credit Agreement (incorporated by reference to Exhibit</w:t>
              </w:r>
            </w:hyperlink>
          </w:p>
        </w:tc>
      </w:tr>
      <w:tr>
        <w:trPr>
          <w:trHeight w:val="155"/>
        </w:trPr>
        <w:tc>
          <w:tcPr>
            <w:tcW w:w="1540" w:type="dxa"/>
            <w:vAlign w:val="bottom"/>
          </w:tcPr>
          <w:p>
            <w:pPr>
              <w:spacing w:after="0"/>
              <w:rPr>
                <w:sz w:val="13"/>
                <w:szCs w:val="13"/>
                <w:color w:val="auto"/>
              </w:rPr>
            </w:pPr>
          </w:p>
        </w:tc>
        <w:tc>
          <w:tcPr>
            <w:tcW w:w="93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Westlake Chemical Partners LP's Quarterly Report on Form 10-Q for the quarter ended September 30, 2018 (File No. 01-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92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36567) filed on November 6, 2018)</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10.8.2</w:t>
            </w:r>
          </w:p>
        </w:tc>
        <w:tc>
          <w:tcPr>
            <w:tcW w:w="91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Second Amendment to Amended and Restated Senior Unsecured Revolving Credit Agreement of Westlake Chemical OpCo LP</w:t>
              </w:r>
            </w:hyperlink>
          </w:p>
        </w:tc>
        <w:tc>
          <w:tcPr>
            <w:tcW w:w="480" w:type="dxa"/>
            <w:vAlign w:val="bottom"/>
            <w:gridSpan w:val="21"/>
          </w:tcPr>
          <w:p>
            <w:pPr>
              <w:spacing w:after="0"/>
              <w:rPr>
                <w:sz w:val="24"/>
                <w:szCs w:val="24"/>
                <w:color w:val="auto"/>
              </w:rPr>
            </w:pPr>
          </w:p>
        </w:tc>
      </w:tr>
      <w:tr>
        <w:trPr>
          <w:trHeight w:val="155"/>
        </w:trPr>
        <w:tc>
          <w:tcPr>
            <w:tcW w:w="1540" w:type="dxa"/>
            <w:vAlign w:val="bottom"/>
          </w:tcPr>
          <w:p>
            <w:pPr>
              <w:spacing w:after="0"/>
              <w:rPr>
                <w:sz w:val="13"/>
                <w:szCs w:val="13"/>
                <w:color w:val="auto"/>
              </w:rPr>
            </w:pPr>
          </w:p>
        </w:tc>
        <w:tc>
          <w:tcPr>
            <w:tcW w:w="9660" w:type="dxa"/>
            <w:vAlign w:val="bottom"/>
            <w:gridSpan w:val="40"/>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(incorporated by reference to Exhibit 10.1 to Westlake Chemical Partners LP's Current Report on Form 8-K (File No. 001-36567)</w:t>
              </w:r>
            </w:hyperlink>
          </w:p>
        </w:tc>
      </w:tr>
      <w:tr>
        <w:trPr>
          <w:trHeight w:val="155"/>
        </w:trPr>
        <w:tc>
          <w:tcPr>
            <w:tcW w:w="154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filed on July 15, 2022).</w:t>
              </w:r>
            </w:hyperlink>
          </w:p>
        </w:tc>
        <w:tc>
          <w:tcPr>
            <w:tcW w:w="764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0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Westlake Chemical Partners LP Long-Term Incentive Plan (as amended and restated effective May 8, 2024) (incorporated by</w:t>
              </w:r>
            </w:hyperlink>
          </w:p>
        </w:tc>
        <w:tc>
          <w:tcPr>
            <w:tcW w:w="660" w:type="dxa"/>
            <w:vAlign w:val="bottom"/>
            <w:gridSpan w:val="27"/>
          </w:tcPr>
          <w:p>
            <w:pPr>
              <w:spacing w:after="0"/>
              <w:rPr>
                <w:sz w:val="24"/>
                <w:szCs w:val="24"/>
                <w:color w:val="auto"/>
              </w:rPr>
            </w:pPr>
          </w:p>
        </w:tc>
      </w:tr>
      <w:tr>
        <w:trPr>
          <w:trHeight w:val="155"/>
        </w:trPr>
        <w:tc>
          <w:tcPr>
            <w:tcW w:w="1540" w:type="dxa"/>
            <w:vAlign w:val="bottom"/>
          </w:tcPr>
          <w:p>
            <w:pPr>
              <w:spacing w:after="0"/>
              <w:rPr>
                <w:sz w:val="13"/>
                <w:szCs w:val="13"/>
                <w:color w:val="auto"/>
              </w:rPr>
            </w:pPr>
          </w:p>
        </w:tc>
        <w:tc>
          <w:tcPr>
            <w:tcW w:w="9660" w:type="dxa"/>
            <w:vAlign w:val="bottom"/>
            <w:gridSpan w:val="40"/>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reference to Appendix A to Westlake Chemical Partners LP's Definitive Proxy Statement on Schedule 14A filed on March 18, 2024,</w:t>
              </w:r>
            </w:hyperlink>
          </w:p>
        </w:tc>
      </w:tr>
      <w:tr>
        <w:trPr>
          <w:trHeight w:val="155"/>
        </w:trPr>
        <w:tc>
          <w:tcPr>
            <w:tcW w:w="154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64">
              <w:r>
                <w:rPr>
                  <w:rFonts w:ascii="Times New Roman" w:cs="Times New Roman" w:eastAsia="Times New Roman" w:hAnsi="Times New Roman"/>
                  <w:sz w:val="18"/>
                  <w:szCs w:val="18"/>
                  <w:color w:val="0000FF"/>
                  <w:w w:val="98"/>
                </w:rPr>
                <w:t>File No. 001-36567).</w:t>
              </w:r>
            </w:hyperlink>
          </w:p>
        </w:tc>
        <w:tc>
          <w:tcPr>
            <w:tcW w:w="8000" w:type="dxa"/>
            <w:vAlign w:val="bottom"/>
            <w:tcBorders>
              <w:top w:val="single" w:sz="8" w:color="0000FF"/>
            </w:tcBorders>
            <w:gridSpan w:val="2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660" w:type="dxa"/>
            <w:vAlign w:val="bottom"/>
            <w:gridSpan w:val="40"/>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Exchange Agreement, effective as of August 1, 2014, by and between WPT LLC and Westlake Chemical OpCo LP (incorporated by</w:t>
              </w:r>
            </w:hyperlink>
          </w:p>
        </w:tc>
      </w:tr>
      <w:tr>
        <w:trPr>
          <w:trHeight w:val="155"/>
        </w:trPr>
        <w:tc>
          <w:tcPr>
            <w:tcW w:w="1540" w:type="dxa"/>
            <w:vAlign w:val="bottom"/>
          </w:tcPr>
          <w:p>
            <w:pPr>
              <w:spacing w:after="0"/>
              <w:rPr>
                <w:sz w:val="13"/>
                <w:szCs w:val="13"/>
                <w:color w:val="auto"/>
              </w:rPr>
            </w:pPr>
          </w:p>
        </w:tc>
        <w:tc>
          <w:tcPr>
            <w:tcW w:w="956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reference to Exhibit 10.20 to Westlake Chemical Partners LP's Annual Report on Form 10-K for the year ended December 31, 2016</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54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(File No. 01-36567) filed on March 7, 2017).</w:t>
              </w:r>
            </w:hyperlink>
          </w:p>
        </w:tc>
        <w:tc>
          <w:tcPr>
            <w:tcW w:w="6260" w:type="dxa"/>
            <w:vAlign w:val="bottom"/>
            <w:tcBorders>
              <w:top w:val="single" w:sz="8" w:color="0000FF"/>
            </w:tcBorders>
            <w:gridSpan w:val="2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660" w:type="dxa"/>
            <w:vAlign w:val="bottom"/>
            <w:gridSpan w:val="40"/>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Investment Management Agreement among Westlake Corporation, Westlake Chemical OpCo LP, and Westlake Chemical Partners</w:t>
              </w:r>
            </w:hyperlink>
          </w:p>
        </w:tc>
      </w:tr>
      <w:tr>
        <w:trPr>
          <w:trHeight w:val="155"/>
        </w:trPr>
        <w:tc>
          <w:tcPr>
            <w:tcW w:w="154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LP, dated as of August 1, 2017 (incorporated by reference to Exhibit 10.1 to Westlake Chemical Partners LP's Quarterly Report on</w:t>
              </w:r>
            </w:hyperlink>
          </w:p>
        </w:tc>
        <w:tc>
          <w:tcPr>
            <w:tcW w:w="20" w:type="dxa"/>
            <w:vAlign w:val="bottom"/>
            <w:tcBorders>
              <w:bottom w:val="single" w:sz="8" w:color="0000FF"/>
            </w:tcBorders>
          </w:tcPr>
          <w:p>
            <w:pPr>
              <w:spacing w:after="0"/>
              <w:rPr>
                <w:sz w:val="13"/>
                <w:szCs w:val="13"/>
                <w:color w:val="auto"/>
              </w:rPr>
            </w:pPr>
          </w:p>
        </w:tc>
        <w:tc>
          <w:tcPr>
            <w:tcW w:w="22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9400" w:type="dxa"/>
            <w:vAlign w:val="bottom"/>
            <w:gridSpan w:val="27"/>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10-Q for the quarter ended September 30, 2017, (File No. 01-36567) filed on November 7, 2017).</w:t>
              </w:r>
            </w:hyperlink>
          </w:p>
        </w:tc>
        <w:tc>
          <w:tcPr>
            <w:tcW w:w="22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6900" w:type="dxa"/>
            <w:vAlign w:val="bottom"/>
            <w:gridSpan w:val="10"/>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gridSpan w:val="2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660" w:type="dxa"/>
            <w:vAlign w:val="bottom"/>
            <w:gridSpan w:val="40"/>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Phantom Unit Agreement (incorporated by reference to Exhibit 10.12 to Westlake Chemical Partners LP's Annual Report on</w:t>
              </w:r>
            </w:hyperlink>
          </w:p>
        </w:tc>
      </w:tr>
      <w:tr>
        <w:trPr>
          <w:trHeight w:val="155"/>
        </w:trPr>
        <w:tc>
          <w:tcPr>
            <w:tcW w:w="154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Form 10-K for the year ended December 31, 2017 (File No. 01-36567) filed on March 1, 2018).</w:t>
              </w:r>
            </w:hyperlink>
          </w:p>
        </w:tc>
        <w:tc>
          <w:tcPr>
            <w:tcW w:w="2720" w:type="dxa"/>
            <w:vAlign w:val="bottom"/>
            <w:tcBorders>
              <w:top w:val="single" w:sz="8" w:color="0000FF"/>
            </w:tcBorders>
            <w:gridSpan w:val="2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660" w:type="dxa"/>
            <w:vAlign w:val="bottom"/>
            <w:gridSpan w:val="40"/>
          </w:tcPr>
          <w:p>
            <w:pPr>
              <w:spacing w:after="0"/>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Equity Distribution Agreement, dated October 4, 2018, by and among Westlake Chemical Partners LP, Westlake Chemical Partners</w:t>
              </w:r>
            </w:hyperlink>
          </w:p>
        </w:tc>
      </w:tr>
    </w:tbl>
    <w:p>
      <w:pPr>
        <w:ind w:left="1560" w:right="160"/>
        <w:spacing w:after="0" w:line="223" w:lineRule="auto"/>
        <w:rPr>
          <w:rFonts w:ascii="Times New Roman" w:cs="Times New Roman" w:eastAsia="Times New Roman" w:hAnsi="Times New Roman"/>
          <w:sz w:val="17"/>
          <w:szCs w:val="17"/>
          <w:u w:val="single" w:color="auto"/>
          <w:color w:val="0000FF"/>
        </w:rPr>
      </w:pPr>
      <w:hyperlink r:id="rId168">
        <w:r>
          <w:rPr>
            <w:rFonts w:ascii="Times New Roman" w:cs="Times New Roman" w:eastAsia="Times New Roman" w:hAnsi="Times New Roman"/>
            <w:sz w:val="17"/>
            <w:szCs w:val="17"/>
            <w:u w:val="single" w:color="auto"/>
            <w:color w:val="0000FF"/>
          </w:rPr>
          <w:t>GP LLC, UBS Securities LLC, Barclays Capital Inc., Citigroup Global Markets Inc., Deutsche Bank Securities Inc., Merrill Lynch,</w:t>
        </w:r>
      </w:hyperlink>
      <w:r>
        <w:rPr>
          <w:rFonts w:ascii="Times New Roman" w:cs="Times New Roman" w:eastAsia="Times New Roman" w:hAnsi="Times New Roman"/>
          <w:sz w:val="17"/>
          <w:szCs w:val="17"/>
          <w:u w:val="single" w:color="auto"/>
          <w:color w:val="0000FF"/>
        </w:rPr>
        <w:t xml:space="preserve"> </w:t>
      </w:r>
      <w:hyperlink r:id="rId168">
        <w:r>
          <w:rPr>
            <w:rFonts w:ascii="Times New Roman" w:cs="Times New Roman" w:eastAsia="Times New Roman" w:hAnsi="Times New Roman"/>
            <w:sz w:val="17"/>
            <w:szCs w:val="17"/>
            <w:u w:val="single" w:color="auto"/>
            <w:color w:val="0000FF"/>
          </w:rPr>
          <w:t>Pierce, Fenner &amp; Smith Incorporated, RBC Capital Markets, LLC and Wells Fargo Securities, LLC (incorporated by reference to</w:t>
        </w:r>
      </w:hyperlink>
    </w:p>
    <w:p>
      <w:pPr>
        <w:spacing w:after="0" w:line="1" w:lineRule="exact"/>
        <w:rPr>
          <w:sz w:val="20"/>
          <w:szCs w:val="20"/>
          <w:color w:val="auto"/>
        </w:rPr>
      </w:pPr>
    </w:p>
    <w:p>
      <w:pPr>
        <w:ind w:left="1560"/>
        <w:spacing w:after="0"/>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Exhibit 1.1 to Westlake Chemical Partners LP's Current Report on Form 8-K filed on October 5, 2018, File No. 001-36567).</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5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520" w:type="dxa"/>
            <w:vAlign w:val="bottom"/>
            <w:gridSpan w:val="18"/>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5"/>
        </w:trPr>
        <w:tc>
          <w:tcPr>
            <w:tcW w:w="15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10.13.1</w:t>
            </w:r>
          </w:p>
        </w:tc>
        <w:tc>
          <w:tcPr>
            <w:tcW w:w="9520" w:type="dxa"/>
            <w:vAlign w:val="bottom"/>
            <w:gridSpan w:val="18"/>
          </w:tcPr>
          <w:p>
            <w:pPr>
              <w:spacing w:after="0" w:line="195"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First Amendment to Equity Distribution Agreement by and among Westlake Chemical Partners LP, Westlake Chemical Partners GP</w:t>
              </w:r>
            </w:hyperlink>
          </w:p>
        </w:tc>
      </w:tr>
      <w:tr>
        <w:trPr>
          <w:trHeight w:val="155"/>
        </w:trPr>
        <w:tc>
          <w:tcPr>
            <w:tcW w:w="1540" w:type="dxa"/>
            <w:vAlign w:val="bottom"/>
          </w:tcPr>
          <w:p>
            <w:pPr>
              <w:spacing w:after="0"/>
              <w:rPr>
                <w:sz w:val="13"/>
                <w:szCs w:val="13"/>
                <w:color w:val="auto"/>
              </w:rPr>
            </w:pPr>
          </w:p>
        </w:tc>
        <w:tc>
          <w:tcPr>
            <w:tcW w:w="95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LLC, UBS Securities LLC, Barclays Capital Inc., BofA Securities, Inc., Citigroup Global Markets Inc., Deutsche Bank Securities</w:t>
              </w:r>
            </w:hyperlink>
          </w:p>
        </w:tc>
        <w:tc>
          <w:tcPr>
            <w:tcW w:w="20" w:type="dxa"/>
            <w:vAlign w:val="bottom"/>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93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Inc., RBC Capital Markets, LLC and Wells Fargo Securities, LLC dated as of February 28, 2020 (incorporated by reference to</w:t>
              </w:r>
            </w:hyperlink>
          </w:p>
        </w:tc>
        <w:tc>
          <w:tcPr>
            <w:tcW w:w="1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540" w:type="dxa"/>
            <w:vAlign w:val="bottom"/>
          </w:tcPr>
          <w:p>
            <w:pPr>
              <w:spacing w:after="0"/>
              <w:rPr>
                <w:sz w:val="14"/>
                <w:szCs w:val="14"/>
                <w:color w:val="auto"/>
              </w:rPr>
            </w:pPr>
          </w:p>
        </w:tc>
        <w:tc>
          <w:tcPr>
            <w:tcW w:w="908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Exhibit 10.22 to Westlake Chemical Partners LP's Annual Report on Form 10-K for the year ended December 31, 2019, filed</w:t>
              </w:r>
            </w:hyperlink>
          </w:p>
        </w:tc>
        <w:tc>
          <w:tcPr>
            <w:tcW w:w="440" w:type="dxa"/>
            <w:vAlign w:val="bottom"/>
            <w:gridSpan w:val="5"/>
          </w:tcPr>
          <w:p>
            <w:pPr>
              <w:spacing w:after="0" w:line="16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on</w:t>
              </w:r>
            </w:hyperlink>
          </w:p>
        </w:tc>
      </w:tr>
      <w:tr>
        <w:trPr>
          <w:trHeight w:val="155"/>
        </w:trPr>
        <w:tc>
          <w:tcPr>
            <w:tcW w:w="1540" w:type="dxa"/>
            <w:vAlign w:val="bottom"/>
          </w:tcPr>
          <w:p>
            <w:pPr>
              <w:spacing w:after="0"/>
              <w:rPr>
                <w:sz w:val="13"/>
                <w:szCs w:val="13"/>
                <w:color w:val="auto"/>
              </w:rPr>
            </w:pPr>
          </w:p>
        </w:tc>
        <w:tc>
          <w:tcPr>
            <w:tcW w:w="92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February 28, 2020, File No, 001-36567).</w:t>
              </w:r>
            </w:hyperlink>
          </w:p>
        </w:tc>
        <w:tc>
          <w:tcPr>
            <w:tcW w:w="2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9520" w:type="dxa"/>
            <w:vAlign w:val="bottom"/>
            <w:gridSpan w:val="18"/>
          </w:tcPr>
          <w:p>
            <w:pPr>
              <w:spacing w:after="0"/>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Westlake Chemical Partners LP Insider Trading Policy (incorporated by reference to Exhibit 19 to Westlake Chemical Partners LP's</w:t>
              </w:r>
            </w:hyperlink>
          </w:p>
        </w:tc>
      </w:tr>
      <w:tr>
        <w:trPr>
          <w:trHeight w:val="156"/>
        </w:trPr>
        <w:tc>
          <w:tcPr>
            <w:tcW w:w="154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Annual Report on Form 10-K for the year ended December 31, 2024, filed on March 5, 2025, File No. 001-36567).</w:t>
              </w:r>
            </w:hyperlink>
          </w:p>
        </w:tc>
        <w:tc>
          <w:tcPr>
            <w:tcW w:w="118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9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List of Subsidiaries of Westlake Chemical Partners LP.</w:t>
            </w:r>
          </w:p>
        </w:tc>
        <w:tc>
          <w:tcPr>
            <w:tcW w:w="5580" w:type="dxa"/>
            <w:vAlign w:val="bottom"/>
            <w:gridSpan w:val="15"/>
          </w:tcPr>
          <w:p>
            <w:pPr>
              <w:spacing w:after="0"/>
              <w:rPr>
                <w:sz w:val="24"/>
                <w:szCs w:val="24"/>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0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Consent of PricewaterhouseCoopers LLP.</w:t>
            </w:r>
          </w:p>
        </w:tc>
        <w:tc>
          <w:tcPr>
            <w:tcW w:w="6520" w:type="dxa"/>
            <w:vAlign w:val="bottom"/>
            <w:gridSpan w:val="16"/>
          </w:tcPr>
          <w:p>
            <w:pPr>
              <w:spacing w:after="0"/>
              <w:rPr>
                <w:sz w:val="22"/>
                <w:szCs w:val="22"/>
                <w:color w:val="auto"/>
              </w:rPr>
            </w:pPr>
          </w:p>
        </w:tc>
      </w:tr>
      <w:tr>
        <w:trPr>
          <w:trHeight w:val="26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40" w:type="dxa"/>
            <w:vAlign w:val="bottom"/>
            <w:tcBorders>
              <w:top w:val="single" w:sz="8" w:color="0000FF"/>
            </w:tcBorders>
          </w:tcPr>
          <w:p>
            <w:pPr>
              <w:spacing w:after="0"/>
              <w:rPr>
                <w:sz w:val="22"/>
                <w:szCs w:val="22"/>
                <w:color w:val="auto"/>
              </w:rPr>
            </w:pPr>
          </w:p>
        </w:tc>
        <w:tc>
          <w:tcPr>
            <w:tcW w:w="4280" w:type="dxa"/>
            <w:vAlign w:val="bottom"/>
            <w:gridSpan w:val="12"/>
          </w:tcPr>
          <w:p>
            <w:pPr>
              <w:spacing w:after="0"/>
              <w:rPr>
                <w:sz w:val="22"/>
                <w:szCs w:val="22"/>
                <w:color w:val="auto"/>
              </w:rPr>
            </w:pPr>
          </w:p>
        </w:tc>
      </w:tr>
      <w:tr>
        <w:trPr>
          <w:trHeight w:val="26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Section 1350 Certification (Principal Executive Officer and Principal Financial Officer).</w:t>
            </w:r>
          </w:p>
        </w:tc>
        <w:tc>
          <w:tcPr>
            <w:tcW w:w="3160" w:type="dxa"/>
            <w:vAlign w:val="bottom"/>
            <w:gridSpan w:val="9"/>
          </w:tcPr>
          <w:p>
            <w:pPr>
              <w:spacing w:after="0"/>
              <w:rPr>
                <w:sz w:val="22"/>
                <w:szCs w:val="22"/>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9520" w:type="dxa"/>
            <w:vAlign w:val="bottom"/>
            <w:gridSpan w:val="18"/>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Westlake Chemical Partners LP Policy for Recovery of Erroneously Awarded Compensation, effective as of October 2, 2023</w:t>
              </w:r>
            </w:hyperlink>
          </w:p>
        </w:tc>
      </w:tr>
      <w:tr>
        <w:trPr>
          <w:trHeight w:val="156"/>
        </w:trPr>
        <w:tc>
          <w:tcPr>
            <w:tcW w:w="1540" w:type="dxa"/>
            <w:vAlign w:val="bottom"/>
          </w:tcPr>
          <w:p>
            <w:pPr>
              <w:spacing w:after="0"/>
              <w:rPr>
                <w:sz w:val="13"/>
                <w:szCs w:val="13"/>
                <w:color w:val="auto"/>
              </w:rPr>
            </w:pPr>
          </w:p>
        </w:tc>
        <w:tc>
          <w:tcPr>
            <w:tcW w:w="89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w w:val="98"/>
              </w:rPr>
            </w:pPr>
            <w:hyperlink r:id="rId172">
              <w:r>
                <w:rPr>
                  <w:rFonts w:ascii="Times New Roman" w:cs="Times New Roman" w:eastAsia="Times New Roman" w:hAnsi="Times New Roman"/>
                  <w:sz w:val="18"/>
                  <w:szCs w:val="18"/>
                  <w:color w:val="0000FF"/>
                  <w:w w:val="98"/>
                </w:rPr>
                <w:t>(incorporated by reference to Exhibit 97 to Westlake Chemical Partners LP</w:t>
              </w:r>
              <w:r>
                <w:rPr>
                  <w:rFonts w:ascii="Times New Roman" w:cs="Times New Roman" w:eastAsia="Times New Roman" w:hAnsi="Times New Roman"/>
                  <w:sz w:val="18"/>
                  <w:szCs w:val="18"/>
                  <w:color w:val="000000"/>
                  <w:w w:val="98"/>
                </w:rPr>
                <w:t>'</w:t>
              </w:r>
              <w:r>
                <w:rPr>
                  <w:rFonts w:ascii="Times New Roman" w:cs="Times New Roman" w:eastAsia="Times New Roman" w:hAnsi="Times New Roman"/>
                  <w:sz w:val="18"/>
                  <w:szCs w:val="18"/>
                  <w:color w:val="0000FF"/>
                  <w:w w:val="98"/>
                </w:rPr>
                <w:t>s Annual Report on Form 10-K for the year ended</w:t>
              </w:r>
            </w:hyperlink>
          </w:p>
        </w:tc>
        <w:tc>
          <w:tcPr>
            <w:tcW w:w="40" w:type="dxa"/>
            <w:vAlign w:val="bottom"/>
          </w:tcPr>
          <w:p>
            <w:pPr>
              <w:spacing w:after="0"/>
              <w:rPr>
                <w:sz w:val="13"/>
                <w:szCs w:val="13"/>
                <w:color w:val="auto"/>
              </w:rPr>
            </w:pPr>
          </w:p>
        </w:tc>
        <w:tc>
          <w:tcPr>
            <w:tcW w:w="500" w:type="dxa"/>
            <w:vAlign w:val="bottom"/>
            <w:gridSpan w:val="6"/>
          </w:tcPr>
          <w:p>
            <w:pPr>
              <w:spacing w:after="0"/>
              <w:rPr>
                <w:sz w:val="13"/>
                <w:szCs w:val="13"/>
                <w:color w:val="auto"/>
              </w:rPr>
            </w:pPr>
          </w:p>
        </w:tc>
      </w:tr>
      <w:tr>
        <w:trPr>
          <w:trHeight w:val="156"/>
        </w:trPr>
        <w:tc>
          <w:tcPr>
            <w:tcW w:w="1540" w:type="dxa"/>
            <w:vAlign w:val="bottom"/>
          </w:tcPr>
          <w:p>
            <w:pPr>
              <w:spacing w:after="0"/>
              <w:rPr>
                <w:sz w:val="13"/>
                <w:szCs w:val="13"/>
                <w:color w:val="auto"/>
              </w:rPr>
            </w:pPr>
          </w:p>
        </w:tc>
        <w:tc>
          <w:tcPr>
            <w:tcW w:w="54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December 31, 2023, filed on February 28, 2024 (File No. 001-36567).</w:t>
              </w:r>
            </w:hyperlink>
          </w:p>
        </w:tc>
        <w:tc>
          <w:tcPr>
            <w:tcW w:w="20" w:type="dxa"/>
            <w:vAlign w:val="bottom"/>
          </w:tcPr>
          <w:p>
            <w:pPr>
              <w:spacing w:after="0"/>
              <w:rPr>
                <w:sz w:val="13"/>
                <w:szCs w:val="13"/>
                <w:color w:val="auto"/>
              </w:rPr>
            </w:pPr>
          </w:p>
        </w:tc>
        <w:tc>
          <w:tcPr>
            <w:tcW w:w="3600" w:type="dxa"/>
            <w:vAlign w:val="bottom"/>
            <w:tcBorders>
              <w:top w:val="single" w:sz="8" w:color="0000FF"/>
            </w:tcBorders>
            <w:gridSpan w:val="4"/>
          </w:tcPr>
          <w:p>
            <w:pPr>
              <w:spacing w:after="0"/>
              <w:rPr>
                <w:sz w:val="13"/>
                <w:szCs w:val="13"/>
                <w:color w:val="auto"/>
              </w:rPr>
            </w:pPr>
          </w:p>
        </w:tc>
        <w:tc>
          <w:tcPr>
            <w:tcW w:w="500" w:type="dxa"/>
            <w:vAlign w:val="bottom"/>
            <w:gridSpan w:val="6"/>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5040" w:type="dxa"/>
            <w:vAlign w:val="bottom"/>
            <w:gridSpan w:val="4"/>
            <w:shd w:val="clear" w:color="auto" w:fill="0000FF"/>
          </w:tcPr>
          <w:p>
            <w:pPr>
              <w:spacing w:after="0" w:line="20" w:lineRule="exact"/>
              <w:rPr>
                <w:sz w:val="1"/>
                <w:szCs w:val="1"/>
                <w:color w:val="auto"/>
              </w:rPr>
            </w:pPr>
          </w:p>
        </w:tc>
        <w:tc>
          <w:tcPr>
            <w:tcW w:w="4480" w:type="dxa"/>
            <w:vAlign w:val="bottom"/>
            <w:gridSpan w:val="14"/>
          </w:tcPr>
          <w:p>
            <w:pPr>
              <w:spacing w:after="0" w:line="20" w:lineRule="exact"/>
              <w:rPr>
                <w:sz w:val="1"/>
                <w:szCs w:val="1"/>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 interactive data file because its XBRL tags are embedded</w:t>
            </w:r>
          </w:p>
        </w:tc>
      </w:tr>
      <w:tr>
        <w:trPr>
          <w:trHeight w:val="234"/>
        </w:trPr>
        <w:tc>
          <w:tcPr>
            <w:tcW w:w="1540" w:type="dxa"/>
            <w:vAlign w:val="bottom"/>
          </w:tcPr>
          <w:p>
            <w:pPr>
              <w:spacing w:after="0"/>
              <w:rPr>
                <w:sz w:val="20"/>
                <w:szCs w:val="20"/>
                <w:color w:val="auto"/>
              </w:rPr>
            </w:pP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92"/>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49" w:lineRule="exact"/>
        <w:rPr>
          <w:sz w:val="20"/>
          <w:szCs w:val="20"/>
          <w:color w:val="auto"/>
        </w:rPr>
      </w:pPr>
    </w:p>
    <w:p>
      <w:pPr>
        <w:ind w:left="1560" w:hanging="1534"/>
        <w:spacing w:after="0" w:line="237" w:lineRule="auto"/>
        <w:tabs>
          <w:tab w:leader="none" w:pos="1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 and contained in Exhibit 101.</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58" w:lineRule="exact"/>
        <w:rPr>
          <w:sz w:val="20"/>
          <w:szCs w:val="20"/>
          <w:color w:val="auto"/>
        </w:rPr>
      </w:pPr>
    </w:p>
    <w:p>
      <w:pPr>
        <w:ind w:left="260" w:hanging="252"/>
        <w:spacing w:after="0"/>
        <w:tabs>
          <w:tab w:leader="none" w:pos="2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Furnished herewith.</w:t>
      </w:r>
    </w:p>
    <w:p>
      <w:pPr>
        <w:spacing w:after="0" w:line="63" w:lineRule="exact"/>
        <w:rPr>
          <w:rFonts w:ascii="Times New Roman" w:cs="Times New Roman" w:eastAsia="Times New Roman" w:hAnsi="Times New Roman"/>
          <w:sz w:val="16"/>
          <w:szCs w:val="16"/>
          <w:color w:val="auto"/>
        </w:rPr>
      </w:pPr>
    </w:p>
    <w:p>
      <w:pPr>
        <w:ind w:left="420" w:right="60" w:hanging="412"/>
        <w:spacing w:after="0" w:line="281" w:lineRule="auto"/>
        <w:tabs>
          <w:tab w:leader="none" w:pos="3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18, 2022, Westlake Chemical Corporation changed its corporate name to Westlake Corporation. Accordingly, filings made prior to such date were made under the name Westlake Chemical Corporation.</w:t>
      </w:r>
    </w:p>
    <w:p>
      <w:pPr>
        <w:spacing w:after="0" w:line="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Management contract or compensatory plan or arrangement.</w:t>
      </w:r>
    </w:p>
    <w:p>
      <w:pPr>
        <w:spacing w:after="0" w:line="63" w:lineRule="exact"/>
        <w:rPr>
          <w:sz w:val="20"/>
          <w:szCs w:val="20"/>
          <w:color w:val="auto"/>
        </w:rPr>
      </w:pPr>
    </w:p>
    <w:p>
      <w:pPr>
        <w:ind w:left="420" w:right="140" w:hanging="412"/>
        <w:spacing w:after="0" w:line="282" w:lineRule="auto"/>
        <w:tabs>
          <w:tab w:leader="none" w:pos="3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status has been granted for certain portions thereof pursuant to the Order Granting Confidential Treatment Under the Securities Act of 1933 issued by the Division of Corporation Finance of the Securities and Exchange Commission filed on August 1, 2014.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00" w:lineRule="exact"/>
        <w:rPr>
          <w:sz w:val="20"/>
          <w:szCs w:val="20"/>
          <w:color w:val="auto"/>
        </w:rPr>
      </w:pPr>
    </w:p>
    <w:p>
      <w:pPr>
        <w:spacing w:after="0" w:line="36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WESTLAKE CHEMICAL PARTNERS LP</w:t>
      </w:r>
    </w:p>
    <w:p>
      <w:pPr>
        <w:spacing w:after="0" w:line="279" w:lineRule="exact"/>
        <w:rPr>
          <w:sz w:val="20"/>
          <w:szCs w:val="20"/>
          <w:color w:val="auto"/>
        </w:rPr>
      </w:pPr>
    </w:p>
    <w:p>
      <w:pPr>
        <w:ind w:left="20"/>
        <w:spacing w:after="0"/>
        <w:tabs>
          <w:tab w:leader="none" w:pos="640" w:val="left"/>
          <w:tab w:leader="none" w:pos="7920" w:val="left"/>
        </w:tabs>
        <w:rPr>
          <w:sz w:val="20"/>
          <w:szCs w:val="20"/>
          <w:color w:val="auto"/>
        </w:rPr>
      </w:pPr>
      <w:r>
        <w:rPr>
          <w:rFonts w:ascii="Times New Roman" w:cs="Times New Roman" w:eastAsia="Times New Roman" w:hAnsi="Times New Roman"/>
          <w:sz w:val="18"/>
          <w:szCs w:val="18"/>
          <w:color w:val="auto"/>
        </w:rPr>
        <w:t>Date:</w:t>
        <w:tab/>
        <w:t>March 4, 2026</w:t>
      </w:r>
      <w:r>
        <w:rPr>
          <w:sz w:val="20"/>
          <w:szCs w:val="20"/>
          <w:color w:val="auto"/>
        </w:rPr>
        <w:tab/>
      </w: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26035</wp:posOffset>
            </wp:positionV>
            <wp:extent cx="305181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3"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Jean-Marc Gilson</w:t>
      </w:r>
    </w:p>
    <w:p>
      <w:pPr>
        <w:ind w:left="7280"/>
        <w:spacing w:after="0" w:line="209" w:lineRule="auto"/>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360"/>
        <w:spacing w:after="0" w:line="22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spacing w:after="0" w:line="1"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20" w:type="dxa"/>
            <w:vAlign w:val="bottom"/>
          </w:tcPr>
          <w:p>
            <w:pPr>
              <w:spacing w:after="0"/>
              <w:rPr>
                <w:sz w:val="13"/>
                <w:szCs w:val="13"/>
                <w:color w:val="auto"/>
              </w:rPr>
            </w:pPr>
          </w:p>
        </w:tc>
        <w:tc>
          <w:tcPr>
            <w:tcW w:w="4640" w:type="dxa"/>
            <w:vAlign w:val="bottom"/>
            <w:gridSpan w:val="3"/>
          </w:tcPr>
          <w:p>
            <w:pPr>
              <w:ind w:left="24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20" w:type="dxa"/>
            <w:vAlign w:val="bottom"/>
            <w:gridSpan w:val="3"/>
          </w:tcPr>
          <w:p>
            <w:pPr>
              <w:jc w:val="center"/>
              <w:ind w:left="672"/>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2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tc>
        <w:tc>
          <w:tcPr>
            <w:tcW w:w="4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820" w:type="dxa"/>
            <w:vAlign w:val="bottom"/>
            <w:gridSpan w:val="3"/>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rPr>
              <w:t>March 4, 2026</w:t>
            </w:r>
          </w:p>
        </w:tc>
        <w:tc>
          <w:tcPr>
            <w:tcW w:w="0" w:type="dxa"/>
            <w:vAlign w:val="bottom"/>
          </w:tcPr>
          <w:p>
            <w:pPr>
              <w:spacing w:after="0"/>
              <w:rPr>
                <w:sz w:val="1"/>
                <w:szCs w:val="1"/>
                <w:color w:val="auto"/>
              </w:rPr>
            </w:pPr>
          </w:p>
        </w:tc>
      </w:tr>
      <w:tr>
        <w:trPr>
          <w:trHeight w:val="40"/>
        </w:trPr>
        <w:tc>
          <w:tcPr>
            <w:tcW w:w="1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46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720" w:type="dxa"/>
            <w:vAlign w:val="bottom"/>
            <w:gridSpan w:val="4"/>
            <w:vMerge w:val="restart"/>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Jean-Marc Gilson</w:t>
            </w:r>
          </w:p>
        </w:tc>
        <w:tc>
          <w:tcPr>
            <w:tcW w:w="4640" w:type="dxa"/>
            <w:vAlign w:val="bottom"/>
            <w:gridSpan w:val="3"/>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520" w:type="dxa"/>
            <w:vAlign w:val="bottom"/>
          </w:tcPr>
          <w:p>
            <w:pPr>
              <w:spacing w:after="0"/>
              <w:rPr>
                <w:sz w:val="8"/>
                <w:szCs w:val="8"/>
                <w:color w:val="auto"/>
              </w:rPr>
            </w:pPr>
          </w:p>
        </w:tc>
        <w:tc>
          <w:tcPr>
            <w:tcW w:w="2720" w:type="dxa"/>
            <w:vAlign w:val="bottom"/>
            <w:gridSpan w:val="4"/>
            <w:vMerge w:val="continue"/>
          </w:tcPr>
          <w:p>
            <w:pPr>
              <w:spacing w:after="0"/>
              <w:rPr>
                <w:sz w:val="8"/>
                <w:szCs w:val="8"/>
                <w:color w:val="auto"/>
              </w:rPr>
            </w:pPr>
          </w:p>
        </w:tc>
        <w:tc>
          <w:tcPr>
            <w:tcW w:w="464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0"/>
        </w:trPr>
        <w:tc>
          <w:tcPr>
            <w:tcW w:w="15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2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color w:val="auto"/>
              </w:rPr>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tc>
        <w:tc>
          <w:tcPr>
            <w:tcW w:w="4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1820" w:type="dxa"/>
            <w:vAlign w:val="bottom"/>
            <w:gridSpan w:val="3"/>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rPr>
              <w:t>March 4, 2026</w:t>
            </w:r>
          </w:p>
        </w:tc>
        <w:tc>
          <w:tcPr>
            <w:tcW w:w="0" w:type="dxa"/>
            <w:vAlign w:val="bottom"/>
          </w:tcPr>
          <w:p>
            <w:pPr>
              <w:spacing w:after="0"/>
              <w:rPr>
                <w:sz w:val="1"/>
                <w:szCs w:val="1"/>
                <w:color w:val="auto"/>
              </w:rPr>
            </w:pPr>
          </w:p>
        </w:tc>
      </w:tr>
      <w:tr>
        <w:trPr>
          <w:trHeight w:val="41"/>
        </w:trPr>
        <w:tc>
          <w:tcPr>
            <w:tcW w:w="1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46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and Director (Principal Financial Officer)</w:t>
            </w:r>
          </w:p>
        </w:tc>
        <w:tc>
          <w:tcPr>
            <w:tcW w:w="1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720" w:type="dxa"/>
            <w:vAlign w:val="bottom"/>
            <w:gridSpan w:val="4"/>
            <w:vMerge w:val="restart"/>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M. Steven Bender</w:t>
            </w:r>
          </w:p>
        </w:tc>
        <w:tc>
          <w:tcPr>
            <w:tcW w:w="4640" w:type="dxa"/>
            <w:vAlign w:val="bottom"/>
            <w:gridSpan w:val="3"/>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520" w:type="dxa"/>
            <w:vAlign w:val="bottom"/>
          </w:tcPr>
          <w:p>
            <w:pPr>
              <w:spacing w:after="0"/>
              <w:rPr>
                <w:sz w:val="8"/>
                <w:szCs w:val="8"/>
                <w:color w:val="auto"/>
              </w:rPr>
            </w:pPr>
          </w:p>
        </w:tc>
        <w:tc>
          <w:tcPr>
            <w:tcW w:w="2720" w:type="dxa"/>
            <w:vAlign w:val="bottom"/>
            <w:gridSpan w:val="4"/>
            <w:vMerge w:val="continue"/>
          </w:tcPr>
          <w:p>
            <w:pPr>
              <w:spacing w:after="0"/>
              <w:rPr>
                <w:sz w:val="8"/>
                <w:szCs w:val="8"/>
                <w:color w:val="auto"/>
              </w:rPr>
            </w:pPr>
          </w:p>
        </w:tc>
        <w:tc>
          <w:tcPr>
            <w:tcW w:w="464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152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9"/>
              </w:rPr>
              <w:t>/S/</w:t>
            </w:r>
          </w:p>
        </w:tc>
        <w:tc>
          <w:tcPr>
            <w:tcW w:w="2720" w:type="dxa"/>
            <w:vAlign w:val="bottom"/>
            <w:gridSpan w:val="4"/>
          </w:tcPr>
          <w:p>
            <w:pPr>
              <w:jc w:val="center"/>
              <w:ind w:right="1140"/>
              <w:spacing w:after="0"/>
              <w:rPr>
                <w:sz w:val="20"/>
                <w:szCs w:val="20"/>
                <w:color w:val="auto"/>
              </w:rPr>
            </w:pPr>
            <w:r>
              <w:rPr>
                <w:rFonts w:ascii="Times New Roman" w:cs="Times New Roman" w:eastAsia="Times New Roman" w:hAnsi="Times New Roman"/>
                <w:sz w:val="18"/>
                <w:szCs w:val="18"/>
                <w:color w:val="auto"/>
                <w:w w:val="99"/>
              </w:rPr>
              <w:t>J</w:t>
            </w:r>
            <w:r>
              <w:rPr>
                <w:rFonts w:ascii="Times New Roman" w:cs="Times New Roman" w:eastAsia="Times New Roman" w:hAnsi="Times New Roman"/>
                <w:sz w:val="14"/>
                <w:szCs w:val="14"/>
                <w:color w:val="auto"/>
                <w:w w:val="99"/>
              </w:rPr>
              <w:t>EFFREY</w:t>
            </w:r>
            <w:r>
              <w:rPr>
                <w:rFonts w:ascii="Times New Roman" w:cs="Times New Roman" w:eastAsia="Times New Roman" w:hAnsi="Times New Roman"/>
                <w:sz w:val="18"/>
                <w:szCs w:val="18"/>
                <w:color w:val="auto"/>
                <w:w w:val="99"/>
              </w:rPr>
              <w:t xml:space="preserve"> A</w:t>
            </w: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8"/>
                <w:szCs w:val="18"/>
                <w:color w:val="auto"/>
                <w:w w:val="99"/>
              </w:rPr>
              <w:t xml:space="preserve"> H</w:t>
            </w:r>
            <w:r>
              <w:rPr>
                <w:rFonts w:ascii="Times New Roman" w:cs="Times New Roman" w:eastAsia="Times New Roman" w:hAnsi="Times New Roman"/>
                <w:sz w:val="14"/>
                <w:szCs w:val="14"/>
                <w:color w:val="auto"/>
                <w:w w:val="99"/>
              </w:rPr>
              <w:t>OLY</w:t>
            </w:r>
          </w:p>
        </w:tc>
        <w:tc>
          <w:tcPr>
            <w:tcW w:w="4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c>
          <w:tcPr>
            <w:tcW w:w="1820" w:type="dxa"/>
            <w:vAlign w:val="bottom"/>
            <w:gridSpan w:val="3"/>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rPr>
              <w:t>March 4, 2026</w:t>
            </w:r>
          </w:p>
        </w:tc>
        <w:tc>
          <w:tcPr>
            <w:tcW w:w="0" w:type="dxa"/>
            <w:vAlign w:val="bottom"/>
          </w:tcPr>
          <w:p>
            <w:pPr>
              <w:spacing w:after="0"/>
              <w:rPr>
                <w:sz w:val="1"/>
                <w:szCs w:val="1"/>
                <w:color w:val="auto"/>
              </w:rPr>
            </w:pPr>
          </w:p>
        </w:tc>
      </w:tr>
      <w:tr>
        <w:trPr>
          <w:trHeight w:val="40"/>
        </w:trPr>
        <w:tc>
          <w:tcPr>
            <w:tcW w:w="1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46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720" w:type="dxa"/>
            <w:vAlign w:val="bottom"/>
            <w:gridSpan w:val="4"/>
            <w:vMerge w:val="restart"/>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Jeffrey A. Holy</w:t>
            </w:r>
          </w:p>
        </w:tc>
        <w:tc>
          <w:tcPr>
            <w:tcW w:w="4640" w:type="dxa"/>
            <w:vAlign w:val="bottom"/>
            <w:gridSpan w:val="3"/>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520" w:type="dxa"/>
            <w:vAlign w:val="bottom"/>
          </w:tcPr>
          <w:p>
            <w:pPr>
              <w:spacing w:after="0"/>
              <w:rPr>
                <w:sz w:val="8"/>
                <w:szCs w:val="8"/>
                <w:color w:val="auto"/>
              </w:rPr>
            </w:pPr>
          </w:p>
        </w:tc>
        <w:tc>
          <w:tcPr>
            <w:tcW w:w="2720" w:type="dxa"/>
            <w:vAlign w:val="bottom"/>
            <w:gridSpan w:val="4"/>
            <w:vMerge w:val="continue"/>
          </w:tcPr>
          <w:p>
            <w:pPr>
              <w:spacing w:after="0"/>
              <w:rPr>
                <w:sz w:val="8"/>
                <w:szCs w:val="8"/>
                <w:color w:val="auto"/>
              </w:rPr>
            </w:pPr>
          </w:p>
        </w:tc>
        <w:tc>
          <w:tcPr>
            <w:tcW w:w="464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0"/>
        </w:trPr>
        <w:tc>
          <w:tcPr>
            <w:tcW w:w="4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L. B</w:t>
            </w:r>
            <w:r>
              <w:rPr>
                <w:rFonts w:ascii="Times New Roman" w:cs="Times New Roman" w:eastAsia="Times New Roman" w:hAnsi="Times New Roman"/>
                <w:sz w:val="14"/>
                <w:szCs w:val="14"/>
                <w:color w:val="auto"/>
              </w:rPr>
              <w:t>ENJAMIN</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DERINGTON</w:t>
            </w:r>
          </w:p>
        </w:tc>
        <w:tc>
          <w:tcPr>
            <w:tcW w:w="4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Executive Vice President, Legal and External</w:t>
            </w:r>
          </w:p>
        </w:tc>
        <w:tc>
          <w:tcPr>
            <w:tcW w:w="1820" w:type="dxa"/>
            <w:vAlign w:val="bottom"/>
            <w:gridSpan w:val="3"/>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rPr>
              <w:t>March 4, 2026</w:t>
            </w:r>
          </w:p>
        </w:tc>
        <w:tc>
          <w:tcPr>
            <w:tcW w:w="0" w:type="dxa"/>
            <w:vAlign w:val="bottom"/>
          </w:tcPr>
          <w:p>
            <w:pPr>
              <w:spacing w:after="0"/>
              <w:rPr>
                <w:sz w:val="1"/>
                <w:szCs w:val="1"/>
                <w:color w:val="auto"/>
              </w:rPr>
            </w:pPr>
          </w:p>
        </w:tc>
      </w:tr>
      <w:tr>
        <w:trPr>
          <w:trHeight w:val="40"/>
        </w:trPr>
        <w:tc>
          <w:tcPr>
            <w:tcW w:w="1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46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Affairs and Director</w:t>
            </w:r>
          </w:p>
        </w:tc>
        <w:tc>
          <w:tcPr>
            <w:tcW w:w="1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42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 Benjamin Ederington</w:t>
            </w:r>
          </w:p>
        </w:tc>
        <w:tc>
          <w:tcPr>
            <w:tcW w:w="4640" w:type="dxa"/>
            <w:vAlign w:val="bottom"/>
            <w:gridSpan w:val="3"/>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240" w:type="dxa"/>
            <w:vAlign w:val="bottom"/>
            <w:gridSpan w:val="5"/>
            <w:vMerge w:val="continue"/>
          </w:tcPr>
          <w:p>
            <w:pPr>
              <w:spacing w:after="0"/>
              <w:rPr>
                <w:sz w:val="8"/>
                <w:szCs w:val="8"/>
                <w:color w:val="auto"/>
              </w:rPr>
            </w:pPr>
          </w:p>
        </w:tc>
        <w:tc>
          <w:tcPr>
            <w:tcW w:w="464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74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2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HAO</w:t>
            </w:r>
          </w:p>
        </w:tc>
        <w:tc>
          <w:tcPr>
            <w:tcW w:w="46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color w:val="auto"/>
              </w:rPr>
              <w:t>Senior Chairman of the Board of Directors</w:t>
            </w:r>
          </w:p>
        </w:tc>
        <w:tc>
          <w:tcPr>
            <w:tcW w:w="1820" w:type="dxa"/>
            <w:vAlign w:val="bottom"/>
            <w:gridSpan w:val="3"/>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rPr>
              <w:t>March 4, 2026</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40" w:type="dxa"/>
            <w:vAlign w:val="bottom"/>
            <w:gridSpan w:val="3"/>
            <w:vMerge w:val="continue"/>
          </w:tcPr>
          <w:p>
            <w:pPr>
              <w:spacing w:after="0"/>
              <w:rPr>
                <w:sz w:val="2"/>
                <w:szCs w:val="2"/>
                <w:color w:val="auto"/>
              </w:rPr>
            </w:pPr>
          </w:p>
        </w:tc>
        <w:tc>
          <w:tcPr>
            <w:tcW w:w="18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00" w:type="dxa"/>
            <w:vAlign w:val="bottom"/>
            <w:gridSpan w:val="3"/>
            <w:vMerge w:val="restart"/>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James Chao</w:t>
            </w:r>
          </w:p>
        </w:tc>
        <w:tc>
          <w:tcPr>
            <w:tcW w:w="4640" w:type="dxa"/>
            <w:vAlign w:val="bottom"/>
            <w:gridSpan w:val="3"/>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00" w:type="dxa"/>
            <w:vAlign w:val="bottom"/>
            <w:gridSpan w:val="3"/>
            <w:vMerge w:val="continue"/>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174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500" w:type="dxa"/>
            <w:vAlign w:val="bottom"/>
            <w:tcBorders>
              <w:bottom w:val="single" w:sz="8" w:color="auto"/>
            </w:tcBorders>
            <w:gridSpan w:val="3"/>
          </w:tcPr>
          <w:p>
            <w:pPr>
              <w:jc w:val="center"/>
              <w:ind w:right="14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LBERT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HAO</w:t>
            </w:r>
          </w:p>
        </w:tc>
        <w:tc>
          <w:tcPr>
            <w:tcW w:w="46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c>
          <w:tcPr>
            <w:tcW w:w="1820" w:type="dxa"/>
            <w:vAlign w:val="bottom"/>
            <w:gridSpan w:val="3"/>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rPr>
              <w:t>March 4, 2026</w:t>
            </w: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00" w:type="dxa"/>
            <w:vAlign w:val="bottom"/>
            <w:gridSpan w:val="3"/>
            <w:vMerge w:val="restart"/>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Albert Chao</w:t>
            </w:r>
          </w:p>
        </w:tc>
        <w:tc>
          <w:tcPr>
            <w:tcW w:w="4640" w:type="dxa"/>
            <w:vAlign w:val="bottom"/>
            <w:gridSpan w:val="3"/>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00" w:type="dxa"/>
            <w:vAlign w:val="bottom"/>
            <w:gridSpan w:val="3"/>
            <w:vMerge w:val="continue"/>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1"/>
        </w:trPr>
        <w:tc>
          <w:tcPr>
            <w:tcW w:w="15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272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color w:val="auto"/>
              </w:rPr>
              <w:t>G. S</w:t>
            </w:r>
            <w:r>
              <w:rPr>
                <w:rFonts w:ascii="Times New Roman" w:cs="Times New Roman" w:eastAsia="Times New Roman" w:hAnsi="Times New Roman"/>
                <w:sz w:val="14"/>
                <w:szCs w:val="14"/>
                <w:color w:val="auto"/>
              </w:rPr>
              <w:t>TEPHEN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INLEY</w:t>
            </w:r>
          </w:p>
        </w:tc>
        <w:tc>
          <w:tcPr>
            <w:tcW w:w="46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rPr>
              <w:t>March 4, 2026</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40" w:type="dxa"/>
            <w:vAlign w:val="bottom"/>
            <w:gridSpan w:val="3"/>
            <w:vMerge w:val="continue"/>
          </w:tcPr>
          <w:p>
            <w:pPr>
              <w:spacing w:after="0"/>
              <w:rPr>
                <w:sz w:val="2"/>
                <w:szCs w:val="2"/>
                <w:color w:val="auto"/>
              </w:rPr>
            </w:pPr>
          </w:p>
        </w:tc>
        <w:tc>
          <w:tcPr>
            <w:tcW w:w="18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720" w:type="dxa"/>
            <w:vAlign w:val="bottom"/>
            <w:gridSpan w:val="4"/>
            <w:vMerge w:val="restart"/>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G. Stephen Finley</w:t>
            </w:r>
          </w:p>
        </w:tc>
        <w:tc>
          <w:tcPr>
            <w:tcW w:w="4640" w:type="dxa"/>
            <w:vAlign w:val="bottom"/>
            <w:gridSpan w:val="3"/>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520" w:type="dxa"/>
            <w:vAlign w:val="bottom"/>
          </w:tcPr>
          <w:p>
            <w:pPr>
              <w:spacing w:after="0"/>
              <w:rPr>
                <w:sz w:val="8"/>
                <w:szCs w:val="8"/>
                <w:color w:val="auto"/>
              </w:rPr>
            </w:pPr>
          </w:p>
        </w:tc>
        <w:tc>
          <w:tcPr>
            <w:tcW w:w="2720" w:type="dxa"/>
            <w:vAlign w:val="bottom"/>
            <w:gridSpan w:val="4"/>
            <w:vMerge w:val="continue"/>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5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42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ISA</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RIEL</w:t>
            </w:r>
          </w:p>
        </w:tc>
        <w:tc>
          <w:tcPr>
            <w:tcW w:w="46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rPr>
              <w:t>March 4, 2026</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40" w:type="dxa"/>
            <w:vAlign w:val="bottom"/>
            <w:gridSpan w:val="3"/>
            <w:vMerge w:val="continue"/>
          </w:tcPr>
          <w:p>
            <w:pPr>
              <w:spacing w:after="0"/>
              <w:rPr>
                <w:sz w:val="2"/>
                <w:szCs w:val="2"/>
                <w:color w:val="auto"/>
              </w:rPr>
            </w:pPr>
          </w:p>
        </w:tc>
        <w:tc>
          <w:tcPr>
            <w:tcW w:w="18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2"/>
            <w:vMerge w:val="restart"/>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Lisa Friel</w:t>
            </w:r>
          </w:p>
        </w:tc>
        <w:tc>
          <w:tcPr>
            <w:tcW w:w="4640" w:type="dxa"/>
            <w:vAlign w:val="bottom"/>
            <w:gridSpan w:val="3"/>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2"/>
            <w:vMerge w:val="continue"/>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5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p>
        </w:tc>
        <w:tc>
          <w:tcPr>
            <w:tcW w:w="272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ANDY</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OELFEL</w:t>
            </w:r>
          </w:p>
        </w:tc>
        <w:tc>
          <w:tcPr>
            <w:tcW w:w="46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rPr>
              <w:t>March 4, 2026</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40" w:type="dxa"/>
            <w:vAlign w:val="bottom"/>
            <w:gridSpan w:val="3"/>
            <w:vMerge w:val="continue"/>
          </w:tcPr>
          <w:p>
            <w:pPr>
              <w:spacing w:after="0"/>
              <w:rPr>
                <w:sz w:val="2"/>
                <w:szCs w:val="2"/>
                <w:color w:val="auto"/>
              </w:rPr>
            </w:pPr>
          </w:p>
        </w:tc>
        <w:tc>
          <w:tcPr>
            <w:tcW w:w="18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2720" w:type="dxa"/>
            <w:vAlign w:val="bottom"/>
            <w:gridSpan w:val="4"/>
            <w:vMerge w:val="restart"/>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Randy Woelfel</w:t>
            </w:r>
          </w:p>
        </w:tc>
        <w:tc>
          <w:tcPr>
            <w:tcW w:w="4640" w:type="dxa"/>
            <w:vAlign w:val="bottom"/>
            <w:gridSpan w:val="3"/>
            <w:vMerge w:val="continue"/>
          </w:tcPr>
          <w:p>
            <w:pPr>
              <w:spacing w:after="0"/>
              <w:rPr>
                <w:sz w:val="13"/>
                <w:szCs w:val="13"/>
                <w:color w:val="auto"/>
              </w:rPr>
            </w:pPr>
          </w:p>
        </w:tc>
        <w:tc>
          <w:tcPr>
            <w:tcW w:w="1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520" w:type="dxa"/>
            <w:vAlign w:val="bottom"/>
          </w:tcPr>
          <w:p>
            <w:pPr>
              <w:spacing w:after="0"/>
              <w:rPr>
                <w:sz w:val="8"/>
                <w:szCs w:val="8"/>
                <w:color w:val="auto"/>
              </w:rPr>
            </w:pPr>
          </w:p>
        </w:tc>
        <w:tc>
          <w:tcPr>
            <w:tcW w:w="2720" w:type="dxa"/>
            <w:vAlign w:val="bottom"/>
            <w:gridSpan w:val="4"/>
            <w:vMerge w:val="continue"/>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00"/>
          </w:cols>
          <w:pgMar w:left="320" w:top="118" w:right="67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83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SUBSIDIARIES OF WESTLAKE CHEMICAL PARTNERS LP</w:t>
            </w:r>
          </w:p>
        </w:tc>
      </w:tr>
      <w:tr>
        <w:trPr>
          <w:trHeight w:val="688"/>
        </w:trPr>
        <w:tc>
          <w:tcPr>
            <w:tcW w:w="2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6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6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Chemical OpCo GP LLC</w:t>
            </w:r>
          </w:p>
        </w:tc>
        <w:tc>
          <w:tcPr>
            <w:tcW w:w="6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Westlake Chemical OpCo LP</w:t>
            </w:r>
          </w:p>
        </w:tc>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88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333-270176 and 333-230611) and Form S-8 (No. 333-198233) of Westlake Chemical Partners LP of our report dated March 4, 2026 relating to the financial statements and the effectiveness of internal control over financial reporting, which appears in this Form 10-K.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2026</w:t>
      </w:r>
    </w:p>
    <w:p>
      <w:pPr>
        <w:sectPr>
          <w:pgSz w:w="11900" w:h="16838" w:orient="portrait"/>
          <w:cols w:equalWidth="0" w:num="1">
            <w:col w:w="11240"/>
          </w:cols>
          <w:pgMar w:left="320" w:top="88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Gilson, certify that:</w:t>
      </w:r>
    </w:p>
    <w:p>
      <w:pPr>
        <w:spacing w:after="0" w:line="225"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Westlake Chemical Partners LP (the "registrant");</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652"/>
        <w:spacing w:after="0" w:line="257"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right="220" w:hanging="644"/>
        <w:spacing w:after="0" w:line="265" w:lineRule="auto"/>
        <w:tabs>
          <w:tab w:leader="none" w:pos="130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80" w:hanging="644"/>
        <w:spacing w:after="0" w:line="255"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660" w:right="100" w:hanging="652"/>
        <w:spacing w:after="0" w:line="261"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644"/>
        <w:spacing w:after="0" w:line="250"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60" w:hanging="644"/>
        <w:spacing w:after="0" w:line="260"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660" w:val="left"/>
          <w:tab w:leader="none" w:pos="7920" w:val="left"/>
        </w:tabs>
        <w:rPr>
          <w:sz w:val="20"/>
          <w:szCs w:val="20"/>
          <w:color w:val="auto"/>
        </w:rPr>
      </w:pPr>
      <w:r>
        <w:rPr>
          <w:rFonts w:ascii="Times New Roman" w:cs="Times New Roman" w:eastAsia="Times New Roman" w:hAnsi="Times New Roman"/>
          <w:sz w:val="18"/>
          <w:szCs w:val="18"/>
          <w:color w:val="auto"/>
        </w:rPr>
        <w:t>Date:</w:t>
        <w:tab/>
        <w:t>March 4, 2026</w:t>
      </w:r>
      <w:r>
        <w:rPr>
          <w:sz w:val="20"/>
          <w:szCs w:val="20"/>
          <w:color w:val="auto"/>
        </w:rPr>
        <w:tab/>
      </w: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26035</wp:posOffset>
            </wp:positionV>
            <wp:extent cx="30600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Jean-Marc Gilson</w:t>
      </w:r>
    </w:p>
    <w:p>
      <w:pPr>
        <w:ind w:left="7260"/>
        <w:spacing w:after="0" w:line="229" w:lineRule="auto"/>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ind w:left="7640"/>
        <w:spacing w:after="0" w:line="20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spacing w:after="0" w:line="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225"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Westlake Chemical Partners LP (the "registrant");</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652"/>
        <w:spacing w:after="0" w:line="257"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right="220" w:hanging="644"/>
        <w:spacing w:after="0" w:line="265" w:lineRule="auto"/>
        <w:tabs>
          <w:tab w:leader="none" w:pos="130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80" w:hanging="644"/>
        <w:spacing w:after="0" w:line="255"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660" w:right="100" w:hanging="652"/>
        <w:spacing w:after="0" w:line="261"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644"/>
        <w:spacing w:after="0" w:line="250"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60" w:hanging="644"/>
        <w:spacing w:after="0" w:line="260"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660" w:val="left"/>
          <w:tab w:leader="none" w:pos="7920" w:val="left"/>
        </w:tabs>
        <w:rPr>
          <w:sz w:val="20"/>
          <w:szCs w:val="20"/>
          <w:color w:val="auto"/>
        </w:rPr>
      </w:pPr>
      <w:r>
        <w:rPr>
          <w:rFonts w:ascii="Times New Roman" w:cs="Times New Roman" w:eastAsia="Times New Roman" w:hAnsi="Times New Roman"/>
          <w:sz w:val="18"/>
          <w:szCs w:val="18"/>
          <w:color w:val="auto"/>
        </w:rPr>
        <w:t>Date:</w:t>
        <w:tab/>
        <w:t>March 4, 2026</w:t>
      </w:r>
      <w:r>
        <w:rPr>
          <w:sz w:val="20"/>
          <w:szCs w:val="20"/>
          <w:color w:val="auto"/>
        </w:rPr>
        <w:tab/>
      </w:r>
      <w:r>
        <w:rPr>
          <w:rFonts w:ascii="Times New Roman" w:cs="Times New Roman" w:eastAsia="Times New Roman" w:hAnsi="Times New Roman"/>
          <w:sz w:val="18"/>
          <w:szCs w:val="18"/>
          <w:color w:val="auto"/>
        </w:rPr>
        <w:t>/s/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26035</wp:posOffset>
            </wp:positionV>
            <wp:extent cx="30600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M. Steven Bender</w:t>
      </w:r>
    </w:p>
    <w:p>
      <w:pPr>
        <w:ind w:left="7140"/>
        <w:spacing w:after="0" w:line="229" w:lineRule="auto"/>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ind w:left="7280"/>
        <w:spacing w:after="0" w:line="201"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spacing w:after="0" w:line="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Westlake Chemical Partners LP (the "Partnership"), as filed with the Securities and Exchange Commission on the date hereof (the "Report"), Jean-Marc Gilson, President, Chief Executive Officer and Director of the general partner of the Partnership, and M. Steven Bender, Executive Vice President, Chief Financial Officer, and Director of the general partner of the Partnership, each certify, pursuant to 18 U.S.C. Section 1350, as adopted pursuant to Section 906 of the Sarbanes-Oxley Act of 2002, that, to his knowledge:</w:t>
      </w:r>
    </w:p>
    <w:p>
      <w:pPr>
        <w:spacing w:after="0" w:line="180" w:lineRule="exact"/>
        <w:rPr>
          <w:sz w:val="20"/>
          <w:szCs w:val="20"/>
          <w:color w:val="auto"/>
        </w:rPr>
      </w:pPr>
    </w:p>
    <w:p>
      <w:pPr>
        <w:ind w:left="1040" w:hanging="384"/>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600" w:hanging="644"/>
        <w:spacing w:after="0" w:line="282" w:lineRule="auto"/>
        <w:tabs>
          <w:tab w:leader="none" w:pos="104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660" w:val="left"/>
          <w:tab w:leader="none" w:pos="7920" w:val="left"/>
        </w:tabs>
        <w:rPr>
          <w:sz w:val="20"/>
          <w:szCs w:val="20"/>
          <w:color w:val="auto"/>
        </w:rPr>
      </w:pPr>
      <w:r>
        <w:rPr>
          <w:rFonts w:ascii="Times New Roman" w:cs="Times New Roman" w:eastAsia="Times New Roman" w:hAnsi="Times New Roman"/>
          <w:sz w:val="18"/>
          <w:szCs w:val="18"/>
          <w:color w:val="auto"/>
        </w:rPr>
        <w:t>Date:</w:t>
        <w:tab/>
        <w:t>March 4, 2026</w:t>
      </w:r>
      <w:r>
        <w:rPr>
          <w:sz w:val="20"/>
          <w:szCs w:val="20"/>
          <w:color w:val="auto"/>
        </w:rPr>
        <w:tab/>
      </w: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26035</wp:posOffset>
            </wp:positionV>
            <wp:extent cx="30600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5"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Jean-Marc Gilson</w:t>
      </w:r>
    </w:p>
    <w:p>
      <w:pPr>
        <w:jc w:val="center"/>
        <w:ind w:left="6320"/>
        <w:spacing w:after="0" w:line="221" w:lineRule="auto"/>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320"/>
        <w:spacing w:after="0" w:line="22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spacing w:after="0" w:line="1"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00" w:lineRule="exact"/>
        <w:rPr>
          <w:sz w:val="20"/>
          <w:szCs w:val="20"/>
          <w:color w:val="auto"/>
        </w:rPr>
      </w:pPr>
    </w:p>
    <w:p>
      <w:pPr>
        <w:ind w:left="20"/>
        <w:spacing w:after="0"/>
        <w:tabs>
          <w:tab w:leader="none" w:pos="660" w:val="left"/>
          <w:tab w:leader="none" w:pos="7920" w:val="left"/>
        </w:tabs>
        <w:rPr>
          <w:sz w:val="20"/>
          <w:szCs w:val="20"/>
          <w:color w:val="auto"/>
        </w:rPr>
      </w:pPr>
      <w:r>
        <w:rPr>
          <w:rFonts w:ascii="Times New Roman" w:cs="Times New Roman" w:eastAsia="Times New Roman" w:hAnsi="Times New Roman"/>
          <w:sz w:val="18"/>
          <w:szCs w:val="18"/>
          <w:color w:val="auto"/>
        </w:rPr>
        <w:t>Date:</w:t>
        <w:tab/>
        <w:t>March 4, 2026</w:t>
      </w:r>
      <w:r>
        <w:rPr>
          <w:sz w:val="20"/>
          <w:szCs w:val="20"/>
          <w:color w:val="auto"/>
        </w:rPr>
        <w:tab/>
      </w:r>
      <w:r>
        <w:rPr>
          <w:rFonts w:ascii="Times New Roman" w:cs="Times New Roman" w:eastAsia="Times New Roman" w:hAnsi="Times New Roman"/>
          <w:sz w:val="18"/>
          <w:szCs w:val="18"/>
          <w:color w:val="auto"/>
        </w:rPr>
        <w:t>/s/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26035</wp:posOffset>
            </wp:positionV>
            <wp:extent cx="30600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5"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M. Steven Bender</w:t>
      </w:r>
    </w:p>
    <w:p>
      <w:pPr>
        <w:jc w:val="center"/>
        <w:ind w:left="6320"/>
        <w:spacing w:after="0" w:line="221" w:lineRule="auto"/>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320"/>
        <w:spacing w:after="0" w:line="221"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spacing w:after="0" w:line="1"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lvl w:ilvl="1">
      <w:lvlJc w:val="left"/>
      <w:lvlText w:val="(%2)"/>
      <w:numFmt w:val="decimal"/>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2"/>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15"/>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104"/>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1."/>
      <w:numFmt w:val="decimal"/>
      <w:start w:val="1"/>
    </w:lvl>
    <w:lvl w:ilvl="1">
      <w:lvlJc w:val="left"/>
      <w:lvlText w:val="%2."/>
      <w:numFmt w:val="decimal"/>
      <w:start w:val="1"/>
    </w:lvl>
  </w:abstractNum>
  <w:abstractNum w:abstractNumId="51">
    <w:nsid w:val="12E685FB"/>
    <w:multiLevelType w:val="hybridMultilevel"/>
    <w:lvl w:ilvl="0">
      <w:lvlJc w:val="left"/>
      <w:lvlText w:val="%1."/>
      <w:numFmt w:val="decimal"/>
      <w:start w:val="1"/>
    </w:lvl>
    <w:lvl w:ilvl="1">
      <w:lvlJc w:val="left"/>
      <w:lvlText w:val="%2."/>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69"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36" Type="http://schemas.openxmlformats.org/officeDocument/2006/relationships/hyperlink" Target="https://www.sec.gov/Archives/edgar/data/1604665/000119312514164760/d715499dex31.htm" TargetMode="External"/><Relationship Id="rId137" Type="http://schemas.openxmlformats.org/officeDocument/2006/relationships/hyperlink" Target="https://www.sec.gov/Archives/edgar/data/1604665/000119312514303305/d756630dex31.htm" TargetMode="External"/><Relationship Id="rId138" Type="http://schemas.openxmlformats.org/officeDocument/2006/relationships/hyperlink" Target="https://www.sec.gov/Archives/edgar/data/1604665/000119312517345554/d493400dex31.htm" TargetMode="External"/><Relationship Id="rId139" Type="http://schemas.openxmlformats.org/officeDocument/2006/relationships/hyperlink" Target="https://www.sec.gov/Archives/edgar/data/1604665/000119312518231463/d583758dex31.htm" TargetMode="External"/><Relationship Id="rId140" Type="http://schemas.openxmlformats.org/officeDocument/2006/relationships/hyperlink" Target="https://www.sec.gov/Archives/edgar/data/1604665/000119312514303305/d756630dex107.htm" TargetMode="External"/><Relationship Id="rId141" Type="http://schemas.openxmlformats.org/officeDocument/2006/relationships/hyperlink" Target="https://www.sec.gov/Archives/edgar/data/1604665/000160466518000007/ex3412311710k.htm" TargetMode="External"/><Relationship Id="rId142" Type="http://schemas.openxmlformats.org/officeDocument/2006/relationships/hyperlink" Target="https://www.sec.gov/Archives/edgar/data/1604665/000160466520000007/ex4112311910k.htm" TargetMode="External"/><Relationship Id="rId143" Type="http://schemas.openxmlformats.org/officeDocument/2006/relationships/hyperlink" Target="https://www.sec.gov/Archives/edgar/data/1604665/000119312519092653/d728262dex41.htm" TargetMode="External"/><Relationship Id="rId144" Type="http://schemas.openxmlformats.org/officeDocument/2006/relationships/hyperlink" Target="https://www.sec.gov/Archives/edgar/data/1604665/000119312514303305/d756630dex101.htm" TargetMode="External"/><Relationship Id="rId145" Type="http://schemas.openxmlformats.org/officeDocument/2006/relationships/hyperlink" Target="https://www.sec.gov/Archives/edgar/data/1604665/000160466525000038/ex104_20250930firstamendme.htm" TargetMode="External"/><Relationship Id="rId146" Type="http://schemas.openxmlformats.org/officeDocument/2006/relationships/hyperlink" Target="https://www.sec.gov/Archives/edgar/data/1604665/000119312514303305/d756630dex102.htm" TargetMode="External"/><Relationship Id="rId147" Type="http://schemas.openxmlformats.org/officeDocument/2006/relationships/hyperlink" Target="https://www.sec.gov/Archives/edgar/data/1604665/000160466525000038/ex102_20250930firstamendme.htm" TargetMode="External"/><Relationship Id="rId148" Type="http://schemas.openxmlformats.org/officeDocument/2006/relationships/hyperlink" Target="https://www.sec.gov/Archives/edgar/data/1604665/000119312514303305/d756630dex103.htm" TargetMode="External"/><Relationship Id="rId149" Type="http://schemas.openxmlformats.org/officeDocument/2006/relationships/hyperlink" Target="https://www.sec.gov/Archives/edgar/data/1604665/000119312514303305/d756630dex104.htm" TargetMode="External"/><Relationship Id="rId150" Type="http://schemas.openxmlformats.org/officeDocument/2006/relationships/hyperlink" Target="https://www.sec.gov/Archives/edgar/data/1604665/000160466516000044/exhibit101_20160630.htm" TargetMode="External"/><Relationship Id="rId151" Type="http://schemas.openxmlformats.org/officeDocument/2006/relationships/hyperlink" Target="https://www.sec.gov/Archives/edgar/data/1604665/000160466518000027/exhibit102_20180930.htm" TargetMode="External"/><Relationship Id="rId154" Type="http://schemas.openxmlformats.org/officeDocument/2006/relationships/hyperlink" Target="https://www.sec.gov/Archives/edgar/data/1604665/000119312514303305/d756630dex105.htm" TargetMode="External"/><Relationship Id="rId155" Type="http://schemas.openxmlformats.org/officeDocument/2006/relationships/hyperlink" Target="https://www.sec.gov/Archives/edgar/data/1604665/000119312514303305/d756630dex106.htm" TargetMode="External"/><Relationship Id="rId156" Type="http://schemas.openxmlformats.org/officeDocument/2006/relationships/hyperlink" Target="https://www.sec.gov/Archives/edgar/data/1604665/000119312515162335/d919736dex101.htm" TargetMode="External"/><Relationship Id="rId157" Type="http://schemas.openxmlformats.org/officeDocument/2006/relationships/hyperlink" Target="https://www.sec.gov/Archives/edgar/data/1604665/000160466517000025/exhibit101_20170630.htm" TargetMode="External"/><Relationship Id="rId158" Type="http://schemas.openxmlformats.org/officeDocument/2006/relationships/hyperlink" Target="https://www.sec.gov/Archives/edgar/data/1604665/000160466518000007/ex102412311710k.htm" TargetMode="External"/><Relationship Id="rId159" Type="http://schemas.openxmlformats.org/officeDocument/2006/relationships/hyperlink" Target="https://www.sec.gov/Archives/edgar/data/1604665/000160466520000015/exhibit10120200331.htm" TargetMode="External"/><Relationship Id="rId160" Type="http://schemas.openxmlformats.org/officeDocument/2006/relationships/hyperlink" Target="https://www.sec.gov/Archives/edgar/data/1604665/000119312522195001/d278975dex102.htm" TargetMode="External"/><Relationship Id="rId161" Type="http://schemas.openxmlformats.org/officeDocument/2006/relationships/hyperlink" Target="https://www.sec.gov/Archives/edgar/data/1604665/000160466520000007/ex10912311910k.htm" TargetMode="External"/><Relationship Id="rId162" Type="http://schemas.openxmlformats.org/officeDocument/2006/relationships/hyperlink" Target="https://www.sec.gov/Archives/edgar/data/1604665/000160466518000027/exhibit101_20180930.htm" TargetMode="External"/><Relationship Id="rId163" Type="http://schemas.openxmlformats.org/officeDocument/2006/relationships/hyperlink" Target="https://www.sec.gov/Archives/edgar/data/1604665/000119312522195001/d278975dex101.htm" TargetMode="External"/><Relationship Id="rId164" Type="http://schemas.openxmlformats.org/officeDocument/2006/relationships/hyperlink" Target="https://www.sec.gov/ix?doc=/Archives/edgar/data/1604665/000114036124013767/ny20022131x1_def14a.htm" TargetMode="External"/><Relationship Id="rId165" Type="http://schemas.openxmlformats.org/officeDocument/2006/relationships/hyperlink" Target="https://www.sec.gov/Archives/edgar/data/1604665/000160466517000008/ex102012311610k.htm" TargetMode="External"/><Relationship Id="rId166" Type="http://schemas.openxmlformats.org/officeDocument/2006/relationships/hyperlink" Target="https://www.sec.gov/Archives/edgar/data/1604665/000160466517000033/exhibit101_20170930.htm" TargetMode="External"/><Relationship Id="rId167" Type="http://schemas.openxmlformats.org/officeDocument/2006/relationships/hyperlink" Target="https://www.sec.gov/Archives/edgar/data/1604665/000160466518000007/ex101212311710k.htm" TargetMode="External"/><Relationship Id="rId168" Type="http://schemas.openxmlformats.org/officeDocument/2006/relationships/hyperlink" Target="https://www.sec.gov/Archives/edgar/data/1604665/000119312518294123/d633576dex11.htm" TargetMode="External"/><Relationship Id="rId170" Type="http://schemas.openxmlformats.org/officeDocument/2006/relationships/hyperlink" Target="https://www.sec.gov/Archives/edgar/data/1604665/000160466520000007/ex102212311910k.htm" TargetMode="External"/><Relationship Id="rId171" Type="http://schemas.openxmlformats.org/officeDocument/2006/relationships/hyperlink" Target="https://www.sec.gov/Archives/edgar/data/1604665/000160466525000011/ex1912312410k.htm" TargetMode="External"/><Relationship Id="rId172" Type="http://schemas.openxmlformats.org/officeDocument/2006/relationships/hyperlink" Target="https://www.sec.gov/Archives/edgar/data/1604665/000160466524000010/ex97-wlkp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2026-03-04T12:06:06Z</dcterms:created>
  <dcterms:modified xsi:type="dcterms:W3CDTF">2026-03-04T12:06:06Z</dcterms:modified>
</cp:coreProperties>
</file>